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333-258348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9</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142875</wp:posOffset>
            </wp:positionV>
            <wp:extent cx="427736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85,750,000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1,336,329,949 Shares of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11" w:lineRule="exact"/>
        <w:rPr>
          <w:sz w:val="24"/>
          <w:szCs w:val="24"/>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supplement is being filed to update and supplement the information contained in the prospectus dated August 24, 2021 (the “</w:t>
      </w:r>
      <w:r>
        <w:rPr>
          <w:rFonts w:ascii="Arial" w:cs="Arial" w:eastAsia="Arial" w:hAnsi="Arial"/>
          <w:sz w:val="18"/>
          <w:szCs w:val="18"/>
          <w:i w:val="1"/>
          <w:iCs w:val="1"/>
          <w:color w:val="auto"/>
        </w:rPr>
        <w:t>Prospectus</w:t>
      </w:r>
      <w:r>
        <w:rPr>
          <w:rFonts w:ascii="Arial" w:cs="Arial" w:eastAsia="Arial" w:hAnsi="Arial"/>
          <w:sz w:val="18"/>
          <w:szCs w:val="18"/>
          <w:color w:val="auto"/>
        </w:rPr>
        <w:t>”), which forms part of our registration statement on Form S-1 (No. 333-258348) with the information contained in our Current Report on Form 8-K,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on December 14, 2021 (the “</w:t>
      </w:r>
      <w:r>
        <w:rPr>
          <w:rFonts w:ascii="Arial" w:cs="Arial" w:eastAsia="Arial" w:hAnsi="Arial"/>
          <w:sz w:val="18"/>
          <w:szCs w:val="18"/>
          <w:i w:val="1"/>
          <w:iCs w:val="1"/>
          <w:color w:val="auto"/>
        </w:rPr>
        <w:t>Current Report</w:t>
      </w:r>
      <w:r>
        <w:rPr>
          <w:rFonts w:ascii="Arial" w:cs="Arial" w:eastAsia="Arial" w:hAnsi="Arial"/>
          <w:sz w:val="18"/>
          <w:szCs w:val="18"/>
          <w:color w:val="auto"/>
        </w:rPr>
        <w:t>”). Accordingly, we have attached the Current Report to this prospectus supplement.</w:t>
      </w:r>
    </w:p>
    <w:p>
      <w:pPr>
        <w:spacing w:after="0" w:line="187" w:lineRule="exact"/>
        <w:rPr>
          <w:sz w:val="24"/>
          <w:szCs w:val="24"/>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Prospectus and this prospectus supplement relate to: (1) the issuance by us of an aggregate of up to 85,750,000 shares of our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 and (2) the offer and sale from time to time by the selling securityholders named in the Prospectus (the “</w:t>
      </w:r>
      <w:r>
        <w:rPr>
          <w:rFonts w:ascii="Arial" w:cs="Arial" w:eastAsia="Arial" w:hAnsi="Arial"/>
          <w:sz w:val="16"/>
          <w:szCs w:val="16"/>
          <w:i w:val="1"/>
          <w:iCs w:val="1"/>
          <w:color w:val="auto"/>
        </w:rPr>
        <w:t>Selling Securityholders</w:t>
      </w:r>
      <w:r>
        <w:rPr>
          <w:rFonts w:ascii="Arial" w:cs="Arial" w:eastAsia="Arial" w:hAnsi="Arial"/>
          <w:sz w:val="16"/>
          <w:szCs w:val="16"/>
          <w:color w:val="auto"/>
        </w:rPr>
        <w:t>”), or their permitted transferees, of (a) up to 1,336,329,949 shares of Class A common stock, consisting of</w:t>
      </w:r>
    </w:p>
    <w:p>
      <w:pPr>
        <w:spacing w:after="0" w:line="2" w:lineRule="exact"/>
        <w:rPr>
          <w:sz w:val="24"/>
          <w:szCs w:val="24"/>
          <w:color w:val="auto"/>
        </w:rPr>
      </w:pPr>
    </w:p>
    <w:p>
      <w:pPr>
        <w:jc w:val="both"/>
        <w:ind w:firstLine="8"/>
        <w:spacing w:after="0" w:line="302" w:lineRule="auto"/>
        <w:tabs>
          <w:tab w:leader="none" w:pos="239" w:val="left"/>
        </w:tabs>
        <w:numPr>
          <w:ilvl w:val="0"/>
          <w:numId w:val="1"/>
        </w:numPr>
        <w:rPr>
          <w:rFonts w:ascii="Arial" w:cs="Arial" w:eastAsia="Arial" w:hAnsi="Arial"/>
          <w:sz w:val="16"/>
          <w:szCs w:val="16"/>
          <w:color w:val="auto"/>
        </w:rPr>
      </w:pPr>
      <w:r>
        <w:rPr>
          <w:rFonts w:ascii="Arial" w:cs="Arial" w:eastAsia="Arial" w:hAnsi="Arial"/>
          <w:sz w:val="16"/>
          <w:szCs w:val="16"/>
          <w:color w:val="auto"/>
        </w:rPr>
        <w:t>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55"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8"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an “emerging growth company” as defined in Section 2(a) of the Securities Act and are subject to reduced public company reporting requirements. We expect that we will cease to be an emerging growth company as of December 31, 2021. As of September 30, 2021 our majority stockholder, Ayar, owned approximately 61.8%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w:t>
      </w:r>
    </w:p>
    <w:p>
      <w:pPr>
        <w:spacing w:after="0" w:line="188"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You should read the Prospectus, this prospectus supplement and any additional prospectus supplement or amendment carefully before you invest in our securities. Our Class A common stock is listed on The Nasdaq Stock Market LLC under the symbol “LCID”. On December 13, 2021, the closing price of our Class A common stock was $39.15 per share.</w:t>
      </w:r>
    </w:p>
    <w:p>
      <w:pPr>
        <w:spacing w:after="0" w:line="180" w:lineRule="exact"/>
        <w:rPr>
          <w:sz w:val="24"/>
          <w:szCs w:val="24"/>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Investing in our Class A common stock and warrants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the Prospectus.</w:t>
      </w:r>
    </w:p>
    <w:p>
      <w:pPr>
        <w:spacing w:after="0" w:line="162" w:lineRule="exact"/>
        <w:rPr>
          <w:sz w:val="24"/>
          <w:szCs w:val="24"/>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174625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163195</wp:posOffset>
            </wp:positionV>
            <wp:extent cx="2194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0"/>
          <w:szCs w:val="20"/>
          <w:color w:val="auto"/>
        </w:rPr>
      </w:pPr>
    </w:p>
    <w:p>
      <w:pPr>
        <w:sectPr>
          <w:pgSz w:w="11900" w:h="16838" w:orient="portrait"/>
          <w:cols w:equalWidth="0" w:num="3">
            <w:col w:w="4320" w:space="720"/>
            <w:col w:w="2900" w:space="720"/>
            <w:col w:w="2580"/>
          </w:cols>
          <w:pgMar w:left="320" w:top="1048"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1048" w:right="339" w:bottom="1440" w:gutter="0" w:footer="0" w:header="0"/>
          <w:type w:val="continuous"/>
        </w:sectPr>
      </w:pPr>
    </w:p>
    <w:p>
      <w:pPr>
        <w:spacing w:after="0" w:line="189"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0"/>
          <w:szCs w:val="20"/>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0"/>
          <w:szCs w:val="20"/>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0"/>
          <w:szCs w:val="20"/>
          <w:color w:val="auto"/>
        </w:rPr>
      </w:pPr>
    </w:p>
    <w:p>
      <w:pPr>
        <w:sectPr>
          <w:pgSz w:w="11900" w:h="16838" w:orient="portrait"/>
          <w:cols w:equalWidth="0" w:num="2">
            <w:col w:w="7320" w:space="720"/>
            <w:col w:w="3200"/>
          </w:cols>
          <w:pgMar w:left="320" w:top="1048"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or Amendment of a Material Definitive Agreement.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14, 2021, Lucid Group, Inc. (the “Company” or “Lucid”) issued $1,750,000,000 principal amount of its 1.25% Convertible Senior Notes due 2026 (the “</w:t>
      </w:r>
      <w:r>
        <w:rPr>
          <w:rFonts w:ascii="Arial" w:cs="Arial" w:eastAsia="Arial" w:hAnsi="Arial"/>
          <w:sz w:val="17"/>
          <w:szCs w:val="17"/>
          <w:u w:val="single" w:color="auto"/>
          <w:color w:val="auto"/>
        </w:rPr>
        <w:t>Notes</w:t>
      </w:r>
      <w:r>
        <w:rPr>
          <w:rFonts w:ascii="Arial" w:cs="Arial" w:eastAsia="Arial" w:hAnsi="Arial"/>
          <w:sz w:val="17"/>
          <w:szCs w:val="17"/>
          <w:color w:val="auto"/>
        </w:rPr>
        <w:t>”). The Notes were issued pursuant to, and are governed by, an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dated as of December 14, 2021, between the Company and U.S.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Pursuant to the purchase agreement between the Company and the initial purchasers of the Notes, the Company granted the initial purchasers an option, for settlement within a period of 13 days from, and including, December 14, 2021 to purchase up to an additional $262,500,000 principal amount of Notes.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Notes will be the Company’s senior, unsecured obligations and will be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Notes will accrue interest at a rate of 1.25% per annum, payable semi-annually in arrears on June 15 and December 15 of each year, beginning on June 15, 2022. The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Notes will be redeemable, in whole or in part (subject to certain limitations described below), at the Company’s option at any time, and from time to time, on or after December 20, 2024 and on or before the 31st scheduled trading day immediately before the maturity date, at a cash redemption price equal to the principal amount of the Notes to be redeemed, plus accrued and unpaid interest, if any, to, but excluding, the redemption date, but only if certain liquidity conditions are satisfied and the last reported sale price per share of the Company’s common stock exceeds 130% of the conversion price on</w:t>
      </w:r>
    </w:p>
    <w:p>
      <w:pPr>
        <w:spacing w:after="0" w:line="1" w:lineRule="exact"/>
        <w:rPr>
          <w:sz w:val="20"/>
          <w:szCs w:val="20"/>
          <w:color w:val="auto"/>
        </w:rPr>
      </w:pPr>
    </w:p>
    <w:p>
      <w:pPr>
        <w:jc w:val="both"/>
        <w:ind w:firstLine="8"/>
        <w:spacing w:after="0" w:line="270" w:lineRule="auto"/>
        <w:tabs>
          <w:tab w:leader="none" w:pos="290"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notice. However, the Company may not redeem less than all of the outstanding Notes unless at least $150.0 million aggregate principal amount of Notes are outstanding and not called for redemption as of the time the Company sends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during the related redemption conversion period.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Notes will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(iv) a default by the Company in its other obligations or agreements under the Indenture or the Notes if such default is not cured or waived within 60 days after notice is given in accordance with the Indenture; (v) certain defaults by the Company or any of its subsidiaries with respect to indebtedness for borrowed money of at least $100,000,000; and (vi) certain events of bankruptcy, insolvency and reorganization involving the Company or any of its significant subsidiaries.</w:t>
      </w:r>
    </w:p>
    <w:p>
      <w:pPr>
        <w:spacing w:after="0" w:line="19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270 days at a specified rate per annum not exceeding 0.50% on the principal amount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63" w:lineRule="auto"/>
        <w:rPr>
          <w:sz w:val="20"/>
          <w:szCs w:val="20"/>
          <w:color w:val="auto"/>
        </w:rPr>
      </w:pPr>
      <w:r>
        <w:rPr>
          <w:rFonts w:ascii="Arial" w:cs="Arial" w:eastAsia="Arial" w:hAnsi="Arial"/>
          <w:sz w:val="18"/>
          <w:szCs w:val="18"/>
          <w:color w:val="auto"/>
        </w:rPr>
        <w:t>The above description of the Indenture and the Notes is a summary and is not complete. A copy of the Indenture and the form of the certificate representing the Notes are filed as exhibits 4.1 and 4.2, respectively, to this Current Report on Form 8-K, and the above summary is qualified by reference to the terms of the Indenture and the Notes set forth in such exhibits.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Off-Balance Sheet Arrangement.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set forth in Item 1.01 above is incorporated by reference into this Item 2.03.</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disclosure set forth in Item 1.01 above is incorporated by reference into this Item 3.02. The Notes were issued to the initial purchasers in reliance upon Section 4(a)(2)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in transactions not involving any public offering. The Notes were initially resold by the initial purchasers to persons whom the initial purchasers reasonably believe are “qualified institutional buyers,” as defined in, and in accordance with, Rule 144A under the Securities Act. Any shares of the Company’s common stock that may be issued upon conversion of the Notes will be issued in reliance upon Section 3(a)(9) of the Securities Act as involving an exchange by the Company exclusively with its security holders. Assuming the initial purchasers fully exercise their option to purchase additional Notes, initially, a maximum of 55,106,677 shares of the Company’s common stock may be issued upon conversion of the Notes, based on the initial maximum conversion rate of 27.3822 shares of common stock per $1,000 principal amount of Notes, which is subject to customary anti-dilution adjustment provisions.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5.08</w:t>
      </w:r>
      <w:r>
        <w:rPr>
          <w:sz w:val="20"/>
          <w:szCs w:val="20"/>
          <w:color w:val="auto"/>
        </w:rPr>
        <w:tab/>
      </w:r>
      <w:r>
        <w:rPr>
          <w:rFonts w:ascii="Arial" w:cs="Arial" w:eastAsia="Arial" w:hAnsi="Arial"/>
          <w:sz w:val="16"/>
          <w:szCs w:val="16"/>
          <w:b w:val="1"/>
          <w:bCs w:val="1"/>
          <w:color w:val="auto"/>
        </w:rPr>
        <w:t>Shareholder Director Nominations.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13, 2021, the Board of Directors of the Company established June 9, 2022 as the date of the Company’s 2022 stockholder annual meeting (the “Annual Meeting”). Due to the fact that the Company’s stockholder meeting in 2021 was held on July 23, 2021, the Company is providing the due date for submissions of any qualified stockholder proposals.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Rule 14a-8(e) under the Securities Exchange Act of 1934, as amended (the “Exchange Act”), and the Company’s amended and restated bylaws (the “Bylaws”), the deadline for receipt of stockholder proposals for inclusion in the Company’s proxy statement for the Annual Meeting pursuant to Rule 14a-8 will be no later than December 31, 2021. Stockholder proposals must be received by December 31, 2021 at the Company's principal executive offices at 7373 Gateway Blvd., Newark, California, 94560, attention General Counsel and Corporate Secretary, and comply with all of the applicable requirements set forth in the rules and regulations of the Securities and Exchange Commission, including Rule 14a-8 under the Exchange Act and the Bylaws.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9, 2021, the Company issued a press release relating to the pricing of its offering of the Notes to qualified institutional buyers pursuant to Rule 144A under the Securities Act. A copy of the press release is attached as Exhibit 99.1 to this Current Report on Form 8-K and is incorporated by reference into this Item 8.01.</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this Current Report on Form 8-K nor the press release constitutes an offer to sell, or the solicitation of an offer to buy, the Notes or the shares of the Company’s common stock, if any, issuable upon conversion of the Notes.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gridSpan w:val="5"/>
          </w:tcPr>
          <w:p>
            <w:pPr>
              <w:spacing w:after="0"/>
              <w:rPr>
                <w:sz w:val="20"/>
                <w:szCs w:val="20"/>
                <w:color w:val="auto"/>
              </w:rPr>
            </w:pPr>
            <w:r>
              <w:rPr>
                <w:rFonts w:ascii="Arial" w:cs="Arial" w:eastAsia="Arial" w:hAnsi="Arial"/>
                <w:sz w:val="18"/>
                <w:szCs w:val="18"/>
                <w:color w:val="auto"/>
              </w:rPr>
              <w:t>(d)</w:t>
            </w:r>
          </w:p>
        </w:tc>
        <w:tc>
          <w:tcPr>
            <w:tcW w:w="1120" w:type="dxa"/>
            <w:vAlign w:val="bottom"/>
          </w:tcPr>
          <w:p>
            <w:pPr>
              <w:ind w:left="60"/>
              <w:spacing w:after="0"/>
              <w:rPr>
                <w:sz w:val="20"/>
                <w:szCs w:val="20"/>
                <w:color w:val="auto"/>
              </w:rPr>
            </w:pPr>
            <w:r>
              <w:rPr>
                <w:rFonts w:ascii="Arial" w:cs="Arial" w:eastAsia="Arial" w:hAnsi="Arial"/>
                <w:sz w:val="18"/>
                <w:szCs w:val="18"/>
                <w:color w:val="auto"/>
              </w:rPr>
              <w:t>Exhibits.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Exhibit Number</w:t>
            </w: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4"/>
                <w:szCs w:val="24"/>
                <w:color w:val="auto"/>
              </w:rPr>
            </w:pPr>
          </w:p>
        </w:tc>
      </w:tr>
      <w:tr>
        <w:trPr>
          <w:trHeight w:val="385"/>
        </w:trPr>
        <w:tc>
          <w:tcPr>
            <w:tcW w:w="320" w:type="dxa"/>
            <w:vAlign w:val="bottom"/>
            <w:gridSpan w:val="3"/>
          </w:tcPr>
          <w:p>
            <w:pPr>
              <w:ind w:left="100"/>
              <w:spacing w:after="0"/>
              <w:rPr>
                <w:rFonts w:ascii="Arial" w:cs="Arial" w:eastAsia="Arial" w:hAnsi="Arial"/>
                <w:sz w:val="18"/>
                <w:szCs w:val="18"/>
                <w:color w:val="0000EE"/>
                <w:w w:val="71"/>
              </w:rPr>
            </w:pPr>
            <w:hyperlink w:anchor="page6">
              <w:r>
                <w:rPr>
                  <w:rFonts w:ascii="Arial" w:cs="Arial" w:eastAsia="Arial" w:hAnsi="Arial"/>
                  <w:sz w:val="18"/>
                  <w:szCs w:val="18"/>
                  <w:color w:val="0000EE"/>
                  <w:w w:val="71"/>
                </w:rPr>
                <w:t>4.</w:t>
              </w:r>
              <w:r>
                <w:rPr>
                  <w:rFonts w:ascii="Arial" w:cs="Arial" w:eastAsia="Arial" w:hAnsi="Arial"/>
                  <w:sz w:val="18"/>
                  <w:szCs w:val="18"/>
                  <w:u w:val="single" w:color="auto"/>
                  <w:color w:val="0000EE"/>
                  <w:w w:val="71"/>
                </w:rPr>
                <w:t>1</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3"/>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Indenture, dated as of December 14, 2021, between Lucid Group, Inc. and U.S. Bank National Association, as trustee.</w:t>
              </w:r>
            </w:hyperlink>
          </w:p>
        </w:tc>
        <w:tc>
          <w:tcPr>
            <w:tcW w:w="100" w:type="dxa"/>
            <w:vAlign w:val="bottom"/>
          </w:tcPr>
          <w:p>
            <w:pPr>
              <w:spacing w:after="0"/>
              <w:rPr>
                <w:sz w:val="24"/>
                <w:szCs w:val="24"/>
                <w:color w:val="auto"/>
              </w:rPr>
            </w:pPr>
          </w:p>
        </w:tc>
      </w:tr>
      <w:tr>
        <w:trPr>
          <w:trHeight w:val="20"/>
        </w:trPr>
        <w:tc>
          <w:tcPr>
            <w:tcW w:w="12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0" w:type="dxa"/>
            <w:vAlign w:val="bottom"/>
            <w:gridSpan w:val="3"/>
          </w:tcPr>
          <w:p>
            <w:pPr>
              <w:ind w:left="100"/>
              <w:spacing w:after="0" w:line="196" w:lineRule="exact"/>
              <w:rPr>
                <w:rFonts w:ascii="Arial" w:cs="Arial" w:eastAsia="Arial" w:hAnsi="Arial"/>
                <w:sz w:val="18"/>
                <w:szCs w:val="18"/>
                <w:color w:val="0000EE"/>
                <w:w w:val="71"/>
              </w:rPr>
            </w:pPr>
            <w:hyperlink w:anchor="page6">
              <w:r>
                <w:rPr>
                  <w:rFonts w:ascii="Arial" w:cs="Arial" w:eastAsia="Arial" w:hAnsi="Arial"/>
                  <w:sz w:val="18"/>
                  <w:szCs w:val="18"/>
                  <w:color w:val="0000EE"/>
                  <w:w w:val="71"/>
                </w:rPr>
                <w:t>4.</w:t>
              </w:r>
              <w:r>
                <w:rPr>
                  <w:rFonts w:ascii="Arial" w:cs="Arial" w:eastAsia="Arial" w:hAnsi="Arial"/>
                  <w:sz w:val="18"/>
                  <w:szCs w:val="18"/>
                  <w:u w:val="single" w:color="auto"/>
                  <w:color w:val="0000EE"/>
                  <w:w w:val="71"/>
                </w:rPr>
                <w:t>2</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gridSpan w:val="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Form of certificate representing the 1.25% Convertible Senior Notes due 2026 (included as Exhibit A to Exhibit 4.1).</w:t>
              </w:r>
            </w:hyperlink>
          </w:p>
        </w:tc>
        <w:tc>
          <w:tcPr>
            <w:tcW w:w="100" w:type="dxa"/>
            <w:vAlign w:val="bottom"/>
          </w:tcPr>
          <w:p>
            <w:pPr>
              <w:spacing w:after="0"/>
              <w:rPr>
                <w:sz w:val="17"/>
                <w:szCs w:val="17"/>
                <w:color w:val="auto"/>
              </w:rPr>
            </w:pPr>
          </w:p>
        </w:tc>
      </w:tr>
      <w:tr>
        <w:trPr>
          <w:trHeight w:val="20"/>
        </w:trPr>
        <w:tc>
          <w:tcPr>
            <w:tcW w:w="12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0" w:type="dxa"/>
            <w:vAlign w:val="bottom"/>
            <w:gridSpan w:val="5"/>
          </w:tcPr>
          <w:p>
            <w:pPr>
              <w:ind w:left="100"/>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gridSpan w:val="3"/>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Press Release, dated December 9, 2021.</w:t>
              </w:r>
            </w:hyperlink>
          </w:p>
        </w:tc>
        <w:tc>
          <w:tcPr>
            <w:tcW w:w="100" w:type="dxa"/>
            <w:vAlign w:val="bottom"/>
          </w:tcPr>
          <w:p>
            <w:pPr>
              <w:spacing w:after="0"/>
              <w:rPr>
                <w:sz w:val="17"/>
                <w:szCs w:val="17"/>
                <w:color w:val="auto"/>
              </w:rPr>
            </w:pPr>
          </w:p>
        </w:tc>
      </w:tr>
      <w:tr>
        <w:trPr>
          <w:trHeight w:val="20"/>
        </w:trPr>
        <w:tc>
          <w:tcPr>
            <w:tcW w:w="120" w:type="dxa"/>
            <w:vAlign w:val="bottom"/>
            <w:gridSpan w:val="2"/>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20" w:type="dxa"/>
            <w:vAlign w:val="bottom"/>
            <w:gridSpan w:val="4"/>
          </w:tcPr>
          <w:p>
            <w:pPr>
              <w:ind w:left="100"/>
              <w:spacing w:after="0"/>
              <w:rPr>
                <w:sz w:val="20"/>
                <w:szCs w:val="20"/>
                <w:color w:val="auto"/>
              </w:rPr>
            </w:pPr>
            <w:r>
              <w:rPr>
                <w:rFonts w:ascii="Arial" w:cs="Arial" w:eastAsia="Arial" w:hAnsi="Arial"/>
                <w:sz w:val="18"/>
                <w:szCs w:val="18"/>
                <w:color w:val="auto"/>
                <w:w w:val="99"/>
              </w:rPr>
              <w:t>104</w:t>
            </w: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00" w:type="dxa"/>
            <w:vAlign w:val="bottom"/>
          </w:tcPr>
          <w:p>
            <w:pPr>
              <w:spacing w:after="0"/>
              <w:rPr>
                <w:sz w:val="20"/>
                <w:szCs w:val="20"/>
                <w:color w:val="auto"/>
              </w:rPr>
            </w:pPr>
          </w:p>
        </w:tc>
      </w:tr>
      <w:tr>
        <w:trPr>
          <w:trHeight w:val="675"/>
        </w:trPr>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14,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LUCID GROUP, INC.</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U.S. BANK NATIONAL ASSOCIATION</w:t>
      </w:r>
    </w:p>
    <w:p>
      <w:pPr>
        <w:spacing w:after="0" w:line="24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Dated as of December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1.25% Convertible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186055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93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938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372"/>
        </w:trPr>
        <w:tc>
          <w:tcPr>
            <w:tcW w:w="9380" w:type="dxa"/>
            <w:vAlign w:val="bottom"/>
          </w:tcPr>
          <w:p>
            <w:pPr>
              <w:spacing w:after="0"/>
              <w:rPr>
                <w:sz w:val="20"/>
                <w:szCs w:val="20"/>
                <w:color w:val="auto"/>
              </w:rPr>
            </w:pPr>
            <w:r>
              <w:rPr>
                <w:rFonts w:ascii="Arial" w:cs="Arial" w:eastAsia="Arial" w:hAnsi="Arial"/>
                <w:sz w:val="18"/>
                <w:szCs w:val="18"/>
                <w:color w:val="auto"/>
              </w:rPr>
              <w:t>Article 1 Definitions; Rules of Construction</w:t>
            </w:r>
          </w:p>
        </w:tc>
        <w:tc>
          <w:tcPr>
            <w:tcW w:w="15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37"/>
        </w:trPr>
        <w:tc>
          <w:tcPr>
            <w:tcW w:w="9380" w:type="dxa"/>
            <w:vAlign w:val="bottom"/>
          </w:tcPr>
          <w:p>
            <w:pPr>
              <w:ind w:left="240"/>
              <w:spacing w:after="0"/>
              <w:rPr>
                <w:sz w:val="20"/>
                <w:szCs w:val="20"/>
                <w:color w:val="auto"/>
              </w:rPr>
            </w:pPr>
            <w:r>
              <w:rPr>
                <w:rFonts w:ascii="Arial" w:cs="Arial" w:eastAsia="Arial" w:hAnsi="Arial"/>
                <w:sz w:val="18"/>
                <w:szCs w:val="18"/>
                <w:color w:val="auto"/>
              </w:rPr>
              <w:t>Section 1.01. Definitions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1.02. Other Definitions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380" w:type="dxa"/>
            <w:vAlign w:val="bottom"/>
          </w:tcPr>
          <w:p>
            <w:pPr>
              <w:ind w:left="240"/>
              <w:spacing w:after="0"/>
              <w:rPr>
                <w:sz w:val="20"/>
                <w:szCs w:val="20"/>
                <w:color w:val="auto"/>
              </w:rPr>
            </w:pPr>
            <w:r>
              <w:rPr>
                <w:rFonts w:ascii="Arial" w:cs="Arial" w:eastAsia="Arial" w:hAnsi="Arial"/>
                <w:sz w:val="18"/>
                <w:szCs w:val="18"/>
                <w:color w:val="auto"/>
              </w:rPr>
              <w:t>Section 1.03. Rules of Construction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51"/>
        </w:trPr>
        <w:tc>
          <w:tcPr>
            <w:tcW w:w="9380" w:type="dxa"/>
            <w:vAlign w:val="bottom"/>
          </w:tcPr>
          <w:p>
            <w:pPr>
              <w:spacing w:after="0"/>
              <w:rPr>
                <w:sz w:val="20"/>
                <w:szCs w:val="20"/>
                <w:color w:val="auto"/>
              </w:rPr>
            </w:pPr>
            <w:r>
              <w:rPr>
                <w:rFonts w:ascii="Arial" w:cs="Arial" w:eastAsia="Arial" w:hAnsi="Arial"/>
                <w:sz w:val="18"/>
                <w:szCs w:val="18"/>
                <w:color w:val="auto"/>
              </w:rPr>
              <w:t>Article 2 The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37"/>
        </w:trPr>
        <w:tc>
          <w:tcPr>
            <w:tcW w:w="9380" w:type="dxa"/>
            <w:vAlign w:val="bottom"/>
          </w:tcPr>
          <w:p>
            <w:pPr>
              <w:ind w:left="240"/>
              <w:spacing w:after="0"/>
              <w:rPr>
                <w:sz w:val="20"/>
                <w:szCs w:val="20"/>
                <w:color w:val="auto"/>
              </w:rPr>
            </w:pPr>
            <w:r>
              <w:rPr>
                <w:rFonts w:ascii="Arial" w:cs="Arial" w:eastAsia="Arial" w:hAnsi="Arial"/>
                <w:sz w:val="18"/>
                <w:szCs w:val="18"/>
                <w:color w:val="auto"/>
              </w:rPr>
              <w:t>Section 2.01. Form, Dating and Denominations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2.02. Execution, Authentication and Delivery</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2.03. Initial Notes and Additional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2.04. Method of Payment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2.05. Accrual of Interest; Defaulted Amounts; When Payment Date is Not a Business Day</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2.06. Registrar, Paying Agent and Conversion Agent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2.07. Paying Agent and Conversion Agent to Hold Property in Trust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2.08. Holder Lists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2.09. Legends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2.10. Transfers and Exchanges; Certain Transfer Restrictions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2.11. Exchange and Cancellation of Notes to Be Converted, Redeemed or Repurchased</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2.12. Replacement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2.13. Registered Holders; Certain Rights with Respect to Global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2.14. Cancellation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2.15. Notes Held by the Company or its Affiliates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2.16. Temporary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2.17. Outstanding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2.18. Repurchases by the Company</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380" w:type="dxa"/>
            <w:vAlign w:val="bottom"/>
          </w:tcPr>
          <w:p>
            <w:pPr>
              <w:ind w:left="240"/>
              <w:spacing w:after="0"/>
              <w:rPr>
                <w:sz w:val="20"/>
                <w:szCs w:val="20"/>
                <w:color w:val="auto"/>
              </w:rPr>
            </w:pPr>
            <w:r>
              <w:rPr>
                <w:rFonts w:ascii="Arial" w:cs="Arial" w:eastAsia="Arial" w:hAnsi="Arial"/>
                <w:sz w:val="18"/>
                <w:szCs w:val="18"/>
                <w:color w:val="auto"/>
              </w:rPr>
              <w:t>Section 2.19. CUSIP and ISIN Numbers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351"/>
        </w:trPr>
        <w:tc>
          <w:tcPr>
            <w:tcW w:w="9380" w:type="dxa"/>
            <w:vAlign w:val="bottom"/>
          </w:tcPr>
          <w:p>
            <w:pPr>
              <w:spacing w:after="0"/>
              <w:rPr>
                <w:sz w:val="20"/>
                <w:szCs w:val="20"/>
                <w:color w:val="auto"/>
              </w:rPr>
            </w:pPr>
            <w:r>
              <w:rPr>
                <w:rFonts w:ascii="Arial" w:cs="Arial" w:eastAsia="Arial" w:hAnsi="Arial"/>
                <w:sz w:val="18"/>
                <w:szCs w:val="18"/>
                <w:color w:val="auto"/>
              </w:rPr>
              <w:t>Article 3 Covenants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337"/>
        </w:trPr>
        <w:tc>
          <w:tcPr>
            <w:tcW w:w="9380" w:type="dxa"/>
            <w:vAlign w:val="bottom"/>
          </w:tcPr>
          <w:p>
            <w:pPr>
              <w:ind w:left="240"/>
              <w:spacing w:after="0"/>
              <w:rPr>
                <w:sz w:val="20"/>
                <w:szCs w:val="20"/>
                <w:color w:val="auto"/>
              </w:rPr>
            </w:pPr>
            <w:r>
              <w:rPr>
                <w:rFonts w:ascii="Arial" w:cs="Arial" w:eastAsia="Arial" w:hAnsi="Arial"/>
                <w:sz w:val="18"/>
                <w:szCs w:val="18"/>
                <w:color w:val="auto"/>
              </w:rPr>
              <w:t>Section 3.01. Payment on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3.02. Exchange Act Reports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3.03. Rule 144A Information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3.04. Additional Interest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3.05. Compliance and Default Certificates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3.06. Stay, Extension and Usury Laws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9380" w:type="dxa"/>
            <w:vAlign w:val="bottom"/>
          </w:tcPr>
          <w:p>
            <w:pPr>
              <w:ind w:left="240"/>
              <w:spacing w:after="0"/>
              <w:rPr>
                <w:sz w:val="20"/>
                <w:szCs w:val="20"/>
                <w:color w:val="auto"/>
              </w:rPr>
            </w:pPr>
            <w:r>
              <w:rPr>
                <w:rFonts w:ascii="Arial" w:cs="Arial" w:eastAsia="Arial" w:hAnsi="Arial"/>
                <w:sz w:val="18"/>
                <w:szCs w:val="18"/>
                <w:color w:val="auto"/>
              </w:rPr>
              <w:t>Section 3.07. Restriction on Acquisition of Notes by the Company and its Affiliates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351"/>
        </w:trPr>
        <w:tc>
          <w:tcPr>
            <w:tcW w:w="9380" w:type="dxa"/>
            <w:vAlign w:val="bottom"/>
          </w:tcPr>
          <w:p>
            <w:pPr>
              <w:spacing w:after="0"/>
              <w:rPr>
                <w:sz w:val="20"/>
                <w:szCs w:val="20"/>
                <w:color w:val="auto"/>
              </w:rPr>
            </w:pPr>
            <w:r>
              <w:rPr>
                <w:rFonts w:ascii="Arial" w:cs="Arial" w:eastAsia="Arial" w:hAnsi="Arial"/>
                <w:sz w:val="18"/>
                <w:szCs w:val="18"/>
                <w:color w:val="auto"/>
              </w:rPr>
              <w:t>Article 4 Repurchase and Redemption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337"/>
        </w:trPr>
        <w:tc>
          <w:tcPr>
            <w:tcW w:w="9380" w:type="dxa"/>
            <w:vAlign w:val="bottom"/>
          </w:tcPr>
          <w:p>
            <w:pPr>
              <w:ind w:left="240"/>
              <w:spacing w:after="0"/>
              <w:rPr>
                <w:sz w:val="20"/>
                <w:szCs w:val="20"/>
                <w:color w:val="auto"/>
              </w:rPr>
            </w:pPr>
            <w:r>
              <w:rPr>
                <w:rFonts w:ascii="Arial" w:cs="Arial" w:eastAsia="Arial" w:hAnsi="Arial"/>
                <w:sz w:val="18"/>
                <w:szCs w:val="18"/>
                <w:color w:val="auto"/>
              </w:rPr>
              <w:t>Section 4.01. No Sinking Fund</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380" w:type="dxa"/>
            <w:vAlign w:val="bottom"/>
          </w:tcPr>
          <w:p>
            <w:pPr>
              <w:ind w:left="240"/>
              <w:spacing w:after="0"/>
              <w:rPr>
                <w:sz w:val="20"/>
                <w:szCs w:val="20"/>
                <w:color w:val="auto"/>
              </w:rPr>
            </w:pPr>
            <w:r>
              <w:rPr>
                <w:rFonts w:ascii="Arial" w:cs="Arial" w:eastAsia="Arial" w:hAnsi="Arial"/>
                <w:sz w:val="18"/>
                <w:szCs w:val="18"/>
                <w:color w:val="auto"/>
              </w:rPr>
              <w:t>Section 4.02. Right of Holders to Require the Company to Repurchase Notes upon a Fundamental Change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380" w:type="dxa"/>
            <w:vAlign w:val="bottom"/>
          </w:tcPr>
          <w:p>
            <w:pPr>
              <w:ind w:left="240"/>
              <w:spacing w:after="0"/>
              <w:rPr>
                <w:sz w:val="20"/>
                <w:szCs w:val="20"/>
                <w:color w:val="auto"/>
              </w:rPr>
            </w:pPr>
            <w:r>
              <w:rPr>
                <w:rFonts w:ascii="Arial" w:cs="Arial" w:eastAsia="Arial" w:hAnsi="Arial"/>
                <w:sz w:val="18"/>
                <w:szCs w:val="18"/>
                <w:color w:val="auto"/>
              </w:rPr>
              <w:t>Section 4.03. Right of the Company to Redeem the Notes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0740" w:type="dxa"/>
            <w:vAlign w:val="bottom"/>
          </w:tcPr>
          <w:p>
            <w:pPr>
              <w:spacing w:after="0"/>
              <w:rPr>
                <w:sz w:val="20"/>
                <w:szCs w:val="20"/>
                <w:color w:val="auto"/>
              </w:rPr>
            </w:pPr>
            <w:r>
              <w:rPr>
                <w:rFonts w:ascii="Arial" w:cs="Arial" w:eastAsia="Arial" w:hAnsi="Arial"/>
                <w:sz w:val="18"/>
                <w:szCs w:val="18"/>
                <w:color w:val="auto"/>
              </w:rPr>
              <w:t>Article 5 Conversion</w:t>
            </w: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37"/>
        </w:trPr>
        <w:tc>
          <w:tcPr>
            <w:tcW w:w="10740" w:type="dxa"/>
            <w:vAlign w:val="bottom"/>
          </w:tcPr>
          <w:p>
            <w:pPr>
              <w:ind w:left="240"/>
              <w:spacing w:after="0"/>
              <w:rPr>
                <w:sz w:val="20"/>
                <w:szCs w:val="20"/>
                <w:color w:val="auto"/>
              </w:rPr>
            </w:pPr>
            <w:r>
              <w:rPr>
                <w:rFonts w:ascii="Arial" w:cs="Arial" w:eastAsia="Arial" w:hAnsi="Arial"/>
                <w:sz w:val="18"/>
                <w:szCs w:val="18"/>
                <w:color w:val="auto"/>
              </w:rPr>
              <w:t>Section 5.01. Right to Convert</w:t>
            </w: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5.02. Conversion Procedures</w:t>
            </w: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5.03. Settlement upon Conversion</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5.04. Reserve and Status of Common Stock Issued upon Conversion</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5.05. Adjustments to the Conversion Rate</w:t>
            </w: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5.06. Voluntary Adjustments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5.07. Adjustments to the Conversion Rate in Connection with a Make-Whole Fundamental Change</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5.08. Exchange in Lieu of Conversion</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0740" w:type="dxa"/>
            <w:vAlign w:val="bottom"/>
          </w:tcPr>
          <w:p>
            <w:pPr>
              <w:ind w:left="240"/>
              <w:spacing w:after="0"/>
              <w:rPr>
                <w:sz w:val="20"/>
                <w:szCs w:val="20"/>
                <w:color w:val="auto"/>
              </w:rPr>
            </w:pPr>
            <w:r>
              <w:rPr>
                <w:rFonts w:ascii="Arial" w:cs="Arial" w:eastAsia="Arial" w:hAnsi="Arial"/>
                <w:sz w:val="18"/>
                <w:szCs w:val="18"/>
                <w:color w:val="auto"/>
              </w:rPr>
              <w:t>Section 5.09. Effect of Common Stock Change Event</w:t>
            </w: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51"/>
        </w:trPr>
        <w:tc>
          <w:tcPr>
            <w:tcW w:w="10740" w:type="dxa"/>
            <w:vAlign w:val="bottom"/>
          </w:tcPr>
          <w:p>
            <w:pPr>
              <w:spacing w:after="0"/>
              <w:rPr>
                <w:sz w:val="20"/>
                <w:szCs w:val="20"/>
                <w:color w:val="auto"/>
              </w:rPr>
            </w:pPr>
            <w:r>
              <w:rPr>
                <w:rFonts w:ascii="Arial" w:cs="Arial" w:eastAsia="Arial" w:hAnsi="Arial"/>
                <w:sz w:val="18"/>
                <w:szCs w:val="18"/>
                <w:color w:val="auto"/>
              </w:rPr>
              <w:t>Article 6 Successors</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37"/>
        </w:trPr>
        <w:tc>
          <w:tcPr>
            <w:tcW w:w="10740" w:type="dxa"/>
            <w:vAlign w:val="bottom"/>
          </w:tcPr>
          <w:p>
            <w:pPr>
              <w:ind w:left="240"/>
              <w:spacing w:after="0"/>
              <w:rPr>
                <w:sz w:val="20"/>
                <w:szCs w:val="20"/>
                <w:color w:val="auto"/>
              </w:rPr>
            </w:pPr>
            <w:r>
              <w:rPr>
                <w:rFonts w:ascii="Arial" w:cs="Arial" w:eastAsia="Arial" w:hAnsi="Arial"/>
                <w:sz w:val="18"/>
                <w:szCs w:val="18"/>
                <w:color w:val="auto"/>
              </w:rPr>
              <w:t>Section 6.01. When the Company May Merge, Etc.</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6.02. Successor Entity Substituted</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0740" w:type="dxa"/>
            <w:vAlign w:val="bottom"/>
          </w:tcPr>
          <w:p>
            <w:pPr>
              <w:ind w:left="240"/>
              <w:spacing w:after="0"/>
              <w:rPr>
                <w:sz w:val="20"/>
                <w:szCs w:val="20"/>
                <w:color w:val="auto"/>
              </w:rPr>
            </w:pPr>
            <w:r>
              <w:rPr>
                <w:rFonts w:ascii="Arial" w:cs="Arial" w:eastAsia="Arial" w:hAnsi="Arial"/>
                <w:sz w:val="18"/>
                <w:szCs w:val="18"/>
                <w:color w:val="auto"/>
              </w:rPr>
              <w:t>Section 6.03. Exclusion for Asset Transfers with Wholly Owned Subsidiaries</w:t>
            </w: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51"/>
        </w:trPr>
        <w:tc>
          <w:tcPr>
            <w:tcW w:w="10740" w:type="dxa"/>
            <w:vAlign w:val="bottom"/>
          </w:tcPr>
          <w:p>
            <w:pPr>
              <w:spacing w:after="0"/>
              <w:rPr>
                <w:sz w:val="20"/>
                <w:szCs w:val="20"/>
                <w:color w:val="auto"/>
              </w:rPr>
            </w:pPr>
            <w:r>
              <w:rPr>
                <w:rFonts w:ascii="Arial" w:cs="Arial" w:eastAsia="Arial" w:hAnsi="Arial"/>
                <w:sz w:val="18"/>
                <w:szCs w:val="18"/>
                <w:color w:val="auto"/>
              </w:rPr>
              <w:t>Article 7 Defaults and Remedies</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37"/>
        </w:trPr>
        <w:tc>
          <w:tcPr>
            <w:tcW w:w="10740" w:type="dxa"/>
            <w:vAlign w:val="bottom"/>
          </w:tcPr>
          <w:p>
            <w:pPr>
              <w:ind w:left="240"/>
              <w:spacing w:after="0"/>
              <w:rPr>
                <w:sz w:val="20"/>
                <w:szCs w:val="20"/>
                <w:color w:val="auto"/>
              </w:rPr>
            </w:pPr>
            <w:r>
              <w:rPr>
                <w:rFonts w:ascii="Arial" w:cs="Arial" w:eastAsia="Arial" w:hAnsi="Arial"/>
                <w:sz w:val="18"/>
                <w:szCs w:val="18"/>
                <w:color w:val="auto"/>
              </w:rPr>
              <w:t>Section 7.01. Events of Default</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7.02. Acceleration</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7.03. Sole Remedy for a Failure to Report</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7.04. Other Remedies</w:t>
            </w: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7.05. Waiver of Past Defaults</w:t>
            </w: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7.06. Control by Majority</w:t>
            </w: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7.07. Limitation on Suits</w:t>
            </w: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w w:val="94"/>
              </w:rPr>
              <w:t>Section 7.08. Absolute Right of Holders to Institute Suit for the Enforcement of the Right to Receive Payment and Conversion Consideration</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7.09. Collection Suit by Trustee</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7.10. Trustee May File Proofs of Claim</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7.11. Priorities</w:t>
            </w: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0740" w:type="dxa"/>
            <w:vAlign w:val="bottom"/>
          </w:tcPr>
          <w:p>
            <w:pPr>
              <w:ind w:left="240"/>
              <w:spacing w:after="0"/>
              <w:rPr>
                <w:sz w:val="20"/>
                <w:szCs w:val="20"/>
                <w:color w:val="auto"/>
              </w:rPr>
            </w:pPr>
            <w:r>
              <w:rPr>
                <w:rFonts w:ascii="Arial" w:cs="Arial" w:eastAsia="Arial" w:hAnsi="Arial"/>
                <w:sz w:val="18"/>
                <w:szCs w:val="18"/>
                <w:color w:val="auto"/>
              </w:rPr>
              <w:t>Section 7.12. Undertaking for Costs</w:t>
            </w: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51"/>
        </w:trPr>
        <w:tc>
          <w:tcPr>
            <w:tcW w:w="10740" w:type="dxa"/>
            <w:vAlign w:val="bottom"/>
          </w:tcPr>
          <w:p>
            <w:pPr>
              <w:spacing w:after="0"/>
              <w:rPr>
                <w:sz w:val="20"/>
                <w:szCs w:val="20"/>
                <w:color w:val="auto"/>
              </w:rPr>
            </w:pPr>
            <w:r>
              <w:rPr>
                <w:rFonts w:ascii="Arial" w:cs="Arial" w:eastAsia="Arial" w:hAnsi="Arial"/>
                <w:sz w:val="18"/>
                <w:szCs w:val="18"/>
                <w:color w:val="auto"/>
              </w:rPr>
              <w:t>Article 8 Amendments, Supplements and Waivers</w:t>
            </w: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37"/>
        </w:trPr>
        <w:tc>
          <w:tcPr>
            <w:tcW w:w="10740" w:type="dxa"/>
            <w:vAlign w:val="bottom"/>
          </w:tcPr>
          <w:p>
            <w:pPr>
              <w:ind w:left="240"/>
              <w:spacing w:after="0"/>
              <w:rPr>
                <w:sz w:val="20"/>
                <w:szCs w:val="20"/>
                <w:color w:val="auto"/>
              </w:rPr>
            </w:pPr>
            <w:r>
              <w:rPr>
                <w:rFonts w:ascii="Arial" w:cs="Arial" w:eastAsia="Arial" w:hAnsi="Arial"/>
                <w:sz w:val="18"/>
                <w:szCs w:val="18"/>
                <w:color w:val="auto"/>
              </w:rPr>
              <w:t>Section 8.01. Without the Consent of Holders</w:t>
            </w: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8.02. With the Consent of Holders</w:t>
            </w: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8.03. Notice of Amendments, Supplements and Waivers</w:t>
            </w: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8.04. Revocation, Effect and Solicitation of Consents; Special Record Dates; Etc.</w:t>
            </w: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8.05. Notations and Exchanges</w:t>
            </w: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0740" w:type="dxa"/>
            <w:vAlign w:val="bottom"/>
          </w:tcPr>
          <w:p>
            <w:pPr>
              <w:ind w:left="240"/>
              <w:spacing w:after="0"/>
              <w:rPr>
                <w:sz w:val="20"/>
                <w:szCs w:val="20"/>
                <w:color w:val="auto"/>
              </w:rPr>
            </w:pPr>
            <w:r>
              <w:rPr>
                <w:rFonts w:ascii="Arial" w:cs="Arial" w:eastAsia="Arial" w:hAnsi="Arial"/>
                <w:sz w:val="18"/>
                <w:szCs w:val="18"/>
                <w:color w:val="auto"/>
              </w:rPr>
              <w:t>Section 8.06. Trustee to Execute Supplemental Indentures</w:t>
            </w: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51"/>
        </w:trPr>
        <w:tc>
          <w:tcPr>
            <w:tcW w:w="10740" w:type="dxa"/>
            <w:vAlign w:val="bottom"/>
          </w:tcPr>
          <w:p>
            <w:pPr>
              <w:spacing w:after="0"/>
              <w:rPr>
                <w:sz w:val="20"/>
                <w:szCs w:val="20"/>
                <w:color w:val="auto"/>
              </w:rPr>
            </w:pPr>
            <w:r>
              <w:rPr>
                <w:rFonts w:ascii="Arial" w:cs="Arial" w:eastAsia="Arial" w:hAnsi="Arial"/>
                <w:sz w:val="18"/>
                <w:szCs w:val="18"/>
                <w:color w:val="auto"/>
              </w:rPr>
              <w:t>Article 9 Satisfaction and Discharge</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37"/>
        </w:trPr>
        <w:tc>
          <w:tcPr>
            <w:tcW w:w="10740" w:type="dxa"/>
            <w:vAlign w:val="bottom"/>
          </w:tcPr>
          <w:p>
            <w:pPr>
              <w:ind w:left="240"/>
              <w:spacing w:after="0"/>
              <w:rPr>
                <w:sz w:val="20"/>
                <w:szCs w:val="20"/>
                <w:color w:val="auto"/>
              </w:rPr>
            </w:pPr>
            <w:r>
              <w:rPr>
                <w:rFonts w:ascii="Arial" w:cs="Arial" w:eastAsia="Arial" w:hAnsi="Arial"/>
                <w:sz w:val="18"/>
                <w:szCs w:val="18"/>
                <w:color w:val="auto"/>
              </w:rPr>
              <w:t>Section 9.01. Termination of Company’s Obligations</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740" w:type="dxa"/>
            <w:vAlign w:val="bottom"/>
          </w:tcPr>
          <w:p>
            <w:pPr>
              <w:ind w:left="240"/>
              <w:spacing w:after="0"/>
              <w:rPr>
                <w:sz w:val="20"/>
                <w:szCs w:val="20"/>
                <w:color w:val="auto"/>
              </w:rPr>
            </w:pPr>
            <w:r>
              <w:rPr>
                <w:rFonts w:ascii="Arial" w:cs="Arial" w:eastAsia="Arial" w:hAnsi="Arial"/>
                <w:sz w:val="18"/>
                <w:szCs w:val="18"/>
                <w:color w:val="auto"/>
              </w:rPr>
              <w:t>Section 9.02. Repayment to Company</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0740" w:type="dxa"/>
            <w:vAlign w:val="bottom"/>
          </w:tcPr>
          <w:p>
            <w:pPr>
              <w:ind w:left="240"/>
              <w:spacing w:after="0"/>
              <w:rPr>
                <w:sz w:val="20"/>
                <w:szCs w:val="20"/>
                <w:color w:val="auto"/>
              </w:rPr>
            </w:pPr>
            <w:r>
              <w:rPr>
                <w:rFonts w:ascii="Arial" w:cs="Arial" w:eastAsia="Arial" w:hAnsi="Arial"/>
                <w:sz w:val="18"/>
                <w:szCs w:val="18"/>
                <w:color w:val="auto"/>
              </w:rPr>
              <w:t>Section 9.03. Reinstatement</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Article 10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37"/>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10.01. Duties of the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10.02. Rights of the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10.03. Individual Rights of the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10.04. Trustee’s Disclaimer</w:t>
            </w:r>
          </w:p>
        </w:tc>
        <w:tc>
          <w:tcPr>
            <w:tcW w:w="2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10.05. Notice of Defaults</w:t>
            </w:r>
          </w:p>
        </w:tc>
        <w:tc>
          <w:tcPr>
            <w:tcW w:w="2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10.06. Compensation and Indemnity</w:t>
            </w:r>
          </w:p>
        </w:tc>
        <w:tc>
          <w:tcPr>
            <w:tcW w:w="2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10.07. Replacement of the Trustee</w:t>
            </w:r>
          </w:p>
        </w:tc>
        <w:tc>
          <w:tcPr>
            <w:tcW w:w="21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10.08. Successor Trustee by Merger, Etc.</w:t>
            </w:r>
          </w:p>
        </w:tc>
        <w:tc>
          <w:tcPr>
            <w:tcW w:w="21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10.09. Eligibility; Disqualification</w:t>
            </w:r>
          </w:p>
        </w:tc>
        <w:tc>
          <w:tcPr>
            <w:tcW w:w="2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51"/>
        </w:trPr>
        <w:tc>
          <w:tcPr>
            <w:tcW w:w="912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2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37"/>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11.01. Notices</w:t>
            </w:r>
          </w:p>
        </w:tc>
        <w:tc>
          <w:tcPr>
            <w:tcW w:w="2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11.02. Delivery of Officer’s Certificate and Opinion of Counsel as to Conditions Precedent</w:t>
            </w:r>
          </w:p>
        </w:tc>
        <w:tc>
          <w:tcPr>
            <w:tcW w:w="21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11.03. Statements Required in Officer’s Certificate and Opinion of Counsel</w:t>
            </w:r>
          </w:p>
        </w:tc>
        <w:tc>
          <w:tcPr>
            <w:tcW w:w="21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11.04. Rules by the Trustee, the Registrar, the Paying Agent and the Conversion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11.05. No Personal Liability of Directors, Officers, Employees and Stockholders</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11.06. Governing Law; Waiver of Jury Trial</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11.07. Submission to Jurisdiction</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11.08. No Adverse Interpretation of Other Agreements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11.09. Successors</w:t>
            </w:r>
          </w:p>
        </w:tc>
        <w:tc>
          <w:tcPr>
            <w:tcW w:w="2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11.10. Force Majeure</w:t>
            </w:r>
          </w:p>
        </w:tc>
        <w:tc>
          <w:tcPr>
            <w:tcW w:w="2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11.11. U.S.A. PATRIOT Act</w:t>
            </w:r>
          </w:p>
        </w:tc>
        <w:tc>
          <w:tcPr>
            <w:tcW w:w="2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11.12. Calculations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11.13. Severability</w:t>
            </w:r>
          </w:p>
        </w:tc>
        <w:tc>
          <w:tcPr>
            <w:tcW w:w="2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11.14. Counterparts</w:t>
            </w:r>
          </w:p>
        </w:tc>
        <w:tc>
          <w:tcPr>
            <w:tcW w:w="2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11.15. Table of Contents, Headings, Etc.</w:t>
            </w:r>
          </w:p>
        </w:tc>
        <w:tc>
          <w:tcPr>
            <w:tcW w:w="2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9120" w:type="dxa"/>
            <w:vAlign w:val="bottom"/>
            <w:gridSpan w:val="2"/>
          </w:tcPr>
          <w:p>
            <w:pPr>
              <w:ind w:left="240"/>
              <w:spacing w:after="0"/>
              <w:rPr>
                <w:sz w:val="20"/>
                <w:szCs w:val="20"/>
                <w:color w:val="auto"/>
              </w:rPr>
            </w:pPr>
            <w:r>
              <w:rPr>
                <w:rFonts w:ascii="Arial" w:cs="Arial" w:eastAsia="Arial" w:hAnsi="Arial"/>
                <w:sz w:val="18"/>
                <w:szCs w:val="18"/>
                <w:color w:val="auto"/>
              </w:rPr>
              <w:t>Section 11.16. Withholding Taxes</w:t>
            </w:r>
          </w:p>
        </w:tc>
        <w:tc>
          <w:tcPr>
            <w:tcW w:w="2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10"/>
        </w:trPr>
        <w:tc>
          <w:tcPr>
            <w:tcW w:w="912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212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9120" w:type="dxa"/>
            <w:vAlign w:val="bottom"/>
            <w:gridSpan w:val="2"/>
          </w:tcPr>
          <w:p>
            <w:pPr>
              <w:spacing w:after="0"/>
              <w:rPr>
                <w:sz w:val="20"/>
                <w:szCs w:val="20"/>
                <w:color w:val="auto"/>
              </w:rPr>
            </w:pPr>
            <w:r>
              <w:rPr>
                <w:rFonts w:ascii="Arial" w:cs="Arial" w:eastAsia="Arial" w:hAnsi="Arial"/>
                <w:sz w:val="18"/>
                <w:szCs w:val="18"/>
                <w:color w:val="auto"/>
              </w:rPr>
              <w:t>Exhibit A: Form of Note</w:t>
            </w:r>
          </w:p>
        </w:tc>
        <w:tc>
          <w:tcPr>
            <w:tcW w:w="21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97"/>
        </w:trPr>
        <w:tc>
          <w:tcPr>
            <w:tcW w:w="9120" w:type="dxa"/>
            <w:vAlign w:val="bottom"/>
            <w:gridSpan w:val="2"/>
          </w:tcPr>
          <w:p>
            <w:pPr>
              <w:spacing w:after="0"/>
              <w:rPr>
                <w:sz w:val="20"/>
                <w:szCs w:val="20"/>
                <w:color w:val="auto"/>
              </w:rPr>
            </w:pPr>
            <w:r>
              <w:rPr>
                <w:rFonts w:ascii="Arial" w:cs="Arial" w:eastAsia="Arial" w:hAnsi="Arial"/>
                <w:sz w:val="18"/>
                <w:szCs w:val="18"/>
                <w:color w:val="auto"/>
              </w:rPr>
              <w:t>Exhibit B-1: Form of Restricted Note Legend</w:t>
            </w:r>
          </w:p>
        </w:tc>
        <w:tc>
          <w:tcPr>
            <w:tcW w:w="2120" w:type="dxa"/>
            <w:vAlign w:val="bottom"/>
          </w:tcPr>
          <w:p>
            <w:pPr>
              <w:jc w:val="right"/>
              <w:spacing w:after="0"/>
              <w:rPr>
                <w:sz w:val="20"/>
                <w:szCs w:val="20"/>
                <w:color w:val="auto"/>
              </w:rPr>
            </w:pPr>
            <w:r>
              <w:rPr>
                <w:rFonts w:ascii="Arial" w:cs="Arial" w:eastAsia="Arial" w:hAnsi="Arial"/>
                <w:sz w:val="18"/>
                <w:szCs w:val="18"/>
                <w:color w:val="auto"/>
              </w:rPr>
              <w:t>B1-1</w:t>
            </w:r>
          </w:p>
        </w:tc>
      </w:tr>
      <w:tr>
        <w:trPr>
          <w:trHeight w:val="283"/>
        </w:trPr>
        <w:tc>
          <w:tcPr>
            <w:tcW w:w="9120" w:type="dxa"/>
            <w:vAlign w:val="bottom"/>
            <w:gridSpan w:val="2"/>
          </w:tcPr>
          <w:p>
            <w:pPr>
              <w:spacing w:after="0"/>
              <w:rPr>
                <w:sz w:val="20"/>
                <w:szCs w:val="20"/>
                <w:color w:val="auto"/>
              </w:rPr>
            </w:pPr>
            <w:r>
              <w:rPr>
                <w:rFonts w:ascii="Arial" w:cs="Arial" w:eastAsia="Arial" w:hAnsi="Arial"/>
                <w:sz w:val="18"/>
                <w:szCs w:val="18"/>
                <w:color w:val="auto"/>
              </w:rPr>
              <w:t>Exhibit B-2: Form of Global Note Legend</w:t>
            </w:r>
          </w:p>
        </w:tc>
        <w:tc>
          <w:tcPr>
            <w:tcW w:w="2120" w:type="dxa"/>
            <w:vAlign w:val="bottom"/>
          </w:tcPr>
          <w:p>
            <w:pPr>
              <w:jc w:val="right"/>
              <w:spacing w:after="0"/>
              <w:rPr>
                <w:sz w:val="20"/>
                <w:szCs w:val="20"/>
                <w:color w:val="auto"/>
              </w:rPr>
            </w:pPr>
            <w:r>
              <w:rPr>
                <w:rFonts w:ascii="Arial" w:cs="Arial" w:eastAsia="Arial" w:hAnsi="Arial"/>
                <w:sz w:val="18"/>
                <w:szCs w:val="18"/>
                <w:color w:val="auto"/>
              </w:rPr>
              <w:t>B2-1</w:t>
            </w: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Exhibit B-3: Form of Non-Affiliate Legend</w:t>
            </w:r>
          </w:p>
        </w:tc>
        <w:tc>
          <w:tcPr>
            <w:tcW w:w="2120" w:type="dxa"/>
            <w:vAlign w:val="bottom"/>
          </w:tcPr>
          <w:p>
            <w:pPr>
              <w:jc w:val="right"/>
              <w:spacing w:after="0"/>
              <w:rPr>
                <w:sz w:val="20"/>
                <w:szCs w:val="20"/>
                <w:color w:val="auto"/>
              </w:rPr>
            </w:pPr>
            <w:r>
              <w:rPr>
                <w:rFonts w:ascii="Arial" w:cs="Arial" w:eastAsia="Arial" w:hAnsi="Arial"/>
                <w:sz w:val="18"/>
                <w:szCs w:val="18"/>
                <w:color w:val="auto"/>
              </w:rPr>
              <w:t>B3-1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 w:name="page10"/>
    <w:bookmarkEnd w:id="9"/>
    <w:p>
      <w:pPr>
        <w:jc w:val="both"/>
        <w:ind w:firstLine="648"/>
        <w:spacing w:after="0" w:line="282"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December 14, 2021, between Lucid Group, Inc., a Delaware corporation, as issuer (the “</w:t>
      </w:r>
      <w:r>
        <w:rPr>
          <w:rFonts w:ascii="Arial" w:cs="Arial" w:eastAsia="Arial" w:hAnsi="Arial"/>
          <w:sz w:val="18"/>
          <w:szCs w:val="18"/>
          <w:b w:val="1"/>
          <w:bCs w:val="1"/>
          <w:color w:val="auto"/>
        </w:rPr>
        <w:t>Company</w:t>
      </w:r>
      <w:r>
        <w:rPr>
          <w:rFonts w:ascii="Arial" w:cs="Arial" w:eastAsia="Arial" w:hAnsi="Arial"/>
          <w:sz w:val="18"/>
          <w:szCs w:val="18"/>
          <w:color w:val="auto"/>
        </w:rPr>
        <w:t>”), and U.S. Bank</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party to this Indenture (as defined below) agrees as follows for the benefit of the other party and for the equal and ratable benefit of the Holders (as defined below) of the Company’s 1.25% Convertible Senior Notes due 2026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66" w:lineRule="exact"/>
        <w:rPr>
          <w:sz w:val="20"/>
          <w:szCs w:val="20"/>
          <w:color w:val="auto"/>
        </w:rPr>
      </w:pPr>
    </w:p>
    <w:p>
      <w:pPr>
        <w:ind w:left="3220"/>
        <w:spacing w:after="0"/>
        <w:tabs>
          <w:tab w:leader="none" w:pos="430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8"/>
          <w:szCs w:val="18"/>
          <w:b w:val="1"/>
          <w:bCs w:val="1"/>
          <w:color w:val="auto"/>
        </w:rPr>
        <w:t>DEFINITIONS; RULES OF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Interest</w:t>
      </w:r>
      <w:r>
        <w:rPr>
          <w:rFonts w:ascii="Arial" w:cs="Arial" w:eastAsia="Arial" w:hAnsi="Arial"/>
          <w:sz w:val="18"/>
          <w:szCs w:val="18"/>
          <w:color w:val="auto"/>
        </w:rPr>
        <w:t xml:space="preserve">” means any interest that accrues on any Note pursuant to </w:t>
      </w:r>
      <w:r>
        <w:rPr>
          <w:rFonts w:ascii="Arial" w:cs="Arial" w:eastAsia="Arial" w:hAnsi="Arial"/>
          <w:sz w:val="18"/>
          <w:szCs w:val="18"/>
          <w:b w:val="1"/>
          <w:bCs w:val="1"/>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set forth in Rule 144 as in effect on the Issue Date.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Denomination</w:t>
      </w:r>
      <w:r>
        <w:rPr>
          <w:rFonts w:ascii="Arial" w:cs="Arial" w:eastAsia="Arial" w:hAnsi="Arial"/>
          <w:sz w:val="18"/>
          <w:szCs w:val="18"/>
          <w:color w:val="auto"/>
        </w:rPr>
        <w:t>” means, with respect to a Note, a principal amount thereof equal to $1,000 or any integral multiple of $1,000 in excess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Solicitation Agent</w:t>
      </w:r>
      <w:r>
        <w:rPr>
          <w:rFonts w:ascii="Arial" w:cs="Arial" w:eastAsia="Arial" w:hAnsi="Arial"/>
          <w:sz w:val="18"/>
          <w:szCs w:val="18"/>
          <w:color w:val="auto"/>
        </w:rPr>
        <w:t xml:space="preserve">” means the Person who is required to obtain bids for the Trading Price in accordance with </w:t>
      </w:r>
      <w:r>
        <w:rPr>
          <w:rFonts w:ascii="Arial" w:cs="Arial" w:eastAsia="Arial" w:hAnsi="Arial"/>
          <w:sz w:val="18"/>
          <w:szCs w:val="18"/>
          <w:b w:val="1"/>
          <w:bCs w:val="1"/>
          <w:color w:val="auto"/>
        </w:rPr>
        <w:t>Section 5.01(C)(i)(2)</w:t>
      </w:r>
      <w:r>
        <w:rPr>
          <w:rFonts w:ascii="Arial" w:cs="Arial" w:eastAsia="Arial" w:hAnsi="Arial"/>
          <w:sz w:val="18"/>
          <w:szCs w:val="18"/>
          <w:color w:val="auto"/>
        </w:rPr>
        <w:t xml:space="preserve"> and the definition of “Trading Price.” The initial Bid Solicitation Agent on the Issue Date will be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appoint any other Person (including any of the Company’s Subsidiaries) to be the Bid Solicitation Agent at any time after the Issue Date without prior notice to the Holders.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 or a committee of such board duly authorized to act on behalf of such board.</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any day on which the Federal Reserve Bank of New York is authorized or required by law or executive order to close or be closed.</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Stock</w:t>
      </w:r>
      <w:r>
        <w:rPr>
          <w:rFonts w:ascii="Arial" w:cs="Arial" w:eastAsia="Arial" w:hAnsi="Arial"/>
          <w:sz w:val="17"/>
          <w:szCs w:val="17"/>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means the Class A common stock, $0.0001 par value per share, of the Company, subject to </w:t>
      </w:r>
      <w:r>
        <w:rPr>
          <w:rFonts w:ascii="Arial" w:cs="Arial" w:eastAsia="Arial" w:hAnsi="Arial"/>
          <w:sz w:val="18"/>
          <w:szCs w:val="18"/>
          <w:b w:val="1"/>
          <w:bCs w:val="1"/>
          <w:color w:val="auto"/>
        </w:rPr>
        <w:t>Section 5.09</w:t>
      </w:r>
      <w:r>
        <w:rPr>
          <w:rFonts w:ascii="Arial" w:cs="Arial" w:eastAsia="Arial" w:hAnsi="Arial"/>
          <w:sz w:val="18"/>
          <w:szCs w:val="18"/>
          <w:color w:val="auto"/>
        </w:rPr>
        <w: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the Person named as such in the first paragraph of this Indenture and, subject to </w:t>
      </w:r>
      <w:r>
        <w:rPr>
          <w:rFonts w:ascii="Arial" w:cs="Arial" w:eastAsia="Arial" w:hAnsi="Arial"/>
          <w:sz w:val="18"/>
          <w:szCs w:val="18"/>
          <w:b w:val="1"/>
          <w:bCs w:val="1"/>
          <w:color w:val="auto"/>
        </w:rPr>
        <w:t>Article 6</w:t>
      </w:r>
      <w:r>
        <w:rPr>
          <w:rFonts w:ascii="Arial" w:cs="Arial" w:eastAsia="Arial" w:hAnsi="Arial"/>
          <w:sz w:val="18"/>
          <w:szCs w:val="18"/>
          <w:color w:val="auto"/>
        </w:rPr>
        <w:t>, its successors and assigns.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Order</w:t>
      </w:r>
      <w:r>
        <w:rPr>
          <w:rFonts w:ascii="Arial" w:cs="Arial" w:eastAsia="Arial" w:hAnsi="Arial"/>
          <w:sz w:val="17"/>
          <w:szCs w:val="17"/>
          <w:color w:val="auto"/>
        </w:rPr>
        <w:t>” means a written request or order signed on behalf of the Company by one (1) of its Officers and delivered to the Trustee.</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xml:space="preserve">” means, with respect to a Note, the first Business Day on which the requirements set forth in </w:t>
      </w:r>
      <w:r>
        <w:rPr>
          <w:rFonts w:ascii="Arial" w:cs="Arial" w:eastAsia="Arial" w:hAnsi="Arial"/>
          <w:sz w:val="18"/>
          <w:szCs w:val="18"/>
          <w:b w:val="1"/>
          <w:bCs w:val="1"/>
          <w:color w:val="auto"/>
        </w:rPr>
        <w:t>Section 5.02(A)</w:t>
      </w:r>
      <w:r>
        <w:rPr>
          <w:rFonts w:ascii="Arial" w:cs="Arial" w:eastAsia="Arial" w:hAnsi="Arial"/>
          <w:sz w:val="18"/>
          <w:szCs w:val="18"/>
          <w:color w:val="auto"/>
        </w:rPr>
        <w:t xml:space="preserve"> to convert such Note are satisfied, subject to </w:t>
      </w:r>
      <w:r>
        <w:rPr>
          <w:rFonts w:ascii="Arial" w:cs="Arial" w:eastAsia="Arial" w:hAnsi="Arial"/>
          <w:sz w:val="18"/>
          <w:szCs w:val="18"/>
          <w:b w:val="1"/>
          <w:bCs w:val="1"/>
          <w:color w:val="auto"/>
        </w:rPr>
        <w:t>Section 5.03(C)</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as of any time, an amount equal to (A) one thousand dollars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Conversion Rate in effect at such time.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xml:space="preserve">” initially means 18.2548 shares of Common Stock per $1,000 principal amount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Conversion Rate is subject to adjustment pursuant to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whenever this Indenture refers to the Conversion Rate as of a particular date without setting forth a particular time on such date, such reference will be deemed to be to the Conversion Rate immediately after the Close of Business on such date.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Share</w:t>
      </w:r>
      <w:r>
        <w:rPr>
          <w:rFonts w:ascii="Arial" w:cs="Arial" w:eastAsia="Arial" w:hAnsi="Arial"/>
          <w:sz w:val="18"/>
          <w:szCs w:val="18"/>
          <w:color w:val="auto"/>
        </w:rPr>
        <w:t>” means any share of Common Stock issued or issuable upon conversion of any Note.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Cash Amount</w:t>
      </w:r>
      <w:r>
        <w:rPr>
          <w:rFonts w:ascii="Arial" w:cs="Arial" w:eastAsia="Arial" w:hAnsi="Arial"/>
          <w:sz w:val="18"/>
          <w:szCs w:val="18"/>
          <w:color w:val="auto"/>
        </w:rPr>
        <w:t>” means, with respect to any VWAP Trading Day, the lesser of (A) the applicable Daily Maximum Cash Amount; and (B) the Daily Conversion Value for such VWAP Trading Day.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with respect to any VWAP Trading Day, one-thirtieth (1/30th) of the product of (A) the Conversion Rate on such VWAP Trading Day; and (B) the Daily VWAP per share of Common Stock on such VWAP Trading Day.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Maximum Cash Amount</w:t>
      </w:r>
      <w:r>
        <w:rPr>
          <w:rFonts w:ascii="Arial" w:cs="Arial" w:eastAsia="Arial" w:hAnsi="Arial"/>
          <w:sz w:val="18"/>
          <w:szCs w:val="18"/>
          <w:color w:val="auto"/>
        </w:rPr>
        <w:t>” means, with respect to the conversion of any Note, the quotient obtained by dividing (A) the Specified Dollar Amount applicable to such conversion by (B) thirty (30).</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Share Amount</w:t>
      </w:r>
      <w:r>
        <w:rPr>
          <w:rFonts w:ascii="Arial" w:cs="Arial" w:eastAsia="Arial" w:hAnsi="Arial"/>
          <w:sz w:val="18"/>
          <w:szCs w:val="18"/>
          <w:color w:val="auto"/>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18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VWAP</w:t>
      </w:r>
      <w:r>
        <w:rPr>
          <w:rFonts w:ascii="Arial" w:cs="Arial" w:eastAsia="Arial" w:hAnsi="Arial"/>
          <w:sz w:val="16"/>
          <w:szCs w:val="16"/>
          <w:color w:val="auto"/>
        </w:rPr>
        <w:t>” means, for any VWAP Trading Day, the per share volume-weighted average price of the Common Stock as displayed under the heading “Bloomberg VWAP” on Bloomberg page “LCID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passage of time or both, would be) an Event of Default.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Settlement Method</w:t>
      </w:r>
      <w:r>
        <w:rPr>
          <w:rFonts w:ascii="Arial" w:cs="Arial" w:eastAsia="Arial" w:hAnsi="Arial"/>
          <w:sz w:val="18"/>
          <w:szCs w:val="18"/>
          <w:color w:val="auto"/>
        </w:rPr>
        <w:t xml:space="preserve">” means Physical 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 the Company may, from time to time, change the Default Settlement Method by (x) sending notice of the new Default Settlement Method to the Holders, the Trustee and the Conversion Agent and (y) by disclosing the new Default Settlement Method on its website or in a Current Report on Form 8-K (or any successor form) that is filed with, or furnished to, the SEC; and (B) the Default Settlement Method will be subject to </w:t>
      </w:r>
      <w:r>
        <w:rPr>
          <w:rFonts w:ascii="Arial" w:cs="Arial" w:eastAsia="Arial" w:hAnsi="Arial"/>
          <w:sz w:val="18"/>
          <w:szCs w:val="18"/>
          <w:b w:val="1"/>
          <w:bCs w:val="1"/>
          <w:color w:val="auto"/>
        </w:rPr>
        <w:t>Section 5.03(A)(ii)</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The Depository Trust Company or its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 Participant</w:t>
      </w:r>
      <w:r>
        <w:rPr>
          <w:rFonts w:ascii="Arial" w:cs="Arial" w:eastAsia="Arial" w:hAnsi="Arial"/>
          <w:sz w:val="18"/>
          <w:szCs w:val="18"/>
          <w:color w:val="auto"/>
        </w:rPr>
        <w:t>” means any member of, or participant in, the Depositary.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 Procedures</w:t>
      </w:r>
      <w:r>
        <w:rPr>
          <w:rFonts w:ascii="Arial" w:cs="Arial" w:eastAsia="Arial" w:hAnsi="Arial"/>
          <w:sz w:val="18"/>
          <w:szCs w:val="18"/>
          <w:color w:val="auto"/>
        </w:rPr>
        <w:t>” means, with respect to any conversion, transfer, exchange or transaction involving a Global Note or any beneficial interest therein, the rules and procedures of the Depositary applicable to such conversion, transfer, exchange or transaction.</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Exempted Fundamental Change</w:t>
      </w:r>
      <w:r>
        <w:rPr>
          <w:rFonts w:ascii="Arial" w:cs="Arial" w:eastAsia="Arial" w:hAnsi="Arial"/>
          <w:sz w:val="18"/>
          <w:szCs w:val="18"/>
          <w:color w:val="auto"/>
        </w:rPr>
        <w:t xml:space="preserve">” means any Fundamental Change with respect to which, in accordance with </w:t>
      </w:r>
      <w:r>
        <w:rPr>
          <w:rFonts w:ascii="Arial" w:cs="Arial" w:eastAsia="Arial" w:hAnsi="Arial"/>
          <w:sz w:val="18"/>
          <w:szCs w:val="18"/>
          <w:b w:val="1"/>
          <w:bCs w:val="1"/>
          <w:color w:val="auto"/>
        </w:rPr>
        <w:t>Section 4.02(I)</w:t>
      </w:r>
      <w:r>
        <w:rPr>
          <w:rFonts w:ascii="Arial" w:cs="Arial" w:eastAsia="Arial" w:hAnsi="Arial"/>
          <w:sz w:val="18"/>
          <w:szCs w:val="18"/>
          <w:color w:val="auto"/>
        </w:rPr>
        <w:t>, the Company does not offer to repurchase any Notes.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means with respect to any natural person, the spouse, domestic partner, parents, grandparents, lineal descendants, siblings and lineal descendants of siblings of such natural person. For purposes of this definition, lineal descendants include adopted persons, but only if such adopted persons were adopted while a minor.</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Freely Tradable</w:t>
      </w:r>
      <w:r>
        <w:rPr>
          <w:rFonts w:ascii="Arial" w:cs="Arial" w:eastAsia="Arial" w:hAnsi="Arial"/>
          <w:sz w:val="18"/>
          <w:szCs w:val="18"/>
          <w:color w:val="auto"/>
        </w:rPr>
        <w:t>” means, with respect to any security of the Company, that such security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any such requirement as to the availability of current public information will be disregarded if the same is satisfied at that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w:t>
      </w:r>
      <w:r>
        <w:rPr>
          <w:rFonts w:ascii="Arial" w:cs="Arial" w:eastAsia="Arial" w:hAnsi="Arial"/>
          <w:sz w:val="18"/>
          <w:szCs w:val="18"/>
          <w:color w:val="auto"/>
        </w:rPr>
        <w:t>” means any of the following events:</w:t>
      </w:r>
    </w:p>
    <w:p>
      <w:pPr>
        <w:spacing w:after="0" w:line="229" w:lineRule="exact"/>
        <w:rPr>
          <w:sz w:val="20"/>
          <w:szCs w:val="20"/>
          <w:color w:val="auto"/>
        </w:rPr>
      </w:pPr>
    </w:p>
    <w:p>
      <w:pPr>
        <w:jc w:val="both"/>
        <w:ind w:firstLine="656"/>
        <w:spacing w:after="0" w:line="259" w:lineRule="auto"/>
        <w:tabs>
          <w:tab w:leader="none" w:pos="1248"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13(d)(3) of the Exchange Act), other than the (w) Company, (x) its Wholly Owned Subsidiaries, (y) their respective employee benefit plans or (z) any Permitted Party, files any report with the SEC indicating that such person or group has become the direct or indirect “beneficial owner” (as defined below) of shares of the Common Stock representing more than fifty percent (50%) of the voting power of all of the Company’s then-outstanding Common Stock;</w:t>
      </w:r>
    </w:p>
    <w:p>
      <w:pPr>
        <w:spacing w:after="0" w:line="186" w:lineRule="exact"/>
        <w:rPr>
          <w:rFonts w:ascii="Arial" w:cs="Arial" w:eastAsia="Arial" w:hAnsi="Arial"/>
          <w:sz w:val="18"/>
          <w:szCs w:val="18"/>
          <w:color w:val="auto"/>
        </w:rPr>
      </w:pPr>
    </w:p>
    <w:p>
      <w:pPr>
        <w:jc w:val="both"/>
        <w:ind w:firstLine="656"/>
        <w:spacing w:after="0" w:line="291" w:lineRule="auto"/>
        <w:tabs>
          <w:tab w:leader="none" w:pos="1206"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w:t>
      </w:r>
    </w:p>
    <w:p>
      <w:pPr>
        <w:jc w:val="both"/>
        <w:ind w:firstLine="8"/>
        <w:spacing w:after="0" w:line="251" w:lineRule="auto"/>
        <w:tabs>
          <w:tab w:leader="none" w:pos="27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Arial" w:cs="Arial" w:eastAsia="Arial" w:hAnsi="Arial"/>
          <w:sz w:val="18"/>
          <w:szCs w:val="18"/>
          <w:b w:val="1"/>
          <w:bCs w:val="1"/>
          <w:color w:val="auto"/>
        </w:rPr>
        <w:t>clause (B)</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220" w:hanging="564"/>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Company’s stockholders approve any plan or proposal for the liquidation or dissolution of the Company; or</w:t>
      </w:r>
    </w:p>
    <w:p>
      <w:pPr>
        <w:spacing w:after="0" w:line="225" w:lineRule="exact"/>
        <w:rPr>
          <w:rFonts w:ascii="Arial" w:cs="Arial" w:eastAsia="Arial" w:hAnsi="Arial"/>
          <w:sz w:val="18"/>
          <w:szCs w:val="18"/>
          <w:color w:val="auto"/>
        </w:rPr>
      </w:pPr>
    </w:p>
    <w:p>
      <w:pPr>
        <w:ind w:firstLine="656"/>
        <w:spacing w:after="0" w:line="277" w:lineRule="auto"/>
        <w:tabs>
          <w:tab w:leader="none" w:pos="125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Common Stock ceases to be listed on any of The New York Stock Exchange, The Nasdaq Global Select Market, The Nasdaq Capital Market or The Nasdaq Global Market (or any of their respective successors);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 transaction or event described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clause (A)</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w:t>
      </w:r>
      <w:r>
        <w:rPr>
          <w:rFonts w:ascii="Arial" w:cs="Arial" w:eastAsia="Arial" w:hAnsi="Arial"/>
          <w:sz w:val="18"/>
          <w:szCs w:val="18"/>
          <w:i w:val="1"/>
          <w:iCs w:val="1"/>
          <w:color w:val="auto"/>
        </w:rPr>
        <w:t xml:space="preserve"> </w:t>
      </w:r>
      <w:r>
        <w:rPr>
          <w:rFonts w:ascii="Arial" w:cs="Arial" w:eastAsia="Arial" w:hAnsi="Arial"/>
          <w:sz w:val="18"/>
          <w:szCs w:val="18"/>
          <w:color w:val="auto"/>
        </w:rPr>
        <w:t>above will not constitute a Fundamental Change if at least ninety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(90%) of the consideration received or to be received by the holders of Common Stock (excluding cash payments for fractional shares or pursuant to dissenters rights), in connection with such transaction or event, consists of shares of common stock listed on any of The New York Stock Exchange, The Nasdaq Capital Market,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transaction in which the Common Stock is replaced by the securities of another entity occurs, following completion of any related Make-Whole Fundamental Change Conversion Period (or, in the case of a transaction that would have been a Fundamental Change or a Make-Whole Fundamental Change but for the proviso to the immediately preceding paragraph, following the effective date of such transaction), references to the Company for purposes of this definition shall instead be references to such other entity.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61" w:lineRule="auto"/>
        <w:rPr>
          <w:sz w:val="20"/>
          <w:szCs w:val="20"/>
          <w:color w:val="auto"/>
        </w:rPr>
      </w:pPr>
      <w:r>
        <w:rPr>
          <w:rFonts w:ascii="Arial" w:cs="Arial" w:eastAsia="Arial" w:hAnsi="Arial"/>
          <w:sz w:val="18"/>
          <w:szCs w:val="18"/>
          <w:color w:val="auto"/>
        </w:rPr>
        <w:t xml:space="preserve">For the purposes of this definition, (x) any transaction or event described in both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and in </w:t>
      </w:r>
      <w:r>
        <w:rPr>
          <w:rFonts w:ascii="Arial" w:cs="Arial" w:eastAsia="Arial" w:hAnsi="Arial"/>
          <w:sz w:val="18"/>
          <w:szCs w:val="18"/>
          <w:b w:val="1"/>
          <w:bCs w:val="1"/>
          <w:color w:val="auto"/>
        </w:rPr>
        <w:t>clause (B)(i)</w:t>
      </w:r>
      <w:r>
        <w:rPr>
          <w:rFonts w:ascii="Arial" w:cs="Arial" w:eastAsia="Arial" w:hAnsi="Arial"/>
          <w:sz w:val="18"/>
          <w:szCs w:val="18"/>
          <w:color w:val="auto"/>
        </w:rPr>
        <w:t xml:space="preserve"> or </w:t>
      </w:r>
      <w:r>
        <w:rPr>
          <w:rFonts w:ascii="Arial" w:cs="Arial" w:eastAsia="Arial" w:hAnsi="Arial"/>
          <w:sz w:val="18"/>
          <w:szCs w:val="18"/>
          <w:b w:val="1"/>
          <w:bCs w:val="1"/>
          <w:color w:val="auto"/>
        </w:rPr>
        <w:t>(ii)</w:t>
      </w:r>
      <w:r>
        <w:rPr>
          <w:rFonts w:ascii="Arial" w:cs="Arial" w:eastAsia="Arial" w:hAnsi="Arial"/>
          <w:sz w:val="18"/>
          <w:szCs w:val="18"/>
          <w:color w:val="auto"/>
        </w:rPr>
        <w:t xml:space="preserve"> above (without regard to the proviso in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will be deemed to occur solely pursuant to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above (subject to such proviso); and (y) whether a Person is a “</w:t>
      </w:r>
      <w:r>
        <w:rPr>
          <w:rFonts w:ascii="Arial" w:cs="Arial" w:eastAsia="Arial" w:hAnsi="Arial"/>
          <w:sz w:val="18"/>
          <w:szCs w:val="18"/>
          <w:b w:val="1"/>
          <w:bCs w:val="1"/>
          <w:color w:val="auto"/>
        </w:rPr>
        <w:t>beneficial</w:t>
      </w:r>
      <w:r>
        <w:rPr>
          <w:rFonts w:ascii="Arial" w:cs="Arial" w:eastAsia="Arial" w:hAnsi="Arial"/>
          <w:sz w:val="18"/>
          <w:szCs w:val="18"/>
          <w:color w:val="auto"/>
        </w:rPr>
        <w:t xml:space="preserve"> </w:t>
      </w:r>
      <w:r>
        <w:rPr>
          <w:rFonts w:ascii="Arial" w:cs="Arial" w:eastAsia="Arial" w:hAnsi="Arial"/>
          <w:sz w:val="18"/>
          <w:szCs w:val="18"/>
          <w:b w:val="1"/>
          <w:bCs w:val="1"/>
          <w:color w:val="auto"/>
        </w:rPr>
        <w:t>owner</w:t>
      </w:r>
      <w:r>
        <w:rPr>
          <w:rFonts w:ascii="Arial" w:cs="Arial" w:eastAsia="Arial" w:hAnsi="Arial"/>
          <w:sz w:val="18"/>
          <w:szCs w:val="18"/>
          <w:color w:val="auto"/>
        </w:rPr>
        <w:t>,” whether shares are “</w:t>
      </w:r>
      <w:r>
        <w:rPr>
          <w:rFonts w:ascii="Arial" w:cs="Arial" w:eastAsia="Arial" w:hAnsi="Arial"/>
          <w:sz w:val="18"/>
          <w:szCs w:val="18"/>
          <w:b w:val="1"/>
          <w:bCs w:val="1"/>
          <w:color w:val="auto"/>
        </w:rPr>
        <w:t>beneficially owned</w:t>
      </w:r>
      <w:r>
        <w:rPr>
          <w:rFonts w:ascii="Arial" w:cs="Arial" w:eastAsia="Arial" w:hAnsi="Arial"/>
          <w:sz w:val="18"/>
          <w:szCs w:val="18"/>
          <w:color w:val="auto"/>
        </w:rPr>
        <w:t>,” and percentage beneficial ownership, will be determined in accordance with Rule 13d-3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means the date fixed for the repurchase of any Notes by the Company pursuant to a Repurchase Upon Fundamental Change.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xml:space="preserve">” means a notice (including a notice substantially in the form of the “Fundamental Change Repurchase Notice” set forth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containing the information, or otherwise complying with the requirements, set forth in </w:t>
      </w:r>
      <w:r>
        <w:rPr>
          <w:rFonts w:ascii="Arial" w:cs="Arial" w:eastAsia="Arial" w:hAnsi="Arial"/>
          <w:sz w:val="18"/>
          <w:szCs w:val="18"/>
          <w:b w:val="1"/>
          <w:bCs w:val="1"/>
          <w:color w:val="auto"/>
        </w:rPr>
        <w:t>Section 4.02(F)(i)</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4.02(F)(ii)</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xml:space="preserve">” means the cash price payable by the Company to repurchase any Note upon its Repurchase Upon Fundamental Change, calculated pursuant to </w:t>
      </w:r>
      <w:r>
        <w:rPr>
          <w:rFonts w:ascii="Arial" w:cs="Arial" w:eastAsia="Arial" w:hAnsi="Arial"/>
          <w:sz w:val="18"/>
          <w:szCs w:val="18"/>
          <w:b w:val="1"/>
          <w:bCs w:val="1"/>
          <w:color w:val="auto"/>
        </w:rPr>
        <w:t>Section 4.02(D)</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Global Note</w:t>
      </w:r>
      <w:r>
        <w:rPr>
          <w:rFonts w:ascii="Arial" w:cs="Arial" w:eastAsia="Arial" w:hAnsi="Arial"/>
          <w:sz w:val="16"/>
          <w:szCs w:val="16"/>
          <w:color w:val="auto"/>
        </w:rPr>
        <w:t xml:space="preserve">” means a Note that is represented by a certificate substantially in the form set forth in </w:t>
      </w:r>
      <w:r>
        <w:rPr>
          <w:rFonts w:ascii="Arial" w:cs="Arial" w:eastAsia="Arial" w:hAnsi="Arial"/>
          <w:sz w:val="16"/>
          <w:szCs w:val="16"/>
          <w:b w:val="1"/>
          <w:bCs w:val="1"/>
          <w:color w:val="auto"/>
        </w:rPr>
        <w:t>Exhibit A</w:t>
      </w:r>
      <w:r>
        <w:rPr>
          <w:rFonts w:ascii="Arial" w:cs="Arial" w:eastAsia="Arial" w:hAnsi="Arial"/>
          <w:sz w:val="16"/>
          <w:szCs w:val="16"/>
          <w:color w:val="auto"/>
        </w:rPr>
        <w:t>, registered in the name of the Depositary or its nominee, duly executed by the Company and authenticated by the Trustee, and deposited with the Trustee, as custodian for the Depositary.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 Legend</w:t>
      </w:r>
      <w:r>
        <w:rPr>
          <w:rFonts w:ascii="Arial" w:cs="Arial" w:eastAsia="Arial" w:hAnsi="Arial"/>
          <w:sz w:val="18"/>
          <w:szCs w:val="18"/>
          <w:color w:val="auto"/>
        </w:rPr>
        <w:t xml:space="preserve">” means a legend substantially in the form set forth in </w:t>
      </w:r>
      <w:r>
        <w:rPr>
          <w:rFonts w:ascii="Arial" w:cs="Arial" w:eastAsia="Arial" w:hAnsi="Arial"/>
          <w:sz w:val="18"/>
          <w:szCs w:val="18"/>
          <w:b w:val="1"/>
          <w:bCs w:val="1"/>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 person in whose name a Note is registered on the Registrar’s books.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means the Initial Purchasers set forth in Schedule A to the Purchase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with respect to a Note, each June 15 and December 15 of each year, commencing on June 15, 2022 (or commencing on such other date specified in the certificate representing such Note). For the avoidance of doubt, the Maturity Date is an Interest Payment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means December 14, 2021.</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Last Original Issue Date</w:t>
      </w:r>
      <w:r>
        <w:rPr>
          <w:rFonts w:ascii="Arial" w:cs="Arial" w:eastAsia="Arial" w:hAnsi="Arial"/>
          <w:sz w:val="16"/>
          <w:szCs w:val="16"/>
          <w:color w:val="auto"/>
        </w:rPr>
        <w:t xml:space="preserve">” means (A) with respect to any Notes issued pursuant to the Purchase Agreement (including any Notes issued 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w:t>
      </w:r>
      <w:r>
        <w:rPr>
          <w:rFonts w:ascii="Arial" w:cs="Arial" w:eastAsia="Arial" w:hAnsi="Arial"/>
          <w:sz w:val="16"/>
          <w:szCs w:val="16"/>
          <w:b w:val="1"/>
          <w:bCs w:val="1"/>
          <w:color w:val="auto"/>
        </w:rPr>
        <w:t>Section 2.03(B)</w:t>
      </w:r>
      <w:r>
        <w:rPr>
          <w:rFonts w:ascii="Arial" w:cs="Arial" w:eastAsia="Arial" w:hAnsi="Arial"/>
          <w:sz w:val="16"/>
          <w:szCs w:val="16"/>
          <w:color w:val="auto"/>
        </w:rPr>
        <w:t>, and any Notes issued in exchange therefor or in substitution thereof, either (i) the later of (x) the date such Notes are originally issued and</w:t>
      </w:r>
    </w:p>
    <w:p>
      <w:pPr>
        <w:spacing w:after="0" w:line="2" w:lineRule="exact"/>
        <w:rPr>
          <w:sz w:val="20"/>
          <w:szCs w:val="20"/>
          <w:color w:val="auto"/>
        </w:rPr>
      </w:pPr>
    </w:p>
    <w:p>
      <w:pPr>
        <w:jc w:val="both"/>
        <w:ind w:firstLine="8"/>
        <w:spacing w:after="0" w:line="255" w:lineRule="auto"/>
        <w:tabs>
          <w:tab w:leader="none" w:pos="26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80" w:hanging="106"/>
        <w:spacing w:after="0"/>
        <w:tabs>
          <w:tab w:leader="none" w:pos="5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Initial Purchasers. Neither the Trustee nor the Conversion Agent will have any duty to determine the Last Reported Sale Price.</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Liquidity Conditions</w:t>
      </w:r>
      <w:r>
        <w:rPr>
          <w:rFonts w:ascii="Arial" w:cs="Arial" w:eastAsia="Arial" w:hAnsi="Arial"/>
          <w:sz w:val="17"/>
          <w:szCs w:val="17"/>
          <w:color w:val="auto"/>
        </w:rPr>
        <w:t xml:space="preserve">” with respect to the Redemption of any Notes will be satisfied if each of the following has been satisfied as of the Redemption Notice Date for such Redemption and is reasonably expected to continue to be satisfied through at least the thirtieth (30th) calendar day after the Redemption Date for such Redemption: (A) the Company has satisfied the reporting conditions (including, for the avoidance of doubt, the requirement for current Form 10 information) set forth in Rule 144(c) and (i)(2) under the Securities Act; and (B) the shares of Common Stock, if any, issued or issuable upon conversion of the Notes are Freely Tradable;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Liquidity Conditions will also be deemed to be satisfied with respect to such Redemption if, in accordance with </w:t>
      </w:r>
      <w:r>
        <w:rPr>
          <w:rFonts w:ascii="Arial" w:cs="Arial" w:eastAsia="Arial" w:hAnsi="Arial"/>
          <w:sz w:val="17"/>
          <w:szCs w:val="17"/>
          <w:b w:val="1"/>
          <w:bCs w:val="1"/>
          <w:color w:val="auto"/>
        </w:rPr>
        <w:t>Section 5.03(A)(i)(3)</w:t>
      </w:r>
      <w:r>
        <w:rPr>
          <w:rFonts w:ascii="Arial" w:cs="Arial" w:eastAsia="Arial" w:hAnsi="Arial"/>
          <w:sz w:val="17"/>
          <w:szCs w:val="17"/>
          <w:color w:val="auto"/>
        </w:rPr>
        <w:t>, the Company has elected to settle all conversions of Notes with a Conversion Date that occurs during the related Redemption Conversion Period by Cash Settlement.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Make-Whole Fundamental Change</w:t>
      </w:r>
      <w:r>
        <w:rPr>
          <w:rFonts w:ascii="Arial" w:cs="Arial" w:eastAsia="Arial" w:hAnsi="Arial"/>
          <w:sz w:val="16"/>
          <w:szCs w:val="16"/>
          <w:color w:val="auto"/>
        </w:rPr>
        <w:t xml:space="preserve">” means (A) a Fundamental Change (determined after giving effect to the proviso immediately after </w:t>
      </w:r>
      <w:r>
        <w:rPr>
          <w:rFonts w:ascii="Arial" w:cs="Arial" w:eastAsia="Arial" w:hAnsi="Arial"/>
          <w:sz w:val="16"/>
          <w:szCs w:val="16"/>
          <w:b w:val="1"/>
          <w:bCs w:val="1"/>
          <w:color w:val="auto"/>
        </w:rPr>
        <w:t>clause</w:t>
      </w:r>
    </w:p>
    <w:p>
      <w:pPr>
        <w:spacing w:after="0" w:line="50" w:lineRule="exact"/>
        <w:rPr>
          <w:sz w:val="20"/>
          <w:szCs w:val="20"/>
          <w:color w:val="auto"/>
        </w:rPr>
      </w:pPr>
    </w:p>
    <w:p>
      <w:pPr>
        <w:jc w:val="both"/>
        <w:ind w:firstLine="8"/>
        <w:spacing w:after="0" w:line="253"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of the definition thereof, but without regard to the proviso to </w:t>
      </w:r>
      <w:r>
        <w:rPr>
          <w:rFonts w:ascii="Arial" w:cs="Arial" w:eastAsia="Arial" w:hAnsi="Arial"/>
          <w:sz w:val="18"/>
          <w:szCs w:val="18"/>
          <w:b w:val="1"/>
          <w:bCs w:val="1"/>
          <w:color w:val="auto"/>
        </w:rPr>
        <w:t>clause (B)(ii)</w:t>
      </w:r>
      <w:r>
        <w:rPr>
          <w:rFonts w:ascii="Arial" w:cs="Arial" w:eastAsia="Arial" w:hAnsi="Arial"/>
          <w:sz w:val="18"/>
          <w:szCs w:val="18"/>
          <w:color w:val="auto"/>
        </w:rPr>
        <w:t xml:space="preserve"> of such definition); or (B) the sending of a Redemption Notice pursuant to </w:t>
      </w:r>
      <w:r>
        <w:rPr>
          <w:rFonts w:ascii="Arial" w:cs="Arial" w:eastAsia="Arial" w:hAnsi="Arial"/>
          <w:sz w:val="18"/>
          <w:szCs w:val="18"/>
          <w:b w:val="1"/>
          <w:bCs w:val="1"/>
          <w:color w:val="auto"/>
        </w:rPr>
        <w:t>Section 4.03(G)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subject to</w:t>
      </w:r>
      <w:r>
        <w:rPr>
          <w:rFonts w:ascii="Arial" w:cs="Arial" w:eastAsia="Arial" w:hAnsi="Arial"/>
          <w:sz w:val="18"/>
          <w:szCs w:val="18"/>
          <w:b w:val="1"/>
          <w:bCs w:val="1"/>
          <w:color w:val="auto"/>
        </w:rPr>
        <w:t xml:space="preserve"> Section 4.03(J)</w:t>
      </w:r>
      <w:r>
        <w:rPr>
          <w:rFonts w:ascii="Arial" w:cs="Arial" w:eastAsia="Arial" w:hAnsi="Arial"/>
          <w:sz w:val="18"/>
          <w:szCs w:val="18"/>
          <w:color w:val="auto"/>
        </w:rPr>
        <w:t>, the sending of a Redemption Notice will constitute a Make-Whole Fundamental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Change only with respect to the Notes called (or deemed called pursuant to </w:t>
      </w:r>
      <w:r>
        <w:rPr>
          <w:rFonts w:ascii="Arial" w:cs="Arial" w:eastAsia="Arial" w:hAnsi="Arial"/>
          <w:sz w:val="18"/>
          <w:szCs w:val="18"/>
          <w:b w:val="1"/>
          <w:bCs w:val="1"/>
          <w:color w:val="auto"/>
        </w:rPr>
        <w:t>Section 4.03(J)</w:t>
      </w:r>
      <w:r>
        <w:rPr>
          <w:rFonts w:ascii="Arial" w:cs="Arial" w:eastAsia="Arial" w:hAnsi="Arial"/>
          <w:sz w:val="18"/>
          <w:szCs w:val="18"/>
          <w:color w:val="auto"/>
        </w:rPr>
        <w:t>) for Redemption pursuant to such Redemption Notice and not with respect to any other Notes.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 Conversion Period</w:t>
      </w:r>
      <w:r>
        <w:rPr>
          <w:rFonts w:ascii="Arial" w:cs="Arial" w:eastAsia="Arial" w:hAnsi="Arial"/>
          <w:sz w:val="18"/>
          <w:szCs w:val="18"/>
          <w:color w:val="auto"/>
        </w:rPr>
        <w:t>” has the following meaning:</w:t>
      </w:r>
    </w:p>
    <w:p>
      <w:pPr>
        <w:spacing w:after="0" w:line="229" w:lineRule="exact"/>
        <w:rPr>
          <w:sz w:val="20"/>
          <w:szCs w:val="20"/>
          <w:color w:val="auto"/>
        </w:rPr>
      </w:pPr>
    </w:p>
    <w:p>
      <w:pPr>
        <w:jc w:val="both"/>
        <w:ind w:firstLine="656"/>
        <w:spacing w:after="0" w:line="279" w:lineRule="auto"/>
        <w:tabs>
          <w:tab w:leader="none" w:pos="1304"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case of a Make-Whole Fundamental Change pursuant to clause (A)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case of a Make-Whole Fundamental Change pursuant to clause (B) of the definition thereof, the related Redemption Conversion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580" w:hanging="106"/>
        <w:spacing w:after="0"/>
        <w:tabs>
          <w:tab w:leader="none" w:pos="5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73"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the Conversion Date for the conversion of a Note that is called (or deemed, pursuant to</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4.03(J)</w:t>
      </w:r>
      <w:r>
        <w:rPr>
          <w:rFonts w:ascii="Arial" w:cs="Arial" w:eastAsia="Arial" w:hAnsi="Arial"/>
          <w:sz w:val="17"/>
          <w:szCs w:val="17"/>
          <w:color w:val="auto"/>
        </w:rPr>
        <w:t>, to be called)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Redemption occurs during the Make-Whole Fundamental Change Conversion Period for both a Make-Whole Fundamental Change occurring pursuant to </w:t>
      </w:r>
      <w:r>
        <w:rPr>
          <w:rFonts w:ascii="Arial" w:cs="Arial" w:eastAsia="Arial" w:hAnsi="Arial"/>
          <w:sz w:val="17"/>
          <w:szCs w:val="17"/>
          <w:b w:val="1"/>
          <w:bCs w:val="1"/>
          <w:color w:val="auto"/>
        </w:rPr>
        <w:t xml:space="preserve">clause (A) </w:t>
      </w:r>
      <w:r>
        <w:rPr>
          <w:rFonts w:ascii="Arial" w:cs="Arial" w:eastAsia="Arial" w:hAnsi="Arial"/>
          <w:sz w:val="17"/>
          <w:szCs w:val="17"/>
          <w:color w:val="auto"/>
        </w:rPr>
        <w:t>of the definition of “Make-Whole Fundamental Change” and a Make-Whole Fundamental Change resulting from such Redemption pursuant to</w:t>
      </w:r>
      <w:r>
        <w:rPr>
          <w:rFonts w:ascii="Arial" w:cs="Arial" w:eastAsia="Arial" w:hAnsi="Arial"/>
          <w:sz w:val="17"/>
          <w:szCs w:val="17"/>
          <w:b w:val="1"/>
          <w:bCs w:val="1"/>
          <w:color w:val="auto"/>
        </w:rPr>
        <w:t xml:space="preserve"> clause (B) </w:t>
      </w:r>
      <w:r>
        <w:rPr>
          <w:rFonts w:ascii="Arial" w:cs="Arial" w:eastAsia="Arial" w:hAnsi="Arial"/>
          <w:sz w:val="17"/>
          <w:szCs w:val="17"/>
          <w:color w:val="auto"/>
        </w:rPr>
        <w:t>of such definition, then, notwithstanding anything to the contrary in</w:t>
      </w:r>
      <w:r>
        <w:rPr>
          <w:rFonts w:ascii="Arial" w:cs="Arial" w:eastAsia="Arial" w:hAnsi="Arial"/>
          <w:sz w:val="17"/>
          <w:szCs w:val="17"/>
          <w:b w:val="1"/>
          <w:bCs w:val="1"/>
          <w:color w:val="auto"/>
        </w:rPr>
        <w:t xml:space="preserve"> Section 5.07</w:t>
      </w:r>
      <w:r>
        <w:rPr>
          <w:rFonts w:ascii="Arial" w:cs="Arial" w:eastAsia="Arial" w:hAnsi="Arial"/>
          <w:sz w:val="17"/>
          <w:szCs w:val="17"/>
          <w:color w:val="auto"/>
        </w:rPr>
        <w:t>, solely for purposes of such conversion, (x) such 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 Effective Date</w:t>
      </w:r>
      <w:r>
        <w:rPr>
          <w:rFonts w:ascii="Arial" w:cs="Arial" w:eastAsia="Arial" w:hAnsi="Arial"/>
          <w:sz w:val="18"/>
          <w:szCs w:val="18"/>
          <w:color w:val="auto"/>
        </w:rPr>
        <w:t xml:space="preserve">” means (A) with respect to a Make-Whole Fundamental Change pursuant to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of the definition thereof, the date on which such Make-Whole Fundamental Change occurs or becomes effective; and (B) with respect to a Make-Whole Fundamental Change pursuant to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of the definition thereof, the applicable Redemption Notice Date.</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Disruption Event</w:t>
      </w:r>
      <w:r>
        <w:rPr>
          <w:rFonts w:ascii="Arial" w:cs="Arial" w:eastAsia="Arial" w:hAnsi="Arial"/>
          <w:sz w:val="17"/>
          <w:szCs w:val="17"/>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December 15, 2026.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Non-Affiliate Legend</w:t>
      </w:r>
      <w:r>
        <w:rPr>
          <w:rFonts w:ascii="Arial" w:cs="Arial" w:eastAsia="Arial" w:hAnsi="Arial"/>
          <w:sz w:val="18"/>
          <w:szCs w:val="18"/>
          <w:color w:val="auto"/>
        </w:rPr>
        <w:t xml:space="preserve">” means a legend substantially in the form set forth in </w:t>
      </w:r>
      <w:r>
        <w:rPr>
          <w:rFonts w:ascii="Arial" w:cs="Arial" w:eastAsia="Arial" w:hAnsi="Arial"/>
          <w:sz w:val="18"/>
          <w:szCs w:val="18"/>
          <w:b w:val="1"/>
          <w:bCs w:val="1"/>
          <w:color w:val="auto"/>
        </w:rPr>
        <w:t>Exhibit B-3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Agent</w:t>
      </w:r>
      <w:r>
        <w:rPr>
          <w:rFonts w:ascii="Arial" w:cs="Arial" w:eastAsia="Arial" w:hAnsi="Arial"/>
          <w:sz w:val="18"/>
          <w:szCs w:val="18"/>
          <w:color w:val="auto"/>
        </w:rPr>
        <w:t>” means any Registrar, Paying Agent or Conversion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means the 1.25% Convertible Senior Notes due 2026 issued by the Company pursuant to this Indenture.</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Observation Period</w:t>
      </w:r>
      <w:r>
        <w:rPr>
          <w:rFonts w:ascii="Arial" w:cs="Arial" w:eastAsia="Arial" w:hAnsi="Arial"/>
          <w:sz w:val="17"/>
          <w:szCs w:val="17"/>
          <w:color w:val="auto"/>
        </w:rPr>
        <w:t xml:space="preserve">” means, with respect to any Note to be converted, (A) subject to </w:t>
      </w:r>
      <w:r>
        <w:rPr>
          <w:rFonts w:ascii="Arial" w:cs="Arial" w:eastAsia="Arial" w:hAnsi="Arial"/>
          <w:sz w:val="17"/>
          <w:szCs w:val="17"/>
          <w:b w:val="1"/>
          <w:bCs w:val="1"/>
          <w:color w:val="auto"/>
        </w:rPr>
        <w:t>clause (B)</w:t>
      </w:r>
      <w:r>
        <w:rPr>
          <w:rFonts w:ascii="Arial" w:cs="Arial" w:eastAsia="Arial" w:hAnsi="Arial"/>
          <w:sz w:val="17"/>
          <w:szCs w:val="17"/>
          <w:color w:val="auto"/>
        </w:rPr>
        <w:t xml:space="preserve"> below, if the Conversion Date for such Note occurs before September 15, 2026, the thirty (30) consecutive VWAP Trading Days beginning on, and including, the second (2nd) VWAP Trading Day immediately after such Conversion Date; (B) if such Conversion Date occurs during a Redemption Conversion Period, the thirty (30) consecutive VWAP Trading Days beginning on, and including, the thirty-first (31st) Scheduled Trading Day immediately before the related Redemption Date; and (C) subject to </w:t>
      </w:r>
      <w:r>
        <w:rPr>
          <w:rFonts w:ascii="Arial" w:cs="Arial" w:eastAsia="Arial" w:hAnsi="Arial"/>
          <w:sz w:val="17"/>
          <w:szCs w:val="17"/>
          <w:b w:val="1"/>
          <w:bCs w:val="1"/>
          <w:color w:val="auto"/>
        </w:rPr>
        <w:t>clause (B)</w:t>
      </w:r>
      <w:r>
        <w:rPr>
          <w:rFonts w:ascii="Arial" w:cs="Arial" w:eastAsia="Arial" w:hAnsi="Arial"/>
          <w:sz w:val="17"/>
          <w:szCs w:val="17"/>
          <w:color w:val="auto"/>
        </w:rPr>
        <w:t xml:space="preserve"> above, if such Conversion Date occurs on or after September 15, 2026, the thirty (30) consecutive VWAP Trading Days beginning on, and including, the thirty-first (31st) Scheduled Trading Day immediately before the Maturity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the Chief Executive Officer, the President, the Chief Operating Officer, the Chief Financial Officer, the Treasurer, any Assistant Treasurer, the Controller, the Secretary or any Vice-President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means a certificate that is signed on behalf of the Company by one (1) of its Officers and that meets the requirements of </w:t>
      </w:r>
      <w:r>
        <w:rPr>
          <w:rFonts w:ascii="Arial" w:cs="Arial" w:eastAsia="Arial" w:hAnsi="Arial"/>
          <w:sz w:val="18"/>
          <w:szCs w:val="18"/>
          <w:b w:val="1"/>
          <w:bCs w:val="1"/>
          <w:color w:val="auto"/>
        </w:rPr>
        <w:t>Section 11.03</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xml:space="preserve">” means an opinion, from legal counsel (including an employee of, or counsel to, the Company or any of its Subsidiaries) reasonably acceptable to the Trustee, that meets the requirements of </w:t>
      </w:r>
      <w:r>
        <w:rPr>
          <w:rFonts w:ascii="Arial" w:cs="Arial" w:eastAsia="Arial" w:hAnsi="Arial"/>
          <w:sz w:val="16"/>
          <w:szCs w:val="16"/>
          <w:b w:val="1"/>
          <w:bCs w:val="1"/>
          <w:color w:val="auto"/>
        </w:rPr>
        <w:t>Section 11.03</w:t>
      </w:r>
      <w:r>
        <w:rPr>
          <w:rFonts w:ascii="Arial" w:cs="Arial" w:eastAsia="Arial" w:hAnsi="Arial"/>
          <w:sz w:val="16"/>
          <w:szCs w:val="16"/>
          <w:color w:val="auto"/>
        </w:rPr>
        <w:t>, subject to customary qualifications and exclusions.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Party</w:t>
      </w:r>
      <w:r>
        <w:rPr>
          <w:rFonts w:ascii="Arial" w:cs="Arial" w:eastAsia="Arial" w:hAnsi="Arial"/>
          <w:sz w:val="17"/>
          <w:szCs w:val="17"/>
          <w:color w:val="auto"/>
        </w:rPr>
        <w:t xml:space="preserve">” means Ayar Third Investment Company, the Public Investment Fund or any of their respective Affiliates. If any such Permitted Party is a natural person, “Permitted Party” shall include: (i) a “Permitted Trust” (as defined in this </w:t>
      </w:r>
      <w:r>
        <w:rPr>
          <w:rFonts w:ascii="Arial" w:cs="Arial" w:eastAsia="Arial" w:hAnsi="Arial"/>
          <w:sz w:val="17"/>
          <w:szCs w:val="17"/>
          <w:b w:val="1"/>
          <w:bCs w:val="1"/>
          <w:color w:val="auto"/>
        </w:rPr>
        <w:t>Section 1.01</w:t>
      </w:r>
      <w:r>
        <w:rPr>
          <w:rFonts w:ascii="Arial" w:cs="Arial" w:eastAsia="Arial" w:hAnsi="Arial"/>
          <w:sz w:val="17"/>
          <w:szCs w:val="17"/>
          <w:color w:val="auto"/>
        </w:rPr>
        <w:t>) of such person that is solely for the benefit of (1) such person; (2) one or more Family Members of such person; or (3) any other Permitted Party that is an Affiliate of such person; or (ii) any general partnership, limited partnership, limited liability company, corporation or other entity exclusively owned by (1) such person; (2) one or more Family Members of such person; or (3) any other Permitted Party that is an Affiliate of such person.</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Trust</w:t>
      </w:r>
      <w:r>
        <w:rPr>
          <w:rFonts w:ascii="Arial" w:cs="Arial" w:eastAsia="Arial" w:hAnsi="Arial"/>
          <w:sz w:val="18"/>
          <w:szCs w:val="18"/>
          <w:color w:val="auto"/>
        </w:rPr>
        <w:t>” of a person means a bona fide trust where each trustee is (i) such person; (ii) a Family Member of such person; or (iii) a professional in the business of providing trustee services, including private professional fiduciaries, trust companies and bank trust departments, acting in such capacity.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Note</w:t>
      </w:r>
      <w:r>
        <w:rPr>
          <w:rFonts w:ascii="Arial" w:cs="Arial" w:eastAsia="Arial" w:hAnsi="Arial"/>
          <w:sz w:val="18"/>
          <w:szCs w:val="18"/>
          <w:color w:val="auto"/>
        </w:rPr>
        <w:t xml:space="preserve">” means a Note (other than a Global Note) that is represented by a certificate substantially in the form set forth in </w:t>
      </w:r>
      <w:r>
        <w:rPr>
          <w:rFonts w:ascii="Arial" w:cs="Arial" w:eastAsia="Arial" w:hAnsi="Arial"/>
          <w:sz w:val="18"/>
          <w:szCs w:val="18"/>
          <w:b w:val="1"/>
          <w:bCs w:val="1"/>
          <w:color w:val="auto"/>
        </w:rPr>
        <w:t>Exhibit A</w:t>
      </w:r>
      <w:r>
        <w:rPr>
          <w:rFonts w:ascii="Arial" w:cs="Arial" w:eastAsia="Arial" w:hAnsi="Arial"/>
          <w:sz w:val="18"/>
          <w:szCs w:val="18"/>
          <w:color w:val="auto"/>
        </w:rPr>
        <w:t>, registered in the name of the Holder of such Note and duly executed by the Company and authenticated by the Trustee.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that certain Purchase Agreement, dated December 9, 2021, between the Company and BofA Securities, Inc. and Citigroup Global Markets Inc., as representatives of the several Initial Purchasers.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means the repurchase of any Note by the Company pursuant to </w:t>
      </w:r>
      <w:r>
        <w:rPr>
          <w:rFonts w:ascii="Arial" w:cs="Arial" w:eastAsia="Arial" w:hAnsi="Arial"/>
          <w:sz w:val="18"/>
          <w:szCs w:val="18"/>
          <w:b w:val="1"/>
          <w:bCs w:val="1"/>
          <w:color w:val="auto"/>
        </w:rPr>
        <w:t>Section 4.03</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Conversion Period</w:t>
      </w:r>
      <w:r>
        <w:rPr>
          <w:rFonts w:ascii="Arial" w:cs="Arial" w:eastAsia="Arial" w:hAnsi="Arial"/>
          <w:sz w:val="17"/>
          <w:szCs w:val="17"/>
          <w:color w:val="auto"/>
        </w:rPr>
        <w:t>” means, with respect to any Redemption, the period from, and including, the related Redemption Notice Date until the Close of Business on the second (2nd) Scheduled Trading Day immediately before the related Redemption Date (or, if the Company fails to pay the Redemption Price due on such Redemption Date in full, until such time as the Company pays such Redemption Price in full).</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xml:space="preserve">” means the date fixed, pursuant to </w:t>
      </w:r>
      <w:r>
        <w:rPr>
          <w:rFonts w:ascii="Arial" w:cs="Arial" w:eastAsia="Arial" w:hAnsi="Arial"/>
          <w:sz w:val="18"/>
          <w:szCs w:val="18"/>
          <w:b w:val="1"/>
          <w:bCs w:val="1"/>
          <w:color w:val="auto"/>
        </w:rPr>
        <w:t>Section 4.03(E)</w:t>
      </w:r>
      <w:r>
        <w:rPr>
          <w:rFonts w:ascii="Arial" w:cs="Arial" w:eastAsia="Arial" w:hAnsi="Arial"/>
          <w:sz w:val="18"/>
          <w:szCs w:val="18"/>
          <w:color w:val="auto"/>
        </w:rPr>
        <w:t>, for the settlement of the repurchase of any Notes by the Company pursuant to a Redemption.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 Date</w:t>
      </w:r>
      <w:r>
        <w:rPr>
          <w:rFonts w:ascii="Arial" w:cs="Arial" w:eastAsia="Arial" w:hAnsi="Arial"/>
          <w:sz w:val="18"/>
          <w:szCs w:val="18"/>
          <w:color w:val="auto"/>
        </w:rPr>
        <w:t xml:space="preserve">” means, with respect to a Redemption, the date on which the Company sends the Redemption Notice for such Redemption pursuant to </w:t>
      </w:r>
      <w:r>
        <w:rPr>
          <w:rFonts w:ascii="Arial" w:cs="Arial" w:eastAsia="Arial" w:hAnsi="Arial"/>
          <w:sz w:val="18"/>
          <w:szCs w:val="18"/>
          <w:b w:val="1"/>
          <w:bCs w:val="1"/>
          <w:color w:val="auto"/>
        </w:rPr>
        <w:t>Section 4.03(G)</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means the cash price payable by the Company to redeem any Note upon its Redemption, calculated pursuant to </w:t>
      </w:r>
      <w:r>
        <w:rPr>
          <w:rFonts w:ascii="Arial" w:cs="Arial" w:eastAsia="Arial" w:hAnsi="Arial"/>
          <w:sz w:val="16"/>
          <w:szCs w:val="16"/>
          <w:b w:val="1"/>
          <w:bCs w:val="1"/>
          <w:color w:val="auto"/>
        </w:rPr>
        <w:t>Section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4.03(F)</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Regular Record Date</w:t>
      </w:r>
      <w:r>
        <w:rPr>
          <w:rFonts w:ascii="Arial" w:cs="Arial" w:eastAsia="Arial" w:hAnsi="Arial"/>
          <w:sz w:val="17"/>
          <w:szCs w:val="17"/>
          <w:color w:val="auto"/>
        </w:rPr>
        <w:t>” has the following meaning with respect to an Interest Payment Date: (A) if such Interest Payment Date occurs on June 15, the immediately preceding June 1; and (B) if such Interest Payment Date occurs on December 15, the immediately preceding December 1.</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Upon Fundamental Change</w:t>
      </w:r>
      <w:r>
        <w:rPr>
          <w:rFonts w:ascii="Arial" w:cs="Arial" w:eastAsia="Arial" w:hAnsi="Arial"/>
          <w:sz w:val="18"/>
          <w:szCs w:val="18"/>
          <w:color w:val="auto"/>
        </w:rPr>
        <w:t xml:space="preserve">” means the repurchase of any Note by the Company pursuant to </w:t>
      </w:r>
      <w:r>
        <w:rPr>
          <w:rFonts w:ascii="Arial" w:cs="Arial" w:eastAsia="Arial" w:hAnsi="Arial"/>
          <w:sz w:val="18"/>
          <w:szCs w:val="18"/>
          <w:b w:val="1"/>
          <w:bCs w:val="1"/>
          <w:color w:val="auto"/>
        </w:rPr>
        <w:t>Section 4.02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means (A) any officer within the corporate trust department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in each case, who will have direct responsibility for the administration of this Indenture.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Note Legend</w:t>
      </w:r>
      <w:r>
        <w:rPr>
          <w:rFonts w:ascii="Arial" w:cs="Arial" w:eastAsia="Arial" w:hAnsi="Arial"/>
          <w:sz w:val="18"/>
          <w:szCs w:val="18"/>
          <w:color w:val="auto"/>
        </w:rPr>
        <w:t xml:space="preserve">” means a legend substantially in the form set forth in </w:t>
      </w:r>
      <w:r>
        <w:rPr>
          <w:rFonts w:ascii="Arial" w:cs="Arial" w:eastAsia="Arial" w:hAnsi="Arial"/>
          <w:sz w:val="18"/>
          <w:szCs w:val="18"/>
          <w:b w:val="1"/>
          <w:bCs w:val="1"/>
          <w:color w:val="auto"/>
        </w:rPr>
        <w:t>Exhibit B-1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Stock Legend</w:t>
      </w:r>
      <w:r>
        <w:rPr>
          <w:rFonts w:ascii="Arial" w:cs="Arial" w:eastAsia="Arial" w:hAnsi="Arial"/>
          <w:sz w:val="16"/>
          <w:szCs w:val="16"/>
          <w:color w:val="auto"/>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144</w:t>
      </w:r>
      <w:r>
        <w:rPr>
          <w:rFonts w:ascii="Arial" w:cs="Arial" w:eastAsia="Arial" w:hAnsi="Arial"/>
          <w:sz w:val="17"/>
          <w:szCs w:val="17"/>
          <w:color w:val="auto"/>
        </w:rPr>
        <w:t>” means Rule 144 under the Securities Act (or any successor rule thereto), as the same may be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144A</w:t>
      </w:r>
      <w:r>
        <w:rPr>
          <w:rFonts w:ascii="Arial" w:cs="Arial" w:eastAsia="Arial" w:hAnsi="Arial"/>
          <w:sz w:val="17"/>
          <w:szCs w:val="17"/>
          <w:color w:val="auto"/>
        </w:rPr>
        <w:t>” means Rule 144A under the Securities Act (or any successor rule thereto), as the same may be amended from time to time.</w:t>
      </w:r>
    </w:p>
    <w:p>
      <w:pPr>
        <w:spacing w:after="0" w:line="23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Scheduled Trading Day</w:t>
      </w:r>
      <w:r>
        <w:rPr>
          <w:rFonts w:ascii="Arial" w:cs="Arial" w:eastAsia="Arial" w:hAnsi="Arial"/>
          <w:sz w:val="16"/>
          <w:szCs w:val="16"/>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any Note or Conversion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Method</w:t>
      </w:r>
      <w:r>
        <w:rPr>
          <w:rFonts w:ascii="Arial" w:cs="Arial" w:eastAsia="Arial" w:hAnsi="Arial"/>
          <w:sz w:val="18"/>
          <w:szCs w:val="18"/>
          <w:color w:val="auto"/>
        </w:rPr>
        <w:t>” means Cash Settlement, Physical Settlement or Combination Settlement.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Shoe Option</w:t>
      </w:r>
      <w:r>
        <w:rPr>
          <w:rFonts w:ascii="Arial" w:cs="Arial" w:eastAsia="Arial" w:hAnsi="Arial"/>
          <w:sz w:val="18"/>
          <w:szCs w:val="18"/>
          <w:color w:val="auto"/>
        </w:rPr>
        <w:t>” means the Initial Purchasers’ option to purchase up to two hundred sixty-two million five hundred thousand dollars ($262,500,000) aggregate principal amount of additional Notes as provided for in the Purchase Agreement.</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Significant Subsidiary</w:t>
      </w:r>
      <w:r>
        <w:rPr>
          <w:rFonts w:ascii="Arial" w:cs="Arial" w:eastAsia="Arial" w:hAnsi="Arial"/>
          <w:sz w:val="17"/>
          <w:szCs w:val="17"/>
          <w:color w:val="auto"/>
        </w:rPr>
        <w:t xml:space="preserve">” means, with respect to any Person, any Subsidiary of such Person that constitutes a “significant subsidiary” (as defined in Rule 1-02(w) of Regulation S-X under the Exchange Act) of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a Subsidiary that meets the criteria of clause (1)(iii) of the definition thereof, but not clause (1)(i) or (1)(ii) thereof, such Subsidiary will not be deemed to be a Significant Subsidiary of such Person unless the Subsidiary’s income or loss from continuing operations before income taxes (after intercompany eliminations) for the most recently completed fiscal year prior to the date of such determination exceeds ten million dollars ($10,000,000) (with such amount calculated pursuant to such rule). For purposes of this definition, Rule 1-02(w) of Regulation S-X refers to such rule as in effect on the Issue Date.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Interest</w:t>
      </w:r>
      <w:r>
        <w:rPr>
          <w:rFonts w:ascii="Arial" w:cs="Arial" w:eastAsia="Arial" w:hAnsi="Arial"/>
          <w:sz w:val="18"/>
          <w:szCs w:val="18"/>
          <w:color w:val="auto"/>
        </w:rPr>
        <w:t xml:space="preserve">” means any interest that accrues on any Note pursuant to </w:t>
      </w:r>
      <w:r>
        <w:rPr>
          <w:rFonts w:ascii="Arial" w:cs="Arial" w:eastAsia="Arial" w:hAnsi="Arial"/>
          <w:sz w:val="18"/>
          <w:szCs w:val="18"/>
          <w:b w:val="1"/>
          <w:bCs w:val="1"/>
          <w:color w:val="auto"/>
        </w:rPr>
        <w:t>Section 7.03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Dollar Amount</w:t>
      </w:r>
      <w:r>
        <w:rPr>
          <w:rFonts w:ascii="Arial" w:cs="Arial" w:eastAsia="Arial" w:hAnsi="Arial"/>
          <w:sz w:val="17"/>
          <w:szCs w:val="17"/>
          <w:color w:val="auto"/>
        </w:rPr>
        <w:t>” means, with respect to the conversion of a Note to which Combination Settlement applies, the maximum cash amount per $1,000 principal amount of such Note deliverable upon such conversion (excluding cash in lieu of any fractional share of Common Stock).</w:t>
      </w:r>
    </w:p>
    <w:p>
      <w:pPr>
        <w:spacing w:after="0" w:line="14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Price</w:t>
      </w:r>
      <w:r>
        <w:rPr>
          <w:rFonts w:ascii="Arial" w:cs="Arial" w:eastAsia="Arial" w:hAnsi="Arial"/>
          <w:sz w:val="18"/>
          <w:szCs w:val="18"/>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Arial" w:cs="Arial" w:eastAsia="Arial" w:hAnsi="Arial"/>
          <w:sz w:val="18"/>
          <w:szCs w:val="18"/>
          <w:b w:val="1"/>
          <w:bCs w:val="1"/>
          <w:color w:val="auto"/>
        </w:rPr>
        <w:t xml:space="preserve">clause (B) </w:t>
      </w:r>
      <w:r>
        <w:rPr>
          <w:rFonts w:ascii="Arial" w:cs="Arial" w:eastAsia="Arial" w:hAnsi="Arial"/>
          <w:sz w:val="18"/>
          <w:szCs w:val="18"/>
          <w:color w:val="auto"/>
        </w:rPr>
        <w:t>of the definition of “Fundamental Change,” then the Stock Price is the amount of cash paid per share of Common Stock in such Make-Whole</w:t>
      </w:r>
      <w:r>
        <w:rPr>
          <w:rFonts w:ascii="Arial" w:cs="Arial" w:eastAsia="Arial" w:hAnsi="Arial"/>
          <w:sz w:val="18"/>
          <w:szCs w:val="18"/>
          <w:b w:val="1"/>
          <w:bCs w:val="1"/>
          <w:color w:val="auto"/>
        </w:rPr>
        <w:t xml:space="preserve"> </w:t>
      </w:r>
      <w:r>
        <w:rPr>
          <w:rFonts w:ascii="Arial" w:cs="Arial" w:eastAsia="Arial" w:hAnsi="Arial"/>
          <w:sz w:val="18"/>
          <w:szCs w:val="18"/>
          <w:color w:val="auto"/>
        </w:rPr>
        <w:t>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of the Notes on any Trading Day means the average of the secondary market bid quotations, expressed as a cash amount per $1,000 principal amount of Notes, obtained by the Bid Solicitation Agent for two million dollars ($2,000,000)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two million dollars ($2,000,000)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Transfer-Restricted Security</w:t>
      </w:r>
      <w:r>
        <w:rPr>
          <w:rFonts w:ascii="Arial" w:cs="Arial" w:eastAsia="Arial" w:hAnsi="Arial"/>
          <w:sz w:val="16"/>
          <w:szCs w:val="16"/>
          <w:color w:val="auto"/>
        </w:rPr>
        <w:t xml:space="preserve">” means any Security that constitutes a “restricted security” (as defined in Rule 144);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Security will cease to be a Transfer-Restricted Security upon the earliest to occur of the following events:</w:t>
      </w:r>
    </w:p>
    <w:p>
      <w:pPr>
        <w:spacing w:after="0" w:line="211" w:lineRule="exact"/>
        <w:rPr>
          <w:sz w:val="20"/>
          <w:szCs w:val="20"/>
          <w:color w:val="auto"/>
        </w:rPr>
      </w:pPr>
    </w:p>
    <w:p>
      <w:pPr>
        <w:jc w:val="both"/>
        <w:ind w:firstLine="656"/>
        <w:spacing w:after="0" w:line="263"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Security is sold or otherwise transferred to a Person (other than the Company or an Affiliate of the Company or a Person that was an Affiliate of the Company in the three months immediately preceding) pursuant to a registration statement that was effective under the Securities Act at the time of such sale or transfer;</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229"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Security is sold or otherwise transferred to a Person (other than the Company or an Affiliate of the Company or a Person that was an Affiliate of the Company in the three months immediately preceding)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243"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is under no obligation to determine whether any Security is a Transfer-Restricted Security and may conclusively rely on an Officer’s Certificate with respect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U.S. Trust Indenture Act of 1939, as amended.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Person named as such in the first paragraph of this Indenture until a successor replaces it in accordance with the provisions of this Indenture and, thereafter, means such successor.</w:t>
      </w:r>
    </w:p>
    <w:p>
      <w:pPr>
        <w:spacing w:after="0" w:line="1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VWAP Market Disruption Event</w:t>
      </w:r>
      <w:r>
        <w:rPr>
          <w:rFonts w:ascii="Arial" w:cs="Arial" w:eastAsia="Arial" w:hAnsi="Arial"/>
          <w:sz w:val="16"/>
          <w:szCs w:val="16"/>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Trading Day</w:t>
      </w:r>
      <w:r>
        <w:rPr>
          <w:rFonts w:ascii="Arial" w:cs="Arial" w:eastAsia="Arial" w:hAnsi="Arial"/>
          <w:sz w:val="18"/>
          <w:szCs w:val="18"/>
          <w:color w:val="auto"/>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8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r>
              <w:rPr>
                <w:rFonts w:ascii="Arial" w:cs="Arial" w:eastAsia="Arial" w:hAnsi="Arial"/>
                <w:sz w:val="18"/>
                <w:szCs w:val="18"/>
                <w:b w:val="1"/>
                <w:bCs w:val="1"/>
                <w:color w:val="auto"/>
              </w:rPr>
              <w:t>Section 1.02.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9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Defined in</w:t>
            </w: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Term</w:t>
            </w:r>
          </w:p>
        </w:tc>
        <w:tc>
          <w:tcPr>
            <w:tcW w:w="2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Section</w:t>
            </w:r>
          </w:p>
        </w:tc>
      </w:tr>
      <w:tr>
        <w:trPr>
          <w:trHeight w:val="191"/>
        </w:trPr>
        <w:tc>
          <w:tcPr>
            <w:tcW w:w="99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5.07(A)</w:t>
            </w:r>
          </w:p>
        </w:tc>
        <w:tc>
          <w:tcPr>
            <w:tcW w:w="20" w:type="dxa"/>
            <w:vAlign w:val="bottom"/>
          </w:tcPr>
          <w:p>
            <w:pPr>
              <w:spacing w:after="0"/>
              <w:rPr>
                <w:sz w:val="16"/>
                <w:szCs w:val="16"/>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 Event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6.01(A)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5.03(A)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Settlement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5.03(A)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Change Event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5.09(A)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Agent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Consideration</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5.03(B)</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Interest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2.05(B)</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Amount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2.05(B)</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7.01(A)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5.05(A)(v)</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Time</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5.05(A)(v)</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Notice</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4.02(E)</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Right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4.02(A)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Notes</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2.03(A)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5.01(C)(i)(2)</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Partial Redemption Limitation</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4.03(C)</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Settlement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5.03(A)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4.03(G)</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5.09(A)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 Unit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5.09(A)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2.06(B)</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Event of Default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7.03(A)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Courts</w:t>
            </w: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11.07</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5.05(A)(iii)(2)</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 Valuation Period</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5.05(A)(iii)(2)</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Interest</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6.01(A)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Person</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5.09(A)</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Tender/Exchange Offer Valuation Period</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5.05(A)(v)</w:t>
            </w:r>
          </w:p>
        </w:tc>
      </w:tr>
      <w:tr>
        <w:trPr>
          <w:trHeight w:val="234"/>
        </w:trPr>
        <w:tc>
          <w:tcPr>
            <w:tcW w:w="9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Price Condition</w:t>
            </w: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5.01(C)(i)(2)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R</w:t>
      </w:r>
      <w:r>
        <w:rPr>
          <w:rFonts w:ascii="Arial" w:cs="Arial" w:eastAsia="Arial" w:hAnsi="Arial"/>
          <w:sz w:val="12"/>
          <w:szCs w:val="12"/>
          <w:b w:val="1"/>
          <w:bCs w:val="1"/>
          <w:color w:val="auto"/>
        </w:rPr>
        <w:t>ULES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ONSTRUCTION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Indenture:</w:t>
      </w:r>
    </w:p>
    <w:p>
      <w:pPr>
        <w:spacing w:after="0" w:line="225" w:lineRule="exact"/>
        <w:rPr>
          <w:sz w:val="20"/>
          <w:szCs w:val="20"/>
          <w:color w:val="auto"/>
        </w:rPr>
      </w:pPr>
    </w:p>
    <w:p>
      <w:pPr>
        <w:ind w:left="1500" w:hanging="844"/>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expresses a command;</w:t>
      </w:r>
    </w:p>
    <w:p>
      <w:pPr>
        <w:spacing w:after="0" w:line="225" w:lineRule="exact"/>
        <w:rPr>
          <w:rFonts w:ascii="Arial" w:cs="Arial" w:eastAsia="Arial" w:hAnsi="Arial"/>
          <w:sz w:val="18"/>
          <w:szCs w:val="18"/>
          <w:color w:val="auto"/>
        </w:rPr>
      </w:pPr>
    </w:p>
    <w:p>
      <w:pPr>
        <w:ind w:left="1500" w:hanging="844"/>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of a set of numerical values refers to the arithmetic average of such numerical values;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56"/>
        <w:spacing w:after="0" w:line="263" w:lineRule="auto"/>
        <w:tabs>
          <w:tab w:leader="none" w:pos="16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183" w:lineRule="exact"/>
        <w:rPr>
          <w:rFonts w:ascii="Arial" w:cs="Arial" w:eastAsia="Arial" w:hAnsi="Arial"/>
          <w:sz w:val="18"/>
          <w:szCs w:val="18"/>
          <w:color w:val="auto"/>
        </w:rPr>
      </w:pPr>
    </w:p>
    <w:p>
      <w:pPr>
        <w:ind w:left="1500" w:hanging="844"/>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unless the context requires otherwise;</w:t>
      </w:r>
    </w:p>
    <w:p>
      <w:pPr>
        <w:spacing w:after="0" w:line="225" w:lineRule="exact"/>
        <w:rPr>
          <w:rFonts w:ascii="Arial" w:cs="Arial" w:eastAsia="Arial" w:hAnsi="Arial"/>
          <w:sz w:val="18"/>
          <w:szCs w:val="18"/>
          <w:color w:val="auto"/>
        </w:rPr>
      </w:pPr>
    </w:p>
    <w:p>
      <w:pPr>
        <w:ind w:right="20" w:firstLine="656"/>
        <w:spacing w:after="0" w:line="277" w:lineRule="auto"/>
        <w:tabs>
          <w:tab w:leader="none" w:pos="16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Indenture as a whole and not to any particular Article, Section or other subdivision of this Indenture, unless the context requires otherwise;</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references to currency mean the lawful currency of the United States of America, unless the context requires otherwise;</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exhibits, schedules and other attachments to this Indenture are deemed to form part of this Indenture; and</w:t>
      </w:r>
    </w:p>
    <w:p>
      <w:pPr>
        <w:spacing w:after="0" w:line="221" w:lineRule="exact"/>
        <w:rPr>
          <w:rFonts w:ascii="Arial" w:cs="Arial" w:eastAsia="Arial" w:hAnsi="Arial"/>
          <w:sz w:val="18"/>
          <w:szCs w:val="18"/>
          <w:color w:val="auto"/>
        </w:rPr>
      </w:pPr>
    </w:p>
    <w:p>
      <w:pPr>
        <w:ind w:left="1820" w:hanging="1164"/>
        <w:spacing w:after="0"/>
        <w:tabs>
          <w:tab w:leader="none" w:pos="1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interest</w:t>
      </w:r>
      <w:r>
        <w:rPr>
          <w:rFonts w:ascii="Arial" w:cs="Arial" w:eastAsia="Arial" w:hAnsi="Arial"/>
          <w:sz w:val="16"/>
          <w:szCs w:val="16"/>
          <w:color w:val="auto"/>
        </w:rPr>
        <w:t>,” when used with respect to a Note, includes any Additional Interest and Special Interest, unless the context</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requires otherwise.</w:t>
      </w:r>
    </w:p>
    <w:p>
      <w:pPr>
        <w:spacing w:after="0" w:line="207" w:lineRule="exact"/>
        <w:rPr>
          <w:sz w:val="20"/>
          <w:szCs w:val="20"/>
          <w:color w:val="auto"/>
        </w:rPr>
      </w:pPr>
    </w:p>
    <w:p>
      <w:pPr>
        <w:ind w:left="4520"/>
        <w:spacing w:after="0"/>
        <w:tabs>
          <w:tab w:leader="none" w:pos="566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8"/>
          <w:szCs w:val="18"/>
          <w:b w:val="1"/>
          <w:bCs w:val="1"/>
          <w:color w:val="auto"/>
        </w:rPr>
        <w:t>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2.01. F</w:t>
      </w:r>
      <w:r>
        <w:rPr>
          <w:rFonts w:ascii="Arial" w:cs="Arial" w:eastAsia="Arial" w:hAnsi="Arial"/>
          <w:sz w:val="12"/>
          <w:szCs w:val="12"/>
          <w:b w:val="1"/>
          <w:bCs w:val="1"/>
          <w:color w:val="auto"/>
        </w:rPr>
        <w:t>ORM</w:t>
      </w:r>
      <w:r>
        <w:rPr>
          <w:rFonts w:ascii="Arial" w:cs="Arial" w:eastAsia="Arial" w:hAnsi="Arial"/>
          <w:sz w:val="18"/>
          <w:szCs w:val="18"/>
          <w:b w:val="1"/>
          <w:bCs w:val="1"/>
          <w:color w:val="auto"/>
        </w:rPr>
        <w:t>, D</w:t>
      </w:r>
      <w:r>
        <w:rPr>
          <w:rFonts w:ascii="Arial" w:cs="Arial" w:eastAsia="Arial" w:hAnsi="Arial"/>
          <w:sz w:val="12"/>
          <w:szCs w:val="12"/>
          <w:b w:val="1"/>
          <w:bCs w:val="1"/>
          <w:color w:val="auto"/>
        </w:rPr>
        <w:t>ATING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ENOMINATIONS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 Notes and the Trustee’s certificate of authentication will be substantially in the form set forth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Notes will bear the legends required by </w:t>
      </w:r>
      <w:r>
        <w:rPr>
          <w:rFonts w:ascii="Arial" w:cs="Arial" w:eastAsia="Arial" w:hAnsi="Arial"/>
          <w:sz w:val="18"/>
          <w:szCs w:val="18"/>
          <w:b w:val="1"/>
          <w:bCs w:val="1"/>
          <w:color w:val="auto"/>
        </w:rPr>
        <w:t>Section 2.09</w:t>
      </w:r>
      <w:r>
        <w:rPr>
          <w:rFonts w:ascii="Arial" w:cs="Arial" w:eastAsia="Arial" w:hAnsi="Arial"/>
          <w:sz w:val="18"/>
          <w:szCs w:val="18"/>
          <w:color w:val="auto"/>
        </w:rPr>
        <w:t xml:space="preserve"> and may bear notations, legends or endorsements required by law, stock exchange rule or usage or the Depositary. Each Note will be dated as of the date of its authentication.</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Arial" w:cs="Arial" w:eastAsia="Arial" w:hAnsi="Arial"/>
          <w:sz w:val="18"/>
          <w:szCs w:val="18"/>
          <w:b w:val="1"/>
          <w:bCs w:val="1"/>
          <w:color w:val="auto"/>
        </w:rPr>
        <w:t>Section 2.10</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will be issuable only in registered form without interest coupons and only in Authorized Denominations.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certificate representing a Note will bear a unique registration number that is not affixed to any other certificate representing another outstanding Note.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to the extent that any provision of any Note conflicts with the provisions of this Indenture, the provisions of this Indenture will control for purposes of this Indenture and such Note.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Section 2.02. E</w:t>
      </w:r>
      <w:r>
        <w:rPr>
          <w:rFonts w:ascii="Arial" w:cs="Arial" w:eastAsia="Arial" w:hAnsi="Arial"/>
          <w:sz w:val="12"/>
          <w:szCs w:val="12"/>
          <w:b w:val="1"/>
          <w:bCs w:val="1"/>
          <w:color w:val="auto"/>
        </w:rPr>
        <w:t>XECUTION</w:t>
      </w:r>
      <w:r>
        <w:rPr>
          <w:rFonts w:ascii="Arial" w:cs="Arial" w:eastAsia="Arial" w:hAnsi="Arial"/>
          <w:sz w:val="18"/>
          <w:szCs w:val="18"/>
          <w:b w:val="1"/>
          <w:bCs w:val="1"/>
          <w:color w:val="auto"/>
        </w:rPr>
        <w:t>, A</w:t>
      </w:r>
      <w:r>
        <w:rPr>
          <w:rFonts w:ascii="Arial" w:cs="Arial" w:eastAsia="Arial" w:hAnsi="Arial"/>
          <w:sz w:val="12"/>
          <w:szCs w:val="12"/>
          <w:b w:val="1"/>
          <w:bCs w:val="1"/>
          <w:color w:val="auto"/>
        </w:rPr>
        <w:t>UTHENTICATION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ELIVERY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63" w:lineRule="auto"/>
        <w:tabs>
          <w:tab w:leader="none" w:pos="1617"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Due Execution by the Company</w:t>
      </w:r>
      <w:r>
        <w:rPr>
          <w:rFonts w:ascii="Arial" w:cs="Arial" w:eastAsia="Arial" w:hAnsi="Arial"/>
          <w:sz w:val="18"/>
          <w:szCs w:val="18"/>
          <w:color w:val="auto"/>
        </w:rPr>
        <w:t>. At least one (1) duly authorized Officer will sign the Notes on behalf of the Company by manual,</w:t>
      </w:r>
      <w:r>
        <w:rPr>
          <w:rFonts w:ascii="Arial" w:cs="Arial" w:eastAsia="Arial" w:hAnsi="Arial"/>
          <w:sz w:val="18"/>
          <w:szCs w:val="18"/>
          <w:i w:val="1"/>
          <w:iCs w:val="1"/>
          <w:color w:val="auto"/>
        </w:rPr>
        <w:t xml:space="preserve"> </w:t>
      </w:r>
      <w:r>
        <w:rPr>
          <w:rFonts w:ascii="Arial" w:cs="Arial" w:eastAsia="Arial" w:hAnsi="Arial"/>
          <w:sz w:val="18"/>
          <w:szCs w:val="18"/>
          <w:color w:val="auto"/>
        </w:rPr>
        <w:t>facsimile or other electronic signature. A Note’s validity will not be affected by the failure of any Officer whose signature is on any Note to hold, at the time such Note is authenticated, the same or any other office at the Company.</w:t>
      </w:r>
    </w:p>
    <w:p>
      <w:pPr>
        <w:spacing w:after="0" w:line="183" w:lineRule="exact"/>
        <w:rPr>
          <w:rFonts w:ascii="Arial" w:cs="Arial" w:eastAsia="Arial" w:hAnsi="Arial"/>
          <w:sz w:val="18"/>
          <w:szCs w:val="18"/>
          <w:color w:val="auto"/>
        </w:rPr>
      </w:pPr>
    </w:p>
    <w:p>
      <w:pPr>
        <w:ind w:left="1520" w:hanging="864"/>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Authentication by the Trustee and Delivery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4"/>
        <w:spacing w:after="0" w:line="342" w:lineRule="auto"/>
        <w:tabs>
          <w:tab w:leader="none" w:pos="2296" w:val="left"/>
        </w:tabs>
        <w:numPr>
          <w:ilvl w:val="1"/>
          <w:numId w:val="12"/>
        </w:numPr>
        <w:rPr>
          <w:rFonts w:ascii="Arial" w:cs="Arial" w:eastAsia="Arial" w:hAnsi="Arial"/>
          <w:sz w:val="16"/>
          <w:szCs w:val="16"/>
          <w:color w:val="auto"/>
        </w:rPr>
      </w:pPr>
      <w:r>
        <w:rPr>
          <w:rFonts w:ascii="Arial" w:cs="Arial" w:eastAsia="Arial" w:hAnsi="Arial"/>
          <w:sz w:val="16"/>
          <w:szCs w:val="16"/>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23" w:lineRule="exact"/>
        <w:rPr>
          <w:rFonts w:ascii="Arial" w:cs="Arial" w:eastAsia="Arial" w:hAnsi="Arial"/>
          <w:sz w:val="16"/>
          <w:szCs w:val="16"/>
          <w:color w:val="auto"/>
        </w:rPr>
      </w:pPr>
    </w:p>
    <w:p>
      <w:pPr>
        <w:jc w:val="both"/>
        <w:ind w:left="660" w:firstLine="644"/>
        <w:spacing w:after="0" w:line="255" w:lineRule="auto"/>
        <w:tabs>
          <w:tab w:leader="none" w:pos="21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Arial" w:cs="Arial" w:eastAsia="Arial" w:hAnsi="Arial"/>
          <w:sz w:val="18"/>
          <w:szCs w:val="18"/>
          <w:b w:val="1"/>
          <w:bCs w:val="1"/>
          <w:color w:val="auto"/>
        </w:rPr>
        <w:t>Section 2.02(A)</w:t>
      </w:r>
      <w:r>
        <w:rPr>
          <w:rFonts w:ascii="Arial" w:cs="Arial" w:eastAsia="Arial" w:hAnsi="Arial"/>
          <w:sz w:val="18"/>
          <w:szCs w:val="18"/>
          <w:color w:val="auto"/>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192" w:lineRule="exact"/>
        <w:rPr>
          <w:rFonts w:ascii="Arial" w:cs="Arial" w:eastAsia="Arial" w:hAnsi="Arial"/>
          <w:sz w:val="18"/>
          <w:szCs w:val="18"/>
          <w:color w:val="auto"/>
        </w:rPr>
      </w:pPr>
    </w:p>
    <w:p>
      <w:pPr>
        <w:jc w:val="both"/>
        <w:ind w:left="660" w:firstLine="644"/>
        <w:spacing w:after="0" w:line="257" w:lineRule="auto"/>
        <w:tabs>
          <w:tab w:leader="none" w:pos="24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I</w:t>
      </w:r>
      <w:r>
        <w:rPr>
          <w:rFonts w:ascii="Arial" w:cs="Arial" w:eastAsia="Arial" w:hAnsi="Arial"/>
          <w:sz w:val="12"/>
          <w:szCs w:val="12"/>
          <w:b w:val="1"/>
          <w:bCs w:val="1"/>
          <w:color w:val="auto"/>
        </w:rPr>
        <w:t>NITIAL</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5" w:lineRule="auto"/>
        <w:tabs>
          <w:tab w:leader="none" w:pos="172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Initial Notes</w:t>
      </w:r>
      <w:r>
        <w:rPr>
          <w:rFonts w:ascii="Arial" w:cs="Arial" w:eastAsia="Arial" w:hAnsi="Arial"/>
          <w:sz w:val="17"/>
          <w:szCs w:val="17"/>
          <w:color w:val="auto"/>
        </w:rPr>
        <w:t>. On the Issue Date, there will be originally issued one billion seven hundred fifty million dollars ($1,750,000,000)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aggregate principal amount of Notes, subject to the provisions of this Indenture (including </w:t>
      </w:r>
      <w:r>
        <w:rPr>
          <w:rFonts w:ascii="Arial" w:cs="Arial" w:eastAsia="Arial" w:hAnsi="Arial"/>
          <w:sz w:val="17"/>
          <w:szCs w:val="17"/>
          <w:b w:val="1"/>
          <w:bCs w:val="1"/>
          <w:color w:val="auto"/>
        </w:rPr>
        <w:t>Section 2.02</w:t>
      </w:r>
      <w:r>
        <w:rPr>
          <w:rFonts w:ascii="Arial" w:cs="Arial" w:eastAsia="Arial" w:hAnsi="Arial"/>
          <w:sz w:val="17"/>
          <w:szCs w:val="17"/>
          <w:color w:val="auto"/>
        </w:rPr>
        <w:t xml:space="preserve">). If the Initial Purchasers exercise the Shoe Option, then there will be originally issued up to an additional two hundred sixty-two million five hundred thousand dollars ($262,500,000) principal amount of Notes pursuant to such exercise, subject to the provisions of this Indenture (including </w:t>
      </w:r>
      <w:r>
        <w:rPr>
          <w:rFonts w:ascii="Arial" w:cs="Arial" w:eastAsia="Arial" w:hAnsi="Arial"/>
          <w:sz w:val="17"/>
          <w:szCs w:val="17"/>
          <w:b w:val="1"/>
          <w:bCs w:val="1"/>
          <w:color w:val="auto"/>
        </w:rPr>
        <w:t>Section 2.02</w:t>
      </w:r>
      <w:r>
        <w:rPr>
          <w:rFonts w:ascii="Arial" w:cs="Arial" w:eastAsia="Arial" w:hAnsi="Arial"/>
          <w:sz w:val="17"/>
          <w:szCs w:val="17"/>
          <w:color w:val="auto"/>
        </w:rPr>
        <w:t xml:space="preserve">). Notes issued pursuant to this </w:t>
      </w:r>
      <w:r>
        <w:rPr>
          <w:rFonts w:ascii="Arial" w:cs="Arial" w:eastAsia="Arial" w:hAnsi="Arial"/>
          <w:sz w:val="17"/>
          <w:szCs w:val="17"/>
          <w:b w:val="1"/>
          <w:bCs w:val="1"/>
          <w:color w:val="auto"/>
        </w:rPr>
        <w:t>Section 2.03(A)</w:t>
      </w:r>
      <w:r>
        <w:rPr>
          <w:rFonts w:ascii="Arial" w:cs="Arial" w:eastAsia="Arial" w:hAnsi="Arial"/>
          <w:sz w:val="17"/>
          <w:szCs w:val="17"/>
          <w:color w:val="auto"/>
        </w:rPr>
        <w:t>, and any Notes issued in exchange therefor or in substitution thereof, are referred to in this Indenture as the “</w:t>
      </w:r>
      <w:r>
        <w:rPr>
          <w:rFonts w:ascii="Arial" w:cs="Arial" w:eastAsia="Arial" w:hAnsi="Arial"/>
          <w:sz w:val="17"/>
          <w:szCs w:val="17"/>
          <w:b w:val="1"/>
          <w:bCs w:val="1"/>
          <w:color w:val="auto"/>
        </w:rPr>
        <w:t>Initial Notes</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firstLine="656"/>
        <w:spacing w:after="0" w:line="273" w:lineRule="auto"/>
        <w:tabs>
          <w:tab w:leader="none" w:pos="1544"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Additional Notes</w:t>
      </w:r>
      <w:r>
        <w:rPr>
          <w:rFonts w:ascii="Arial" w:cs="Arial" w:eastAsia="Arial" w:hAnsi="Arial"/>
          <w:sz w:val="17"/>
          <w:szCs w:val="17"/>
          <w:color w:val="auto"/>
        </w:rPr>
        <w:t>. Without the consent of any Holder, the Company may, subject to the provisions of this Indenture (including</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2.02</w:t>
      </w:r>
      <w:r>
        <w:rPr>
          <w:rFonts w:ascii="Arial" w:cs="Arial" w:eastAsia="Arial" w:hAnsi="Arial"/>
          <w:sz w:val="17"/>
          <w:szCs w:val="17"/>
          <w:color w:val="auto"/>
        </w:rPr>
        <w:t>), originally issue additional Notes with the same terms as the Initial Notes (except, to the extent applicable, with respect to the date as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interest begins to accrue on such additional Notes, the first Interest Payment Date of such additional Notes, the Last Original Issue Date of such additional Notes and transfer restrictions applicable to such additional Notes), which additional Notes will, subject to the foregoing, be considered to be part of the same series of, and rank equally and ratably with all other, Notes issued under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additional Notes are not fungible with other Notes issued under this Indenture for U.S. federal income tax or U.S. federal securities law purposes, then such additional Notes will be identified by one or more separate CUSIP numbers or by no CUSIP number.</w:t>
      </w:r>
    </w:p>
    <w:p>
      <w:pPr>
        <w:spacing w:after="0" w:line="391" w:lineRule="exact"/>
        <w:rPr>
          <w:rFonts w:ascii="Arial" w:cs="Arial" w:eastAsia="Arial" w:hAnsi="Arial"/>
          <w:sz w:val="17"/>
          <w:szCs w:val="17"/>
          <w:color w:val="auto"/>
        </w:rPr>
      </w:pPr>
    </w:p>
    <w:p>
      <w:pPr>
        <w:ind w:left="5540" w:hanging="111"/>
        <w:spacing w:after="0"/>
        <w:tabs>
          <w:tab w:leader="none" w:pos="5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Section 2.04. M</w:t>
      </w:r>
      <w:r>
        <w:rPr>
          <w:rFonts w:ascii="Arial" w:cs="Arial" w:eastAsia="Arial" w:hAnsi="Arial"/>
          <w:sz w:val="12"/>
          <w:szCs w:val="12"/>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9" w:lineRule="auto"/>
        <w:tabs>
          <w:tab w:leader="none" w:pos="1631"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The Company will pay, or cause the Paying Agent to pay, the principal (whether due upon maturity on the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Date, Redemption on a Redemption Date or repurchase on a Fundamental Change Repurchase Date or otherwise) of, interest on, and any cash Conversion Consideration for, any Global Note to the Depositary by wire transfer of immediately available funds no later than the time the same is due as provided in this Indenture.</w:t>
      </w:r>
    </w:p>
    <w:p>
      <w:pPr>
        <w:spacing w:after="0" w:line="186" w:lineRule="exact"/>
        <w:rPr>
          <w:rFonts w:ascii="Arial" w:cs="Arial" w:eastAsia="Arial" w:hAnsi="Arial"/>
          <w:sz w:val="18"/>
          <w:szCs w:val="18"/>
          <w:color w:val="auto"/>
        </w:rPr>
      </w:pPr>
    </w:p>
    <w:p>
      <w:pPr>
        <w:jc w:val="both"/>
        <w:ind w:firstLine="656"/>
        <w:spacing w:after="0" w:line="287" w:lineRule="auto"/>
        <w:tabs>
          <w:tab w:leader="none" w:pos="1612"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Physical Notes</w:t>
      </w:r>
      <w:r>
        <w:rPr>
          <w:rFonts w:ascii="Arial" w:cs="Arial" w:eastAsia="Arial" w:hAnsi="Arial"/>
          <w:sz w:val="16"/>
          <w:szCs w:val="16"/>
          <w:color w:val="auto"/>
        </w:rPr>
        <w:t>. The Company will pay, or cause the Paying Agent to pay, the principal (whether due upon maturity on the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Date, Redemption on a Redemption Date or repurchase on a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specified in such request,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2.05. A</w:t>
      </w:r>
      <w:r>
        <w:rPr>
          <w:rFonts w:ascii="Arial" w:cs="Arial" w:eastAsia="Arial" w:hAnsi="Arial"/>
          <w:sz w:val="12"/>
          <w:szCs w:val="12"/>
          <w:b w:val="1"/>
          <w:bCs w:val="1"/>
          <w:color w:val="auto"/>
        </w:rPr>
        <w:t>CCRUAL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w:t>
      </w:r>
      <w:r>
        <w:rPr>
          <w:rFonts w:ascii="Arial" w:cs="Arial" w:eastAsia="Arial" w:hAnsi="Arial"/>
          <w:sz w:val="18"/>
          <w:szCs w:val="18"/>
          <w:b w:val="1"/>
          <w:bCs w:val="1"/>
          <w:color w:val="auto"/>
        </w:rPr>
        <w:t>; D</w:t>
      </w:r>
      <w:r>
        <w:rPr>
          <w:rFonts w:ascii="Arial" w:cs="Arial" w:eastAsia="Arial" w:hAnsi="Arial"/>
          <w:sz w:val="12"/>
          <w:szCs w:val="12"/>
          <w:b w:val="1"/>
          <w:bCs w:val="1"/>
          <w:color w:val="auto"/>
        </w:rPr>
        <w:t>EFAULTED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MOUNTS</w:t>
      </w:r>
      <w:r>
        <w:rPr>
          <w:rFonts w:ascii="Arial" w:cs="Arial" w:eastAsia="Arial" w:hAnsi="Arial"/>
          <w:sz w:val="18"/>
          <w:szCs w:val="18"/>
          <w:b w:val="1"/>
          <w:bCs w:val="1"/>
          <w:color w:val="auto"/>
        </w:rPr>
        <w:t>; W</w:t>
      </w:r>
      <w:r>
        <w:rPr>
          <w:rFonts w:ascii="Arial" w:cs="Arial" w:eastAsia="Arial" w:hAnsi="Arial"/>
          <w:sz w:val="12"/>
          <w:szCs w:val="12"/>
          <w:b w:val="1"/>
          <w:bCs w:val="1"/>
          <w:color w:val="auto"/>
        </w:rPr>
        <w:t>HEN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 IS</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 A</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AY</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56"/>
        <w:spacing w:after="0" w:line="254" w:lineRule="auto"/>
        <w:tabs>
          <w:tab w:leader="none" w:pos="161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Accrual of Interest</w:t>
      </w:r>
      <w:r>
        <w:rPr>
          <w:rFonts w:ascii="Arial" w:cs="Arial" w:eastAsia="Arial" w:hAnsi="Arial"/>
          <w:sz w:val="18"/>
          <w:szCs w:val="18"/>
          <w:color w:val="auto"/>
        </w:rPr>
        <w:t>. Each Note will accrue interest at a rate per annum equal to 1.25% (the “</w:t>
      </w:r>
      <w:r>
        <w:rPr>
          <w:rFonts w:ascii="Arial" w:cs="Arial" w:eastAsia="Arial" w:hAnsi="Arial"/>
          <w:sz w:val="18"/>
          <w:szCs w:val="18"/>
          <w:b w:val="1"/>
          <w:bCs w:val="1"/>
          <w:color w:val="auto"/>
        </w:rPr>
        <w:t>Stated Interest</w:t>
      </w:r>
      <w:r>
        <w:rPr>
          <w:rFonts w:ascii="Arial" w:cs="Arial" w:eastAsia="Arial" w:hAnsi="Arial"/>
          <w:sz w:val="18"/>
          <w:szCs w:val="18"/>
          <w:color w:val="auto"/>
        </w:rPr>
        <w:t>”), plus any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and Special Interest that may accrue pursuant to </w:t>
      </w:r>
      <w:r>
        <w:rPr>
          <w:rFonts w:ascii="Arial" w:cs="Arial" w:eastAsia="Arial" w:hAnsi="Arial"/>
          <w:sz w:val="18"/>
          <w:szCs w:val="18"/>
          <w:b w:val="1"/>
          <w:bCs w:val="1"/>
          <w:color w:val="auto"/>
        </w:rPr>
        <w:t>Sections 3.04</w:t>
      </w:r>
      <w:r>
        <w:rPr>
          <w:rFonts w:ascii="Arial" w:cs="Arial" w:eastAsia="Arial" w:hAnsi="Arial"/>
          <w:sz w:val="18"/>
          <w:szCs w:val="18"/>
          <w:color w:val="auto"/>
        </w:rPr>
        <w:t xml:space="preserve"> and </w:t>
      </w:r>
      <w:r>
        <w:rPr>
          <w:rFonts w:ascii="Arial" w:cs="Arial" w:eastAsia="Arial" w:hAnsi="Arial"/>
          <w:sz w:val="18"/>
          <w:szCs w:val="18"/>
          <w:b w:val="1"/>
          <w:bCs w:val="1"/>
          <w:color w:val="auto"/>
        </w:rPr>
        <w:t>7.03</w:t>
      </w:r>
      <w:r>
        <w:rPr>
          <w:rFonts w:ascii="Arial" w:cs="Arial" w:eastAsia="Arial" w:hAnsi="Arial"/>
          <w:sz w:val="18"/>
          <w:szCs w:val="18"/>
          <w:color w:val="auto"/>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Arial" w:cs="Arial" w:eastAsia="Arial" w:hAnsi="Arial"/>
          <w:sz w:val="18"/>
          <w:szCs w:val="18"/>
          <w:b w:val="1"/>
          <w:bCs w:val="1"/>
          <w:color w:val="auto"/>
        </w:rPr>
        <w:t>Sections 4.02(D)</w:t>
      </w:r>
      <w:r>
        <w:rPr>
          <w:rFonts w:ascii="Arial" w:cs="Arial" w:eastAsia="Arial" w:hAnsi="Arial"/>
          <w:sz w:val="18"/>
          <w:szCs w:val="18"/>
          <w:color w:val="auto"/>
        </w:rPr>
        <w:t xml:space="preserve">, </w:t>
      </w:r>
      <w:r>
        <w:rPr>
          <w:rFonts w:ascii="Arial" w:cs="Arial" w:eastAsia="Arial" w:hAnsi="Arial"/>
          <w:sz w:val="18"/>
          <w:szCs w:val="18"/>
          <w:b w:val="1"/>
          <w:bCs w:val="1"/>
          <w:color w:val="auto"/>
        </w:rPr>
        <w:t>4.03(F)</w:t>
      </w:r>
      <w:r>
        <w:rPr>
          <w:rFonts w:ascii="Arial" w:cs="Arial" w:eastAsia="Arial" w:hAnsi="Arial"/>
          <w:sz w:val="18"/>
          <w:szCs w:val="18"/>
          <w:color w:val="auto"/>
        </w:rPr>
        <w:t xml:space="preserve"> and </w:t>
      </w:r>
      <w:r>
        <w:rPr>
          <w:rFonts w:ascii="Arial" w:cs="Arial" w:eastAsia="Arial" w:hAnsi="Arial"/>
          <w:sz w:val="18"/>
          <w:szCs w:val="18"/>
          <w:b w:val="1"/>
          <w:bCs w:val="1"/>
          <w:color w:val="auto"/>
        </w:rPr>
        <w:t>5.02(D)</w:t>
      </w:r>
      <w:r>
        <w:rPr>
          <w:rFonts w:ascii="Arial" w:cs="Arial" w:eastAsia="Arial" w:hAnsi="Arial"/>
          <w:sz w:val="18"/>
          <w:szCs w:val="18"/>
          <w:color w:val="auto"/>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hanging="111"/>
        <w:spacing w:after="0"/>
        <w:tabs>
          <w:tab w:leader="none" w:pos="5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56"/>
        <w:spacing w:after="0" w:line="271" w:lineRule="auto"/>
        <w:tabs>
          <w:tab w:leader="none" w:pos="1639"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Defaulted Amounts</w:t>
      </w:r>
      <w:r>
        <w:rPr>
          <w:rFonts w:ascii="Arial" w:cs="Arial" w:eastAsia="Arial" w:hAnsi="Arial"/>
          <w:sz w:val="17"/>
          <w:szCs w:val="17"/>
          <w:color w:val="auto"/>
        </w:rPr>
        <w:t>. If the Company fails to pay any amount (a “</w:t>
      </w:r>
      <w:r>
        <w:rPr>
          <w:rFonts w:ascii="Arial" w:cs="Arial" w:eastAsia="Arial" w:hAnsi="Arial"/>
          <w:sz w:val="17"/>
          <w:szCs w:val="17"/>
          <w:b w:val="1"/>
          <w:bCs w:val="1"/>
          <w:color w:val="auto"/>
        </w:rPr>
        <w:t>Defaulted Amount</w:t>
      </w:r>
      <w:r>
        <w:rPr>
          <w:rFonts w:ascii="Arial" w:cs="Arial" w:eastAsia="Arial" w:hAnsi="Arial"/>
          <w:sz w:val="17"/>
          <w:szCs w:val="17"/>
          <w:color w:val="auto"/>
        </w:rPr>
        <w:t>”) payable on a Note on or before the due date</w:t>
      </w:r>
      <w:r>
        <w:rPr>
          <w:rFonts w:ascii="Arial" w:cs="Arial" w:eastAsia="Arial" w:hAnsi="Arial"/>
          <w:sz w:val="17"/>
          <w:szCs w:val="17"/>
          <w:i w:val="1"/>
          <w:iCs w:val="1"/>
          <w:color w:val="auto"/>
        </w:rPr>
        <w:t xml:space="preserve"> </w:t>
      </w:r>
      <w:r>
        <w:rPr>
          <w:rFonts w:ascii="Arial" w:cs="Arial" w:eastAsia="Arial" w:hAnsi="Arial"/>
          <w:sz w:val="17"/>
          <w:szCs w:val="17"/>
          <w:color w:val="auto"/>
        </w:rPr>
        <w:t>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Arial" w:cs="Arial" w:eastAsia="Arial" w:hAnsi="Arial"/>
          <w:sz w:val="17"/>
          <w:szCs w:val="17"/>
          <w:b w:val="1"/>
          <w:bCs w:val="1"/>
          <w:color w:val="auto"/>
        </w:rPr>
        <w:t>Default Interest</w:t>
      </w:r>
      <w:r>
        <w:rPr>
          <w:rFonts w:ascii="Arial" w:cs="Arial" w:eastAsia="Arial" w:hAnsi="Arial"/>
          <w:sz w:val="17"/>
          <w:szCs w:val="17"/>
          <w:color w:val="auto"/>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w:t>
      </w:r>
    </w:p>
    <w:p>
      <w:pPr>
        <w:spacing w:after="0" w:line="177" w:lineRule="exact"/>
        <w:rPr>
          <w:rFonts w:ascii="Arial" w:cs="Arial" w:eastAsia="Arial" w:hAnsi="Arial"/>
          <w:sz w:val="17"/>
          <w:szCs w:val="17"/>
          <w:color w:val="auto"/>
        </w:rPr>
      </w:pPr>
    </w:p>
    <w:p>
      <w:pPr>
        <w:jc w:val="both"/>
        <w:ind w:firstLine="656"/>
        <w:spacing w:after="0" w:line="257" w:lineRule="auto"/>
        <w:tabs>
          <w:tab w:leader="none" w:pos="155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Delay of Payment when Payment Date is Not a Business Day</w:t>
      </w:r>
      <w:r>
        <w:rPr>
          <w:rFonts w:ascii="Arial" w:cs="Arial" w:eastAsia="Arial" w:hAnsi="Arial"/>
          <w:sz w:val="18"/>
          <w:szCs w:val="18"/>
          <w:color w:val="auto"/>
        </w:rPr>
        <w:t>. If the due date for a payment on a Note as provided in this Indenture is</w:t>
      </w:r>
      <w:r>
        <w:rPr>
          <w:rFonts w:ascii="Arial" w:cs="Arial" w:eastAsia="Arial" w:hAnsi="Arial"/>
          <w:sz w:val="18"/>
          <w:szCs w:val="18"/>
          <w:i w:val="1"/>
          <w:iCs w:val="1"/>
          <w:color w:val="auto"/>
        </w:rPr>
        <w:t xml:space="preserve"> </w:t>
      </w:r>
      <w:r>
        <w:rPr>
          <w:rFonts w:ascii="Arial" w:cs="Arial" w:eastAsia="Arial" w:hAnsi="Arial"/>
          <w:sz w:val="18"/>
          <w:szCs w:val="18"/>
          <w:color w:val="auto"/>
        </w:rPr>
        <w:t>not a Business Day, then, notwithstanding anything to the contrary in this Indenture or the Notes, such payment may be made on the immediately following Business Day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2.06. R</w:t>
      </w:r>
      <w:r>
        <w:rPr>
          <w:rFonts w:ascii="Arial" w:cs="Arial" w:eastAsia="Arial" w:hAnsi="Arial"/>
          <w:sz w:val="12"/>
          <w:szCs w:val="12"/>
          <w:b w:val="1"/>
          <w:bCs w:val="1"/>
          <w:color w:val="auto"/>
        </w:rPr>
        <w:t>EGISTRAR</w:t>
      </w:r>
      <w:r>
        <w:rPr>
          <w:rFonts w:ascii="Arial" w:cs="Arial" w:eastAsia="Arial" w:hAnsi="Arial"/>
          <w:sz w:val="18"/>
          <w:szCs w:val="18"/>
          <w:b w:val="1"/>
          <w:bCs w:val="1"/>
          <w:color w:val="auto"/>
        </w:rPr>
        <w:t>, P</w:t>
      </w:r>
      <w:r>
        <w:rPr>
          <w:rFonts w:ascii="Arial" w:cs="Arial" w:eastAsia="Arial" w:hAnsi="Arial"/>
          <w:sz w:val="12"/>
          <w:szCs w:val="12"/>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4" w:lineRule="auto"/>
        <w:tabs>
          <w:tab w:leader="none" w:pos="165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Company will maintain (i) an office or agency in the continental United States where Notes may be presented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 or for exchange (the “</w:t>
      </w:r>
      <w:r>
        <w:rPr>
          <w:rFonts w:ascii="Arial" w:cs="Arial" w:eastAsia="Arial" w:hAnsi="Arial"/>
          <w:sz w:val="18"/>
          <w:szCs w:val="18"/>
          <w:b w:val="1"/>
          <w:bCs w:val="1"/>
          <w:color w:val="auto"/>
        </w:rPr>
        <w:t>Registrar</w:t>
      </w:r>
      <w:r>
        <w:rPr>
          <w:rFonts w:ascii="Arial" w:cs="Arial" w:eastAsia="Arial" w:hAnsi="Arial"/>
          <w:sz w:val="18"/>
          <w:szCs w:val="18"/>
          <w:color w:val="auto"/>
        </w:rPr>
        <w:t>”); (ii) an office or agency in the continental United States where Notes may be presented for payment (the “</w:t>
      </w:r>
      <w:r>
        <w:rPr>
          <w:rFonts w:ascii="Arial" w:cs="Arial" w:eastAsia="Arial" w:hAnsi="Arial"/>
          <w:sz w:val="18"/>
          <w:szCs w:val="18"/>
          <w:b w:val="1"/>
          <w:bCs w:val="1"/>
          <w:color w:val="auto"/>
        </w:rPr>
        <w:t>Paying Agent</w:t>
      </w:r>
      <w:r>
        <w:rPr>
          <w:rFonts w:ascii="Arial" w:cs="Arial" w:eastAsia="Arial" w:hAnsi="Arial"/>
          <w:sz w:val="18"/>
          <w:szCs w:val="18"/>
          <w:color w:val="auto"/>
        </w:rPr>
        <w:t>”); and (iii) an office or agency in the continental United States where Notes may be presented for conversion (the “</w:t>
      </w:r>
      <w:r>
        <w:rPr>
          <w:rFonts w:ascii="Arial" w:cs="Arial" w:eastAsia="Arial" w:hAnsi="Arial"/>
          <w:sz w:val="18"/>
          <w:szCs w:val="18"/>
          <w:b w:val="1"/>
          <w:bCs w:val="1"/>
          <w:color w:val="auto"/>
        </w:rPr>
        <w:t>Conversion Agent</w:t>
      </w:r>
      <w:r>
        <w:rPr>
          <w:rFonts w:ascii="Arial" w:cs="Arial" w:eastAsia="Arial" w:hAnsi="Arial"/>
          <w:sz w:val="18"/>
          <w:szCs w:val="18"/>
          <w:color w:val="auto"/>
        </w:rPr>
        <w:t>”). If the Company fails to maintain a Registrar, Paying Agent or Conversion Agent, then the Trustee will act as such and will be entitled to receive compensation therefor in accordance with this Indenture and any other agreement between the Trustee and the Company. For the avoidance of doubt, the Company or any of its Subsidiaries may act as Registrar, Paying Agent or Conversion Agent without prior notice to Holders. Any notice to be given to the Paying Agent or the Conversion Agent under this Indenture shall be deemed delivered to such agent if the Trustee is acting as such agent and such notice has been provided to the Trustee.</w:t>
      </w:r>
    </w:p>
    <w:p>
      <w:pPr>
        <w:spacing w:after="0" w:line="187" w:lineRule="exact"/>
        <w:rPr>
          <w:rFonts w:ascii="Arial" w:cs="Arial" w:eastAsia="Arial" w:hAnsi="Arial"/>
          <w:sz w:val="18"/>
          <w:szCs w:val="18"/>
          <w:color w:val="auto"/>
        </w:rPr>
      </w:pPr>
    </w:p>
    <w:p>
      <w:pPr>
        <w:jc w:val="both"/>
        <w:ind w:firstLine="656"/>
        <w:spacing w:after="0" w:line="281" w:lineRule="auto"/>
        <w:tabs>
          <w:tab w:leader="none" w:pos="1598"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Duties of the Registrar</w:t>
      </w:r>
      <w:r>
        <w:rPr>
          <w:rFonts w:ascii="Arial" w:cs="Arial" w:eastAsia="Arial" w:hAnsi="Arial"/>
          <w:sz w:val="17"/>
          <w:szCs w:val="17"/>
          <w:color w:val="auto"/>
        </w:rPr>
        <w:t>. The Registrar will keep a record (the “</w:t>
      </w:r>
      <w:r>
        <w:rPr>
          <w:rFonts w:ascii="Arial" w:cs="Arial" w:eastAsia="Arial" w:hAnsi="Arial"/>
          <w:sz w:val="17"/>
          <w:szCs w:val="17"/>
          <w:b w:val="1"/>
          <w:bCs w:val="1"/>
          <w:color w:val="auto"/>
        </w:rPr>
        <w:t>Register</w:t>
      </w:r>
      <w:r>
        <w:rPr>
          <w:rFonts w:ascii="Arial" w:cs="Arial" w:eastAsia="Arial" w:hAnsi="Arial"/>
          <w:sz w:val="17"/>
          <w:szCs w:val="17"/>
          <w:color w:val="auto"/>
        </w:rPr>
        <w:t>”) of the names and addresses of the Holders, the Notes held</w:t>
      </w:r>
      <w:r>
        <w:rPr>
          <w:rFonts w:ascii="Arial" w:cs="Arial" w:eastAsia="Arial" w:hAnsi="Arial"/>
          <w:sz w:val="17"/>
          <w:szCs w:val="17"/>
          <w:i w:val="1"/>
          <w:iCs w:val="1"/>
          <w:color w:val="auto"/>
        </w:rPr>
        <w:t xml:space="preserve"> </w:t>
      </w:r>
      <w:r>
        <w:rPr>
          <w:rFonts w:ascii="Arial" w:cs="Arial" w:eastAsia="Arial" w:hAnsi="Arial"/>
          <w:sz w:val="17"/>
          <w:szCs w:val="17"/>
          <w:color w:val="auto"/>
        </w:rPr>
        <w:t>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384" w:lineRule="exact"/>
        <w:rPr>
          <w:rFonts w:ascii="Arial" w:cs="Arial" w:eastAsia="Arial" w:hAnsi="Arial"/>
          <w:sz w:val="17"/>
          <w:szCs w:val="17"/>
          <w:color w:val="auto"/>
        </w:rPr>
      </w:pPr>
    </w:p>
    <w:p>
      <w:pPr>
        <w:ind w:left="5540" w:hanging="111"/>
        <w:spacing w:after="0"/>
        <w:tabs>
          <w:tab w:leader="none" w:pos="5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56"/>
        <w:spacing w:after="0" w:line="293" w:lineRule="auto"/>
        <w:tabs>
          <w:tab w:leader="none" w:pos="1531"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Co-Agents; Company’s Right to Appoint Successor Registrars, Paying Agents and Conversion Agents</w:t>
      </w:r>
      <w:r>
        <w:rPr>
          <w:rFonts w:ascii="Arial" w:cs="Arial" w:eastAsia="Arial" w:hAnsi="Arial"/>
          <w:sz w:val="16"/>
          <w:szCs w:val="16"/>
          <w:color w:val="auto"/>
        </w:rPr>
        <w:t>. The Company may appoint one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more co-Registrars, co-Paying Agents and co-Conversion Agents, each of whom will be deemed to be a Registrar, Paying Agent or Conversion Agent, as applicable, under this Indenture. Subject to </w:t>
      </w:r>
      <w:r>
        <w:rPr>
          <w:rFonts w:ascii="Arial" w:cs="Arial" w:eastAsia="Arial" w:hAnsi="Arial"/>
          <w:sz w:val="16"/>
          <w:szCs w:val="16"/>
          <w:b w:val="1"/>
          <w:bCs w:val="1"/>
          <w:color w:val="auto"/>
        </w:rPr>
        <w:t>Section 2.06(A)</w:t>
      </w:r>
      <w:r>
        <w:rPr>
          <w:rFonts w:ascii="Arial" w:cs="Arial" w:eastAsia="Arial" w:hAnsi="Arial"/>
          <w:sz w:val="16"/>
          <w:szCs w:val="16"/>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64" w:lineRule="exact"/>
        <w:rPr>
          <w:rFonts w:ascii="Arial" w:cs="Arial" w:eastAsia="Arial" w:hAnsi="Arial"/>
          <w:sz w:val="16"/>
          <w:szCs w:val="16"/>
          <w:color w:val="auto"/>
        </w:rPr>
      </w:pPr>
    </w:p>
    <w:p>
      <w:pPr>
        <w:ind w:firstLine="656"/>
        <w:spacing w:after="0" w:line="277" w:lineRule="auto"/>
        <w:tabs>
          <w:tab w:leader="none" w:pos="149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Initial Appointments</w:t>
      </w:r>
      <w:r>
        <w:rPr>
          <w:rFonts w:ascii="Arial" w:cs="Arial" w:eastAsia="Arial" w:hAnsi="Arial"/>
          <w:sz w:val="18"/>
          <w:szCs w:val="18"/>
          <w:color w:val="auto"/>
        </w:rPr>
        <w:t>. The Company appoints the Trustee as (and the Trustee’s office in the continental United States as the location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initial Paying Agent, the initial Registrar and the initial Conversion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2.07. P</w:t>
      </w:r>
      <w:r>
        <w:rPr>
          <w:rFonts w:ascii="Arial" w:cs="Arial" w:eastAsia="Arial" w:hAnsi="Arial"/>
          <w:sz w:val="12"/>
          <w:szCs w:val="12"/>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 TO</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 IN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Arial" w:cs="Arial" w:eastAsia="Arial" w:hAnsi="Arial"/>
          <w:sz w:val="16"/>
          <w:szCs w:val="16"/>
          <w:b w:val="1"/>
          <w:bCs w:val="1"/>
          <w:color w:val="auto"/>
        </w:rPr>
        <w:t>clause (viii)</w:t>
      </w:r>
      <w:r>
        <w:rPr>
          <w:rFonts w:ascii="Arial" w:cs="Arial" w:eastAsia="Arial" w:hAnsi="Arial"/>
          <w:sz w:val="16"/>
          <w:szCs w:val="16"/>
          <w:color w:val="auto"/>
        </w:rPr>
        <w:t xml:space="preserve"> or </w:t>
      </w:r>
      <w:r>
        <w:rPr>
          <w:rFonts w:ascii="Arial" w:cs="Arial" w:eastAsia="Arial" w:hAnsi="Arial"/>
          <w:sz w:val="16"/>
          <w:szCs w:val="16"/>
          <w:b w:val="1"/>
          <w:bCs w:val="1"/>
          <w:color w:val="auto"/>
        </w:rPr>
        <w:t>(ix)</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 7.01(A)</w:t>
      </w:r>
      <w:r>
        <w:rPr>
          <w:rFonts w:ascii="Arial" w:cs="Arial" w:eastAsia="Arial" w:hAnsi="Arial"/>
          <w:sz w:val="16"/>
          <w:szCs w:val="16"/>
          <w:color w:val="auto"/>
        </w:rPr>
        <w:t xml:space="preserve"> with respect to the Company (or with respect to any Subsidiary of the Company acting as Paying Agent or Conversion Agent), the Trustee will serve as the Paying Agent or Conversion Agent, as applicable, for the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2.08. H</w:t>
      </w:r>
      <w:r>
        <w:rPr>
          <w:rFonts w:ascii="Arial" w:cs="Arial" w:eastAsia="Arial" w:hAnsi="Arial"/>
          <w:sz w:val="12"/>
          <w:szCs w:val="12"/>
          <w:b w:val="1"/>
          <w:bCs w:val="1"/>
          <w:color w:val="auto"/>
        </w:rPr>
        <w:t>OLDER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ISTS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is not the Registrar,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Section 2.09. L</w:t>
      </w:r>
      <w:r>
        <w:rPr>
          <w:rFonts w:ascii="Arial" w:cs="Arial" w:eastAsia="Arial" w:hAnsi="Arial"/>
          <w:sz w:val="12"/>
          <w:szCs w:val="12"/>
          <w:b w:val="1"/>
          <w:bCs w:val="1"/>
          <w:color w:val="auto"/>
        </w:rPr>
        <w:t>EGENDS</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277" w:lineRule="auto"/>
        <w:tabs>
          <w:tab w:leader="none" w:pos="1536"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the Global Note Legend (or any similar legend, not inconsistent with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the Depositary for such Global Note).</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Non-Affiliate Legend</w:t>
      </w:r>
      <w:r>
        <w:rPr>
          <w:rFonts w:ascii="Arial" w:cs="Arial" w:eastAsia="Arial" w:hAnsi="Arial"/>
          <w:sz w:val="18"/>
          <w:szCs w:val="18"/>
          <w:color w:val="auto"/>
        </w:rPr>
        <w:t>. Each Note will bear the Non-Affiliate Legend.</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Restricted Note Legend</w:t>
      </w:r>
      <w:r>
        <w:rPr>
          <w:rFonts w:ascii="Arial" w:cs="Arial" w:eastAsia="Arial" w:hAnsi="Arial"/>
          <w:sz w:val="18"/>
          <w:szCs w:val="18"/>
          <w:color w:val="auto"/>
        </w:rPr>
        <w:t>. Subject to the other provisions of this Indenture,</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each Note that is a Transfer-Restricted Security will bear the Restricted Note Legend; and</w:t>
      </w:r>
    </w:p>
    <w:p>
      <w:pPr>
        <w:spacing w:after="0" w:line="225" w:lineRule="exact"/>
        <w:rPr>
          <w:rFonts w:ascii="Arial" w:cs="Arial" w:eastAsia="Arial" w:hAnsi="Arial"/>
          <w:sz w:val="18"/>
          <w:szCs w:val="18"/>
          <w:color w:val="auto"/>
        </w:rPr>
      </w:pPr>
    </w:p>
    <w:p>
      <w:pPr>
        <w:jc w:val="both"/>
        <w:ind w:left="660" w:firstLine="644"/>
        <w:spacing w:after="0" w:line="255" w:lineRule="auto"/>
        <w:tabs>
          <w:tab w:leader="none" w:pos="21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if a Note is issued in exchange for, in substitution of, or to effect a partial conversion of, another Note (such other Note being referred to as the “old Note” for purposes of this </w:t>
      </w:r>
      <w:r>
        <w:rPr>
          <w:rFonts w:ascii="Arial" w:cs="Arial" w:eastAsia="Arial" w:hAnsi="Arial"/>
          <w:sz w:val="18"/>
          <w:szCs w:val="18"/>
          <w:b w:val="1"/>
          <w:bCs w:val="1"/>
          <w:color w:val="auto"/>
        </w:rPr>
        <w:t>Section 2.09(C)(ii)</w:t>
      </w:r>
      <w:r>
        <w:rPr>
          <w:rFonts w:ascii="Arial" w:cs="Arial" w:eastAsia="Arial" w:hAnsi="Arial"/>
          <w:sz w:val="18"/>
          <w:szCs w:val="18"/>
          <w:color w:val="auto"/>
        </w:rPr>
        <w:t xml:space="preserve">), including pursuant to Section </w:t>
      </w:r>
      <w:r>
        <w:rPr>
          <w:rFonts w:ascii="Arial" w:cs="Arial" w:eastAsia="Arial" w:hAnsi="Arial"/>
          <w:sz w:val="18"/>
          <w:szCs w:val="18"/>
          <w:b w:val="1"/>
          <w:bCs w:val="1"/>
          <w:color w:val="auto"/>
        </w:rPr>
        <w:t>2.10(B)</w:t>
      </w:r>
      <w:r>
        <w:rPr>
          <w:rFonts w:ascii="Arial" w:cs="Arial" w:eastAsia="Arial" w:hAnsi="Arial"/>
          <w:sz w:val="18"/>
          <w:szCs w:val="18"/>
          <w:color w:val="auto"/>
        </w:rPr>
        <w:t xml:space="preserve">, </w:t>
      </w:r>
      <w:r>
        <w:rPr>
          <w:rFonts w:ascii="Arial" w:cs="Arial" w:eastAsia="Arial" w:hAnsi="Arial"/>
          <w:sz w:val="18"/>
          <w:szCs w:val="18"/>
          <w:b w:val="1"/>
          <w:bCs w:val="1"/>
          <w:color w:val="auto"/>
        </w:rPr>
        <w:t>2.10(C)</w:t>
      </w:r>
      <w:r>
        <w:rPr>
          <w:rFonts w:ascii="Arial" w:cs="Arial" w:eastAsia="Arial" w:hAnsi="Arial"/>
          <w:sz w:val="18"/>
          <w:szCs w:val="18"/>
          <w:color w:val="auto"/>
        </w:rPr>
        <w:t xml:space="preserve">, </w:t>
      </w:r>
      <w:r>
        <w:rPr>
          <w:rFonts w:ascii="Arial" w:cs="Arial" w:eastAsia="Arial" w:hAnsi="Arial"/>
          <w:sz w:val="18"/>
          <w:szCs w:val="18"/>
          <w:b w:val="1"/>
          <w:bCs w:val="1"/>
          <w:color w:val="auto"/>
        </w:rPr>
        <w:t>2.11</w:t>
      </w:r>
      <w:r>
        <w:rPr>
          <w:rFonts w:ascii="Arial" w:cs="Arial" w:eastAsia="Arial" w:hAnsi="Arial"/>
          <w:sz w:val="18"/>
          <w:szCs w:val="18"/>
          <w:color w:val="auto"/>
        </w:rPr>
        <w:t xml:space="preserve"> or </w:t>
      </w:r>
      <w:r>
        <w:rPr>
          <w:rFonts w:ascii="Arial" w:cs="Arial" w:eastAsia="Arial" w:hAnsi="Arial"/>
          <w:sz w:val="18"/>
          <w:szCs w:val="18"/>
          <w:b w:val="1"/>
          <w:bCs w:val="1"/>
          <w:color w:val="auto"/>
        </w:rPr>
        <w:t>2.12</w:t>
      </w:r>
      <w:r>
        <w:rPr>
          <w:rFonts w:ascii="Arial" w:cs="Arial" w:eastAsia="Arial" w:hAnsi="Arial"/>
          <w:sz w:val="18"/>
          <w:szCs w:val="18"/>
          <w:color w:val="auto"/>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Note need not bear the Restricted Note Legend if such Note does not constitute a Transfer-Restricted Security immediately after such exchange or substitution, or as of such Conversion Date, as applicable.</w:t>
      </w:r>
    </w:p>
    <w:p>
      <w:pPr>
        <w:spacing w:after="0" w:line="192" w:lineRule="exact"/>
        <w:rPr>
          <w:rFonts w:ascii="Arial" w:cs="Arial" w:eastAsia="Arial" w:hAnsi="Arial"/>
          <w:sz w:val="18"/>
          <w:szCs w:val="18"/>
          <w:color w:val="auto"/>
        </w:rPr>
      </w:pPr>
    </w:p>
    <w:p>
      <w:pPr>
        <w:ind w:firstLine="656"/>
        <w:spacing w:after="0" w:line="277" w:lineRule="auto"/>
        <w:tabs>
          <w:tab w:leader="none" w:pos="148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Other Legends</w:t>
      </w:r>
      <w:r>
        <w:rPr>
          <w:rFonts w:ascii="Arial" w:cs="Arial" w:eastAsia="Arial" w:hAnsi="Arial"/>
          <w:sz w:val="18"/>
          <w:szCs w:val="18"/>
          <w:color w:val="auto"/>
        </w:rPr>
        <w:t>. A Note may bear any other legend or text, not inconsistent with this Indenture, as may be required by applicable law or</w:t>
      </w:r>
      <w:r>
        <w:rPr>
          <w:rFonts w:ascii="Arial" w:cs="Arial" w:eastAsia="Arial" w:hAnsi="Arial"/>
          <w:sz w:val="18"/>
          <w:szCs w:val="18"/>
          <w:i w:val="1"/>
          <w:iCs w:val="1"/>
          <w:color w:val="auto"/>
        </w:rPr>
        <w:t xml:space="preserve"> </w:t>
      </w:r>
      <w:r>
        <w:rPr>
          <w:rFonts w:ascii="Arial" w:cs="Arial" w:eastAsia="Arial" w:hAnsi="Arial"/>
          <w:sz w:val="18"/>
          <w:szCs w:val="18"/>
          <w:color w:val="auto"/>
        </w:rPr>
        <w:t>by any securities exchange or automated quotation system on which such Note is traded or quoted.</w:t>
      </w:r>
    </w:p>
    <w:p>
      <w:pPr>
        <w:spacing w:after="0" w:line="166" w:lineRule="exact"/>
        <w:rPr>
          <w:rFonts w:ascii="Arial" w:cs="Arial" w:eastAsia="Arial" w:hAnsi="Arial"/>
          <w:sz w:val="18"/>
          <w:szCs w:val="18"/>
          <w:color w:val="auto"/>
        </w:rPr>
      </w:pPr>
    </w:p>
    <w:p>
      <w:pPr>
        <w:ind w:firstLine="656"/>
        <w:spacing w:after="0" w:line="282" w:lineRule="auto"/>
        <w:tabs>
          <w:tab w:leader="none" w:pos="153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Acknowledgment and Agreement by the Holders</w:t>
      </w:r>
      <w:r>
        <w:rPr>
          <w:rFonts w:ascii="Arial" w:cs="Arial" w:eastAsia="Arial" w:hAnsi="Arial"/>
          <w:sz w:val="18"/>
          <w:szCs w:val="18"/>
          <w:color w:val="auto"/>
        </w:rPr>
        <w:t>. A Holder’s acceptance of any Note bearing any legend required by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2.09</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constitute such Holder’s acknowledgment of, and agreement to comply with, the restrictions set forth in such legend.</w:t>
      </w:r>
    </w:p>
    <w:p>
      <w:pPr>
        <w:spacing w:after="0" w:line="165" w:lineRule="exact"/>
        <w:rPr>
          <w:rFonts w:ascii="Arial" w:cs="Arial" w:eastAsia="Arial" w:hAnsi="Arial"/>
          <w:sz w:val="18"/>
          <w:szCs w:val="18"/>
          <w:color w:val="auto"/>
        </w:rPr>
      </w:pPr>
    </w:p>
    <w:p>
      <w:pPr>
        <w:ind w:left="1500" w:hanging="844"/>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Restricted Stock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23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Conversion Share need not bear the Restricted Stock Legend if the Company determines, in its reasonable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such Conversion Share need not bear the Restricted Stock Legend.</w:t>
      </w:r>
    </w:p>
    <w:p>
      <w:pPr>
        <w:spacing w:after="0" w:line="182" w:lineRule="exact"/>
        <w:rPr>
          <w:rFonts w:ascii="Arial" w:cs="Arial" w:eastAsia="Arial" w:hAnsi="Arial"/>
          <w:sz w:val="18"/>
          <w:szCs w:val="18"/>
          <w:color w:val="auto"/>
        </w:rPr>
      </w:pPr>
    </w:p>
    <w:p>
      <w:pPr>
        <w:jc w:val="both"/>
        <w:ind w:left="660" w:firstLine="644"/>
        <w:spacing w:after="0" w:line="261" w:lineRule="auto"/>
        <w:tabs>
          <w:tab w:leader="none" w:pos="2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b w:val="1"/>
          <w:bCs w:val="1"/>
          <w:color w:val="auto"/>
        </w:rPr>
        <w:t>Section 2.09(F)</w:t>
      </w:r>
      <w:r>
        <w:rPr>
          <w:rFonts w:ascii="Arial" w:cs="Arial" w:eastAsia="Arial" w:hAnsi="Arial"/>
          <w:sz w:val="18"/>
          <w:szCs w:val="18"/>
          <w:color w:val="auto"/>
        </w:rPr>
        <w:t xml:space="preserve">, a Conversion Share need not bear a Restricted Stock Legend if such Conversion Share is issued in an uncertificated form that does not permit affixing legends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399" w:lineRule="exact"/>
        <w:rPr>
          <w:rFonts w:ascii="Arial" w:cs="Arial" w:eastAsia="Arial" w:hAnsi="Arial"/>
          <w:sz w:val="18"/>
          <w:szCs w:val="18"/>
          <w:color w:val="auto"/>
        </w:rPr>
      </w:pPr>
    </w:p>
    <w:p>
      <w:pPr>
        <w:ind w:left="5540" w:hanging="111"/>
        <w:spacing w:after="0"/>
        <w:tabs>
          <w:tab w:leader="none" w:pos="5540" w:val="left"/>
        </w:tabs>
        <w:numPr>
          <w:ilvl w:val="2"/>
          <w:numId w:val="19"/>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Section 2.10. T</w:t>
      </w:r>
      <w:r>
        <w:rPr>
          <w:rFonts w:ascii="Arial" w:cs="Arial" w:eastAsia="Arial" w:hAnsi="Arial"/>
          <w:sz w:val="12"/>
          <w:szCs w:val="12"/>
          <w:b w:val="1"/>
          <w:bCs w:val="1"/>
          <w:color w:val="auto"/>
        </w:rPr>
        <w:t>RANSFERS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XCHANGES</w:t>
      </w:r>
      <w:r>
        <w:rPr>
          <w:rFonts w:ascii="Arial" w:cs="Arial" w:eastAsia="Arial" w:hAnsi="Arial"/>
          <w:sz w:val="18"/>
          <w:szCs w:val="18"/>
          <w:b w:val="1"/>
          <w:bCs w:val="1"/>
          <w:color w:val="auto"/>
        </w:rPr>
        <w:t>; C</w:t>
      </w:r>
      <w:r>
        <w:rPr>
          <w:rFonts w:ascii="Arial" w:cs="Arial" w:eastAsia="Arial" w:hAnsi="Arial"/>
          <w:sz w:val="12"/>
          <w:szCs w:val="12"/>
          <w:b w:val="1"/>
          <w:bCs w:val="1"/>
          <w:color w:val="auto"/>
        </w:rPr>
        <w:t>ERTAIN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RANSFER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ESTRICTIONS</w:t>
      </w:r>
      <w:r>
        <w:rPr>
          <w:rFonts w:ascii="Arial" w:cs="Arial" w:eastAsia="Arial" w:hAnsi="Arial"/>
          <w:sz w:val="18"/>
          <w:szCs w:val="18"/>
          <w:b w:val="1"/>
          <w:bCs w:val="1"/>
          <w:color w:val="auto"/>
        </w:rPr>
        <w:t>.</w:t>
      </w:r>
    </w:p>
    <w:p>
      <w:pPr>
        <w:spacing w:after="0" w:line="229" w:lineRule="exact"/>
        <w:rPr>
          <w:sz w:val="20"/>
          <w:szCs w:val="20"/>
          <w:color w:val="auto"/>
        </w:rPr>
      </w:pPr>
    </w:p>
    <w:p>
      <w:pPr>
        <w:ind w:left="1500" w:hanging="844"/>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Provisions Applicable to All Transfers and Exchanges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firstLine="644"/>
        <w:spacing w:after="0" w:line="282" w:lineRule="auto"/>
        <w:tabs>
          <w:tab w:leader="none" w:pos="2512"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Subject to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2.10</w:t>
      </w:r>
      <w:r>
        <w:rPr>
          <w:rFonts w:ascii="Arial" w:cs="Arial" w:eastAsia="Arial" w:hAnsi="Arial"/>
          <w:sz w:val="18"/>
          <w:szCs w:val="18"/>
          <w:color w:val="auto"/>
        </w:rPr>
        <w:t>, Physical Notes and beneficial interests in Global Notes may be transferred or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exchanged from time to time and the Registrar will record each such transfer or exchange in the Register.</w:t>
      </w:r>
    </w:p>
    <w:p>
      <w:pPr>
        <w:spacing w:after="0" w:line="165" w:lineRule="exact"/>
        <w:rPr>
          <w:rFonts w:ascii="Arial" w:cs="Arial" w:eastAsia="Arial" w:hAnsi="Arial"/>
          <w:sz w:val="18"/>
          <w:szCs w:val="18"/>
          <w:color w:val="auto"/>
        </w:rPr>
      </w:pPr>
    </w:p>
    <w:p>
      <w:pPr>
        <w:jc w:val="both"/>
        <w:ind w:left="660" w:firstLine="644"/>
        <w:spacing w:after="0" w:line="259" w:lineRule="auto"/>
        <w:tabs>
          <w:tab w:leader="none" w:pos="2184"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Transferred and Exchanged Notes Remain Valid Obligations of the Company</w:t>
      </w:r>
      <w:r>
        <w:rPr>
          <w:rFonts w:ascii="Arial" w:cs="Arial" w:eastAsia="Arial" w:hAnsi="Arial"/>
          <w:sz w:val="18"/>
          <w:szCs w:val="18"/>
          <w:color w:val="auto"/>
        </w:rPr>
        <w:t>. Each Note issued upon transfer or exchange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other Note (such other Note being referred to as the “old Note” for purposes of this </w:t>
      </w:r>
      <w:r>
        <w:rPr>
          <w:rFonts w:ascii="Arial" w:cs="Arial" w:eastAsia="Arial" w:hAnsi="Arial"/>
          <w:sz w:val="18"/>
          <w:szCs w:val="18"/>
          <w:b w:val="1"/>
          <w:bCs w:val="1"/>
          <w:color w:val="auto"/>
        </w:rPr>
        <w:t>Section 2.10(A)(ii)</w:t>
      </w:r>
      <w:r>
        <w:rPr>
          <w:rFonts w:ascii="Arial" w:cs="Arial" w:eastAsia="Arial" w:hAnsi="Arial"/>
          <w:sz w:val="18"/>
          <w:szCs w:val="18"/>
          <w:color w:val="auto"/>
        </w:rPr>
        <w:t>) or portion thereof in accordance with this Indenture will be the valid obligation of the Company, evidencing the same indebtedness, and entitled to the same benefits under this Indenture, as such old Note or portion thereof, as applicable.</w:t>
      </w:r>
    </w:p>
    <w:p>
      <w:pPr>
        <w:spacing w:after="0" w:line="186" w:lineRule="exact"/>
        <w:rPr>
          <w:rFonts w:ascii="Arial" w:cs="Arial" w:eastAsia="Arial" w:hAnsi="Arial"/>
          <w:sz w:val="18"/>
          <w:szCs w:val="18"/>
          <w:color w:val="auto"/>
        </w:rPr>
      </w:pPr>
    </w:p>
    <w:p>
      <w:pPr>
        <w:jc w:val="both"/>
        <w:ind w:left="660" w:firstLine="644"/>
        <w:spacing w:after="0" w:line="279" w:lineRule="auto"/>
        <w:tabs>
          <w:tab w:leader="none" w:pos="2212"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No Services Charge; Transfer Taxes</w:t>
      </w:r>
      <w:r>
        <w:rPr>
          <w:rFonts w:ascii="Arial" w:cs="Arial" w:eastAsia="Arial" w:hAnsi="Arial"/>
          <w:sz w:val="17"/>
          <w:szCs w:val="17"/>
          <w:color w:val="auto"/>
        </w:rPr>
        <w:t>. The Company, the Trustee and the Note Agents will not impose any service charge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Arial" w:cs="Arial" w:eastAsia="Arial" w:hAnsi="Arial"/>
          <w:sz w:val="17"/>
          <w:szCs w:val="17"/>
          <w:b w:val="1"/>
          <w:bCs w:val="1"/>
          <w:color w:val="auto"/>
        </w:rPr>
        <w:t>Section 2.11</w:t>
      </w:r>
      <w:r>
        <w:rPr>
          <w:rFonts w:ascii="Arial" w:cs="Arial" w:eastAsia="Arial" w:hAnsi="Arial"/>
          <w:sz w:val="17"/>
          <w:szCs w:val="17"/>
          <w:color w:val="auto"/>
        </w:rPr>
        <w:t xml:space="preserve">, </w:t>
      </w:r>
      <w:r>
        <w:rPr>
          <w:rFonts w:ascii="Arial" w:cs="Arial" w:eastAsia="Arial" w:hAnsi="Arial"/>
          <w:sz w:val="17"/>
          <w:szCs w:val="17"/>
          <w:b w:val="1"/>
          <w:bCs w:val="1"/>
          <w:color w:val="auto"/>
        </w:rPr>
        <w:t>2.16</w:t>
      </w:r>
      <w:r>
        <w:rPr>
          <w:rFonts w:ascii="Arial" w:cs="Arial" w:eastAsia="Arial" w:hAnsi="Arial"/>
          <w:sz w:val="17"/>
          <w:szCs w:val="17"/>
          <w:color w:val="auto"/>
        </w:rPr>
        <w:t xml:space="preserve"> or </w:t>
      </w:r>
      <w:r>
        <w:rPr>
          <w:rFonts w:ascii="Arial" w:cs="Arial" w:eastAsia="Arial" w:hAnsi="Arial"/>
          <w:sz w:val="17"/>
          <w:szCs w:val="17"/>
          <w:b w:val="1"/>
          <w:bCs w:val="1"/>
          <w:color w:val="auto"/>
        </w:rPr>
        <w:t>8.05</w:t>
      </w:r>
      <w:r>
        <w:rPr>
          <w:rFonts w:ascii="Arial" w:cs="Arial" w:eastAsia="Arial" w:hAnsi="Arial"/>
          <w:sz w:val="17"/>
          <w:szCs w:val="17"/>
          <w:color w:val="auto"/>
        </w:rPr>
        <w:t xml:space="preserve"> not involving any transfer.</w:t>
      </w:r>
    </w:p>
    <w:p>
      <w:pPr>
        <w:spacing w:after="0" w:line="171" w:lineRule="exact"/>
        <w:rPr>
          <w:rFonts w:ascii="Arial" w:cs="Arial" w:eastAsia="Arial" w:hAnsi="Arial"/>
          <w:sz w:val="17"/>
          <w:szCs w:val="17"/>
          <w:color w:val="auto"/>
        </w:rPr>
      </w:pPr>
    </w:p>
    <w:p>
      <w:pPr>
        <w:jc w:val="both"/>
        <w:ind w:left="660" w:firstLine="644"/>
        <w:spacing w:after="0" w:line="263" w:lineRule="auto"/>
        <w:tabs>
          <w:tab w:leader="none" w:pos="2233"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Transfers and Exchanges Must Be in Authorized Denominations</w:t>
      </w:r>
      <w:r>
        <w:rPr>
          <w:rFonts w:ascii="Arial" w:cs="Arial" w:eastAsia="Arial" w:hAnsi="Arial"/>
          <w:sz w:val="18"/>
          <w:szCs w:val="18"/>
          <w:color w:val="auto"/>
        </w:rPr>
        <w:t>. Notwithstanding anything to the contrary in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or the Notes, a Note may not be transferred or exchanged in part unless the portion to be so transferred or exchanged is in an Authorized Denomination.</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2219"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Trustee’s Disclaimer</w:t>
      </w:r>
      <w:r>
        <w:rPr>
          <w:rFonts w:ascii="Arial" w:cs="Arial" w:eastAsia="Arial" w:hAnsi="Arial"/>
          <w:sz w:val="18"/>
          <w:szCs w:val="18"/>
          <w:color w:val="auto"/>
        </w:rPr>
        <w:t>. The Trustee will have no obligation or duty to monitor, determine or inquire as to compliance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186" w:lineRule="exact"/>
        <w:rPr>
          <w:rFonts w:ascii="Arial" w:cs="Arial" w:eastAsia="Arial" w:hAnsi="Arial"/>
          <w:sz w:val="18"/>
          <w:szCs w:val="18"/>
          <w:color w:val="auto"/>
        </w:rPr>
      </w:pPr>
    </w:p>
    <w:p>
      <w:pPr>
        <w:ind w:left="2360" w:hanging="1056"/>
        <w:spacing w:after="0"/>
        <w:tabs>
          <w:tab w:leader="none" w:pos="2360"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Legends</w:t>
      </w:r>
      <w:r>
        <w:rPr>
          <w:rFonts w:ascii="Arial" w:cs="Arial" w:eastAsia="Arial" w:hAnsi="Arial"/>
          <w:sz w:val="16"/>
          <w:szCs w:val="16"/>
          <w:color w:val="auto"/>
        </w:rPr>
        <w:t>. Each Note issued upon transfer of, or in exchange for, another Note will bear each legend, if any, required by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color w:val="auto"/>
        </w:rPr>
        <w:t>Section 2.09</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left="660" w:firstLine="644"/>
        <w:spacing w:after="0" w:line="263" w:lineRule="auto"/>
        <w:tabs>
          <w:tab w:leader="none" w:pos="2081"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Settlement of Transfers and Exchanges</w:t>
      </w:r>
      <w:r>
        <w:rPr>
          <w:rFonts w:ascii="Arial" w:cs="Arial" w:eastAsia="Arial" w:hAnsi="Arial"/>
          <w:sz w:val="18"/>
          <w:szCs w:val="18"/>
          <w:color w:val="auto"/>
        </w:rPr>
        <w:t>. Upon satisfaction of the requirements of this Indenture to effect a transfer or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of any Note, the Company will cause such transfer or exchange to be effected as soon as reasonably practicable but in no event later than the second (2nd) Business Day after the date of such satisfaction.</w:t>
      </w:r>
    </w:p>
    <w:p>
      <w:pPr>
        <w:spacing w:after="0" w:line="179" w:lineRule="exact"/>
        <w:rPr>
          <w:rFonts w:ascii="Arial" w:cs="Arial" w:eastAsia="Arial" w:hAnsi="Arial"/>
          <w:sz w:val="18"/>
          <w:szCs w:val="18"/>
          <w:color w:val="auto"/>
        </w:rPr>
      </w:pPr>
    </w:p>
    <w:p>
      <w:pPr>
        <w:jc w:val="both"/>
        <w:ind w:left="660" w:firstLine="644"/>
        <w:spacing w:after="0" w:line="303" w:lineRule="auto"/>
        <w:tabs>
          <w:tab w:leader="none" w:pos="2257"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Interpretation</w:t>
      </w:r>
      <w:r>
        <w:rPr>
          <w:rFonts w:ascii="Arial" w:cs="Arial" w:eastAsia="Arial" w:hAnsi="Arial"/>
          <w:sz w:val="16"/>
          <w:szCs w:val="16"/>
          <w:color w:val="auto"/>
        </w:rPr>
        <w:t>. For the avoidance of doubt, and subject to the terms of this Indenture, as used in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2.10</w:t>
      </w:r>
      <w:r>
        <w:rPr>
          <w:rFonts w:ascii="Arial" w:cs="Arial" w:eastAsia="Arial" w:hAnsi="Arial"/>
          <w:sz w:val="16"/>
          <w:szCs w:val="16"/>
          <w:color w:val="auto"/>
        </w:rPr>
        <w:t>, an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spacing w:after="0" w:line="154" w:lineRule="exact"/>
        <w:rPr>
          <w:rFonts w:ascii="Arial" w:cs="Arial" w:eastAsia="Arial" w:hAnsi="Arial"/>
          <w:sz w:val="16"/>
          <w:szCs w:val="16"/>
          <w:color w:val="auto"/>
        </w:rPr>
      </w:pPr>
    </w:p>
    <w:p>
      <w:pPr>
        <w:ind w:left="2140" w:hanging="836"/>
        <w:spacing w:after="0"/>
        <w:tabs>
          <w:tab w:leader="none" w:pos="21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Neither the Trustee nor any Note Agent will have any responsibility for any action taken or not taken by the Depositary.</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5540" w:hanging="111"/>
        <w:spacing w:after="0"/>
        <w:tabs>
          <w:tab w:leader="none" w:pos="55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864" w:hanging="864"/>
        <w:spacing w:after="0"/>
        <w:tabs>
          <w:tab w:leader="none" w:pos="864"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Transfers and Exchanges of Global Notes.</w:t>
      </w:r>
    </w:p>
    <w:p>
      <w:pPr>
        <w:spacing w:after="0" w:line="225" w:lineRule="exact"/>
        <w:rPr>
          <w:rFonts w:ascii="Arial" w:cs="Arial" w:eastAsia="Arial" w:hAnsi="Arial"/>
          <w:sz w:val="18"/>
          <w:szCs w:val="18"/>
          <w:color w:val="auto"/>
        </w:rPr>
      </w:pPr>
    </w:p>
    <w:p>
      <w:pPr>
        <w:jc w:val="both"/>
        <w:ind w:left="4" w:firstLine="644"/>
        <w:spacing w:after="0" w:line="257" w:lineRule="auto"/>
        <w:tabs>
          <w:tab w:leader="none" w:pos="1748"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Certain Restrictions</w:t>
      </w:r>
      <w:r>
        <w:rPr>
          <w:rFonts w:ascii="Arial" w:cs="Arial" w:eastAsia="Arial" w:hAnsi="Arial"/>
          <w:sz w:val="18"/>
          <w:szCs w:val="18"/>
          <w:color w:val="auto"/>
        </w:rPr>
        <w:t>. Subject to the immediately following sentence, no Global Note may be transferred or exchanged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Global Note will be exchanged, pursuant to customary procedures, for one or more Physical Notes if:</w:t>
      </w:r>
    </w:p>
    <w:p>
      <w:pPr>
        <w:spacing w:after="0" w:line="187" w:lineRule="exact"/>
        <w:rPr>
          <w:rFonts w:ascii="Arial" w:cs="Arial" w:eastAsia="Arial" w:hAnsi="Arial"/>
          <w:sz w:val="18"/>
          <w:szCs w:val="18"/>
          <w:color w:val="auto"/>
        </w:rPr>
      </w:pPr>
    </w:p>
    <w:p>
      <w:pPr>
        <w:jc w:val="both"/>
        <w:ind w:left="644" w:firstLine="652"/>
        <w:spacing w:after="0" w:line="311" w:lineRule="auto"/>
        <w:tabs>
          <w:tab w:leader="none" w:pos="2338" w:val="left"/>
        </w:tabs>
        <w:numPr>
          <w:ilvl w:val="2"/>
          <w:numId w:val="21"/>
        </w:numPr>
        <w:rPr>
          <w:rFonts w:ascii="Arial" w:cs="Arial" w:eastAsia="Arial" w:hAnsi="Arial"/>
          <w:sz w:val="16"/>
          <w:szCs w:val="16"/>
          <w:color w:val="auto"/>
        </w:rPr>
      </w:pPr>
      <w:r>
        <w:rPr>
          <w:rFonts w:ascii="Arial" w:cs="Arial" w:eastAsia="Arial" w:hAnsi="Arial"/>
          <w:sz w:val="16"/>
          <w:szCs w:val="16"/>
          <w:color w:val="auto"/>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48" w:lineRule="exact"/>
        <w:rPr>
          <w:rFonts w:ascii="Arial" w:cs="Arial" w:eastAsia="Arial" w:hAnsi="Arial"/>
          <w:sz w:val="16"/>
          <w:szCs w:val="16"/>
          <w:color w:val="auto"/>
        </w:rPr>
      </w:pPr>
    </w:p>
    <w:p>
      <w:pPr>
        <w:jc w:val="both"/>
        <w:ind w:left="644" w:firstLine="652"/>
        <w:spacing w:after="0" w:line="263" w:lineRule="auto"/>
        <w:tabs>
          <w:tab w:leader="none" w:pos="2311" w:val="left"/>
        </w:tabs>
        <w:numPr>
          <w:ilvl w:val="2"/>
          <w:numId w:val="21"/>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183" w:lineRule="exact"/>
        <w:rPr>
          <w:rFonts w:ascii="Arial" w:cs="Arial" w:eastAsia="Arial" w:hAnsi="Arial"/>
          <w:sz w:val="18"/>
          <w:szCs w:val="18"/>
          <w:color w:val="auto"/>
        </w:rPr>
      </w:pPr>
    </w:p>
    <w:p>
      <w:pPr>
        <w:ind w:left="644" w:firstLine="652"/>
        <w:spacing w:after="0" w:line="277" w:lineRule="auto"/>
        <w:tabs>
          <w:tab w:leader="none" w:pos="2271"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Company, in its sole discretion, permits the exchange of any beneficial interest in such Global Note for one or more Physical Notes at the request of the owner of such beneficial interest.</w:t>
      </w:r>
    </w:p>
    <w:p>
      <w:pPr>
        <w:spacing w:after="0" w:line="170" w:lineRule="exact"/>
        <w:rPr>
          <w:rFonts w:ascii="Arial" w:cs="Arial" w:eastAsia="Arial" w:hAnsi="Arial"/>
          <w:sz w:val="18"/>
          <w:szCs w:val="18"/>
          <w:color w:val="auto"/>
        </w:rPr>
      </w:pPr>
    </w:p>
    <w:p>
      <w:pPr>
        <w:ind w:left="4" w:firstLine="644"/>
        <w:spacing w:after="0" w:line="277" w:lineRule="auto"/>
        <w:tabs>
          <w:tab w:leader="none" w:pos="1528"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Effecting Transfers and Exchanges</w:t>
      </w:r>
      <w:r>
        <w:rPr>
          <w:rFonts w:ascii="Arial" w:cs="Arial" w:eastAsia="Arial" w:hAnsi="Arial"/>
          <w:sz w:val="18"/>
          <w:szCs w:val="18"/>
          <w:color w:val="auto"/>
        </w:rPr>
        <w:t>. Upon satisfaction of the requirements of this Indenture to effect a transfer or exchange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any Global Note (or any portion thereof):</w:t>
      </w:r>
    </w:p>
    <w:p>
      <w:pPr>
        <w:spacing w:after="0" w:line="170" w:lineRule="exact"/>
        <w:rPr>
          <w:rFonts w:ascii="Arial" w:cs="Arial" w:eastAsia="Arial" w:hAnsi="Arial"/>
          <w:sz w:val="18"/>
          <w:szCs w:val="18"/>
          <w:color w:val="auto"/>
        </w:rPr>
      </w:pPr>
    </w:p>
    <w:p>
      <w:pPr>
        <w:jc w:val="both"/>
        <w:ind w:left="644" w:firstLine="652"/>
        <w:spacing w:after="0" w:line="275" w:lineRule="auto"/>
        <w:tabs>
          <w:tab w:leader="none" w:pos="2419" w:val="left"/>
        </w:tabs>
        <w:numPr>
          <w:ilvl w:val="2"/>
          <w:numId w:val="21"/>
        </w:numPr>
        <w:rPr>
          <w:rFonts w:ascii="Arial" w:cs="Arial" w:eastAsia="Arial" w:hAnsi="Arial"/>
          <w:sz w:val="18"/>
          <w:szCs w:val="18"/>
          <w:color w:val="auto"/>
        </w:rPr>
      </w:pPr>
      <w:r>
        <w:rPr>
          <w:rFonts w:ascii="Arial" w:cs="Arial" w:eastAsia="Arial" w:hAnsi="Arial"/>
          <w:sz w:val="18"/>
          <w:szCs w:val="18"/>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 Company may (but is not required to) instruct the Trustee to cancel such Global Note pursuant to </w:t>
      </w:r>
      <w:r>
        <w:rPr>
          <w:rFonts w:ascii="Arial" w:cs="Arial" w:eastAsia="Arial" w:hAnsi="Arial"/>
          <w:sz w:val="18"/>
          <w:szCs w:val="18"/>
          <w:b w:val="1"/>
          <w:bCs w:val="1"/>
          <w:color w:val="auto"/>
        </w:rPr>
        <w:t>Section 2.14</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left="644" w:firstLine="652"/>
        <w:spacing w:after="0" w:line="263" w:lineRule="auto"/>
        <w:tabs>
          <w:tab w:leader="none" w:pos="2298" w:val="left"/>
        </w:tabs>
        <w:numPr>
          <w:ilvl w:val="2"/>
          <w:numId w:val="21"/>
        </w:numPr>
        <w:rPr>
          <w:rFonts w:ascii="Arial" w:cs="Arial" w:eastAsia="Arial" w:hAnsi="Arial"/>
          <w:sz w:val="18"/>
          <w:szCs w:val="18"/>
          <w:color w:val="auto"/>
        </w:rPr>
      </w:pPr>
      <w:r>
        <w:rPr>
          <w:rFonts w:ascii="Arial" w:cs="Arial" w:eastAsia="Arial" w:hAnsi="Arial"/>
          <w:sz w:val="18"/>
          <w:szCs w:val="18"/>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399" w:lineRule="exact"/>
        <w:rPr>
          <w:rFonts w:ascii="Arial" w:cs="Arial" w:eastAsia="Arial" w:hAnsi="Arial"/>
          <w:sz w:val="18"/>
          <w:szCs w:val="18"/>
          <w:color w:val="auto"/>
        </w:rPr>
      </w:pPr>
    </w:p>
    <w:p>
      <w:pPr>
        <w:ind w:left="4884" w:hanging="111"/>
        <w:spacing w:after="0"/>
        <w:tabs>
          <w:tab w:leader="none" w:pos="4884" w:val="left"/>
        </w:tabs>
        <w:numPr>
          <w:ilvl w:val="3"/>
          <w:numId w:val="21"/>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0" w:name="page31"/>
    <w:bookmarkEnd w:id="30"/>
    <w:p>
      <w:pPr>
        <w:ind w:left="2324" w:hanging="1028"/>
        <w:spacing w:after="0"/>
        <w:tabs>
          <w:tab w:leader="none" w:pos="2324" w:val="left"/>
        </w:tabs>
        <w:numPr>
          <w:ilvl w:val="2"/>
          <w:numId w:val="22"/>
        </w:numPr>
        <w:rPr>
          <w:rFonts w:ascii="Arial" w:cs="Arial" w:eastAsia="Arial" w:hAnsi="Arial"/>
          <w:sz w:val="16"/>
          <w:szCs w:val="16"/>
          <w:color w:val="auto"/>
        </w:rPr>
      </w:pPr>
      <w:r>
        <w:rPr>
          <w:rFonts w:ascii="Arial" w:cs="Arial" w:eastAsia="Arial" w:hAnsi="Arial"/>
          <w:sz w:val="16"/>
          <w:szCs w:val="16"/>
          <w:color w:val="auto"/>
        </w:rPr>
        <w:t>if required to effect such transfer or exchange, then the Company will issue, execute and deliver, and the Trustee</w:t>
      </w:r>
    </w:p>
    <w:p>
      <w:pPr>
        <w:spacing w:after="0" w:line="68" w:lineRule="exact"/>
        <w:rPr>
          <w:rFonts w:ascii="Arial" w:cs="Arial" w:eastAsia="Arial" w:hAnsi="Arial"/>
          <w:sz w:val="16"/>
          <w:szCs w:val="16"/>
          <w:color w:val="auto"/>
        </w:rPr>
      </w:pPr>
    </w:p>
    <w:p>
      <w:pPr>
        <w:ind w:left="644" w:right="20"/>
        <w:spacing w:after="0" w:line="297" w:lineRule="auto"/>
        <w:rPr>
          <w:rFonts w:ascii="Arial" w:cs="Arial" w:eastAsia="Arial" w:hAnsi="Arial"/>
          <w:sz w:val="16"/>
          <w:szCs w:val="16"/>
          <w:color w:val="auto"/>
        </w:rPr>
      </w:pPr>
      <w:r>
        <w:rPr>
          <w:rFonts w:ascii="Arial" w:cs="Arial" w:eastAsia="Arial" w:hAnsi="Arial"/>
          <w:sz w:val="18"/>
          <w:szCs w:val="18"/>
          <w:color w:val="auto"/>
        </w:rPr>
        <w:t xml:space="preserve">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a new Global Note bearing each legend, if any, required by </w:t>
      </w:r>
      <w:r>
        <w:rPr>
          <w:rFonts w:ascii="Arial" w:cs="Arial" w:eastAsia="Arial" w:hAnsi="Arial"/>
          <w:sz w:val="18"/>
          <w:szCs w:val="18"/>
          <w:b w:val="1"/>
          <w:bCs w:val="1"/>
          <w:color w:val="auto"/>
        </w:rPr>
        <w:t>Section 2.09</w:t>
      </w:r>
      <w:r>
        <w:rPr>
          <w:rFonts w:ascii="Arial" w:cs="Arial" w:eastAsia="Arial" w:hAnsi="Arial"/>
          <w:sz w:val="18"/>
          <w:szCs w:val="18"/>
          <w:color w:val="auto"/>
        </w:rPr>
        <w:t>; and</w:t>
      </w:r>
    </w:p>
    <w:p>
      <w:pPr>
        <w:spacing w:after="0" w:line="153" w:lineRule="exact"/>
        <w:rPr>
          <w:rFonts w:ascii="Arial" w:cs="Arial" w:eastAsia="Arial" w:hAnsi="Arial"/>
          <w:sz w:val="16"/>
          <w:szCs w:val="16"/>
          <w:color w:val="auto"/>
        </w:rPr>
      </w:pPr>
    </w:p>
    <w:p>
      <w:pPr>
        <w:jc w:val="both"/>
        <w:ind w:left="644" w:firstLine="652"/>
        <w:spacing w:after="0" w:line="305" w:lineRule="auto"/>
        <w:tabs>
          <w:tab w:leader="none" w:pos="2244" w:val="left"/>
        </w:tabs>
        <w:numPr>
          <w:ilvl w:val="2"/>
          <w:numId w:val="22"/>
        </w:numPr>
        <w:rPr>
          <w:rFonts w:ascii="Arial" w:cs="Arial" w:eastAsia="Arial" w:hAnsi="Arial"/>
          <w:sz w:val="16"/>
          <w:szCs w:val="16"/>
          <w:color w:val="auto"/>
        </w:rPr>
      </w:pPr>
      <w:r>
        <w:rPr>
          <w:rFonts w:ascii="Arial" w:cs="Arial" w:eastAsia="Arial" w:hAnsi="Arial"/>
          <w:sz w:val="16"/>
          <w:szCs w:val="16"/>
          <w:color w:val="auto"/>
        </w:rPr>
        <w:t>if such Global Note (or such portion thereof), or any beneficial interest therein, is to be exchanged for one or more Physical Notes, then the Company will issue, execute and deliver, and the Trustee will authenticate, in each case in accordance with</w:t>
      </w:r>
    </w:p>
    <w:p>
      <w:pPr>
        <w:jc w:val="both"/>
        <w:ind w:left="644"/>
        <w:spacing w:after="0" w:line="322" w:lineRule="auto"/>
        <w:rPr>
          <w:rFonts w:ascii="Arial" w:cs="Arial" w:eastAsia="Arial" w:hAnsi="Arial"/>
          <w:sz w:val="16"/>
          <w:szCs w:val="16"/>
          <w:color w:val="auto"/>
        </w:rPr>
      </w:pPr>
      <w:r>
        <w:rPr>
          <w:rFonts w:ascii="Arial" w:cs="Arial" w:eastAsia="Arial" w:hAnsi="Arial"/>
          <w:sz w:val="17"/>
          <w:szCs w:val="17"/>
          <w:b w:val="1"/>
          <w:bCs w:val="1"/>
          <w:color w:val="auto"/>
        </w:rPr>
        <w:t>Section 2.02</w:t>
      </w:r>
      <w:r>
        <w:rPr>
          <w:rFonts w:ascii="Arial" w:cs="Arial" w:eastAsia="Arial" w:hAnsi="Arial"/>
          <w:sz w:val="17"/>
          <w:szCs w:val="17"/>
          <w:color w:val="auto"/>
        </w:rPr>
        <w:t>, one or more Physical Notes that (x) are in Authorized Denominations and have an aggregate principal amount equal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principal amount of such Global Note to be so exchanged; (y) are registered in such name(s) as the Depositary specifies (or as otherwise determined pursuant to customary procedures); and (z) bear each legend, if any, required by </w:t>
      </w:r>
      <w:r>
        <w:rPr>
          <w:rFonts w:ascii="Arial" w:cs="Arial" w:eastAsia="Arial" w:hAnsi="Arial"/>
          <w:sz w:val="17"/>
          <w:szCs w:val="17"/>
          <w:b w:val="1"/>
          <w:bCs w:val="1"/>
          <w:color w:val="auto"/>
        </w:rPr>
        <w:t>Section 2.09</w:t>
      </w:r>
      <w:r>
        <w:rPr>
          <w:rFonts w:ascii="Arial" w:cs="Arial" w:eastAsia="Arial" w:hAnsi="Arial"/>
          <w:sz w:val="17"/>
          <w:szCs w:val="17"/>
          <w:color w:val="auto"/>
        </w:rPr>
        <w:t>.</w:t>
      </w:r>
    </w:p>
    <w:p>
      <w:pPr>
        <w:spacing w:after="0" w:line="148" w:lineRule="exact"/>
        <w:rPr>
          <w:rFonts w:ascii="Arial" w:cs="Arial" w:eastAsia="Arial" w:hAnsi="Arial"/>
          <w:sz w:val="16"/>
          <w:szCs w:val="16"/>
          <w:color w:val="auto"/>
        </w:rPr>
      </w:pPr>
    </w:p>
    <w:p>
      <w:pPr>
        <w:ind w:left="4" w:firstLine="644"/>
        <w:spacing w:after="0" w:line="277" w:lineRule="auto"/>
        <w:tabs>
          <w:tab w:leader="none" w:pos="1462"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Compliance with Depositary Procedures</w:t>
      </w:r>
      <w:r>
        <w:rPr>
          <w:rFonts w:ascii="Arial" w:cs="Arial" w:eastAsia="Arial" w:hAnsi="Arial"/>
          <w:sz w:val="18"/>
          <w:szCs w:val="18"/>
          <w:color w:val="auto"/>
        </w:rPr>
        <w:t>. Each transfer or exchange of a beneficial interest in any Global Note will be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Depositary Procedures.</w:t>
      </w:r>
    </w:p>
    <w:p>
      <w:pPr>
        <w:spacing w:after="0" w:line="170" w:lineRule="exact"/>
        <w:rPr>
          <w:rFonts w:ascii="Arial" w:cs="Arial" w:eastAsia="Arial" w:hAnsi="Arial"/>
          <w:sz w:val="18"/>
          <w:szCs w:val="18"/>
          <w:color w:val="auto"/>
        </w:rPr>
      </w:pPr>
    </w:p>
    <w:p>
      <w:pPr>
        <w:ind w:left="864" w:hanging="864"/>
        <w:spacing w:after="0"/>
        <w:tabs>
          <w:tab w:leader="none" w:pos="86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Transfers and Exchanges of Physical Notes.</w:t>
      </w:r>
    </w:p>
    <w:p>
      <w:pPr>
        <w:spacing w:after="0" w:line="221" w:lineRule="exact"/>
        <w:rPr>
          <w:rFonts w:ascii="Arial" w:cs="Arial" w:eastAsia="Arial" w:hAnsi="Arial"/>
          <w:sz w:val="18"/>
          <w:szCs w:val="18"/>
          <w:color w:val="auto"/>
        </w:rPr>
      </w:pPr>
    </w:p>
    <w:p>
      <w:pPr>
        <w:jc w:val="both"/>
        <w:ind w:left="4" w:firstLine="644"/>
        <w:spacing w:after="0" w:line="294" w:lineRule="auto"/>
        <w:tabs>
          <w:tab w:leader="none" w:pos="1654"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Requirements for Transfers and Exchanges</w:t>
      </w:r>
      <w:r>
        <w:rPr>
          <w:rFonts w:ascii="Arial" w:cs="Arial" w:eastAsia="Arial" w:hAnsi="Arial"/>
          <w:sz w:val="16"/>
          <w:szCs w:val="16"/>
          <w:color w:val="auto"/>
        </w:rPr>
        <w:t>. Subject to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2.10</w:t>
      </w:r>
      <w:r>
        <w:rPr>
          <w:rFonts w:ascii="Arial" w:cs="Arial" w:eastAsia="Arial" w:hAnsi="Arial"/>
          <w:sz w:val="16"/>
          <w:szCs w:val="16"/>
          <w:color w:val="auto"/>
        </w:rPr>
        <w:t>, a Holder of a Physical Note may (x) transfer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effect any such transfer or exchange, such Holder must:</w:t>
      </w:r>
    </w:p>
    <w:p>
      <w:pPr>
        <w:spacing w:after="0" w:line="163" w:lineRule="exact"/>
        <w:rPr>
          <w:rFonts w:ascii="Arial" w:cs="Arial" w:eastAsia="Arial" w:hAnsi="Arial"/>
          <w:sz w:val="16"/>
          <w:szCs w:val="16"/>
          <w:color w:val="auto"/>
        </w:rPr>
      </w:pPr>
    </w:p>
    <w:p>
      <w:pPr>
        <w:ind w:left="644" w:firstLine="652"/>
        <w:spacing w:after="0" w:line="277" w:lineRule="auto"/>
        <w:tabs>
          <w:tab w:leader="none" w:pos="2365" w:val="left"/>
        </w:tabs>
        <w:numPr>
          <w:ilvl w:val="2"/>
          <w:numId w:val="24"/>
        </w:numPr>
        <w:rPr>
          <w:rFonts w:ascii="Arial" w:cs="Arial" w:eastAsia="Arial" w:hAnsi="Arial"/>
          <w:sz w:val="18"/>
          <w:szCs w:val="18"/>
          <w:color w:val="auto"/>
        </w:rPr>
      </w:pPr>
      <w:r>
        <w:rPr>
          <w:rFonts w:ascii="Arial" w:cs="Arial" w:eastAsia="Arial" w:hAnsi="Arial"/>
          <w:sz w:val="18"/>
          <w:szCs w:val="18"/>
          <w:color w:val="auto"/>
        </w:rPr>
        <w:t>surrender such Physical Note to be transferred or exchanged to the office of the Registrar, together with any endorsements or transfer instruments reasonably required by the Company, the Trustee or the Registrar; and</w:t>
      </w:r>
    </w:p>
    <w:p>
      <w:pPr>
        <w:spacing w:after="0" w:line="206" w:lineRule="exact"/>
        <w:rPr>
          <w:rFonts w:ascii="Arial" w:cs="Arial" w:eastAsia="Arial" w:hAnsi="Arial"/>
          <w:sz w:val="18"/>
          <w:szCs w:val="18"/>
          <w:color w:val="auto"/>
        </w:rPr>
      </w:pPr>
    </w:p>
    <w:p>
      <w:pPr>
        <w:ind w:left="2184" w:hanging="888"/>
        <w:spacing w:after="0"/>
        <w:tabs>
          <w:tab w:leader="none" w:pos="2184" w:val="left"/>
        </w:tabs>
        <w:numPr>
          <w:ilvl w:val="2"/>
          <w:numId w:val="24"/>
        </w:numPr>
        <w:rPr>
          <w:rFonts w:ascii="Arial" w:cs="Arial" w:eastAsia="Arial" w:hAnsi="Arial"/>
          <w:sz w:val="18"/>
          <w:szCs w:val="18"/>
          <w:color w:val="auto"/>
        </w:rPr>
      </w:pPr>
      <w:r>
        <w:rPr>
          <w:rFonts w:ascii="Arial" w:cs="Arial" w:eastAsia="Arial" w:hAnsi="Arial"/>
          <w:sz w:val="18"/>
          <w:szCs w:val="18"/>
          <w:color w:val="auto"/>
        </w:rPr>
        <w:t xml:space="preserve">deliver such certificates, documentation or evidence as may be required pursuant to </w:t>
      </w:r>
      <w:r>
        <w:rPr>
          <w:rFonts w:ascii="Arial" w:cs="Arial" w:eastAsia="Arial" w:hAnsi="Arial"/>
          <w:sz w:val="18"/>
          <w:szCs w:val="18"/>
          <w:b w:val="1"/>
          <w:bCs w:val="1"/>
          <w:color w:val="auto"/>
        </w:rPr>
        <w:t>Section 2.10(D)</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jc w:val="both"/>
        <w:ind w:left="4" w:firstLine="644"/>
        <w:spacing w:after="0" w:line="263" w:lineRule="auto"/>
        <w:tabs>
          <w:tab w:leader="none" w:pos="1501"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Effecting Transfers and Exchanges</w:t>
      </w:r>
      <w:r>
        <w:rPr>
          <w:rFonts w:ascii="Arial" w:cs="Arial" w:eastAsia="Arial" w:hAnsi="Arial"/>
          <w:sz w:val="18"/>
          <w:szCs w:val="18"/>
          <w:color w:val="auto"/>
        </w:rPr>
        <w:t>. Upon the satisfaction of the requirements of this Indenture to effect a transfer or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any Physical Note (such Physical Note being referred to as the “old Physical Note” for purposes of this </w:t>
      </w:r>
      <w:r>
        <w:rPr>
          <w:rFonts w:ascii="Arial" w:cs="Arial" w:eastAsia="Arial" w:hAnsi="Arial"/>
          <w:sz w:val="18"/>
          <w:szCs w:val="18"/>
          <w:b w:val="1"/>
          <w:bCs w:val="1"/>
          <w:color w:val="auto"/>
        </w:rPr>
        <w:t>Section 2.10(C)(ii)</w:t>
      </w:r>
      <w:r>
        <w:rPr>
          <w:rFonts w:ascii="Arial" w:cs="Arial" w:eastAsia="Arial" w:hAnsi="Arial"/>
          <w:sz w:val="18"/>
          <w:szCs w:val="18"/>
          <w:color w:val="auto"/>
        </w:rPr>
        <w:t>) of a Holder (or any portion of such old Physical Note in an Authorized Denomination):</w:t>
      </w:r>
    </w:p>
    <w:p>
      <w:pPr>
        <w:spacing w:after="0" w:line="220" w:lineRule="exact"/>
        <w:rPr>
          <w:rFonts w:ascii="Arial" w:cs="Arial" w:eastAsia="Arial" w:hAnsi="Arial"/>
          <w:sz w:val="18"/>
          <w:szCs w:val="18"/>
          <w:color w:val="auto"/>
        </w:rPr>
      </w:pPr>
    </w:p>
    <w:p>
      <w:pPr>
        <w:ind w:left="2184" w:hanging="888"/>
        <w:spacing w:after="0"/>
        <w:tabs>
          <w:tab w:leader="none" w:pos="2184" w:val="left"/>
        </w:tabs>
        <w:numPr>
          <w:ilvl w:val="2"/>
          <w:numId w:val="24"/>
        </w:numPr>
        <w:rPr>
          <w:rFonts w:ascii="Arial" w:cs="Arial" w:eastAsia="Arial" w:hAnsi="Arial"/>
          <w:sz w:val="18"/>
          <w:szCs w:val="18"/>
          <w:color w:val="auto"/>
        </w:rPr>
      </w:pPr>
      <w:r>
        <w:rPr>
          <w:rFonts w:ascii="Arial" w:cs="Arial" w:eastAsia="Arial" w:hAnsi="Arial"/>
          <w:sz w:val="18"/>
          <w:szCs w:val="18"/>
          <w:color w:val="auto"/>
        </w:rPr>
        <w:t xml:space="preserve">such old Physical Note will be promptly cancelled pursuant to </w:t>
      </w:r>
      <w:r>
        <w:rPr>
          <w:rFonts w:ascii="Arial" w:cs="Arial" w:eastAsia="Arial" w:hAnsi="Arial"/>
          <w:sz w:val="18"/>
          <w:szCs w:val="18"/>
          <w:b w:val="1"/>
          <w:bCs w:val="1"/>
          <w:color w:val="auto"/>
        </w:rPr>
        <w:t>Section 2.14</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ind w:left="2184" w:hanging="888"/>
        <w:spacing w:after="0"/>
        <w:tabs>
          <w:tab w:leader="none" w:pos="2184" w:val="left"/>
        </w:tabs>
        <w:numPr>
          <w:ilvl w:val="2"/>
          <w:numId w:val="24"/>
        </w:numPr>
        <w:rPr>
          <w:rFonts w:ascii="Arial" w:cs="Arial" w:eastAsia="Arial" w:hAnsi="Arial"/>
          <w:sz w:val="16"/>
          <w:szCs w:val="16"/>
          <w:color w:val="auto"/>
        </w:rPr>
      </w:pPr>
      <w:r>
        <w:rPr>
          <w:rFonts w:ascii="Arial" w:cs="Arial" w:eastAsia="Arial" w:hAnsi="Arial"/>
          <w:sz w:val="16"/>
          <w:szCs w:val="16"/>
          <w:color w:val="auto"/>
        </w:rPr>
        <w:t>if such old Physical Note is to be so transferred or exchanged only in part, then the Company will issue, execute and</w:t>
      </w:r>
    </w:p>
    <w:p>
      <w:pPr>
        <w:spacing w:after="0" w:line="68" w:lineRule="exact"/>
        <w:rPr>
          <w:rFonts w:ascii="Arial" w:cs="Arial" w:eastAsia="Arial" w:hAnsi="Arial"/>
          <w:sz w:val="16"/>
          <w:szCs w:val="16"/>
          <w:color w:val="auto"/>
        </w:rPr>
      </w:pPr>
    </w:p>
    <w:p>
      <w:pPr>
        <w:jc w:val="both"/>
        <w:ind w:left="644"/>
        <w:spacing w:after="0" w:line="349" w:lineRule="auto"/>
        <w:rPr>
          <w:rFonts w:ascii="Arial" w:cs="Arial" w:eastAsia="Arial" w:hAnsi="Arial"/>
          <w:sz w:val="16"/>
          <w:szCs w:val="16"/>
          <w:color w:val="auto"/>
        </w:rPr>
      </w:pPr>
      <w:r>
        <w:rPr>
          <w:rFonts w:ascii="Arial" w:cs="Arial" w:eastAsia="Arial" w:hAnsi="Arial"/>
          <w:sz w:val="16"/>
          <w:szCs w:val="16"/>
          <w:color w:val="auto"/>
        </w:rPr>
        <w:t xml:space="preserve">deliver, and the Trustee will authenticate, in each case in accordance with </w:t>
      </w:r>
      <w:r>
        <w:rPr>
          <w:rFonts w:ascii="Arial" w:cs="Arial" w:eastAsia="Arial" w:hAnsi="Arial"/>
          <w:sz w:val="16"/>
          <w:szCs w:val="16"/>
          <w:b w:val="1"/>
          <w:bCs w:val="1"/>
          <w:color w:val="auto"/>
        </w:rPr>
        <w:t>Section 2.02</w:t>
      </w:r>
      <w:r>
        <w:rPr>
          <w:rFonts w:ascii="Arial" w:cs="Arial" w:eastAsia="Arial" w:hAnsi="Arial"/>
          <w:sz w:val="16"/>
          <w:szCs w:val="16"/>
          <w:color w:val="auto"/>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w:t>
      </w:r>
    </w:p>
    <w:p>
      <w:pPr>
        <w:spacing w:after="0" w:line="348" w:lineRule="exact"/>
        <w:rPr>
          <w:rFonts w:ascii="Arial" w:cs="Arial" w:eastAsia="Arial" w:hAnsi="Arial"/>
          <w:sz w:val="16"/>
          <w:szCs w:val="16"/>
          <w:color w:val="auto"/>
        </w:rPr>
      </w:pPr>
    </w:p>
    <w:p>
      <w:pPr>
        <w:ind w:left="4884" w:hanging="111"/>
        <w:spacing w:after="0"/>
        <w:tabs>
          <w:tab w:leader="none" w:pos="4884" w:val="left"/>
        </w:tabs>
        <w:numPr>
          <w:ilvl w:val="3"/>
          <w:numId w:val="24"/>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1" w:name="page32"/>
    <w:bookmarkEnd w:id="31"/>
    <w:p>
      <w:pPr>
        <w:ind w:left="1720" w:hanging="888"/>
        <w:spacing w:after="0"/>
        <w:tabs>
          <w:tab w:leader="none" w:pos="1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a transfer:</w:t>
      </w:r>
    </w:p>
    <w:p>
      <w:pPr>
        <w:spacing w:after="0" w:line="225" w:lineRule="exact"/>
        <w:rPr>
          <w:rFonts w:ascii="Arial" w:cs="Arial" w:eastAsia="Arial" w:hAnsi="Arial"/>
          <w:sz w:val="18"/>
          <w:szCs w:val="18"/>
          <w:color w:val="auto"/>
        </w:rPr>
      </w:pPr>
    </w:p>
    <w:p>
      <w:pPr>
        <w:jc w:val="both"/>
        <w:ind w:left="840" w:firstLine="640"/>
        <w:spacing w:after="0" w:line="287" w:lineRule="auto"/>
        <w:tabs>
          <w:tab w:leader="none" w:pos="2403"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transfer cannot be so effected by notation on one or more existing Global Notes (whether because no Global Notes bearing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Arial" w:cs="Arial" w:eastAsia="Arial" w:hAnsi="Arial"/>
          <w:sz w:val="16"/>
          <w:szCs w:val="16"/>
          <w:b w:val="1"/>
          <w:bCs w:val="1"/>
          <w:color w:val="auto"/>
        </w:rPr>
        <w:t>Section 2.02</w:t>
      </w:r>
      <w:r>
        <w:rPr>
          <w:rFonts w:ascii="Arial" w:cs="Arial" w:eastAsia="Arial" w:hAnsi="Arial"/>
          <w:sz w:val="16"/>
          <w:szCs w:val="16"/>
          <w:color w:val="auto"/>
        </w:rPr>
        <w:t xml:space="preserve">, one or more Global Notes that (x) are in Authorized Denominations and have an aggregate principal amount equal to the principal amount to be so transferred; and (y)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 and</w:t>
      </w:r>
    </w:p>
    <w:p>
      <w:pPr>
        <w:spacing w:after="0" w:line="171" w:lineRule="exact"/>
        <w:rPr>
          <w:rFonts w:ascii="Arial" w:cs="Arial" w:eastAsia="Arial" w:hAnsi="Arial"/>
          <w:sz w:val="16"/>
          <w:szCs w:val="16"/>
          <w:color w:val="auto"/>
        </w:rPr>
      </w:pPr>
    </w:p>
    <w:p>
      <w:pPr>
        <w:jc w:val="both"/>
        <w:ind w:left="840" w:firstLine="640"/>
        <w:spacing w:after="0" w:line="275" w:lineRule="auto"/>
        <w:tabs>
          <w:tab w:leader="none" w:pos="2656"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Arial" w:cs="Arial" w:eastAsia="Arial" w:hAnsi="Arial"/>
          <w:sz w:val="17"/>
          <w:szCs w:val="17"/>
          <w:b w:val="1"/>
          <w:bCs w:val="1"/>
          <w:color w:val="auto"/>
        </w:rPr>
        <w:t>Section 2.02</w:t>
      </w:r>
      <w:r>
        <w:rPr>
          <w:rFonts w:ascii="Arial" w:cs="Arial" w:eastAsia="Arial" w:hAnsi="Arial"/>
          <w:sz w:val="17"/>
          <w:szCs w:val="17"/>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Arial" w:cs="Arial" w:eastAsia="Arial" w:hAnsi="Arial"/>
          <w:sz w:val="17"/>
          <w:szCs w:val="17"/>
          <w:b w:val="1"/>
          <w:bCs w:val="1"/>
          <w:color w:val="auto"/>
        </w:rPr>
        <w:t>Section 2.09</w:t>
      </w:r>
      <w:r>
        <w:rPr>
          <w:rFonts w:ascii="Arial" w:cs="Arial" w:eastAsia="Arial" w:hAnsi="Arial"/>
          <w:sz w:val="17"/>
          <w:szCs w:val="17"/>
          <w:color w:val="auto"/>
        </w:rPr>
        <w:t>; and</w:t>
      </w:r>
    </w:p>
    <w:p>
      <w:pPr>
        <w:spacing w:after="0" w:line="176" w:lineRule="exact"/>
        <w:rPr>
          <w:rFonts w:ascii="Arial" w:cs="Arial" w:eastAsia="Arial" w:hAnsi="Arial"/>
          <w:sz w:val="17"/>
          <w:szCs w:val="17"/>
          <w:color w:val="auto"/>
        </w:rPr>
      </w:pPr>
    </w:p>
    <w:p>
      <w:pPr>
        <w:ind w:left="1800" w:hanging="968"/>
        <w:spacing w:after="0"/>
        <w:tabs>
          <w:tab w:leader="none" w:pos="1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an exchange, the Company will issue, execute and deliver, and the Trustee will authenticate, in each</w:t>
      </w:r>
    </w:p>
    <w:p>
      <w:pPr>
        <w:spacing w:after="0" w:line="68" w:lineRule="exact"/>
        <w:rPr>
          <w:rFonts w:ascii="Arial" w:cs="Arial" w:eastAsia="Arial" w:hAnsi="Arial"/>
          <w:sz w:val="16"/>
          <w:szCs w:val="16"/>
          <w:color w:val="auto"/>
        </w:rPr>
      </w:pPr>
    </w:p>
    <w:p>
      <w:pPr>
        <w:jc w:val="both"/>
        <w:ind w:left="180"/>
        <w:spacing w:after="0" w:line="297" w:lineRule="auto"/>
        <w:rPr>
          <w:rFonts w:ascii="Arial" w:cs="Arial" w:eastAsia="Arial" w:hAnsi="Arial"/>
          <w:sz w:val="16"/>
          <w:szCs w:val="16"/>
          <w:color w:val="auto"/>
        </w:rPr>
      </w:pPr>
      <w:r>
        <w:rPr>
          <w:rFonts w:ascii="Arial" w:cs="Arial" w:eastAsia="Arial" w:hAnsi="Arial"/>
          <w:sz w:val="18"/>
          <w:szCs w:val="18"/>
          <w:color w:val="auto"/>
        </w:rPr>
        <w:t xml:space="preserve">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Arial" w:cs="Arial" w:eastAsia="Arial" w:hAnsi="Arial"/>
          <w:sz w:val="18"/>
          <w:szCs w:val="18"/>
          <w:b w:val="1"/>
          <w:bCs w:val="1"/>
          <w:color w:val="auto"/>
        </w:rPr>
        <w:t>Section 2.09</w:t>
      </w:r>
      <w:r>
        <w:rPr>
          <w:rFonts w:ascii="Arial" w:cs="Arial" w:eastAsia="Arial" w:hAnsi="Arial"/>
          <w:sz w:val="18"/>
          <w:szCs w:val="18"/>
          <w:color w:val="auto"/>
        </w:rPr>
        <w:t>.</w:t>
      </w:r>
    </w:p>
    <w:p>
      <w:pPr>
        <w:spacing w:after="0" w:line="383" w:lineRule="exact"/>
        <w:rPr>
          <w:rFonts w:ascii="Arial" w:cs="Arial" w:eastAsia="Arial" w:hAnsi="Arial"/>
          <w:sz w:val="16"/>
          <w:szCs w:val="16"/>
          <w:color w:val="auto"/>
        </w:rPr>
      </w:pPr>
    </w:p>
    <w:p>
      <w:pPr>
        <w:ind w:left="4420" w:hanging="111"/>
        <w:spacing w:after="0"/>
        <w:tabs>
          <w:tab w:leader="none" w:pos="44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 w:name="page33"/>
    <w:bookmarkEnd w:id="32"/>
    <w:p>
      <w:pPr>
        <w:ind w:firstLine="656"/>
        <w:spacing w:after="0" w:line="277" w:lineRule="auto"/>
        <w:tabs>
          <w:tab w:leader="none" w:pos="149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Requirement to Deliver Documentation and Other Evidence</w:t>
      </w:r>
      <w:r>
        <w:rPr>
          <w:rFonts w:ascii="Arial" w:cs="Arial" w:eastAsia="Arial" w:hAnsi="Arial"/>
          <w:sz w:val="18"/>
          <w:szCs w:val="18"/>
          <w:color w:val="auto"/>
        </w:rPr>
        <w:t>. If a Holder of any Note that is identified by a “restricted” CUSIP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or that bears a Restricted Note Legend or is a Transfer-Restricted Security requests to:</w:t>
      </w:r>
    </w:p>
    <w:p>
      <w:pPr>
        <w:spacing w:after="0" w:line="170" w:lineRule="exact"/>
        <w:rPr>
          <w:rFonts w:ascii="Arial" w:cs="Arial" w:eastAsia="Arial" w:hAnsi="Arial"/>
          <w:sz w:val="18"/>
          <w:szCs w:val="18"/>
          <w:color w:val="auto"/>
        </w:rPr>
      </w:pPr>
    </w:p>
    <w:p>
      <w:pPr>
        <w:ind w:left="2240" w:hanging="936"/>
        <w:spacing w:after="0"/>
        <w:tabs>
          <w:tab w:leader="none" w:pos="22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cause such Note to be identified by an “unrestricted” CUSIP number;</w:t>
      </w:r>
    </w:p>
    <w:p>
      <w:pPr>
        <w:spacing w:after="0" w:line="225" w:lineRule="exact"/>
        <w:rPr>
          <w:rFonts w:ascii="Arial" w:cs="Arial" w:eastAsia="Arial" w:hAnsi="Arial"/>
          <w:sz w:val="18"/>
          <w:szCs w:val="18"/>
          <w:color w:val="auto"/>
        </w:rPr>
      </w:pPr>
    </w:p>
    <w:p>
      <w:pPr>
        <w:ind w:left="2160" w:hanging="856"/>
        <w:spacing w:after="0"/>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remove such Restricted Note Legend; or</w:t>
      </w:r>
    </w:p>
    <w:p>
      <w:pPr>
        <w:spacing w:after="0" w:line="225" w:lineRule="exact"/>
        <w:rPr>
          <w:rFonts w:ascii="Arial" w:cs="Arial" w:eastAsia="Arial" w:hAnsi="Arial"/>
          <w:sz w:val="18"/>
          <w:szCs w:val="18"/>
          <w:color w:val="auto"/>
        </w:rPr>
      </w:pPr>
    </w:p>
    <w:p>
      <w:pPr>
        <w:ind w:left="2120" w:hanging="816"/>
        <w:spacing w:after="0"/>
        <w:tabs>
          <w:tab w:leader="none" w:pos="2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register the transfer of such Note to the name of another Person,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in order for the Company to determine that such identification, removal or transfer, as applicable, complies with the Securities Act and other applicable securities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without limiting </w:t>
      </w:r>
      <w:r>
        <w:rPr>
          <w:rFonts w:ascii="Arial" w:cs="Arial" w:eastAsia="Arial" w:hAnsi="Arial"/>
          <w:sz w:val="17"/>
          <w:szCs w:val="17"/>
          <w:b w:val="1"/>
          <w:bCs w:val="1"/>
          <w:color w:val="auto"/>
        </w:rPr>
        <w:t>Section 2.10(E)</w:t>
      </w:r>
      <w:r>
        <w:rPr>
          <w:rFonts w:ascii="Arial" w:cs="Arial" w:eastAsia="Arial" w:hAnsi="Arial"/>
          <w:sz w:val="17"/>
          <w:szCs w:val="17"/>
          <w:color w:val="auto"/>
        </w:rPr>
        <w:t xml:space="preserve">, no such certificates, documentation or evidence (other than a written request in the form contemplated by </w:t>
      </w:r>
      <w:r>
        <w:rPr>
          <w:rFonts w:ascii="Arial" w:cs="Arial" w:eastAsia="Arial" w:hAnsi="Arial"/>
          <w:sz w:val="17"/>
          <w:szCs w:val="17"/>
          <w:b w:val="1"/>
          <w:bCs w:val="1"/>
          <w:color w:val="auto"/>
        </w:rPr>
        <w:t>Section 2.10(E)</w:t>
      </w:r>
      <w:r>
        <w:rPr>
          <w:rFonts w:ascii="Arial" w:cs="Arial" w:eastAsia="Arial" w:hAnsi="Arial"/>
          <w:sz w:val="17"/>
          <w:szCs w:val="17"/>
          <w:color w:val="auto"/>
        </w:rPr>
        <w:t>) need be so delivered on or and after the date that is six (6) months after the Last Original Issue Date of such Note if the requirements of Rule 144(c) and (i) are then satisfied with respect to the Company (and neither the Trustee nor the Registrar will have any responsibility or liability for determining whether such requirements have been satisfied).</w:t>
      </w:r>
    </w:p>
    <w:p>
      <w:pPr>
        <w:spacing w:after="0" w:line="177" w:lineRule="exact"/>
        <w:rPr>
          <w:sz w:val="20"/>
          <w:szCs w:val="20"/>
          <w:color w:val="auto"/>
        </w:rPr>
      </w:pPr>
    </w:p>
    <w:p>
      <w:pPr>
        <w:jc w:val="both"/>
        <w:ind w:firstLine="656"/>
        <w:spacing w:after="0" w:line="272" w:lineRule="auto"/>
        <w:tabs>
          <w:tab w:leader="none" w:pos="1656"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Certain De-Legending Procedures</w:t>
      </w:r>
      <w:r>
        <w:rPr>
          <w:rFonts w:ascii="Arial" w:cs="Arial" w:eastAsia="Arial" w:hAnsi="Arial"/>
          <w:sz w:val="17"/>
          <w:szCs w:val="17"/>
          <w:color w:val="auto"/>
        </w:rPr>
        <w:t>. If a Holder of any Note or share of Common Stock issued upon conversion of any Note, or an</w:t>
      </w:r>
      <w:r>
        <w:rPr>
          <w:rFonts w:ascii="Arial" w:cs="Arial" w:eastAsia="Arial" w:hAnsi="Arial"/>
          <w:sz w:val="17"/>
          <w:szCs w:val="17"/>
          <w:i w:val="1"/>
          <w:iCs w:val="1"/>
          <w:color w:val="auto"/>
        </w:rPr>
        <w:t xml:space="preserve"> </w:t>
      </w:r>
      <w:r>
        <w:rPr>
          <w:rFonts w:ascii="Arial" w:cs="Arial" w:eastAsia="Arial" w:hAnsi="Arial"/>
          <w:sz w:val="17"/>
          <w:szCs w:val="17"/>
          <w:color w:val="auto"/>
        </w:rPr>
        <w:t>owner of a beneficial interest in any Global Note, or in a global certificate representing any share of Common Stock issued upon conversion of any Note, transfers such Note or share in compliance with Rule 144 and delivers to the Company a written request in customary form (including a certification that it is not, and has not been at any time during the preceding three (3) months, an Affiliate of the Company) to reissue such Note or share without a Restricted Note Legend or Restricted Stock Legend, as applicable, then the Company will cause the same to occur (and, if applicable, cause such Note or share to thereafter be represented by an “unrestricted” CUSIP or ISIN number in the facilities of the related depositary), and will use its commercially reasonable efforts to cause the same to occur within two (2) Trading Days of such request.</w:t>
      </w:r>
    </w:p>
    <w:p>
      <w:pPr>
        <w:spacing w:after="0" w:line="177" w:lineRule="exact"/>
        <w:rPr>
          <w:rFonts w:ascii="Arial" w:cs="Arial" w:eastAsia="Arial" w:hAnsi="Arial"/>
          <w:sz w:val="17"/>
          <w:szCs w:val="17"/>
          <w:color w:val="auto"/>
        </w:rPr>
      </w:pPr>
    </w:p>
    <w:p>
      <w:pPr>
        <w:jc w:val="both"/>
        <w:ind w:firstLine="656"/>
        <w:spacing w:after="0" w:line="254" w:lineRule="auto"/>
        <w:tabs>
          <w:tab w:leader="none" w:pos="160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Transfers of Notes Subject to Redemption, Repurchase or Conversion</w:t>
      </w:r>
      <w:r>
        <w:rPr>
          <w:rFonts w:ascii="Arial" w:cs="Arial" w:eastAsia="Arial" w:hAnsi="Arial"/>
          <w:sz w:val="18"/>
          <w:szCs w:val="18"/>
          <w:color w:val="auto"/>
        </w:rPr>
        <w:t>. Notwithstanding anything to the contrary in this Indenture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Arial" w:cs="Arial" w:eastAsia="Arial" w:hAnsi="Arial"/>
          <w:sz w:val="18"/>
          <w:szCs w:val="18"/>
          <w:b w:val="1"/>
          <w:bCs w:val="1"/>
          <w:color w:val="auto"/>
        </w:rPr>
        <w:t>Section 4.02(F)</w:t>
      </w:r>
      <w:r>
        <w:rPr>
          <w:rFonts w:ascii="Arial" w:cs="Arial" w:eastAsia="Arial" w:hAnsi="Arial"/>
          <w:sz w:val="18"/>
          <w:szCs w:val="18"/>
          <w:color w:val="auto"/>
        </w:rPr>
        <w:t>,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5540" w:hanging="111"/>
        <w:spacing w:after="0"/>
        <w:tabs>
          <w:tab w:leader="none" w:pos="5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Section 2.11. E</w:t>
      </w:r>
      <w:r>
        <w:rPr>
          <w:rFonts w:ascii="Arial" w:cs="Arial" w:eastAsia="Arial" w:hAnsi="Arial"/>
          <w:sz w:val="12"/>
          <w:szCs w:val="12"/>
          <w:b w:val="1"/>
          <w:bCs w:val="1"/>
          <w:color w:val="auto"/>
        </w:rPr>
        <w:t>XCHANGE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ANCELLATION OF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 TO</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ONVERTED</w:t>
      </w:r>
      <w:r>
        <w:rPr>
          <w:rFonts w:ascii="Arial" w:cs="Arial" w:eastAsia="Arial" w:hAnsi="Arial"/>
          <w:sz w:val="18"/>
          <w:szCs w:val="18"/>
          <w:b w:val="1"/>
          <w:bCs w:val="1"/>
          <w:color w:val="auto"/>
        </w:rPr>
        <w:t>, R</w:t>
      </w:r>
      <w:r>
        <w:rPr>
          <w:rFonts w:ascii="Arial" w:cs="Arial" w:eastAsia="Arial" w:hAnsi="Arial"/>
          <w:sz w:val="12"/>
          <w:szCs w:val="12"/>
          <w:b w:val="1"/>
          <w:bCs w:val="1"/>
          <w:color w:val="auto"/>
        </w:rPr>
        <w:t>EDEEMED OR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EPURCHASED</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89" w:lineRule="auto"/>
        <w:tabs>
          <w:tab w:leader="none" w:pos="172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Partial Conversions, Redemptions and Repurchases of Physical Notes</w:t>
      </w:r>
      <w:r>
        <w:rPr>
          <w:rFonts w:ascii="Arial" w:cs="Arial" w:eastAsia="Arial" w:hAnsi="Arial"/>
          <w:sz w:val="16"/>
          <w:szCs w:val="16"/>
          <w:color w:val="auto"/>
        </w:rPr>
        <w:t>. If only a portion of a Physical Note of a Holder is to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converted pursuant to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or repurchased pursuant to a Repurchase Upon Fundamental Change or Redemption, then, as soon as reasonably practicable after such Physical Note is surrendered for such conversion, Redemption or repurchase, the Company will cause such Physical Note to be exchanged, pursuant and subject to </w:t>
      </w:r>
      <w:r>
        <w:rPr>
          <w:rFonts w:ascii="Arial" w:cs="Arial" w:eastAsia="Arial" w:hAnsi="Arial"/>
          <w:sz w:val="16"/>
          <w:szCs w:val="16"/>
          <w:b w:val="1"/>
          <w:bCs w:val="1"/>
          <w:color w:val="auto"/>
        </w:rPr>
        <w:t>Section 2.10(C)</w:t>
      </w:r>
      <w:r>
        <w:rPr>
          <w:rFonts w:ascii="Arial" w:cs="Arial" w:eastAsia="Arial" w:hAnsi="Arial"/>
          <w:sz w:val="16"/>
          <w:szCs w:val="16"/>
          <w:color w:val="auto"/>
        </w:rPr>
        <w:t xml:space="preserve">, for (i) one or more Physical Notes that are in Authorized Denominations and have an aggregate principal amount equal to the principal amount of such Physical Note that is not to be so converted, redeemed or repurchased, as applicable, and deliver such Physical Note(s) to such Holder; and (ii) a Physical Note having a principal amount equal to the principal amount to be so converted, redeemed or repurchased, as applicable, which Physical Note will be converted, redeemed or repurchased, as applicable, pursuant to the terms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Physical Note referred to in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clause (ii)</w:t>
      </w:r>
      <w:r>
        <w:rPr>
          <w:rFonts w:ascii="Arial" w:cs="Arial" w:eastAsia="Arial" w:hAnsi="Arial"/>
          <w:sz w:val="16"/>
          <w:szCs w:val="16"/>
          <w:i w:val="1"/>
          <w:iCs w:val="1"/>
          <w:color w:val="auto"/>
        </w:rPr>
        <w:t xml:space="preserve"> </w:t>
      </w:r>
      <w:r>
        <w:rPr>
          <w:rFonts w:ascii="Arial" w:cs="Arial" w:eastAsia="Arial" w:hAnsi="Arial"/>
          <w:sz w:val="16"/>
          <w:szCs w:val="16"/>
          <w:color w:val="auto"/>
        </w:rPr>
        <w:t>need not be issued at any time after which such principal amount subject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conversion, Redemption or repurchase, as applicable, is deemed to cease to be outstanding pursuant to </w:t>
      </w:r>
      <w:r>
        <w:rPr>
          <w:rFonts w:ascii="Arial" w:cs="Arial" w:eastAsia="Arial" w:hAnsi="Arial"/>
          <w:sz w:val="16"/>
          <w:szCs w:val="16"/>
          <w:b w:val="1"/>
          <w:bCs w:val="1"/>
          <w:color w:val="auto"/>
        </w:rPr>
        <w:t>Section 2.17</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520" w:hanging="864"/>
        <w:spacing w:after="0"/>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Cancellation of Converted, Redeemed and Repurchased Notes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660" w:firstLine="644"/>
        <w:spacing w:after="0" w:line="291" w:lineRule="auto"/>
        <w:tabs>
          <w:tab w:leader="none" w:pos="2283"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Physical Notes</w:t>
      </w:r>
      <w:r>
        <w:rPr>
          <w:rFonts w:ascii="Arial" w:cs="Arial" w:eastAsia="Arial" w:hAnsi="Arial"/>
          <w:sz w:val="16"/>
          <w:szCs w:val="16"/>
          <w:color w:val="auto"/>
        </w:rPr>
        <w:t>. If a Physical Note (or any portion thereof that has not theretofore been exchanged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2.11</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 Holder is to be converted pursuant to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or repurchased pursuant to a Repurchase Upon Fundamental Change or Redemption, then, promptly after the later of the time such Physical Note (or such portion) is deemed to cease to be outstanding pursuant to </w:t>
      </w:r>
      <w:r>
        <w:rPr>
          <w:rFonts w:ascii="Arial" w:cs="Arial" w:eastAsia="Arial" w:hAnsi="Arial"/>
          <w:sz w:val="16"/>
          <w:szCs w:val="16"/>
          <w:b w:val="1"/>
          <w:bCs w:val="1"/>
          <w:color w:val="auto"/>
        </w:rPr>
        <w:t>Section 2.17</w:t>
      </w:r>
      <w:r>
        <w:rPr>
          <w:rFonts w:ascii="Arial" w:cs="Arial" w:eastAsia="Arial" w:hAnsi="Arial"/>
          <w:sz w:val="16"/>
          <w:szCs w:val="16"/>
          <w:color w:val="auto"/>
        </w:rPr>
        <w:t xml:space="preserve"> and the time such Physical Note is surrendered for such conversion or repurchase, as applicable, (1) such Physical Note will be cancelled pursuant to </w:t>
      </w:r>
      <w:r>
        <w:rPr>
          <w:rFonts w:ascii="Arial" w:cs="Arial" w:eastAsia="Arial" w:hAnsi="Arial"/>
          <w:sz w:val="16"/>
          <w:szCs w:val="16"/>
          <w:b w:val="1"/>
          <w:bCs w:val="1"/>
          <w:color w:val="auto"/>
        </w:rPr>
        <w:t>Section 2.14</w:t>
      </w:r>
      <w:r>
        <w:rPr>
          <w:rFonts w:ascii="Arial" w:cs="Arial" w:eastAsia="Arial" w:hAnsi="Arial"/>
          <w:sz w:val="16"/>
          <w:szCs w:val="16"/>
          <w:color w:val="auto"/>
        </w:rPr>
        <w:t>; and (2) in the case of a partial conversion, Redemption or repurchase, the Company will issue, execute and deliver to such Holder,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Trustee will authenticate, in each case in accordance with </w:t>
      </w:r>
      <w:r>
        <w:rPr>
          <w:rFonts w:ascii="Arial" w:cs="Arial" w:eastAsia="Arial" w:hAnsi="Arial"/>
          <w:sz w:val="16"/>
          <w:szCs w:val="16"/>
          <w:b w:val="1"/>
          <w:bCs w:val="1"/>
          <w:color w:val="auto"/>
        </w:rPr>
        <w:t>Section 2.02</w:t>
      </w:r>
      <w:r>
        <w:rPr>
          <w:rFonts w:ascii="Arial" w:cs="Arial" w:eastAsia="Arial" w:hAnsi="Arial"/>
          <w:sz w:val="16"/>
          <w:szCs w:val="16"/>
          <w:color w:val="auto"/>
        </w:rPr>
        <w:t xml:space="preserve">, one or more Physical Notes that (x) are in Authorized Denominations and have an aggregate principal amount equal to the principal amount of such Physical Note that is not to be so converted, redeemed or repurchased; (y) are registered in the name of such Holder; and (z) bear each legend, if any, required by </w:t>
      </w:r>
      <w:r>
        <w:rPr>
          <w:rFonts w:ascii="Arial" w:cs="Arial" w:eastAsia="Arial" w:hAnsi="Arial"/>
          <w:sz w:val="16"/>
          <w:szCs w:val="16"/>
          <w:b w:val="1"/>
          <w:bCs w:val="1"/>
          <w:color w:val="auto"/>
        </w:rPr>
        <w:t>Section 2.09</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jc w:val="both"/>
        <w:ind w:left="660" w:firstLine="644"/>
        <w:spacing w:after="0" w:line="256" w:lineRule="auto"/>
        <w:tabs>
          <w:tab w:leader="none" w:pos="2211"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If a Global Note (or any portion thereof) is to be converted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5</w:t>
      </w:r>
      <w:r>
        <w:rPr>
          <w:rFonts w:ascii="Arial" w:cs="Arial" w:eastAsia="Arial" w:hAnsi="Arial"/>
          <w:sz w:val="18"/>
          <w:szCs w:val="18"/>
          <w:i w:val="1"/>
          <w:iCs w:val="1"/>
          <w:color w:val="auto"/>
        </w:rPr>
        <w:t xml:space="preserve"> </w:t>
      </w:r>
      <w:r>
        <w:rPr>
          <w:rFonts w:ascii="Arial" w:cs="Arial" w:eastAsia="Arial" w:hAnsi="Arial"/>
          <w:sz w:val="18"/>
          <w:szCs w:val="18"/>
          <w:color w:val="auto"/>
        </w:rPr>
        <w:t>or repurchased pursuant to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Repurchase Upon Fundamental Change or subject to Redemption, then, promptly after the time such Note (or such portion) is deemed to cease to be outstanding pursuant to </w:t>
      </w:r>
      <w:r>
        <w:rPr>
          <w:rFonts w:ascii="Arial" w:cs="Arial" w:eastAsia="Arial" w:hAnsi="Arial"/>
          <w:sz w:val="18"/>
          <w:szCs w:val="18"/>
          <w:b w:val="1"/>
          <w:bCs w:val="1"/>
          <w:color w:val="auto"/>
        </w:rPr>
        <w:t>Section 2.17</w:t>
      </w:r>
      <w:r>
        <w:rPr>
          <w:rFonts w:ascii="Arial" w:cs="Arial" w:eastAsia="Arial" w:hAnsi="Arial"/>
          <w:sz w:val="18"/>
          <w:szCs w:val="18"/>
          <w:color w:val="auto"/>
        </w:rPr>
        <w:t xml:space="preserve">, the Trustee will reflect a decrease of the principal amount of such Global Note in an amount equal to the principal amount of such Global Note to be so converted, redeemed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Arial" w:cs="Arial" w:eastAsia="Arial" w:hAnsi="Arial"/>
          <w:sz w:val="18"/>
          <w:szCs w:val="18"/>
          <w:b w:val="1"/>
          <w:bCs w:val="1"/>
          <w:color w:val="auto"/>
        </w:rPr>
        <w:t>Section 2.14</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5540" w:hanging="111"/>
        <w:spacing w:after="0"/>
        <w:tabs>
          <w:tab w:leader="none" w:pos="55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Section 2.12. R</w:t>
      </w:r>
      <w:r>
        <w:rPr>
          <w:rFonts w:ascii="Arial" w:cs="Arial" w:eastAsia="Arial" w:hAnsi="Arial"/>
          <w:sz w:val="12"/>
          <w:szCs w:val="12"/>
          <w:b w:val="1"/>
          <w:bCs w:val="1"/>
          <w:color w:val="auto"/>
        </w:rPr>
        <w:t>EPLACEMENT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Arial" w:cs="Arial" w:eastAsia="Arial" w:hAnsi="Arial"/>
          <w:sz w:val="17"/>
          <w:szCs w:val="17"/>
          <w:b w:val="1"/>
          <w:bCs w:val="1"/>
          <w:color w:val="auto"/>
        </w:rPr>
        <w:t>Section 2.02</w:t>
      </w:r>
      <w:r>
        <w:rPr>
          <w:rFonts w:ascii="Arial" w:cs="Arial" w:eastAsia="Arial" w:hAnsi="Arial"/>
          <w:sz w:val="17"/>
          <w:szCs w:val="17"/>
          <w:color w:val="auto"/>
        </w:rPr>
        <w:t>,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 Holder thereof to provide such security or indemnity that is satisfactory to the Company and the Trustee, as applicable, to protect the Company and the Trustee and that is reasonably satisfactory to the Trustee to protect from any loss that any of them may suffer if such Note is replaced.</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Every replacement Note issued pursuant to this </w:t>
      </w:r>
      <w:r>
        <w:rPr>
          <w:rFonts w:ascii="Arial" w:cs="Arial" w:eastAsia="Arial" w:hAnsi="Arial"/>
          <w:sz w:val="18"/>
          <w:szCs w:val="18"/>
          <w:b w:val="1"/>
          <w:bCs w:val="1"/>
          <w:color w:val="auto"/>
        </w:rPr>
        <w:t>Section 2.12</w:t>
      </w:r>
      <w:r>
        <w:rPr>
          <w:rFonts w:ascii="Arial" w:cs="Arial" w:eastAsia="Arial" w:hAnsi="Arial"/>
          <w:sz w:val="18"/>
          <w:szCs w:val="18"/>
          <w:color w:val="auto"/>
        </w:rPr>
        <w:t xml:space="preserve"> will be an additional obligation of the Company and will be entitled to all of the benefits of this Indenture equally and ratably with all other Notes issued under this Indenture, whether or not the lost, destroyed or wrongfully taken Note will at any time be enforceable by anyone.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2.13. R</w:t>
      </w:r>
      <w:r>
        <w:rPr>
          <w:rFonts w:ascii="Arial" w:cs="Arial" w:eastAsia="Arial" w:hAnsi="Arial"/>
          <w:sz w:val="12"/>
          <w:szCs w:val="12"/>
          <w:b w:val="1"/>
          <w:bCs w:val="1"/>
          <w:color w:val="auto"/>
        </w:rPr>
        <w:t>EGISTERED</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w:t>
      </w:r>
      <w:r>
        <w:rPr>
          <w:rFonts w:ascii="Arial" w:cs="Arial" w:eastAsia="Arial" w:hAnsi="Arial"/>
          <w:sz w:val="18"/>
          <w:szCs w:val="18"/>
          <w:b w:val="1"/>
          <w:bCs w:val="1"/>
          <w:color w:val="auto"/>
        </w:rPr>
        <w:t>; C</w:t>
      </w:r>
      <w:r>
        <w:rPr>
          <w:rFonts w:ascii="Arial" w:cs="Arial" w:eastAsia="Arial" w:hAnsi="Arial"/>
          <w:sz w:val="12"/>
          <w:szCs w:val="12"/>
          <w:b w:val="1"/>
          <w:bCs w:val="1"/>
          <w:color w:val="auto"/>
        </w:rPr>
        <w:t>ERTAIN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 WITH</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ESPECT TO</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2.14. C</w:t>
      </w:r>
      <w:r>
        <w:rPr>
          <w:rFonts w:ascii="Arial" w:cs="Arial" w:eastAsia="Arial" w:hAnsi="Arial"/>
          <w:sz w:val="12"/>
          <w:szCs w:val="12"/>
          <w:b w:val="1"/>
          <w:bCs w:val="1"/>
          <w:color w:val="auto"/>
        </w:rPr>
        <w:t>ANCELLATION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b w:val="1"/>
          <w:bCs w:val="1"/>
          <w:color w:val="auto"/>
        </w:rPr>
        <w:t>Section 3.07</w:t>
      </w:r>
      <w:r>
        <w:rPr>
          <w:rFonts w:ascii="Arial" w:cs="Arial" w:eastAsia="Arial" w:hAnsi="Arial"/>
          <w:sz w:val="18"/>
          <w:szCs w:val="18"/>
          <w:color w:val="auto"/>
        </w:rPr>
        <w:t xml:space="preserve">, 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Arial" w:cs="Arial" w:eastAsia="Arial" w:hAnsi="Arial"/>
          <w:sz w:val="18"/>
          <w:szCs w:val="18"/>
          <w:b w:val="1"/>
          <w:bCs w:val="1"/>
          <w:color w:val="auto"/>
        </w:rPr>
        <w:t>Section 2.03(B)</w:t>
      </w:r>
      <w:r>
        <w:rPr>
          <w:rFonts w:ascii="Arial" w:cs="Arial" w:eastAsia="Arial" w:hAnsi="Arial"/>
          <w:sz w:val="18"/>
          <w:szCs w:val="18"/>
          <w:color w:val="auto"/>
        </w:rPr>
        <w:t>, the Company may not originally issue new Notes to replace Notes that it has paid or that have been cancelled upon transfer, exchange, payment or conversion.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2.15.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ELD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 ITS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FFILIATES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b w:val="1"/>
          <w:bCs w:val="1"/>
          <w:color w:val="auto"/>
        </w:rPr>
        <w:t>Sections 2.17</w:t>
      </w:r>
      <w:r>
        <w:rPr>
          <w:rFonts w:ascii="Arial" w:cs="Arial" w:eastAsia="Arial" w:hAnsi="Arial"/>
          <w:sz w:val="16"/>
          <w:szCs w:val="16"/>
          <w:color w:val="auto"/>
        </w:rPr>
        <w:t xml:space="preserve"> and </w:t>
      </w:r>
      <w:r>
        <w:rPr>
          <w:rFonts w:ascii="Arial" w:cs="Arial" w:eastAsia="Arial" w:hAnsi="Arial"/>
          <w:sz w:val="16"/>
          <w:szCs w:val="16"/>
          <w:b w:val="1"/>
          <w:bCs w:val="1"/>
          <w:color w:val="auto"/>
        </w:rPr>
        <w:t>3.07</w:t>
      </w:r>
      <w:r>
        <w:rPr>
          <w:rFonts w:ascii="Arial" w:cs="Arial" w:eastAsia="Arial" w:hAnsi="Arial"/>
          <w:sz w:val="16"/>
          <w:szCs w:val="16"/>
          <w:color w:val="auto"/>
        </w:rPr>
        <w:t xml:space="preserve">, in determining whether the Holders of the required aggregate principal amount of Notes have concurred in any direction, waiver or consent or other action under this Indenture, Notes owned by the Company or any of its Affiliates will be deemed not to be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determining whether the Trustee is protected in relying on any such direction, waiver or consent or other action under this Indenture, only Notes that a Responsible Officer of the Trustee knows are so owned will be so disregarded.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Section 2.16. T</w:t>
      </w:r>
      <w:r>
        <w:rPr>
          <w:rFonts w:ascii="Arial" w:cs="Arial" w:eastAsia="Arial" w:hAnsi="Arial"/>
          <w:sz w:val="12"/>
          <w:szCs w:val="12"/>
          <w:b w:val="1"/>
          <w:bCs w:val="1"/>
          <w:color w:val="auto"/>
        </w:rPr>
        <w:t>EMPORARY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Until definitive Notes are ready for delivery, the Company may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Arial" w:cs="Arial" w:eastAsia="Arial" w:hAnsi="Arial"/>
          <w:sz w:val="18"/>
          <w:szCs w:val="18"/>
          <w:b w:val="1"/>
          <w:bCs w:val="1"/>
          <w:color w:val="auto"/>
        </w:rPr>
        <w:t>Section 2.02</w:t>
      </w:r>
      <w:r>
        <w:rPr>
          <w:rFonts w:ascii="Arial" w:cs="Arial" w:eastAsia="Arial" w:hAnsi="Arial"/>
          <w:sz w:val="18"/>
          <w:szCs w:val="18"/>
          <w:color w:val="auto"/>
        </w:rPr>
        <w:t>, definitive Notes in exchange for temporary Notes. Until so exchanged, each temporary Note will in all respects be entitled to the same benefits under this Indenture as definitive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2.17. O</w:t>
      </w:r>
      <w:r>
        <w:rPr>
          <w:rFonts w:ascii="Arial" w:cs="Arial" w:eastAsia="Arial" w:hAnsi="Arial"/>
          <w:sz w:val="12"/>
          <w:szCs w:val="12"/>
          <w:b w:val="1"/>
          <w:bCs w:val="1"/>
          <w:color w:val="auto"/>
        </w:rPr>
        <w:t>UTSTANDING</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5" w:lineRule="auto"/>
        <w:tabs>
          <w:tab w:leader="none" w:pos="1482"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Notes that are outstanding at any time will be deemed to be those Notes that, at such time, have been duly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authenticated, excluding those Notes (or portions thereof) that have theretofore been (i) cancelled by the Trustee or delivered to the Trustee for cancellation in accordance with </w:t>
      </w:r>
      <w:r>
        <w:rPr>
          <w:rFonts w:ascii="Arial" w:cs="Arial" w:eastAsia="Arial" w:hAnsi="Arial"/>
          <w:sz w:val="18"/>
          <w:szCs w:val="18"/>
          <w:b w:val="1"/>
          <w:bCs w:val="1"/>
          <w:color w:val="auto"/>
        </w:rPr>
        <w:t>Section 2.14</w:t>
      </w:r>
      <w:r>
        <w:rPr>
          <w:rFonts w:ascii="Arial" w:cs="Arial" w:eastAsia="Arial" w:hAnsi="Arial"/>
          <w:sz w:val="18"/>
          <w:szCs w:val="18"/>
          <w:color w:val="auto"/>
        </w:rPr>
        <w:t xml:space="preserve">; (ii) assigned a principal amount of zero by notation on the “Schedule of Exchanges of Interests in the Global Note” forming part of any a Global Note representing such Note; (iii) paid in full (including upon conversion) in accordance with this Indenture; (iv) deemed to cease to be outstanding to the extent provided in, and subject to,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8"/>
          <w:szCs w:val="18"/>
          <w:color w:val="auto"/>
        </w:rPr>
        <w:t xml:space="preserve"> or </w:t>
      </w:r>
      <w:r>
        <w:rPr>
          <w:rFonts w:ascii="Arial" w:cs="Arial" w:eastAsia="Arial" w:hAnsi="Arial"/>
          <w:sz w:val="18"/>
          <w:szCs w:val="18"/>
          <w:b w:val="1"/>
          <w:bCs w:val="1"/>
          <w:color w:val="auto"/>
        </w:rPr>
        <w:t>(D)</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2.17</w:t>
      </w:r>
      <w:r>
        <w:rPr>
          <w:rFonts w:ascii="Arial" w:cs="Arial" w:eastAsia="Arial" w:hAnsi="Arial"/>
          <w:sz w:val="18"/>
          <w:szCs w:val="18"/>
          <w:color w:val="auto"/>
        </w:rPr>
        <w:t xml:space="preserve">; or (v) deemed not to be outstanding pursuant to </w:t>
      </w:r>
      <w:r>
        <w:rPr>
          <w:rFonts w:ascii="Arial" w:cs="Arial" w:eastAsia="Arial" w:hAnsi="Arial"/>
          <w:sz w:val="18"/>
          <w:szCs w:val="18"/>
          <w:b w:val="1"/>
          <w:bCs w:val="1"/>
          <w:color w:val="auto"/>
        </w:rPr>
        <w:t>Section 2.15</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656"/>
        <w:spacing w:after="0" w:line="266" w:lineRule="auto"/>
        <w:tabs>
          <w:tab w:leader="none" w:pos="181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Replaced Notes</w:t>
      </w:r>
      <w:r>
        <w:rPr>
          <w:rFonts w:ascii="Arial" w:cs="Arial" w:eastAsia="Arial" w:hAnsi="Arial"/>
          <w:sz w:val="18"/>
          <w:szCs w:val="18"/>
          <w:color w:val="auto"/>
        </w:rPr>
        <w:t>. If a Note is replaced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2.12</w:t>
      </w:r>
      <w:r>
        <w:rPr>
          <w:rFonts w:ascii="Arial" w:cs="Arial" w:eastAsia="Arial" w:hAnsi="Arial"/>
          <w:sz w:val="18"/>
          <w:szCs w:val="18"/>
          <w:color w:val="auto"/>
        </w:rPr>
        <w:t>, then such Note will cease to be outstanding at the time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unless the Trustee and the Company receive proof reasonably satisfactory to them that such Note is held by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purchaser” under applicable law.</w:t>
      </w:r>
    </w:p>
    <w:p>
      <w:pPr>
        <w:spacing w:after="0" w:line="179" w:lineRule="exact"/>
        <w:rPr>
          <w:rFonts w:ascii="Arial" w:cs="Arial" w:eastAsia="Arial" w:hAnsi="Arial"/>
          <w:sz w:val="18"/>
          <w:szCs w:val="18"/>
          <w:color w:val="auto"/>
        </w:rPr>
      </w:pPr>
    </w:p>
    <w:p>
      <w:pPr>
        <w:jc w:val="both"/>
        <w:ind w:firstLine="656"/>
        <w:spacing w:after="0" w:line="271" w:lineRule="auto"/>
        <w:tabs>
          <w:tab w:leader="none" w:pos="1774"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Maturing Notes and Notes Called for Redemption or Subject to Repurchase</w:t>
      </w:r>
      <w:r>
        <w:rPr>
          <w:rFonts w:ascii="Arial" w:cs="Arial" w:eastAsia="Arial" w:hAnsi="Arial"/>
          <w:sz w:val="17"/>
          <w:szCs w:val="17"/>
          <w:color w:val="auto"/>
        </w:rPr>
        <w:t>. If, on a Redemption Date, a Fundamental Change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Arial" w:cs="Arial" w:eastAsia="Arial" w:hAnsi="Arial"/>
          <w:sz w:val="17"/>
          <w:szCs w:val="17"/>
          <w:b w:val="1"/>
          <w:bCs w:val="1"/>
          <w:color w:val="auto"/>
        </w:rPr>
        <w:t>Sections 4.02(D)</w:t>
      </w:r>
      <w:r>
        <w:rPr>
          <w:rFonts w:ascii="Arial" w:cs="Arial" w:eastAsia="Arial" w:hAnsi="Arial"/>
          <w:sz w:val="17"/>
          <w:szCs w:val="17"/>
          <w:color w:val="auto"/>
        </w:rPr>
        <w:t xml:space="preserve">, </w:t>
      </w:r>
      <w:r>
        <w:rPr>
          <w:rFonts w:ascii="Arial" w:cs="Arial" w:eastAsia="Arial" w:hAnsi="Arial"/>
          <w:sz w:val="17"/>
          <w:szCs w:val="17"/>
          <w:b w:val="1"/>
          <w:bCs w:val="1"/>
          <w:color w:val="auto"/>
        </w:rPr>
        <w:t>4.03(F)</w:t>
      </w:r>
      <w:r>
        <w:rPr>
          <w:rFonts w:ascii="Arial" w:cs="Arial" w:eastAsia="Arial" w:hAnsi="Arial"/>
          <w:sz w:val="17"/>
          <w:szCs w:val="17"/>
          <w:color w:val="auto"/>
        </w:rPr>
        <w:t xml:space="preserve"> or </w:t>
      </w:r>
      <w:r>
        <w:rPr>
          <w:rFonts w:ascii="Arial" w:cs="Arial" w:eastAsia="Arial" w:hAnsi="Arial"/>
          <w:sz w:val="17"/>
          <w:szCs w:val="17"/>
          <w:b w:val="1"/>
          <w:bCs w:val="1"/>
          <w:color w:val="auto"/>
        </w:rPr>
        <w:t>5.02(D)</w:t>
      </w:r>
      <w:r>
        <w:rPr>
          <w:rFonts w:ascii="Arial" w:cs="Arial" w:eastAsia="Arial" w:hAnsi="Arial"/>
          <w:sz w:val="17"/>
          <w:szCs w:val="17"/>
          <w:color w:val="auto"/>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w:t>
      </w:r>
    </w:p>
    <w:p>
      <w:pPr>
        <w:spacing w:after="0" w:line="178" w:lineRule="exact"/>
        <w:rPr>
          <w:rFonts w:ascii="Arial" w:cs="Arial" w:eastAsia="Arial" w:hAnsi="Arial"/>
          <w:sz w:val="17"/>
          <w:szCs w:val="17"/>
          <w:color w:val="auto"/>
        </w:rPr>
      </w:pPr>
    </w:p>
    <w:p>
      <w:pPr>
        <w:jc w:val="both"/>
        <w:ind w:firstLine="656"/>
        <w:spacing w:after="0" w:line="311" w:lineRule="auto"/>
        <w:tabs>
          <w:tab w:leader="none" w:pos="1563"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Notes to Be Converted</w:t>
      </w:r>
      <w:r>
        <w:rPr>
          <w:rFonts w:ascii="Arial" w:cs="Arial" w:eastAsia="Arial" w:hAnsi="Arial"/>
          <w:sz w:val="16"/>
          <w:szCs w:val="16"/>
          <w:color w:val="auto"/>
        </w:rPr>
        <w:t>. At the Close of Business on the Conversion Date for any Note (or any portion thereof) to be converted,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 (or such portion) will (unless there occurs a Default in the delivery of the Conversion Consideration or interest due, pursuant to </w:t>
      </w:r>
      <w:r>
        <w:rPr>
          <w:rFonts w:ascii="Arial" w:cs="Arial" w:eastAsia="Arial" w:hAnsi="Arial"/>
          <w:sz w:val="16"/>
          <w:szCs w:val="16"/>
          <w:b w:val="1"/>
          <w:bCs w:val="1"/>
          <w:color w:val="auto"/>
        </w:rPr>
        <w:t>Section 5.03(B)</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5.02(D)</w:t>
      </w:r>
      <w:r>
        <w:rPr>
          <w:rFonts w:ascii="Arial" w:cs="Arial" w:eastAsia="Arial" w:hAnsi="Arial"/>
          <w:sz w:val="16"/>
          <w:szCs w:val="16"/>
          <w:color w:val="auto"/>
        </w:rPr>
        <w:t>, upon such conversion) be deemed to cease to be outstanding, except to the extent provided in</w:t>
      </w:r>
      <w:r>
        <w:rPr>
          <w:rFonts w:ascii="Arial" w:cs="Arial" w:eastAsia="Arial" w:hAnsi="Arial"/>
          <w:sz w:val="16"/>
          <w:szCs w:val="16"/>
          <w:b w:val="1"/>
          <w:bCs w:val="1"/>
          <w:color w:val="auto"/>
        </w:rPr>
        <w:t xml:space="preserve"> Section 5.02(D) </w:t>
      </w:r>
      <w:r>
        <w:rPr>
          <w:rFonts w:ascii="Arial" w:cs="Arial" w:eastAsia="Arial" w:hAnsi="Arial"/>
          <w:sz w:val="16"/>
          <w:szCs w:val="16"/>
          <w:color w:val="auto"/>
        </w:rPr>
        <w:t>or</w:t>
      </w:r>
      <w:r>
        <w:rPr>
          <w:rFonts w:ascii="Arial" w:cs="Arial" w:eastAsia="Arial" w:hAnsi="Arial"/>
          <w:sz w:val="16"/>
          <w:szCs w:val="16"/>
          <w:b w:val="1"/>
          <w:bCs w:val="1"/>
          <w:color w:val="auto"/>
        </w:rPr>
        <w:t xml:space="preserve"> Section 5.08</w:t>
      </w:r>
      <w:r>
        <w:rPr>
          <w:rFonts w:ascii="Arial" w:cs="Arial" w:eastAsia="Arial" w:hAnsi="Arial"/>
          <w:sz w:val="16"/>
          <w:szCs w:val="16"/>
          <w:color w:val="auto"/>
        </w:rPr>
        <w:t>.</w:t>
      </w:r>
    </w:p>
    <w:p>
      <w:pPr>
        <w:spacing w:after="0" w:line="364" w:lineRule="exact"/>
        <w:rPr>
          <w:rFonts w:ascii="Arial" w:cs="Arial" w:eastAsia="Arial" w:hAnsi="Arial"/>
          <w:sz w:val="16"/>
          <w:szCs w:val="16"/>
          <w:color w:val="auto"/>
        </w:rPr>
      </w:pPr>
    </w:p>
    <w:p>
      <w:pPr>
        <w:ind w:left="5540" w:hanging="111"/>
        <w:spacing w:after="0"/>
        <w:tabs>
          <w:tab w:leader="none" w:pos="5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line="4" w:lineRule="exact"/>
        <w:rPr>
          <w:sz w:val="20"/>
          <w:szCs w:val="20"/>
          <w:color w:val="auto"/>
        </w:rPr>
      </w:pPr>
    </w:p>
    <w:p>
      <w:pPr>
        <w:jc w:val="both"/>
        <w:ind w:firstLine="656"/>
        <w:spacing w:after="0" w:line="286" w:lineRule="auto"/>
        <w:tabs>
          <w:tab w:leader="none" w:pos="165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Cessation of Accrual of Interest</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w:t>
      </w:r>
      <w:r>
        <w:rPr>
          <w:rFonts w:ascii="Arial" w:cs="Arial" w:eastAsia="Arial" w:hAnsi="Arial"/>
          <w:sz w:val="17"/>
          <w:szCs w:val="17"/>
          <w:color w:val="auto"/>
        </w:rPr>
        <w:t>Note from, and including, the date that such Note is deemed, pursuant to this payment or delivery of any cash or other property due on such Note.</w:t>
      </w:r>
    </w:p>
    <w:p>
      <w:pPr>
        <w:spacing w:after="0" w:line="20" w:lineRule="exact"/>
        <w:rPr>
          <w:sz w:val="20"/>
          <w:szCs w:val="20"/>
          <w:color w:val="auto"/>
        </w:rPr>
      </w:pPr>
      <w:r>
        <w:rPr>
          <w:sz w:val="20"/>
          <w:szCs w:val="20"/>
          <w:color w:val="auto"/>
        </w:rPr>
        <w:br w:type="column"/>
      </w:r>
    </w:p>
    <w:p>
      <w:pPr>
        <w:ind w:right="20" w:firstLine="52"/>
        <w:spacing w:after="0" w:line="347" w:lineRule="auto"/>
        <w:rPr>
          <w:sz w:val="20"/>
          <w:szCs w:val="20"/>
          <w:color w:val="auto"/>
        </w:rPr>
      </w:pPr>
      <w:r>
        <w:rPr>
          <w:rFonts w:ascii="Arial" w:cs="Arial" w:eastAsia="Arial" w:hAnsi="Arial"/>
          <w:sz w:val="16"/>
          <w:szCs w:val="16"/>
          <w:b w:val="1"/>
          <w:bCs w:val="1"/>
          <w:color w:val="auto"/>
        </w:rPr>
        <w:t>Sections 4.02(D)</w:t>
      </w:r>
      <w:r>
        <w:rPr>
          <w:rFonts w:ascii="Arial" w:cs="Arial" w:eastAsia="Arial" w:hAnsi="Arial"/>
          <w:sz w:val="16"/>
          <w:szCs w:val="16"/>
          <w:color w:val="auto"/>
        </w:rPr>
        <w:t>,</w:t>
      </w:r>
      <w:r>
        <w:rPr>
          <w:rFonts w:ascii="Arial" w:cs="Arial" w:eastAsia="Arial" w:hAnsi="Arial"/>
          <w:sz w:val="16"/>
          <w:szCs w:val="16"/>
          <w:b w:val="1"/>
          <w:bCs w:val="1"/>
          <w:color w:val="auto"/>
        </w:rPr>
        <w:t xml:space="preserve"> 4.03(F) </w:t>
      </w:r>
      <w:r>
        <w:rPr>
          <w:rFonts w:ascii="Arial" w:cs="Arial" w:eastAsia="Arial" w:hAnsi="Arial"/>
          <w:sz w:val="16"/>
          <w:szCs w:val="16"/>
          <w:color w:val="auto"/>
        </w:rPr>
        <w:t>or</w:t>
      </w:r>
      <w:r>
        <w:rPr>
          <w:rFonts w:ascii="Arial" w:cs="Arial" w:eastAsia="Arial" w:hAnsi="Arial"/>
          <w:sz w:val="16"/>
          <w:szCs w:val="16"/>
          <w:b w:val="1"/>
          <w:bCs w:val="1"/>
          <w:color w:val="auto"/>
        </w:rPr>
        <w:t xml:space="preserve"> 5.02(D)</w:t>
      </w:r>
      <w:r>
        <w:rPr>
          <w:rFonts w:ascii="Arial" w:cs="Arial" w:eastAsia="Arial" w:hAnsi="Arial"/>
          <w:sz w:val="16"/>
          <w:szCs w:val="16"/>
          <w:color w:val="auto"/>
        </w:rPr>
        <w:t>, interest will cease to accrue on each</w:t>
      </w:r>
      <w:r>
        <w:rPr>
          <w:rFonts w:ascii="Arial" w:cs="Arial" w:eastAsia="Arial" w:hAnsi="Arial"/>
          <w:sz w:val="16"/>
          <w:szCs w:val="16"/>
          <w:b w:val="1"/>
          <w:bCs w:val="1"/>
          <w:color w:val="auto"/>
        </w:rPr>
        <w:t xml:space="preserve"> Section 2.17</w:t>
      </w:r>
      <w:r>
        <w:rPr>
          <w:rFonts w:ascii="Arial" w:cs="Arial" w:eastAsia="Arial" w:hAnsi="Arial"/>
          <w:sz w:val="16"/>
          <w:szCs w:val="16"/>
          <w:color w:val="auto"/>
        </w:rPr>
        <w:t>, to cease to be outstanding, unless there occurs a default in the</w:t>
      </w:r>
    </w:p>
    <w:p>
      <w:pPr>
        <w:spacing w:after="0" w:line="331" w:lineRule="exact"/>
        <w:rPr>
          <w:sz w:val="20"/>
          <w:szCs w:val="20"/>
          <w:color w:val="auto"/>
        </w:rPr>
      </w:pPr>
    </w:p>
    <w:p>
      <w:pPr>
        <w:sectPr>
          <w:pgSz w:w="11900" w:h="16838" w:orient="portrait"/>
          <w:cols w:equalWidth="0" w:num="2">
            <w:col w:w="5680" w:space="0"/>
            <w:col w:w="556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Section 2.18. R</w:t>
      </w:r>
      <w:r>
        <w:rPr>
          <w:rFonts w:ascii="Arial" w:cs="Arial" w:eastAsia="Arial" w:hAnsi="Arial"/>
          <w:sz w:val="12"/>
          <w:szCs w:val="12"/>
          <w:b w:val="1"/>
          <w:bCs w:val="1"/>
          <w:color w:val="auto"/>
        </w:rPr>
        <w:t>EPURCHASES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b w:val="1"/>
          <w:bCs w:val="1"/>
          <w:color w:val="auto"/>
        </w:rPr>
        <w:t>Sections 2.14</w:t>
      </w:r>
      <w:r>
        <w:rPr>
          <w:rFonts w:ascii="Arial" w:cs="Arial" w:eastAsia="Arial" w:hAnsi="Arial"/>
          <w:sz w:val="18"/>
          <w:szCs w:val="18"/>
          <w:color w:val="auto"/>
        </w:rPr>
        <w:t xml:space="preserve"> and </w:t>
      </w:r>
      <w:r>
        <w:rPr>
          <w:rFonts w:ascii="Arial" w:cs="Arial" w:eastAsia="Arial" w:hAnsi="Arial"/>
          <w:sz w:val="18"/>
          <w:szCs w:val="18"/>
          <w:b w:val="1"/>
          <w:bCs w:val="1"/>
          <w:color w:val="auto"/>
        </w:rPr>
        <w:t>3.07</w:t>
      </w:r>
      <w:r>
        <w:rPr>
          <w:rFonts w:ascii="Arial" w:cs="Arial" w:eastAsia="Arial" w:hAnsi="Arial"/>
          <w:sz w:val="18"/>
          <w:szCs w:val="18"/>
          <w:color w:val="auto"/>
        </w:rPr>
        <w:t>, the Company may, from time to time, repurchase Notes in open market purchases or in negotiated transactions without delivering prior notice to 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2.19. CUSIP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ISIN N</w:t>
      </w:r>
      <w:r>
        <w:rPr>
          <w:rFonts w:ascii="Arial" w:cs="Arial" w:eastAsia="Arial" w:hAnsi="Arial"/>
          <w:sz w:val="12"/>
          <w:szCs w:val="12"/>
          <w:b w:val="1"/>
          <w:bCs w:val="1"/>
          <w:color w:val="auto"/>
        </w:rPr>
        <w:t>UMBERS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Subject to the provisions of this Indenture, the Company may use one or more CUSIP or ISIN numbers to identify any of the Notes, and, if so, the Company and the Trustee will use such CUSIP or ISIN number(s) in notices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184" w:lineRule="exact"/>
        <w:rPr>
          <w:sz w:val="20"/>
          <w:szCs w:val="20"/>
          <w:color w:val="auto"/>
        </w:rPr>
      </w:pPr>
    </w:p>
    <w:p>
      <w:pPr>
        <w:ind w:left="4420"/>
        <w:spacing w:after="0"/>
        <w:tabs>
          <w:tab w:leader="none" w:pos="568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3.01. P</w:t>
      </w:r>
      <w:r>
        <w:rPr>
          <w:rFonts w:ascii="Arial" w:cs="Arial" w:eastAsia="Arial" w:hAnsi="Arial"/>
          <w:sz w:val="12"/>
          <w:szCs w:val="12"/>
          <w:b w:val="1"/>
          <w:bCs w:val="1"/>
          <w:color w:val="auto"/>
        </w:rPr>
        <w:t>AYMENT ON</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308" w:lineRule="auto"/>
        <w:tabs>
          <w:tab w:leader="none" w:pos="1523"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The Company will pay or cause to be paid all the principal of, the Fundamental Change Repurchase Price and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Price for, interest on, and other amounts due with respect to, the Notes on the dates and in the manner set forth in this Indenture.</w:t>
      </w:r>
    </w:p>
    <w:p>
      <w:pPr>
        <w:spacing w:after="0" w:line="146" w:lineRule="exact"/>
        <w:rPr>
          <w:rFonts w:ascii="Arial" w:cs="Arial" w:eastAsia="Arial" w:hAnsi="Arial"/>
          <w:sz w:val="17"/>
          <w:szCs w:val="17"/>
          <w:color w:val="auto"/>
        </w:rPr>
      </w:pPr>
    </w:p>
    <w:p>
      <w:pPr>
        <w:jc w:val="both"/>
        <w:ind w:firstLine="656"/>
        <w:spacing w:after="0" w:line="279" w:lineRule="auto"/>
        <w:tabs>
          <w:tab w:leader="none" w:pos="1706"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Deposit of Funds</w:t>
      </w:r>
      <w:r>
        <w:rPr>
          <w:rFonts w:ascii="Arial" w:cs="Arial" w:eastAsia="Arial" w:hAnsi="Arial"/>
          <w:sz w:val="17"/>
          <w:szCs w:val="17"/>
          <w:color w:val="auto"/>
        </w:rPr>
        <w:t>. Before 11:00 A.M., New York City time, on each Redemption Date, Fundamental Change Repurchase Date or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3.02. E</w:t>
      </w:r>
      <w:r>
        <w:rPr>
          <w:rFonts w:ascii="Arial" w:cs="Arial" w:eastAsia="Arial" w:hAnsi="Arial"/>
          <w:sz w:val="12"/>
          <w:szCs w:val="12"/>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1" w:lineRule="auto"/>
        <w:tabs>
          <w:tab w:leader="none" w:pos="1577"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The Company will send to the Trustee copies of all reports that the Company is required to file with the SEC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13(a) or 15(d) of the Exchange Act (other than current reports on Form 8-K (or any successor form)) within fifteen (15) calendar days after the date that the Company is required to file the same (after giving effect to all applicable grace periods under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need not send to the Trustee any material for which the Company has received, or is seeking in good faith and has not been denied, confidential treatment by the SEC. Any report that the Company files with the SEC through the EDGAR system (or any successor thereto) will be deemed to be sent to the Trustee at the time such report is so filed via the EDGAR system (or such successor). Upon the request of any Holder, the Company will provide to such Holder a copy of any report that the Company has sent the Trustee pursuant to this </w:t>
      </w:r>
      <w:r>
        <w:rPr>
          <w:rFonts w:ascii="Arial" w:cs="Arial" w:eastAsia="Arial" w:hAnsi="Arial"/>
          <w:sz w:val="17"/>
          <w:szCs w:val="17"/>
          <w:b w:val="1"/>
          <w:bCs w:val="1"/>
          <w:color w:val="auto"/>
        </w:rPr>
        <w:t>Section 3.02(A)</w:t>
      </w:r>
      <w:r>
        <w:rPr>
          <w:rFonts w:ascii="Arial" w:cs="Arial" w:eastAsia="Arial" w:hAnsi="Arial"/>
          <w:sz w:val="17"/>
          <w:szCs w:val="17"/>
          <w:color w:val="auto"/>
        </w:rPr>
        <w:t>, other than a report that is deemed to be sent to the Trustee pursuant to the preceding sentence.</w:t>
      </w:r>
    </w:p>
    <w:p>
      <w:pPr>
        <w:spacing w:after="0" w:line="394" w:lineRule="exact"/>
        <w:rPr>
          <w:rFonts w:ascii="Arial" w:cs="Arial" w:eastAsia="Arial" w:hAnsi="Arial"/>
          <w:sz w:val="17"/>
          <w:szCs w:val="17"/>
          <w:color w:val="auto"/>
        </w:rPr>
      </w:pPr>
    </w:p>
    <w:p>
      <w:pPr>
        <w:ind w:left="5540" w:hanging="111"/>
        <w:spacing w:after="0"/>
        <w:tabs>
          <w:tab w:leader="none" w:pos="5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7" w:name="page38"/>
    <w:bookmarkEnd w:id="37"/>
    <w:p>
      <w:pPr>
        <w:jc w:val="both"/>
        <w:ind w:firstLine="656"/>
        <w:spacing w:after="0" w:line="254" w:lineRule="auto"/>
        <w:tabs>
          <w:tab w:leader="none" w:pos="1517"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Trustee’s Disclaimer</w:t>
      </w:r>
      <w:r>
        <w:rPr>
          <w:rFonts w:ascii="Arial" w:cs="Arial" w:eastAsia="Arial" w:hAnsi="Arial"/>
          <w:sz w:val="18"/>
          <w:szCs w:val="18"/>
          <w:color w:val="auto"/>
        </w:rPr>
        <w:t>. The Trustee will not be responsible for determining whether the Company has filed any material via the EDGAR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system (or such successor) or for the timeliness of its content. The sending or filing of reports, information and documents pursuant to </w:t>
      </w:r>
      <w:r>
        <w:rPr>
          <w:rFonts w:ascii="Arial" w:cs="Arial" w:eastAsia="Arial" w:hAnsi="Arial"/>
          <w:sz w:val="18"/>
          <w:szCs w:val="18"/>
          <w:b w:val="1"/>
          <w:bCs w:val="1"/>
          <w:color w:val="auto"/>
        </w:rPr>
        <w:t>Section 3.02(A)</w:t>
      </w:r>
      <w:r>
        <w:rPr>
          <w:rFonts w:ascii="Arial" w:cs="Arial" w:eastAsia="Arial" w:hAnsi="Arial"/>
          <w:sz w:val="18"/>
          <w:szCs w:val="18"/>
          <w:color w:val="auto"/>
        </w:rPr>
        <w:t xml:space="preserve"> is for informational purposes only and the information and the Trustee’s receipt of the foregoing will not be deemed to constitute actual or constructive notice to the Trustee of any information contained, or determinable from information contained, therein, including the Company’s compliance with any of its covenants under this Indenture (as to which the Trustee is entitled to rely exclusively on an Officer’s Certificate). The Trustee will have no obligation whatsoever to monitor or confirm, on a continuing basis or otherwise, the Company’s compliance with its covenants under this Indenture or with respect to any reports or other documents filed with the SEC via the EDGAR system (or any successor thereto) or any other website, or to participate in any conference calls.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3.03. R</w:t>
      </w:r>
      <w:r>
        <w:rPr>
          <w:rFonts w:ascii="Arial" w:cs="Arial" w:eastAsia="Arial" w:hAnsi="Arial"/>
          <w:sz w:val="12"/>
          <w:szCs w:val="12"/>
          <w:b w:val="1"/>
          <w:bCs w:val="1"/>
          <w:color w:val="auto"/>
        </w:rPr>
        <w:t>ULE</w:t>
      </w:r>
      <w:r>
        <w:rPr>
          <w:rFonts w:ascii="Arial" w:cs="Arial" w:eastAsia="Arial" w:hAnsi="Arial"/>
          <w:sz w:val="18"/>
          <w:szCs w:val="18"/>
          <w:b w:val="1"/>
          <w:bCs w:val="1"/>
          <w:color w:val="auto"/>
        </w:rPr>
        <w:t xml:space="preserve"> 144A 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the Company is not subject to Section 13 or 15(d) of the Exchange Act at any time when any Notes or shares of Common Stock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The Company (or its successor) will take such further action as any Holder or beneficial owner of such Notes or shares may reasonably request to enable such Holder or beneficial owner to sell such Notes or shares pursuant to Rule 144A.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3.04. 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277" w:lineRule="auto"/>
        <w:tabs>
          <w:tab w:leader="none" w:pos="1509"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Accrual of Additional Interest</w:t>
      </w:r>
      <w:r>
        <w:rPr>
          <w:rFonts w:ascii="Arial" w:cs="Arial" w:eastAsia="Arial" w:hAnsi="Arial"/>
          <w:sz w:val="18"/>
          <w:szCs w:val="18"/>
          <w:color w:val="auto"/>
        </w:rPr>
        <w:t>. If, on any day occurring on or after the date that is the later of (x) six (6) months after the Last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Issue Date of any Note and (y) July 26, 2022,</w:t>
      </w:r>
    </w:p>
    <w:p>
      <w:pPr>
        <w:spacing w:after="0" w:line="170" w:lineRule="exact"/>
        <w:rPr>
          <w:rFonts w:ascii="Arial" w:cs="Arial" w:eastAsia="Arial" w:hAnsi="Arial"/>
          <w:sz w:val="18"/>
          <w:szCs w:val="18"/>
          <w:color w:val="auto"/>
        </w:rPr>
      </w:pPr>
    </w:p>
    <w:p>
      <w:pPr>
        <w:ind w:left="660" w:firstLine="644"/>
        <w:spacing w:after="0" w:line="277" w:lineRule="auto"/>
        <w:tabs>
          <w:tab w:leader="none" w:pos="2364"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has not satisfied the reporting conditions (including, for the avoidance of doubt, the requirement for current Form 10 information) set forth in Rule 144(c) and (i)(2) under the Securities Act; or</w:t>
      </w:r>
    </w:p>
    <w:p>
      <w:pPr>
        <w:spacing w:after="0" w:line="170" w:lineRule="exact"/>
        <w:rPr>
          <w:rFonts w:ascii="Arial" w:cs="Arial" w:eastAsia="Arial" w:hAnsi="Arial"/>
          <w:sz w:val="18"/>
          <w:szCs w:val="18"/>
          <w:color w:val="auto"/>
        </w:rPr>
      </w:pPr>
    </w:p>
    <w:p>
      <w:pPr>
        <w:ind w:left="2160" w:hanging="856"/>
        <w:spacing w:after="0"/>
        <w:tabs>
          <w:tab w:leader="none" w:pos="2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such Note is not otherwise Freely Tradable,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Additional Interest will accrue on such Note for such day.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656"/>
        <w:spacing w:after="0" w:line="256" w:lineRule="auto"/>
        <w:tabs>
          <w:tab w:leader="none" w:pos="1747"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Amount and Payment of Additional Interest</w:t>
      </w:r>
      <w:r>
        <w:rPr>
          <w:rFonts w:ascii="Arial" w:cs="Arial" w:eastAsia="Arial" w:hAnsi="Arial"/>
          <w:sz w:val="18"/>
          <w:szCs w:val="18"/>
          <w:color w:val="auto"/>
        </w:rPr>
        <w:t>. Any Additional Interest that accrues on a Note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3.04(A)</w:t>
      </w:r>
      <w:r>
        <w:rPr>
          <w:rFonts w:ascii="Arial" w:cs="Arial" w:eastAsia="Arial" w:hAnsi="Arial"/>
          <w:sz w:val="18"/>
          <w:szCs w:val="18"/>
          <w:i w:val="1"/>
          <w:iCs w:val="1"/>
          <w:color w:val="auto"/>
        </w:rPr>
        <w:t xml:space="preserve"> </w:t>
      </w:r>
      <w:r>
        <w:rPr>
          <w:rFonts w:ascii="Arial" w:cs="Arial" w:eastAsia="Arial" w:hAnsi="Arial"/>
          <w:sz w:val="18"/>
          <w:szCs w:val="18"/>
          <w:color w:val="auto"/>
        </w:rPr>
        <w:t>will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payable on the same dates and in the same manner as the Stated Interest on such Note and will accrue at a rate per annum equal to one half of one percent (0.50%) of the principal amount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will Additional Interest, together with any Special Interest, accrue on any day on a Note at a combined rate per annum that exceeds one percent (1.00%).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spacing w:after="0" w:line="191" w:lineRule="exact"/>
        <w:rPr>
          <w:rFonts w:ascii="Arial" w:cs="Arial" w:eastAsia="Arial" w:hAnsi="Arial"/>
          <w:sz w:val="18"/>
          <w:szCs w:val="18"/>
          <w:color w:val="auto"/>
        </w:rPr>
      </w:pPr>
    </w:p>
    <w:p>
      <w:pPr>
        <w:jc w:val="both"/>
        <w:ind w:firstLine="656"/>
        <w:spacing w:after="0" w:line="255" w:lineRule="auto"/>
        <w:tabs>
          <w:tab w:leader="none" w:pos="155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Notice of Accrual of Additional Interest; Trustee’s Disclaimer</w:t>
      </w:r>
      <w:r>
        <w:rPr>
          <w:rFonts w:ascii="Arial" w:cs="Arial" w:eastAsia="Arial" w:hAnsi="Arial"/>
          <w:sz w:val="18"/>
          <w:szCs w:val="18"/>
          <w:color w:val="auto"/>
        </w:rPr>
        <w:t>. The Company will send written notice to the Holder of each Note, and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Trustee, 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w:t>
      </w:r>
    </w:p>
    <w:p>
      <w:pPr>
        <w:spacing w:after="0" w:line="192" w:lineRule="exact"/>
        <w:rPr>
          <w:rFonts w:ascii="Arial" w:cs="Arial" w:eastAsia="Arial" w:hAnsi="Arial"/>
          <w:sz w:val="18"/>
          <w:szCs w:val="18"/>
          <w:color w:val="auto"/>
        </w:rPr>
      </w:pPr>
    </w:p>
    <w:p>
      <w:pPr>
        <w:ind w:firstLine="656"/>
        <w:spacing w:after="0" w:line="277" w:lineRule="auto"/>
        <w:tabs>
          <w:tab w:leader="none" w:pos="1496"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Exclusive Remedy</w:t>
      </w:r>
      <w:r>
        <w:rPr>
          <w:rFonts w:ascii="Arial" w:cs="Arial" w:eastAsia="Arial" w:hAnsi="Arial"/>
          <w:sz w:val="18"/>
          <w:szCs w:val="18"/>
          <w:color w:val="auto"/>
        </w:rPr>
        <w:t>. The accrual of Additional Interest will be the exclusive remedy available to Holders for the failure of their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become Freely Tradable.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3.05. C</w:t>
      </w:r>
      <w:r>
        <w:rPr>
          <w:rFonts w:ascii="Arial" w:cs="Arial" w:eastAsia="Arial" w:hAnsi="Arial"/>
          <w:sz w:val="12"/>
          <w:szCs w:val="12"/>
          <w:b w:val="1"/>
          <w:bCs w:val="1"/>
          <w:color w:val="auto"/>
        </w:rPr>
        <w:t>OMPLIANCE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7" w:lineRule="auto"/>
        <w:tabs>
          <w:tab w:leader="none" w:pos="175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Annual Compliance Certificate</w:t>
      </w:r>
      <w:r>
        <w:rPr>
          <w:rFonts w:ascii="Arial" w:cs="Arial" w:eastAsia="Arial" w:hAnsi="Arial"/>
          <w:sz w:val="18"/>
          <w:szCs w:val="18"/>
          <w:color w:val="auto"/>
        </w:rPr>
        <w:t>. Within ninety (90) days after December 31, 2021 and each fiscal year of the Company 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thereafter,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spacing w:after="0" w:line="187" w:lineRule="exact"/>
        <w:rPr>
          <w:rFonts w:ascii="Arial" w:cs="Arial" w:eastAsia="Arial" w:hAnsi="Arial"/>
          <w:sz w:val="18"/>
          <w:szCs w:val="18"/>
          <w:color w:val="auto"/>
        </w:rPr>
      </w:pPr>
    </w:p>
    <w:p>
      <w:pPr>
        <w:ind w:right="20" w:firstLine="656"/>
        <w:spacing w:after="0" w:line="277" w:lineRule="auto"/>
        <w:tabs>
          <w:tab w:leader="none" w:pos="165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Default Certificate</w:t>
      </w:r>
      <w:r>
        <w:rPr>
          <w:rFonts w:ascii="Arial" w:cs="Arial" w:eastAsia="Arial" w:hAnsi="Arial"/>
          <w:sz w:val="18"/>
          <w:szCs w:val="18"/>
          <w:color w:val="auto"/>
        </w:rPr>
        <w:t>. If a Default or Event of Default occurs, then the Company will promptly deliver an Officer’s Certificate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describing the same and what action the Company is taking or proposes to take with respect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3.06. S</w:t>
      </w:r>
      <w:r>
        <w:rPr>
          <w:rFonts w:ascii="Arial" w:cs="Arial" w:eastAsia="Arial" w:hAnsi="Arial"/>
          <w:sz w:val="12"/>
          <w:szCs w:val="12"/>
          <w:b w:val="1"/>
          <w:bCs w:val="1"/>
          <w:color w:val="auto"/>
        </w:rPr>
        <w:t>TAY</w:t>
      </w:r>
      <w:r>
        <w:rPr>
          <w:rFonts w:ascii="Arial" w:cs="Arial" w:eastAsia="Arial" w:hAnsi="Arial"/>
          <w:sz w:val="18"/>
          <w:szCs w:val="18"/>
          <w:b w:val="1"/>
          <w:bCs w:val="1"/>
          <w:color w:val="auto"/>
        </w:rPr>
        <w:t>, E</w:t>
      </w:r>
      <w:r>
        <w:rPr>
          <w:rFonts w:ascii="Arial" w:cs="Arial" w:eastAsia="Arial" w:hAnsi="Arial"/>
          <w:sz w:val="12"/>
          <w:szCs w:val="12"/>
          <w:b w:val="1"/>
          <w:bCs w:val="1"/>
          <w:color w:val="auto"/>
        </w:rPr>
        <w:t>XTENSION AND</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SURY</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Section 3.07. R</w:t>
      </w:r>
      <w:r>
        <w:rPr>
          <w:rFonts w:ascii="Arial" w:cs="Arial" w:eastAsia="Arial" w:hAnsi="Arial"/>
          <w:sz w:val="12"/>
          <w:szCs w:val="12"/>
          <w:b w:val="1"/>
          <w:bCs w:val="1"/>
          <w:color w:val="auto"/>
        </w:rPr>
        <w:t>ESTRICTION 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CQUISITION OF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AND ITS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FFILIATES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will promptly deliver to the Trustee for cancellation all Notes that the Company or any of its Subsidiaries has purchased or otherwise acquired. The Company will use commercially reasonable efforts to prevent any of its controlled Affiliates from acquiring any Note (or any beneficial interest therein).</w:t>
      </w:r>
    </w:p>
    <w:p>
      <w:pPr>
        <w:spacing w:after="0" w:line="180" w:lineRule="exact"/>
        <w:rPr>
          <w:sz w:val="20"/>
          <w:szCs w:val="20"/>
          <w:color w:val="auto"/>
        </w:rPr>
      </w:pPr>
    </w:p>
    <w:p>
      <w:pPr>
        <w:ind w:left="3500"/>
        <w:spacing w:after="0"/>
        <w:tabs>
          <w:tab w:leader="none" w:pos="478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8"/>
          <w:szCs w:val="18"/>
          <w:b w:val="1"/>
          <w:bCs w:val="1"/>
          <w:color w:val="auto"/>
        </w:rPr>
        <w:t>REPURCHASE AND 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4.01.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INKING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sinking fund is required to be provided for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4.02. R</w:t>
      </w:r>
      <w:r>
        <w:rPr>
          <w:rFonts w:ascii="Arial" w:cs="Arial" w:eastAsia="Arial" w:hAnsi="Arial"/>
          <w:sz w:val="12"/>
          <w:szCs w:val="12"/>
          <w:b w:val="1"/>
          <w:bCs w:val="1"/>
          <w:color w:val="auto"/>
        </w:rPr>
        <w:t>IGHT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EPURCHASE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 UPON A</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UNDAMENTAL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9" w:lineRule="auto"/>
        <w:tabs>
          <w:tab w:leader="none" w:pos="1712"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Right of Holders to Require the Company to Repurchase Notes Upon a Fundamental Change</w:t>
      </w:r>
      <w:r>
        <w:rPr>
          <w:rFonts w:ascii="Arial" w:cs="Arial" w:eastAsia="Arial" w:hAnsi="Arial"/>
          <w:sz w:val="17"/>
          <w:szCs w:val="17"/>
          <w:color w:val="auto"/>
        </w:rPr>
        <w:t>. Subject to the other terms of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4.02</w:t>
      </w:r>
      <w:r>
        <w:rPr>
          <w:rFonts w:ascii="Arial" w:cs="Arial" w:eastAsia="Arial" w:hAnsi="Arial"/>
          <w:sz w:val="17"/>
          <w:szCs w:val="17"/>
          <w:color w:val="auto"/>
        </w:rPr>
        <w:t>, if a Fundamental Change occurs, then each Holder will have the right (the “</w:t>
      </w:r>
      <w:r>
        <w:rPr>
          <w:rFonts w:ascii="Arial" w:cs="Arial" w:eastAsia="Arial" w:hAnsi="Arial"/>
          <w:sz w:val="17"/>
          <w:szCs w:val="17"/>
          <w:b w:val="1"/>
          <w:bCs w:val="1"/>
          <w:color w:val="auto"/>
        </w:rPr>
        <w:t>Fundamental Change Repurchase Right</w:t>
      </w:r>
      <w:r>
        <w:rPr>
          <w:rFonts w:ascii="Arial" w:cs="Arial" w:eastAsia="Arial" w:hAnsi="Arial"/>
          <w:sz w:val="17"/>
          <w:szCs w:val="17"/>
          <w:color w:val="auto"/>
        </w:rPr>
        <w:t>”) to require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repurchase such Holder’s Notes (or any portion thereof in an Authorized Denomination) on the Fundamental Change Repurchase Date for such Fundamental Change for a cash purchase price equal to the Fundamental Change Repurchase Price.</w:t>
      </w:r>
    </w:p>
    <w:p>
      <w:pPr>
        <w:spacing w:after="0" w:line="171" w:lineRule="exact"/>
        <w:rPr>
          <w:rFonts w:ascii="Arial" w:cs="Arial" w:eastAsia="Arial" w:hAnsi="Arial"/>
          <w:sz w:val="17"/>
          <w:szCs w:val="17"/>
          <w:color w:val="auto"/>
        </w:rPr>
      </w:pPr>
    </w:p>
    <w:p>
      <w:pPr>
        <w:jc w:val="both"/>
        <w:ind w:firstLine="656"/>
        <w:spacing w:after="0" w:line="272" w:lineRule="auto"/>
        <w:tabs>
          <w:tab w:leader="none" w:pos="1558"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Repurchase Prohibited in Certain Circumstances</w:t>
      </w:r>
      <w:r>
        <w:rPr>
          <w:rFonts w:ascii="Arial" w:cs="Arial" w:eastAsia="Arial" w:hAnsi="Arial"/>
          <w:sz w:val="17"/>
          <w:szCs w:val="17"/>
          <w:color w:val="auto"/>
        </w:rPr>
        <w:t>. If the principal amount of the Notes has been accelerated and such acceleration has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 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Arial" w:cs="Arial" w:eastAsia="Arial" w:hAnsi="Arial"/>
          <w:sz w:val="17"/>
          <w:szCs w:val="17"/>
          <w:b w:val="1"/>
          <w:bCs w:val="1"/>
          <w:color w:val="auto"/>
        </w:rPr>
        <w:t>Section 4.02(D)</w:t>
      </w:r>
      <w:r>
        <w:rPr>
          <w:rFonts w:ascii="Arial" w:cs="Arial" w:eastAsia="Arial" w:hAnsi="Arial"/>
          <w:sz w:val="17"/>
          <w:szCs w:val="17"/>
          <w:color w:val="auto"/>
        </w:rPr>
        <w:t xml:space="preserve">, on such Fundamental Change Repurchase Date), then (i) the Company may not repurchase any Notes pursuant to this </w:t>
      </w:r>
      <w:r>
        <w:rPr>
          <w:rFonts w:ascii="Arial" w:cs="Arial" w:eastAsia="Arial" w:hAnsi="Arial"/>
          <w:sz w:val="17"/>
          <w:szCs w:val="17"/>
          <w:b w:val="1"/>
          <w:bCs w:val="1"/>
          <w:color w:val="auto"/>
        </w:rPr>
        <w:t>Section 4.02</w:t>
      </w:r>
      <w:r>
        <w:rPr>
          <w:rFonts w:ascii="Arial" w:cs="Arial" w:eastAsia="Arial" w:hAnsi="Arial"/>
          <w:sz w:val="17"/>
          <w:szCs w:val="17"/>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58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Fundamental Change Repurchase Date</w:t>
      </w:r>
      <w:r>
        <w:rPr>
          <w:rFonts w:ascii="Arial" w:cs="Arial" w:eastAsia="Arial" w:hAnsi="Arial"/>
          <w:sz w:val="18"/>
          <w:szCs w:val="18"/>
          <w:color w:val="auto"/>
        </w:rPr>
        <w:t>. The Fundamental Change Repurchase Date for any Fundamental Change will be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Day of the Company’s choosing that is no more than thirty five (35), nor less than twenty (20), Business Days after the date the Company sends the related Fundamental Change Notice pursuant to </w:t>
      </w:r>
      <w:r>
        <w:rPr>
          <w:rFonts w:ascii="Arial" w:cs="Arial" w:eastAsia="Arial" w:hAnsi="Arial"/>
          <w:sz w:val="18"/>
          <w:szCs w:val="18"/>
          <w:b w:val="1"/>
          <w:bCs w:val="1"/>
          <w:color w:val="auto"/>
        </w:rPr>
        <w:t>Section 4.02(E)</w:t>
      </w:r>
      <w:r>
        <w:rPr>
          <w:rFonts w:ascii="Arial" w:cs="Arial" w:eastAsia="Arial" w:hAnsi="Arial"/>
          <w:sz w:val="18"/>
          <w:szCs w:val="18"/>
          <w:color w:val="auto"/>
        </w:rPr>
        <w:t>.</w:t>
      </w:r>
    </w:p>
    <w:p>
      <w:pPr>
        <w:spacing w:after="0" w:line="399" w:lineRule="exact"/>
        <w:rPr>
          <w:rFonts w:ascii="Arial" w:cs="Arial" w:eastAsia="Arial" w:hAnsi="Arial"/>
          <w:sz w:val="18"/>
          <w:szCs w:val="18"/>
          <w:color w:val="auto"/>
        </w:rPr>
      </w:pPr>
    </w:p>
    <w:p>
      <w:pPr>
        <w:ind w:left="5540" w:hanging="111"/>
        <w:spacing w:after="0"/>
        <w:tabs>
          <w:tab w:leader="none" w:pos="5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656" w:firstLine="656"/>
        <w:spacing w:after="0" w:line="268" w:lineRule="auto"/>
        <w:tabs>
          <w:tab w:leader="none" w:pos="1191"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Fundamental Change Repurchase Price</w:t>
      </w:r>
      <w:r>
        <w:rPr>
          <w:rFonts w:ascii="Arial" w:cs="Arial" w:eastAsia="Arial" w:hAnsi="Arial"/>
          <w:sz w:val="17"/>
          <w:szCs w:val="17"/>
          <w:color w:val="auto"/>
        </w:rPr>
        <w:t>. The Fundamental Change Repurchase Price for any Note to be repurchased upon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Arial" w:cs="Arial" w:eastAsia="Arial" w:hAnsi="Arial"/>
          <w:sz w:val="17"/>
          <w:szCs w:val="17"/>
          <w:b w:val="1"/>
          <w:bCs w:val="1"/>
          <w:color w:val="auto"/>
        </w:rPr>
        <w:t>Section 2.05(C)</w:t>
      </w:r>
      <w:r>
        <w:rPr>
          <w:rFonts w:ascii="Arial" w:cs="Arial" w:eastAsia="Arial" w:hAnsi="Arial"/>
          <w:sz w:val="17"/>
          <w:szCs w:val="17"/>
          <w:color w:val="auto"/>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2.05(C)</w:t>
      </w:r>
      <w:r>
        <w:rPr>
          <w:rFonts w:ascii="Arial" w:cs="Arial" w:eastAsia="Arial" w:hAnsi="Arial"/>
          <w:sz w:val="17"/>
          <w:szCs w:val="17"/>
          <w:color w:val="auto"/>
        </w:rPr>
        <w:t>, on the next Business Day to Holders as of the Close of Business on the immediately preceding Regular Record Date; and (y) the Fundamental</w:t>
      </w:r>
      <w:r>
        <w:rPr>
          <w:rFonts w:ascii="Arial" w:cs="Arial" w:eastAsia="Arial" w:hAnsi="Arial"/>
          <w:sz w:val="17"/>
          <w:szCs w:val="17"/>
          <w:b w:val="1"/>
          <w:bCs w:val="1"/>
          <w:color w:val="auto"/>
        </w:rPr>
        <w:t xml:space="preserve"> </w:t>
      </w:r>
      <w:r>
        <w:rPr>
          <w:rFonts w:ascii="Arial" w:cs="Arial" w:eastAsia="Arial" w:hAnsi="Arial"/>
          <w:sz w:val="17"/>
          <w:szCs w:val="17"/>
          <w:color w:val="auto"/>
        </w:rPr>
        <w:t>Change Repurchase Price will include interest on Notes to be repurchased from, and including, such Interest Payment Date to, but excluding, such Fundamental Change Repurchase Date.</w:t>
      </w:r>
    </w:p>
    <w:p>
      <w:pPr>
        <w:spacing w:after="0" w:line="184" w:lineRule="exact"/>
        <w:rPr>
          <w:rFonts w:ascii="Arial" w:cs="Arial" w:eastAsia="Arial" w:hAnsi="Arial"/>
          <w:sz w:val="17"/>
          <w:szCs w:val="17"/>
          <w:color w:val="auto"/>
        </w:rPr>
      </w:pPr>
    </w:p>
    <w:p>
      <w:pPr>
        <w:jc w:val="both"/>
        <w:ind w:left="-656" w:firstLine="656"/>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Fundamental Change Notice</w:t>
      </w:r>
      <w:r>
        <w:rPr>
          <w:rFonts w:ascii="Arial" w:cs="Arial" w:eastAsia="Arial" w:hAnsi="Arial"/>
          <w:sz w:val="18"/>
          <w:szCs w:val="18"/>
          <w:color w:val="auto"/>
        </w:rPr>
        <w:t>. On or before the twentieth (20th) calendar day after the effective date of a Fundamental Change,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send to each Holder in writing, with a copy to the Trustee, the Paying Agent and the Conversion Agent a notice of such Fundamental Change (a “</w:t>
      </w:r>
      <w:r>
        <w:rPr>
          <w:rFonts w:ascii="Arial" w:cs="Arial" w:eastAsia="Arial" w:hAnsi="Arial"/>
          <w:sz w:val="18"/>
          <w:szCs w:val="18"/>
          <w:b w:val="1"/>
          <w:bCs w:val="1"/>
          <w:color w:val="auto"/>
        </w:rPr>
        <w:t>Fundamental Change Notice</w:t>
      </w:r>
      <w:r>
        <w:rPr>
          <w:rFonts w:ascii="Arial" w:cs="Arial" w:eastAsia="Arial" w:hAnsi="Arial"/>
          <w:sz w:val="18"/>
          <w:szCs w:val="18"/>
          <w:color w:val="auto"/>
        </w:rPr>
        <w: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Fundamental Change Notice must state:</w:t>
      </w:r>
    </w:p>
    <w:p>
      <w:pPr>
        <w:spacing w:after="0" w:line="225" w:lineRule="exact"/>
        <w:rPr>
          <w:sz w:val="20"/>
          <w:szCs w:val="20"/>
          <w:color w:val="auto"/>
        </w:rPr>
      </w:pPr>
    </w:p>
    <w:p>
      <w:pPr>
        <w:ind w:left="1584" w:hanging="936"/>
        <w:spacing w:after="0"/>
        <w:tabs>
          <w:tab w:leader="none" w:pos="15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briefly, the events causing such Fundamental Change;</w:t>
      </w:r>
    </w:p>
    <w:p>
      <w:pPr>
        <w:spacing w:after="0" w:line="225" w:lineRule="exact"/>
        <w:rPr>
          <w:rFonts w:ascii="Arial" w:cs="Arial" w:eastAsia="Arial" w:hAnsi="Arial"/>
          <w:sz w:val="18"/>
          <w:szCs w:val="18"/>
          <w:color w:val="auto"/>
        </w:rPr>
      </w:pPr>
    </w:p>
    <w:p>
      <w:pPr>
        <w:ind w:left="1504" w:hanging="856"/>
        <w:spacing w:after="0"/>
        <w:tabs>
          <w:tab w:leader="none" w:pos="15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 date of such Fundamental Change;</w:t>
      </w:r>
    </w:p>
    <w:p>
      <w:pPr>
        <w:spacing w:after="0" w:line="221" w:lineRule="exact"/>
        <w:rPr>
          <w:rFonts w:ascii="Arial" w:cs="Arial" w:eastAsia="Arial" w:hAnsi="Arial"/>
          <w:sz w:val="18"/>
          <w:szCs w:val="18"/>
          <w:color w:val="auto"/>
        </w:rPr>
      </w:pPr>
    </w:p>
    <w:p>
      <w:pPr>
        <w:jc w:val="both"/>
        <w:ind w:left="4" w:firstLine="644"/>
        <w:spacing w:after="0" w:line="266" w:lineRule="auto"/>
        <w:tabs>
          <w:tab w:leader="none" w:pos="16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procedures that a Holder must follow to require the Company to repurchase its Notes pursuant to this </w:t>
      </w:r>
      <w:r>
        <w:rPr>
          <w:rFonts w:ascii="Arial" w:cs="Arial" w:eastAsia="Arial" w:hAnsi="Arial"/>
          <w:sz w:val="18"/>
          <w:szCs w:val="18"/>
          <w:b w:val="1"/>
          <w:bCs w:val="1"/>
          <w:color w:val="auto"/>
        </w:rPr>
        <w:t>Section 4.02</w:t>
      </w:r>
      <w:r>
        <w:rPr>
          <w:rFonts w:ascii="Arial" w:cs="Arial" w:eastAsia="Arial" w:hAnsi="Arial"/>
          <w:sz w:val="18"/>
          <w:szCs w:val="18"/>
          <w:color w:val="auto"/>
        </w:rPr>
        <w:t>, including the deadline for exercising the Fundamental Change Repurchase Right and the procedures for submitting and withdrawing a Fundamental Change Repurchase Notice;</w:t>
      </w:r>
    </w:p>
    <w:p>
      <w:pPr>
        <w:spacing w:after="0" w:line="179" w:lineRule="exact"/>
        <w:rPr>
          <w:rFonts w:ascii="Arial" w:cs="Arial" w:eastAsia="Arial" w:hAnsi="Arial"/>
          <w:sz w:val="18"/>
          <w:szCs w:val="18"/>
          <w:color w:val="auto"/>
        </w:rPr>
      </w:pPr>
    </w:p>
    <w:p>
      <w:pPr>
        <w:ind w:left="1484" w:hanging="836"/>
        <w:spacing w:after="0"/>
        <w:tabs>
          <w:tab w:leader="none" w:pos="14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Fundamental Change Repurchase Date for such Fundamental Change;</w:t>
      </w:r>
    </w:p>
    <w:p>
      <w:pPr>
        <w:spacing w:after="0" w:line="225" w:lineRule="exact"/>
        <w:rPr>
          <w:rFonts w:ascii="Arial" w:cs="Arial" w:eastAsia="Arial" w:hAnsi="Arial"/>
          <w:sz w:val="18"/>
          <w:szCs w:val="18"/>
          <w:color w:val="auto"/>
        </w:rPr>
      </w:pPr>
    </w:p>
    <w:p>
      <w:pPr>
        <w:jc w:val="both"/>
        <w:ind w:left="4" w:firstLine="644"/>
        <w:spacing w:after="0" w:line="263" w:lineRule="auto"/>
        <w:tabs>
          <w:tab w:leader="none" w:pos="1563"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w:t>
      </w:r>
      <w:r>
        <w:rPr>
          <w:rFonts w:ascii="Arial" w:cs="Arial" w:eastAsia="Arial" w:hAnsi="Arial"/>
          <w:sz w:val="18"/>
          <w:szCs w:val="18"/>
          <w:b w:val="1"/>
          <w:bCs w:val="1"/>
          <w:color w:val="auto"/>
        </w:rPr>
        <w:t>Section 4.02(D)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484" w:hanging="836"/>
        <w:spacing w:after="0"/>
        <w:tabs>
          <w:tab w:leader="none" w:pos="14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rFonts w:ascii="Arial" w:cs="Arial" w:eastAsia="Arial" w:hAnsi="Arial"/>
          <w:sz w:val="18"/>
          <w:szCs w:val="18"/>
          <w:color w:val="auto"/>
        </w:rPr>
      </w:pPr>
    </w:p>
    <w:p>
      <w:pPr>
        <w:ind w:left="4" w:firstLine="644"/>
        <w:spacing w:after="0" w:line="308" w:lineRule="auto"/>
        <w:tabs>
          <w:tab w:leader="none" w:pos="15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Arial" w:cs="Arial" w:eastAsia="Arial" w:hAnsi="Arial"/>
          <w:sz w:val="17"/>
          <w:szCs w:val="17"/>
          <w:b w:val="1"/>
          <w:bCs w:val="1"/>
          <w:color w:val="auto"/>
        </w:rPr>
        <w:t>Section 5.07</w:t>
      </w:r>
      <w:r>
        <w:rPr>
          <w:rFonts w:ascii="Arial" w:cs="Arial" w:eastAsia="Arial" w:hAnsi="Arial"/>
          <w:sz w:val="17"/>
          <w:szCs w:val="17"/>
          <w:color w:val="auto"/>
        </w:rPr>
        <w:t>);</w:t>
      </w:r>
    </w:p>
    <w:p>
      <w:pPr>
        <w:spacing w:after="0" w:line="362" w:lineRule="exact"/>
        <w:rPr>
          <w:rFonts w:ascii="Arial" w:cs="Arial" w:eastAsia="Arial" w:hAnsi="Arial"/>
          <w:sz w:val="17"/>
          <w:szCs w:val="17"/>
          <w:color w:val="auto"/>
        </w:rPr>
      </w:pPr>
    </w:p>
    <w:p>
      <w:pPr>
        <w:ind w:left="4884" w:hanging="111"/>
        <w:spacing w:after="0"/>
        <w:tabs>
          <w:tab w:leader="none" w:pos="4884" w:val="left"/>
        </w:tabs>
        <w:numPr>
          <w:ilvl w:val="1"/>
          <w:numId w:val="39"/>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1" w:name="page42"/>
    <w:bookmarkEnd w:id="41"/>
    <w:p>
      <w:pPr>
        <w:ind w:left="660" w:firstLine="644"/>
        <w:spacing w:after="0" w:line="277" w:lineRule="auto"/>
        <w:tabs>
          <w:tab w:leader="none" w:pos="21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170" w:lineRule="exact"/>
        <w:rPr>
          <w:rFonts w:ascii="Arial" w:cs="Arial" w:eastAsia="Arial" w:hAnsi="Arial"/>
          <w:sz w:val="18"/>
          <w:szCs w:val="18"/>
          <w:color w:val="auto"/>
        </w:rPr>
      </w:pPr>
    </w:p>
    <w:p>
      <w:pPr>
        <w:ind w:left="660" w:right="20" w:firstLine="644"/>
        <w:spacing w:after="0" w:line="308" w:lineRule="auto"/>
        <w:tabs>
          <w:tab w:leader="none" w:pos="2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that Notes (or any portion thereof) that are subject to a Fundamental Change Repurchase Notice that has been duly tendered may be converted only if such Fundamental Change Repurchase Notice is withdrawn in accordance with this Indenture; and</w:t>
      </w:r>
    </w:p>
    <w:p>
      <w:pPr>
        <w:spacing w:after="0" w:line="146" w:lineRule="exact"/>
        <w:rPr>
          <w:rFonts w:ascii="Arial" w:cs="Arial" w:eastAsia="Arial" w:hAnsi="Arial"/>
          <w:sz w:val="17"/>
          <w:szCs w:val="17"/>
          <w:color w:val="auto"/>
        </w:rPr>
      </w:pPr>
    </w:p>
    <w:p>
      <w:pPr>
        <w:ind w:left="2180" w:hanging="876"/>
        <w:spacing w:after="0"/>
        <w:tabs>
          <w:tab w:leader="none" w:pos="2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CUSIP and ISIN numbers, if any, of the Notes.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146" w:lineRule="exact"/>
        <w:rPr>
          <w:sz w:val="20"/>
          <w:szCs w:val="20"/>
          <w:color w:val="auto"/>
        </w:rPr>
      </w:pPr>
    </w:p>
    <w:p>
      <w:pPr>
        <w:ind w:left="1500" w:hanging="844"/>
        <w:spacing w:after="0"/>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Procedures to Exercise the Fundamental Change Repurchase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4"/>
        <w:spacing w:after="0" w:line="308" w:lineRule="auto"/>
        <w:tabs>
          <w:tab w:leader="none" w:pos="2404"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Delivery of Fundamental Change Repurchase Notice and Notes to Be Repurchased</w:t>
      </w:r>
      <w:r>
        <w:rPr>
          <w:rFonts w:ascii="Arial" w:cs="Arial" w:eastAsia="Arial" w:hAnsi="Arial"/>
          <w:sz w:val="17"/>
          <w:szCs w:val="17"/>
          <w:color w:val="auto"/>
        </w:rPr>
        <w:t>. To exercise its Fundamental Change</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Right for a Note following a Fundamental Change, the Holder thereof must deliver to the Paying Agent:</w:t>
      </w:r>
    </w:p>
    <w:p>
      <w:pPr>
        <w:spacing w:after="0" w:line="146" w:lineRule="exact"/>
        <w:rPr>
          <w:rFonts w:ascii="Arial" w:cs="Arial" w:eastAsia="Arial" w:hAnsi="Arial"/>
          <w:sz w:val="17"/>
          <w:szCs w:val="17"/>
          <w:color w:val="auto"/>
        </w:rPr>
      </w:pPr>
    </w:p>
    <w:p>
      <w:pPr>
        <w:jc w:val="both"/>
        <w:ind w:left="1300" w:firstLine="652"/>
        <w:spacing w:after="0" w:line="263" w:lineRule="auto"/>
        <w:tabs>
          <w:tab w:leader="none" w:pos="2886" w:val="left"/>
        </w:tabs>
        <w:numPr>
          <w:ilvl w:val="2"/>
          <w:numId w:val="41"/>
        </w:numPr>
        <w:rPr>
          <w:rFonts w:ascii="Arial" w:cs="Arial" w:eastAsia="Arial" w:hAnsi="Arial"/>
          <w:sz w:val="18"/>
          <w:szCs w:val="18"/>
          <w:color w:val="auto"/>
        </w:rPr>
      </w:pPr>
      <w:r>
        <w:rPr>
          <w:rFonts w:ascii="Arial" w:cs="Arial" w:eastAsia="Arial" w:hAnsi="Arial"/>
          <w:sz w:val="18"/>
          <w:szCs w:val="18"/>
          <w:color w:val="auto"/>
        </w:rPr>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183" w:lineRule="exact"/>
        <w:rPr>
          <w:rFonts w:ascii="Arial" w:cs="Arial" w:eastAsia="Arial" w:hAnsi="Arial"/>
          <w:sz w:val="18"/>
          <w:szCs w:val="18"/>
          <w:color w:val="auto"/>
        </w:rPr>
      </w:pPr>
    </w:p>
    <w:p>
      <w:pPr>
        <w:ind w:left="2920" w:hanging="968"/>
        <w:spacing w:after="0"/>
        <w:tabs>
          <w:tab w:leader="none" w:pos="2920" w:val="left"/>
        </w:tabs>
        <w:numPr>
          <w:ilvl w:val="2"/>
          <w:numId w:val="41"/>
        </w:numPr>
        <w:rPr>
          <w:rFonts w:ascii="Arial" w:cs="Arial" w:eastAsia="Arial" w:hAnsi="Arial"/>
          <w:sz w:val="16"/>
          <w:szCs w:val="16"/>
          <w:color w:val="auto"/>
        </w:rPr>
      </w:pPr>
      <w:r>
        <w:rPr>
          <w:rFonts w:ascii="Arial" w:cs="Arial" w:eastAsia="Arial" w:hAnsi="Arial"/>
          <w:sz w:val="16"/>
          <w:szCs w:val="16"/>
          <w:color w:val="auto"/>
        </w:rPr>
        <w:t>such Note, duly endorsed for transfer (if such Note is a Physical Note) or by book-entry transfer (if such Note is a</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Global Note).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Paying Agent will promptly deliver to the Company a copy of each Fundamental Change Repurchase Notice that it receives.</w:t>
      </w:r>
    </w:p>
    <w:p>
      <w:pPr>
        <w:spacing w:after="0" w:line="225" w:lineRule="exact"/>
        <w:rPr>
          <w:sz w:val="20"/>
          <w:szCs w:val="20"/>
          <w:color w:val="auto"/>
        </w:rPr>
      </w:pPr>
    </w:p>
    <w:p>
      <w:pPr>
        <w:ind w:left="2200" w:hanging="896"/>
        <w:spacing w:after="0"/>
        <w:tabs>
          <w:tab w:leader="none" w:pos="22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Contents of Fundamental Change Repurchase Notices</w:t>
      </w:r>
      <w:r>
        <w:rPr>
          <w:rFonts w:ascii="Arial" w:cs="Arial" w:eastAsia="Arial" w:hAnsi="Arial"/>
          <w:sz w:val="16"/>
          <w:szCs w:val="16"/>
          <w:color w:val="auto"/>
        </w:rPr>
        <w:t>. Each Fundamental Change Repurchase Notice with respect to a Note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must state:</w:t>
      </w:r>
    </w:p>
    <w:p>
      <w:pPr>
        <w:spacing w:after="0" w:line="210" w:lineRule="exact"/>
        <w:rPr>
          <w:rFonts w:ascii="Arial" w:cs="Arial" w:eastAsia="Arial" w:hAnsi="Arial"/>
          <w:sz w:val="16"/>
          <w:szCs w:val="16"/>
          <w:color w:val="auto"/>
        </w:rPr>
      </w:pPr>
    </w:p>
    <w:p>
      <w:pPr>
        <w:ind w:left="2840" w:hanging="888"/>
        <w:spacing w:after="0"/>
        <w:tabs>
          <w:tab w:leader="none" w:pos="28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such Note is a Physical Note, the certificate number of such Note;</w:t>
      </w:r>
    </w:p>
    <w:p>
      <w:pPr>
        <w:spacing w:after="0" w:line="225" w:lineRule="exact"/>
        <w:rPr>
          <w:rFonts w:ascii="Arial" w:cs="Arial" w:eastAsia="Arial" w:hAnsi="Arial"/>
          <w:sz w:val="18"/>
          <w:szCs w:val="18"/>
          <w:color w:val="auto"/>
        </w:rPr>
      </w:pPr>
    </w:p>
    <w:p>
      <w:pPr>
        <w:ind w:left="2840" w:hanging="888"/>
        <w:spacing w:after="0"/>
        <w:tabs>
          <w:tab w:leader="none" w:pos="28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principal amount of such Note to be repurchased, which must be an Authorized Denomination; and</w:t>
      </w:r>
    </w:p>
    <w:p>
      <w:pPr>
        <w:spacing w:after="0" w:line="225" w:lineRule="exact"/>
        <w:rPr>
          <w:rFonts w:ascii="Arial" w:cs="Arial" w:eastAsia="Arial" w:hAnsi="Arial"/>
          <w:sz w:val="18"/>
          <w:szCs w:val="18"/>
          <w:color w:val="auto"/>
        </w:rPr>
      </w:pPr>
    </w:p>
    <w:p>
      <w:pPr>
        <w:ind w:left="2940" w:hanging="988"/>
        <w:spacing w:after="0"/>
        <w:tabs>
          <w:tab w:leader="none" w:pos="29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that such Holder is exercising its Fundamental Change Repurchase Right with respect to such principal amount of</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such Note;</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such Note is a Global Note, then such Fundamental Change Repurchase Notice must comply with the Depositary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Procedures (and any such Fundamental Change Repurchase Notice delivered in compliance with the Depositary Procedures will be deemed to satisfy the requirements of this </w:t>
      </w:r>
      <w:r>
        <w:rPr>
          <w:rFonts w:ascii="Arial" w:cs="Arial" w:eastAsia="Arial" w:hAnsi="Arial"/>
          <w:sz w:val="18"/>
          <w:szCs w:val="18"/>
          <w:b w:val="1"/>
          <w:bCs w:val="1"/>
          <w:color w:val="auto"/>
        </w:rPr>
        <w:t>Section 4.02(F)</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left="4" w:firstLine="644"/>
        <w:spacing w:after="0" w:line="259" w:lineRule="auto"/>
        <w:tabs>
          <w:tab w:leader="none" w:pos="1651"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Withdrawal of Fundamental Change Repurchase Notice</w:t>
      </w:r>
      <w:r>
        <w:rPr>
          <w:rFonts w:ascii="Arial" w:cs="Arial" w:eastAsia="Arial" w:hAnsi="Arial"/>
          <w:sz w:val="18"/>
          <w:szCs w:val="18"/>
          <w:color w:val="auto"/>
        </w:rPr>
        <w:t>. A Holder that has delivered a Fundamental Change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186" w:lineRule="exact"/>
        <w:rPr>
          <w:rFonts w:ascii="Arial" w:cs="Arial" w:eastAsia="Arial" w:hAnsi="Arial"/>
          <w:sz w:val="18"/>
          <w:szCs w:val="18"/>
          <w:color w:val="auto"/>
        </w:rPr>
      </w:pPr>
    </w:p>
    <w:p>
      <w:pPr>
        <w:ind w:left="2184" w:hanging="888"/>
        <w:spacing w:after="0"/>
        <w:tabs>
          <w:tab w:leader="none" w:pos="21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such Note is a Physical Note, the certificate number of such Note;</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principal amount of such Note to be withdrawn, which must be an Authorized Denomination; and</w:t>
      </w:r>
    </w:p>
    <w:p>
      <w:pPr>
        <w:spacing w:after="0" w:line="225" w:lineRule="exact"/>
        <w:rPr>
          <w:rFonts w:ascii="Arial" w:cs="Arial" w:eastAsia="Arial" w:hAnsi="Arial"/>
          <w:sz w:val="18"/>
          <w:szCs w:val="18"/>
          <w:color w:val="auto"/>
        </w:rPr>
      </w:pPr>
    </w:p>
    <w:p>
      <w:pPr>
        <w:ind w:left="644" w:right="20" w:firstLine="652"/>
        <w:spacing w:after="0" w:line="277" w:lineRule="auto"/>
        <w:tabs>
          <w:tab w:leader="none" w:pos="2338"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principal amount of such Note, if any, that remains subject to such Fundamental Change Repurchase Notice, which must be an Authorized Denomination;</w:t>
      </w:r>
    </w:p>
    <w:p>
      <w:pPr>
        <w:spacing w:after="0" w:line="170" w:lineRule="exact"/>
        <w:rPr>
          <w:sz w:val="20"/>
          <w:szCs w:val="20"/>
          <w:color w:val="auto"/>
        </w:rPr>
      </w:pPr>
    </w:p>
    <w:p>
      <w:pPr>
        <w:jc w:val="both"/>
        <w:ind w:left="4"/>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such Note is a Global Note, then such withdrawal notice must comply with the Depositary Procedures (and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withdrawal notice delivered in compliance with the Depositary Procedures will be deemed to satisfy the requirements of this </w:t>
      </w:r>
      <w:r>
        <w:rPr>
          <w:rFonts w:ascii="Arial" w:cs="Arial" w:eastAsia="Arial" w:hAnsi="Arial"/>
          <w:sz w:val="16"/>
          <w:szCs w:val="16"/>
          <w:b w:val="1"/>
          <w:bCs w:val="1"/>
          <w:color w:val="auto"/>
        </w:rPr>
        <w:t>Section 4.02(F)</w:t>
      </w:r>
      <w:r>
        <w:rPr>
          <w:rFonts w:ascii="Arial" w:cs="Arial" w:eastAsia="Arial" w:hAnsi="Arial"/>
          <w:sz w:val="16"/>
          <w:szCs w:val="16"/>
          <w:color w:val="auto"/>
        </w:rPr>
        <w:t>).</w:t>
      </w:r>
    </w:p>
    <w:p>
      <w:pPr>
        <w:spacing w:after="0" w:line="124"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Arial" w:cs="Arial" w:eastAsia="Arial" w:hAnsi="Arial"/>
          <w:sz w:val="18"/>
          <w:szCs w:val="18"/>
          <w:b w:val="1"/>
          <w:bCs w:val="1"/>
          <w:color w:val="auto"/>
        </w:rPr>
        <w:t>Section 2.11</w:t>
      </w:r>
      <w:r>
        <w:rPr>
          <w:rFonts w:ascii="Arial" w:cs="Arial" w:eastAsia="Arial" w:hAnsi="Arial"/>
          <w:sz w:val="18"/>
          <w:szCs w:val="18"/>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92" w:lineRule="exact"/>
        <w:rPr>
          <w:sz w:val="20"/>
          <w:szCs w:val="20"/>
          <w:color w:val="auto"/>
        </w:rPr>
      </w:pPr>
    </w:p>
    <w:p>
      <w:pPr>
        <w:jc w:val="both"/>
        <w:ind w:left="-656" w:firstLine="656"/>
        <w:spacing w:after="0" w:line="290" w:lineRule="auto"/>
        <w:tabs>
          <w:tab w:leader="none" w:pos="1069"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Payment of the Fundamental Change Repurchase Price</w:t>
      </w:r>
      <w:r>
        <w:rPr>
          <w:rFonts w:ascii="Arial" w:cs="Arial" w:eastAsia="Arial" w:hAnsi="Arial"/>
          <w:sz w:val="16"/>
          <w:szCs w:val="16"/>
          <w:color w:val="auto"/>
        </w:rPr>
        <w:t>. Without limiting the Company’s obligation to deposit the Fundamental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Change Repurchase Price within the time proscribed by </w:t>
      </w:r>
      <w:r>
        <w:rPr>
          <w:rFonts w:ascii="Arial" w:cs="Arial" w:eastAsia="Arial" w:hAnsi="Arial"/>
          <w:sz w:val="16"/>
          <w:szCs w:val="16"/>
          <w:b w:val="1"/>
          <w:bCs w:val="1"/>
          <w:color w:val="auto"/>
        </w:rPr>
        <w:t>Section 3.01(B)</w:t>
      </w:r>
      <w:r>
        <w:rPr>
          <w:rFonts w:ascii="Arial" w:cs="Arial" w:eastAsia="Arial" w:hAnsi="Arial"/>
          <w:sz w:val="16"/>
          <w:szCs w:val="16"/>
          <w:color w:val="auto"/>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w:t>
      </w:r>
      <w:r>
        <w:rPr>
          <w:rFonts w:ascii="Arial" w:cs="Arial" w:eastAsia="Arial" w:hAnsi="Arial"/>
          <w:sz w:val="16"/>
          <w:szCs w:val="16"/>
          <w:b w:val="1"/>
          <w:bCs w:val="1"/>
          <w:color w:val="auto"/>
        </w:rPr>
        <w:t>Section 4.02(D)</w:t>
      </w:r>
      <w:r>
        <w:rPr>
          <w:rFonts w:ascii="Arial" w:cs="Arial" w:eastAsia="Arial" w:hAnsi="Arial"/>
          <w:sz w:val="16"/>
          <w:szCs w:val="16"/>
          <w:color w:val="auto"/>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Arial" w:cs="Arial" w:eastAsia="Arial" w:hAnsi="Arial"/>
          <w:sz w:val="16"/>
          <w:szCs w:val="16"/>
          <w:b w:val="1"/>
          <w:bCs w:val="1"/>
          <w:color w:val="auto"/>
        </w:rPr>
        <w:t>Section 4.02(G)</w:t>
      </w:r>
      <w:r>
        <w:rPr>
          <w:rFonts w:ascii="Arial" w:cs="Arial" w:eastAsia="Arial" w:hAnsi="Arial"/>
          <w:sz w:val="16"/>
          <w:szCs w:val="16"/>
          <w:color w:val="auto"/>
        </w:rPr>
        <w:t>.</w:t>
      </w:r>
    </w:p>
    <w:p>
      <w:pPr>
        <w:spacing w:after="0" w:line="381" w:lineRule="exact"/>
        <w:rPr>
          <w:rFonts w:ascii="Arial" w:cs="Arial" w:eastAsia="Arial" w:hAnsi="Arial"/>
          <w:sz w:val="16"/>
          <w:szCs w:val="16"/>
          <w:color w:val="auto"/>
        </w:rPr>
      </w:pPr>
    </w:p>
    <w:p>
      <w:pPr>
        <w:ind w:left="4884" w:hanging="111"/>
        <w:spacing w:after="0"/>
        <w:tabs>
          <w:tab w:leader="none" w:pos="48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3" w:name="page44"/>
    <w:bookmarkEnd w:id="43"/>
    <w:p>
      <w:pPr>
        <w:jc w:val="both"/>
        <w:ind w:left="-656" w:firstLine="656"/>
        <w:spacing w:after="0" w:line="258" w:lineRule="auto"/>
        <w:tabs>
          <w:tab w:leader="none" w:pos="826"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Third Party May Conduct Repurchase Offer In Lieu of the Company</w:t>
      </w:r>
      <w:r>
        <w:rPr>
          <w:rFonts w:ascii="Arial" w:cs="Arial" w:eastAsia="Arial" w:hAnsi="Arial"/>
          <w:sz w:val="18"/>
          <w:szCs w:val="18"/>
          <w:color w:val="auto"/>
        </w:rPr>
        <w:t>. Notwithstanding anything to the contrary in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4.02</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will be deemed to satisfy its obligations under this </w:t>
      </w:r>
      <w:r>
        <w:rPr>
          <w:rFonts w:ascii="Arial" w:cs="Arial" w:eastAsia="Arial" w:hAnsi="Arial"/>
          <w:sz w:val="18"/>
          <w:szCs w:val="18"/>
          <w:b w:val="1"/>
          <w:bCs w:val="1"/>
          <w:color w:val="auto"/>
        </w:rPr>
        <w:t>Section 4.02</w:t>
      </w:r>
      <w:r>
        <w:rPr>
          <w:rFonts w:ascii="Arial" w:cs="Arial" w:eastAsia="Arial" w:hAnsi="Arial"/>
          <w:sz w:val="18"/>
          <w:szCs w:val="18"/>
          <w:color w:val="auto"/>
        </w:rPr>
        <w:t xml:space="preserve"> if one or more third parties conduct any Repurchase Upon Fundamental Change and related offer to repurchase Notes otherwise required by this </w:t>
      </w:r>
      <w:r>
        <w:rPr>
          <w:rFonts w:ascii="Arial" w:cs="Arial" w:eastAsia="Arial" w:hAnsi="Arial"/>
          <w:sz w:val="18"/>
          <w:szCs w:val="18"/>
          <w:b w:val="1"/>
          <w:bCs w:val="1"/>
          <w:color w:val="auto"/>
        </w:rPr>
        <w:t>Section 4.02</w:t>
      </w:r>
      <w:r>
        <w:rPr>
          <w:rFonts w:ascii="Arial" w:cs="Arial" w:eastAsia="Arial" w:hAnsi="Arial"/>
          <w:sz w:val="18"/>
          <w:szCs w:val="18"/>
          <w:color w:val="auto"/>
        </w:rPr>
        <w:t xml:space="preserve"> in the same manner</w:t>
      </w:r>
      <w:r>
        <w:rPr>
          <w:rFonts w:ascii="Arial" w:cs="Arial" w:eastAsia="Arial" w:hAnsi="Arial"/>
          <w:sz w:val="18"/>
          <w:szCs w:val="18"/>
          <w:color w:val="231F20"/>
        </w:rPr>
        <w:t>, at the same time and otherwise in compliance with the</w:t>
      </w:r>
      <w:r>
        <w:rPr>
          <w:rFonts w:ascii="Arial" w:cs="Arial" w:eastAsia="Arial" w:hAnsi="Arial"/>
          <w:sz w:val="18"/>
          <w:szCs w:val="18"/>
          <w:color w:val="auto"/>
        </w:rPr>
        <w:t xml:space="preserve"> </w:t>
      </w:r>
      <w:r>
        <w:rPr>
          <w:rFonts w:ascii="Arial" w:cs="Arial" w:eastAsia="Arial" w:hAnsi="Arial"/>
          <w:sz w:val="18"/>
          <w:szCs w:val="18"/>
          <w:color w:val="231F20"/>
        </w:rPr>
        <w:t xml:space="preserve">requirements for an offer made by the Company as provided in this </w:t>
      </w:r>
      <w:r>
        <w:rPr>
          <w:rFonts w:ascii="Arial" w:cs="Arial" w:eastAsia="Arial" w:hAnsi="Arial"/>
          <w:sz w:val="18"/>
          <w:szCs w:val="18"/>
          <w:b w:val="1"/>
          <w:bCs w:val="1"/>
          <w:color w:val="000000"/>
        </w:rPr>
        <w:t>Section 4.02</w:t>
      </w:r>
      <w:r>
        <w:rPr>
          <w:rFonts w:ascii="Arial" w:cs="Arial" w:eastAsia="Arial" w:hAnsi="Arial"/>
          <w:sz w:val="18"/>
          <w:szCs w:val="18"/>
          <w:color w:val="231F20"/>
        </w:rPr>
        <w:t xml:space="preserve"> </w:t>
      </w:r>
      <w:r>
        <w:rPr>
          <w:rFonts w:ascii="Arial" w:cs="Arial" w:eastAsia="Arial" w:hAnsi="Arial"/>
          <w:sz w:val="18"/>
          <w:szCs w:val="18"/>
          <w:color w:val="000000"/>
        </w:rPr>
        <w:t>that would have satisfied the requirements of this</w:t>
      </w:r>
      <w:r>
        <w:rPr>
          <w:rFonts w:ascii="Arial" w:cs="Arial" w:eastAsia="Arial" w:hAnsi="Arial"/>
          <w:sz w:val="18"/>
          <w:szCs w:val="18"/>
          <w:color w:val="231F20"/>
        </w:rPr>
        <w:t xml:space="preserve"> </w:t>
      </w:r>
      <w:r>
        <w:rPr>
          <w:rFonts w:ascii="Arial" w:cs="Arial" w:eastAsia="Arial" w:hAnsi="Arial"/>
          <w:sz w:val="18"/>
          <w:szCs w:val="18"/>
          <w:b w:val="1"/>
          <w:bCs w:val="1"/>
          <w:color w:val="000000"/>
        </w:rPr>
        <w:t>Section 4.02</w:t>
      </w:r>
      <w:r>
        <w:rPr>
          <w:rFonts w:ascii="Arial" w:cs="Arial" w:eastAsia="Arial" w:hAnsi="Arial"/>
          <w:sz w:val="18"/>
          <w:szCs w:val="18"/>
          <w:color w:val="231F20"/>
        </w:rPr>
        <w:t xml:space="preserve"> </w:t>
      </w:r>
      <w:r>
        <w:rPr>
          <w:rFonts w:ascii="Arial" w:cs="Arial" w:eastAsia="Arial" w:hAnsi="Arial"/>
          <w:sz w:val="18"/>
          <w:szCs w:val="18"/>
          <w:color w:val="000000"/>
        </w:rPr>
        <w:t>if</w:t>
      </w:r>
      <w:r>
        <w:rPr>
          <w:rFonts w:ascii="Arial" w:cs="Arial" w:eastAsia="Arial" w:hAnsi="Arial"/>
          <w:sz w:val="18"/>
          <w:szCs w:val="18"/>
          <w:color w:val="231F20"/>
        </w:rPr>
        <w:t xml:space="preserve"> </w:t>
      </w:r>
      <w:r>
        <w:rPr>
          <w:rFonts w:ascii="Arial" w:cs="Arial" w:eastAsia="Arial" w:hAnsi="Arial"/>
          <w:sz w:val="18"/>
          <w:szCs w:val="18"/>
          <w:color w:val="000000"/>
        </w:rPr>
        <w:t>conducted directly by the Company.</w:t>
      </w:r>
    </w:p>
    <w:p>
      <w:pPr>
        <w:spacing w:after="0" w:line="187" w:lineRule="exact"/>
        <w:rPr>
          <w:rFonts w:ascii="Arial" w:cs="Arial" w:eastAsia="Arial" w:hAnsi="Arial"/>
          <w:sz w:val="18"/>
          <w:szCs w:val="18"/>
          <w:color w:val="auto"/>
        </w:rPr>
      </w:pPr>
    </w:p>
    <w:p>
      <w:pPr>
        <w:jc w:val="both"/>
        <w:ind w:left="-656" w:firstLine="656"/>
        <w:spacing w:after="0" w:line="268" w:lineRule="auto"/>
        <w:tabs>
          <w:tab w:leader="none" w:pos="891"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No Requirement to Conduct an Offer to Repurchase Notes if the Fundamental Change Results in the Notes Becoming Convertible into an Amount of Cash Exceeding the Fundamental Change Repurchase Price</w:t>
      </w:r>
      <w:r>
        <w:rPr>
          <w:rFonts w:ascii="Arial" w:cs="Arial" w:eastAsia="Arial" w:hAnsi="Arial"/>
          <w:sz w:val="17"/>
          <w:szCs w:val="17"/>
          <w:color w:val="auto"/>
        </w:rPr>
        <w:t>. Notwithstanding anything to the contrary in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4.02</w:t>
      </w:r>
      <w:r>
        <w:rPr>
          <w:rFonts w:ascii="Arial" w:cs="Arial" w:eastAsia="Arial" w:hAnsi="Arial"/>
          <w:sz w:val="17"/>
          <w:szCs w:val="17"/>
          <w:color w:val="auto"/>
        </w:rPr>
        <w: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will not be required to send a Fundamental Change Notice pursuant to </w:t>
      </w:r>
      <w:r>
        <w:rPr>
          <w:rFonts w:ascii="Arial" w:cs="Arial" w:eastAsia="Arial" w:hAnsi="Arial"/>
          <w:sz w:val="17"/>
          <w:szCs w:val="17"/>
          <w:b w:val="1"/>
          <w:bCs w:val="1"/>
          <w:color w:val="auto"/>
        </w:rPr>
        <w:t>Section 4.02(E)</w:t>
      </w:r>
      <w:r>
        <w:rPr>
          <w:rFonts w:ascii="Arial" w:cs="Arial" w:eastAsia="Arial" w:hAnsi="Arial"/>
          <w:sz w:val="17"/>
          <w:szCs w:val="17"/>
          <w:color w:val="auto"/>
        </w:rPr>
        <w:t xml:space="preserve">, or offer to repurchase or repurchase any Notes pursuant to this </w:t>
      </w:r>
      <w:r>
        <w:rPr>
          <w:rFonts w:ascii="Arial" w:cs="Arial" w:eastAsia="Arial" w:hAnsi="Arial"/>
          <w:sz w:val="17"/>
          <w:szCs w:val="17"/>
          <w:b w:val="1"/>
          <w:bCs w:val="1"/>
          <w:color w:val="auto"/>
        </w:rPr>
        <w:t>Section 4.02</w:t>
      </w:r>
      <w:r>
        <w:rPr>
          <w:rFonts w:ascii="Arial" w:cs="Arial" w:eastAsia="Arial" w:hAnsi="Arial"/>
          <w:sz w:val="17"/>
          <w:szCs w:val="17"/>
          <w:color w:val="auto"/>
        </w:rPr>
        <w:t>, in connection with a Common Stock Change Event that constitutes a Fundamental Change pursuant to</w:t>
      </w:r>
      <w:r>
        <w:rPr>
          <w:rFonts w:ascii="Arial" w:cs="Arial" w:eastAsia="Arial" w:hAnsi="Arial"/>
          <w:sz w:val="17"/>
          <w:szCs w:val="17"/>
          <w:b w:val="1"/>
          <w:bCs w:val="1"/>
          <w:color w:val="auto"/>
        </w:rPr>
        <w:t xml:space="preserve"> clause (B)(ii) </w:t>
      </w:r>
      <w:r>
        <w:rPr>
          <w:rFonts w:ascii="Arial" w:cs="Arial" w:eastAsia="Arial" w:hAnsi="Arial"/>
          <w:sz w:val="17"/>
          <w:szCs w:val="17"/>
          <w:color w:val="auto"/>
        </w:rPr>
        <w:t>of the definition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(regardless of whether such Common Stock Change Event also constitutes a Fundamental Change pursuant to any other clause of such definition), if (i) the Reference Property of such Common Stock Change Event consists entirely of cash in U.S. dollars; (ii) immediately after such Fundamental Change, the Notes become convertible, pursuant to </w:t>
      </w:r>
      <w:r>
        <w:rPr>
          <w:rFonts w:ascii="Arial" w:cs="Arial" w:eastAsia="Arial" w:hAnsi="Arial"/>
          <w:sz w:val="17"/>
          <w:szCs w:val="17"/>
          <w:b w:val="1"/>
          <w:bCs w:val="1"/>
          <w:color w:val="auto"/>
        </w:rPr>
        <w:t>Section 5.09(A)</w:t>
      </w:r>
      <w:r>
        <w:rPr>
          <w:rFonts w:ascii="Arial" w:cs="Arial" w:eastAsia="Arial" w:hAnsi="Arial"/>
          <w:sz w:val="17"/>
          <w:szCs w:val="17"/>
          <w:color w:val="auto"/>
        </w:rPr>
        <w:t xml:space="preserve"> and, if applicable, </w:t>
      </w:r>
      <w:r>
        <w:rPr>
          <w:rFonts w:ascii="Arial" w:cs="Arial" w:eastAsia="Arial" w:hAnsi="Arial"/>
          <w:sz w:val="17"/>
          <w:szCs w:val="17"/>
          <w:b w:val="1"/>
          <w:bCs w:val="1"/>
          <w:color w:val="auto"/>
        </w:rPr>
        <w:t>Section 5.07</w:t>
      </w:r>
      <w:r>
        <w:rPr>
          <w:rFonts w:ascii="Arial" w:cs="Arial" w:eastAsia="Arial" w:hAnsi="Arial"/>
          <w:sz w:val="17"/>
          <w:szCs w:val="17"/>
          <w:color w:val="auto"/>
        </w:rPr>
        <w:t xml:space="preserve">, into consideration that consists solely of U.S. dollars in an amount per $1,000 aggregate principal amount of Notes that equals or exceeds the Fundamental Change Repurchase Price per $1,000 aggregate principal amount of Notes (calculated assuming that the same includes the maximum amount of accrued interest payable as part of the related Fundamental Change Repurchase Price); and (iii) the Company timely sends the notice relating to such Fundamental Change required pursuant to </w:t>
      </w:r>
      <w:r>
        <w:rPr>
          <w:rFonts w:ascii="Arial" w:cs="Arial" w:eastAsia="Arial" w:hAnsi="Arial"/>
          <w:sz w:val="17"/>
          <w:szCs w:val="17"/>
          <w:b w:val="1"/>
          <w:bCs w:val="1"/>
          <w:color w:val="auto"/>
        </w:rPr>
        <w:t>Section 5.01(C)(i)(3)(b)</w:t>
      </w:r>
      <w:r>
        <w:rPr>
          <w:rFonts w:ascii="Arial" w:cs="Arial" w:eastAsia="Arial" w:hAnsi="Arial"/>
          <w:sz w:val="17"/>
          <w:szCs w:val="17"/>
          <w:color w:val="auto"/>
        </w:rPr>
        <w:t xml:space="preserve">, and includes, in such notice, a statement that the Company is relying on this </w:t>
      </w:r>
      <w:r>
        <w:rPr>
          <w:rFonts w:ascii="Arial" w:cs="Arial" w:eastAsia="Arial" w:hAnsi="Arial"/>
          <w:sz w:val="17"/>
          <w:szCs w:val="17"/>
          <w:b w:val="1"/>
          <w:bCs w:val="1"/>
          <w:color w:val="auto"/>
        </w:rPr>
        <w:t>Section 4.02(I)</w:t>
      </w:r>
      <w:r>
        <w:rPr>
          <w:rFonts w:ascii="Arial" w:cs="Arial" w:eastAsia="Arial" w:hAnsi="Arial"/>
          <w:sz w:val="17"/>
          <w:szCs w:val="17"/>
          <w:color w:val="auto"/>
        </w:rPr>
        <w:t xml:space="preserve">. For the avoidance of doubt, the maximum amount of accrued interest referred to in </w:t>
      </w:r>
      <w:r>
        <w:rPr>
          <w:rFonts w:ascii="Arial" w:cs="Arial" w:eastAsia="Arial" w:hAnsi="Arial"/>
          <w:sz w:val="17"/>
          <w:szCs w:val="17"/>
          <w:b w:val="1"/>
          <w:bCs w:val="1"/>
          <w:color w:val="auto"/>
        </w:rPr>
        <w:t>clause (ii)</w:t>
      </w:r>
      <w:r>
        <w:rPr>
          <w:rFonts w:ascii="Arial" w:cs="Arial" w:eastAsia="Arial" w:hAnsi="Arial"/>
          <w:sz w:val="17"/>
          <w:szCs w:val="17"/>
          <w:color w:val="auto"/>
        </w:rPr>
        <w:t xml:space="preserve"> above will be determined (x) by assuming that the Fundamental Change Repurchase Date occurs on the latest possible date permitted for the applicable Fundamental Change pursuant to </w:t>
      </w:r>
      <w:r>
        <w:rPr>
          <w:rFonts w:ascii="Arial" w:cs="Arial" w:eastAsia="Arial" w:hAnsi="Arial"/>
          <w:sz w:val="17"/>
          <w:szCs w:val="17"/>
          <w:b w:val="1"/>
          <w:bCs w:val="1"/>
          <w:color w:val="auto"/>
        </w:rPr>
        <w:t>Section 4.02(E)</w:t>
      </w:r>
      <w:r>
        <w:rPr>
          <w:rFonts w:ascii="Arial" w:cs="Arial" w:eastAsia="Arial" w:hAnsi="Arial"/>
          <w:sz w:val="17"/>
          <w:szCs w:val="17"/>
          <w:color w:val="auto"/>
        </w:rPr>
        <w:t xml:space="preserve"> and </w:t>
      </w:r>
      <w:r>
        <w:rPr>
          <w:rFonts w:ascii="Arial" w:cs="Arial" w:eastAsia="Arial" w:hAnsi="Arial"/>
          <w:sz w:val="17"/>
          <w:szCs w:val="17"/>
          <w:b w:val="1"/>
          <w:bCs w:val="1"/>
          <w:color w:val="auto"/>
        </w:rPr>
        <w:t>Section 4.02(C)</w:t>
      </w:r>
      <w:r>
        <w:rPr>
          <w:rFonts w:ascii="Arial" w:cs="Arial" w:eastAsia="Arial" w:hAnsi="Arial"/>
          <w:sz w:val="17"/>
          <w:szCs w:val="17"/>
          <w:color w:val="auto"/>
        </w:rPr>
        <w:t xml:space="preserve">; and (y) without regard to the proviso in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4.02(D)</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left="-656" w:firstLine="656"/>
        <w:spacing w:after="0" w:line="271" w:lineRule="auto"/>
        <w:tabs>
          <w:tab w:leader="none" w:pos="105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Compliance with Applicable Securities Laws</w:t>
      </w:r>
      <w:r>
        <w:rPr>
          <w:rFonts w:ascii="Arial" w:cs="Arial" w:eastAsia="Arial" w:hAnsi="Arial"/>
          <w:sz w:val="17"/>
          <w:szCs w:val="17"/>
          <w:color w:val="auto"/>
        </w:rPr>
        <w:t>. To the extent applicable, the Company will comply, in all material respects, with 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U.S.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to the extent that the Company’s obligations pursuant to this </w:t>
      </w:r>
      <w:r>
        <w:rPr>
          <w:rFonts w:ascii="Arial" w:cs="Arial" w:eastAsia="Arial" w:hAnsi="Arial"/>
          <w:sz w:val="17"/>
          <w:szCs w:val="17"/>
          <w:b w:val="1"/>
          <w:bCs w:val="1"/>
          <w:color w:val="auto"/>
        </w:rPr>
        <w:t>Section 4.02</w:t>
      </w:r>
      <w:r>
        <w:rPr>
          <w:rFonts w:ascii="Arial" w:cs="Arial" w:eastAsia="Arial" w:hAnsi="Arial"/>
          <w:sz w:val="17"/>
          <w:szCs w:val="17"/>
          <w:color w:val="auto"/>
        </w:rPr>
        <w:t xml:space="preserve"> conflict with any law or regulation that is applicable to the Company and enacted after the Issue Date, the Company’s compliance with such law or regulation will not be considered to be a Default of such obligations; rather, the Company will be deemed to be in compliance with such obligations if the Company complies with its obligation to effect Repurchases Upon a Fundamental Change in accordance with this </w:t>
      </w:r>
      <w:r>
        <w:rPr>
          <w:rFonts w:ascii="Arial" w:cs="Arial" w:eastAsia="Arial" w:hAnsi="Arial"/>
          <w:sz w:val="17"/>
          <w:szCs w:val="17"/>
          <w:b w:val="1"/>
          <w:bCs w:val="1"/>
          <w:color w:val="auto"/>
        </w:rPr>
        <w:t>Section 4.02</w:t>
      </w:r>
      <w:r>
        <w:rPr>
          <w:rFonts w:ascii="Arial" w:cs="Arial" w:eastAsia="Arial" w:hAnsi="Arial"/>
          <w:sz w:val="17"/>
          <w:szCs w:val="17"/>
          <w:color w:val="auto"/>
        </w:rPr>
        <w:t>, modified as necessary by the Company in good faith to permit compliance with such law or regulation.</w:t>
      </w:r>
    </w:p>
    <w:p>
      <w:pPr>
        <w:spacing w:after="0" w:line="394" w:lineRule="exact"/>
        <w:rPr>
          <w:rFonts w:ascii="Arial" w:cs="Arial" w:eastAsia="Arial" w:hAnsi="Arial"/>
          <w:sz w:val="17"/>
          <w:szCs w:val="17"/>
          <w:color w:val="auto"/>
        </w:rPr>
      </w:pPr>
    </w:p>
    <w:p>
      <w:pPr>
        <w:ind w:left="4884" w:hanging="111"/>
        <w:spacing w:after="0"/>
        <w:tabs>
          <w:tab w:leader="none" w:pos="48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4" w:name="page45"/>
    <w:bookmarkEnd w:id="44"/>
    <w:p>
      <w:pPr>
        <w:jc w:val="both"/>
        <w:ind w:firstLine="656"/>
        <w:spacing w:after="0" w:line="266" w:lineRule="auto"/>
        <w:tabs>
          <w:tab w:leader="none" w:pos="1509"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Repurchase in Part</w:t>
      </w:r>
      <w:r>
        <w:rPr>
          <w:rFonts w:ascii="Arial" w:cs="Arial" w:eastAsia="Arial" w:hAnsi="Arial"/>
          <w:sz w:val="18"/>
          <w:szCs w:val="18"/>
          <w:color w:val="auto"/>
        </w:rPr>
        <w:t>. Subject to the terms of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4.02</w:t>
      </w:r>
      <w:r>
        <w:rPr>
          <w:rFonts w:ascii="Arial" w:cs="Arial" w:eastAsia="Arial" w:hAnsi="Arial"/>
          <w:sz w:val="18"/>
          <w:szCs w:val="18"/>
          <w:color w:val="auto"/>
        </w:rPr>
        <w:t>, Notes may be repurchased pursuant to a Repurchase Upon Fundamental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in part, but only in Authorized Denominations. Provisions of this </w:t>
      </w:r>
      <w:r>
        <w:rPr>
          <w:rFonts w:ascii="Arial" w:cs="Arial" w:eastAsia="Arial" w:hAnsi="Arial"/>
          <w:sz w:val="18"/>
          <w:szCs w:val="18"/>
          <w:b w:val="1"/>
          <w:bCs w:val="1"/>
          <w:color w:val="auto"/>
        </w:rPr>
        <w:t>Section 4.02</w:t>
      </w:r>
      <w:r>
        <w:rPr>
          <w:rFonts w:ascii="Arial" w:cs="Arial" w:eastAsia="Arial" w:hAnsi="Arial"/>
          <w:sz w:val="18"/>
          <w:szCs w:val="18"/>
          <w:color w:val="auto"/>
        </w:rPr>
        <w:t xml:space="preserve"> applying to the repurchase of a Note in whole will equally apply to the repurchase of a permitted portion of a Note.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4.03. R</w:t>
      </w:r>
      <w:r>
        <w:rPr>
          <w:rFonts w:ascii="Arial" w:cs="Arial" w:eastAsia="Arial" w:hAnsi="Arial"/>
          <w:sz w:val="12"/>
          <w:szCs w:val="12"/>
          <w:b w:val="1"/>
          <w:bCs w:val="1"/>
          <w:color w:val="auto"/>
        </w:rPr>
        <w:t>IGHT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EDEEM THE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ind w:left="1880" w:hanging="1224"/>
        <w:spacing w:after="0"/>
        <w:tabs>
          <w:tab w:leader="none" w:pos="188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No Right to Redeem Before December 20, 2024</w:t>
      </w:r>
      <w:r>
        <w:rPr>
          <w:rFonts w:ascii="Arial" w:cs="Arial" w:eastAsia="Arial" w:hAnsi="Arial"/>
          <w:sz w:val="17"/>
          <w:szCs w:val="17"/>
          <w:color w:val="auto"/>
        </w:rPr>
        <w:t>. The Company may not redeem the Notes at its option at any time before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December 20, 2024.</w:t>
      </w:r>
    </w:p>
    <w:p>
      <w:pPr>
        <w:spacing w:after="0" w:line="206" w:lineRule="exact"/>
        <w:rPr>
          <w:rFonts w:ascii="Arial" w:cs="Arial" w:eastAsia="Arial" w:hAnsi="Arial"/>
          <w:sz w:val="17"/>
          <w:szCs w:val="17"/>
          <w:color w:val="auto"/>
        </w:rPr>
      </w:pPr>
    </w:p>
    <w:p>
      <w:pPr>
        <w:jc w:val="both"/>
        <w:ind w:firstLine="656"/>
        <w:spacing w:after="0" w:line="271" w:lineRule="auto"/>
        <w:tabs>
          <w:tab w:leader="none" w:pos="1544"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Right to Redeem the Notes on or After December 20, 2024</w:t>
      </w:r>
      <w:r>
        <w:rPr>
          <w:rFonts w:ascii="Arial" w:cs="Arial" w:eastAsia="Arial" w:hAnsi="Arial"/>
          <w:sz w:val="17"/>
          <w:szCs w:val="17"/>
          <w:color w:val="auto"/>
        </w:rPr>
        <w:t>. Subject to the terms of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4.03</w:t>
      </w:r>
      <w:r>
        <w:rPr>
          <w:rFonts w:ascii="Arial" w:cs="Arial" w:eastAsia="Arial" w:hAnsi="Arial"/>
          <w:sz w:val="17"/>
          <w:szCs w:val="17"/>
          <w:color w:val="auto"/>
        </w:rPr>
        <w:t>, the Company has the right, at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election, to redeem all, or any portion (subject to the Partial Redemption Limitation set forth in </w:t>
      </w:r>
      <w:r>
        <w:rPr>
          <w:rFonts w:ascii="Arial" w:cs="Arial" w:eastAsia="Arial" w:hAnsi="Arial"/>
          <w:sz w:val="17"/>
          <w:szCs w:val="17"/>
          <w:b w:val="1"/>
          <w:bCs w:val="1"/>
          <w:color w:val="auto"/>
        </w:rPr>
        <w:t>Section 4.03(C)</w:t>
      </w:r>
      <w:r>
        <w:rPr>
          <w:rFonts w:ascii="Arial" w:cs="Arial" w:eastAsia="Arial" w:hAnsi="Arial"/>
          <w:sz w:val="17"/>
          <w:szCs w:val="17"/>
          <w:color w:val="auto"/>
        </w:rPr>
        <w:t xml:space="preserve">) in an Authorized Denomination, of the Notes, at any time, and from time to time, on a Redemption Date on or after December 20, 2024 and on or before the thirty-first (31st) Scheduled Trading Day immediately before the Maturity Date, for a cash purchase price equal to the Redemption Price, but only if (1) the Last Reported Sale Price per share of Common Stock exceeds one hundred and thirty percent (130%) of the Conversion Price on (i) each of at least twenty (20) Trading Days (whether or not consecutive) during the thirty (30) consecutive Trading Days ending on, and including, the Trading Day immediately before the Redemption Notice Date for such Redemption; and (ii) the Trading Day immediately before such Redemption Notice Date; and (2) the Liquidity Conditions have been satisfied. For the avoidance of doubt, the calling of any Notes for Redemption will constitute a Make-Whole Fundamental Change with respect to that Note pursuant to </w:t>
      </w:r>
      <w:r>
        <w:rPr>
          <w:rFonts w:ascii="Arial" w:cs="Arial" w:eastAsia="Arial" w:hAnsi="Arial"/>
          <w:sz w:val="17"/>
          <w:szCs w:val="17"/>
          <w:b w:val="1"/>
          <w:bCs w:val="1"/>
          <w:color w:val="auto"/>
        </w:rPr>
        <w:t xml:space="preserve">clause (B) </w:t>
      </w:r>
      <w:r>
        <w:rPr>
          <w:rFonts w:ascii="Arial" w:cs="Arial" w:eastAsia="Arial" w:hAnsi="Arial"/>
          <w:sz w:val="17"/>
          <w:szCs w:val="17"/>
          <w:color w:val="auto"/>
        </w:rPr>
        <w:t>of the definition thereof.</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652"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Partial Redemption Limitation</w:t>
      </w:r>
      <w:r>
        <w:rPr>
          <w:rFonts w:ascii="Arial" w:cs="Arial" w:eastAsia="Arial" w:hAnsi="Arial"/>
          <w:sz w:val="18"/>
          <w:szCs w:val="18"/>
          <w:color w:val="auto"/>
        </w:rPr>
        <w:t>. If the Company elects to redeem fewer than all of the</w:t>
      </w:r>
      <w:r>
        <w:rPr>
          <w:rFonts w:ascii="Arial" w:cs="Arial" w:eastAsia="Arial" w:hAnsi="Arial"/>
          <w:sz w:val="18"/>
          <w:szCs w:val="18"/>
          <w:i w:val="1"/>
          <w:iCs w:val="1"/>
          <w:color w:val="auto"/>
        </w:rPr>
        <w:t xml:space="preserve"> outstanding </w:t>
      </w:r>
      <w:r>
        <w:rPr>
          <w:rFonts w:ascii="Arial" w:cs="Arial" w:eastAsia="Arial" w:hAnsi="Arial"/>
          <w:sz w:val="18"/>
          <w:szCs w:val="18"/>
          <w:color w:val="auto"/>
        </w:rPr>
        <w:t>Notes, at least one hundred fifty</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dollars ($150,000,000) aggregate principal amount of Notes must be outstanding and not subject to Redemption as of the Redemption Notice Date for such Redemption (such requirement, the “</w:t>
      </w:r>
      <w:r>
        <w:rPr>
          <w:rFonts w:ascii="Arial" w:cs="Arial" w:eastAsia="Arial" w:hAnsi="Arial"/>
          <w:sz w:val="18"/>
          <w:szCs w:val="18"/>
          <w:b w:val="1"/>
          <w:bCs w:val="1"/>
          <w:color w:val="auto"/>
        </w:rPr>
        <w:t>Partial Redemption Limitation</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73" w:lineRule="auto"/>
        <w:tabs>
          <w:tab w:leader="none" w:pos="1523"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Redemption Prohibited in Certain Circumstances</w:t>
      </w:r>
      <w:r>
        <w:rPr>
          <w:rFonts w:ascii="Arial" w:cs="Arial" w:eastAsia="Arial" w:hAnsi="Arial"/>
          <w:sz w:val="17"/>
          <w:szCs w:val="17"/>
          <w:color w:val="auto"/>
        </w:rPr>
        <w:t>. If the principal amount of the Notes has been accelerated and such acceleration has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 been rescinded on or before the Redemption Date (including a rescission as a result of the payment of the related Redemption Price, and any related interest pursuant to the proviso to </w:t>
      </w:r>
      <w:r>
        <w:rPr>
          <w:rFonts w:ascii="Arial" w:cs="Arial" w:eastAsia="Arial" w:hAnsi="Arial"/>
          <w:sz w:val="17"/>
          <w:szCs w:val="17"/>
          <w:b w:val="1"/>
          <w:bCs w:val="1"/>
          <w:color w:val="auto"/>
        </w:rPr>
        <w:t>Section 4.03(F)</w:t>
      </w:r>
      <w:r>
        <w:rPr>
          <w:rFonts w:ascii="Arial" w:cs="Arial" w:eastAsia="Arial" w:hAnsi="Arial"/>
          <w:sz w:val="17"/>
          <w:szCs w:val="17"/>
          <w:color w:val="auto"/>
        </w:rPr>
        <w:t xml:space="preserve">, on such Redemption Date), then (i) the Company may not call for Redemption or otherwise redeem any Notes pursuant to this </w:t>
      </w:r>
      <w:r>
        <w:rPr>
          <w:rFonts w:ascii="Arial" w:cs="Arial" w:eastAsia="Arial" w:hAnsi="Arial"/>
          <w:sz w:val="17"/>
          <w:szCs w:val="17"/>
          <w:b w:val="1"/>
          <w:bCs w:val="1"/>
          <w:color w:val="auto"/>
        </w:rPr>
        <w:t>Section 4.03</w:t>
      </w:r>
      <w:r>
        <w:rPr>
          <w:rFonts w:ascii="Arial" w:cs="Arial" w:eastAsia="Arial" w:hAnsi="Arial"/>
          <w:sz w:val="17"/>
          <w:szCs w:val="17"/>
          <w:color w:val="auto"/>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spacing w:after="0" w:line="177" w:lineRule="exact"/>
        <w:rPr>
          <w:rFonts w:ascii="Arial" w:cs="Arial" w:eastAsia="Arial" w:hAnsi="Arial"/>
          <w:sz w:val="17"/>
          <w:szCs w:val="17"/>
          <w:color w:val="auto"/>
        </w:rPr>
      </w:pPr>
    </w:p>
    <w:p>
      <w:pPr>
        <w:jc w:val="both"/>
        <w:ind w:firstLine="656"/>
        <w:spacing w:after="0" w:line="272" w:lineRule="auto"/>
        <w:tabs>
          <w:tab w:leader="none" w:pos="1548"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Redemption Date</w:t>
      </w:r>
      <w:r>
        <w:rPr>
          <w:rFonts w:ascii="Arial" w:cs="Arial" w:eastAsia="Arial" w:hAnsi="Arial"/>
          <w:sz w:val="17"/>
          <w:szCs w:val="17"/>
          <w:color w:val="auto"/>
        </w:rPr>
        <w:t>. The Redemption Date for any Redemption will be a Business Day of the Company’s choosing that is no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fifty five (55), nor less than thirty five (35), Scheduled Trading Days after the Redemption Notice Date for such Redemption (it being understood, for the avoidance of doubt, that such Redemption Notice Date will be at least four (4) Scheduled Trading Days before the first VWAP Trading Day of the Observation Period relating to such Redemption date pursuant to </w:t>
      </w:r>
      <w:r>
        <w:rPr>
          <w:rFonts w:ascii="Arial" w:cs="Arial" w:eastAsia="Arial" w:hAnsi="Arial"/>
          <w:sz w:val="17"/>
          <w:szCs w:val="17"/>
          <w:b w:val="1"/>
          <w:bCs w:val="1"/>
          <w:color w:val="auto"/>
        </w:rPr>
        <w:t>clause (B)</w:t>
      </w:r>
      <w:r>
        <w:rPr>
          <w:rFonts w:ascii="Arial" w:cs="Arial" w:eastAsia="Arial" w:hAnsi="Arial"/>
          <w:sz w:val="17"/>
          <w:szCs w:val="17"/>
          <w:color w:val="auto"/>
        </w:rPr>
        <w:t xml:space="preserve"> of the definition of Observation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in accordance with </w:t>
      </w:r>
      <w:r>
        <w:rPr>
          <w:rFonts w:ascii="Arial" w:cs="Arial" w:eastAsia="Arial" w:hAnsi="Arial"/>
          <w:sz w:val="17"/>
          <w:szCs w:val="17"/>
          <w:b w:val="1"/>
          <w:bCs w:val="1"/>
          <w:color w:val="auto"/>
        </w:rPr>
        <w:t>Section 5.03(A)(i)(3)</w:t>
      </w:r>
      <w:r>
        <w:rPr>
          <w:rFonts w:ascii="Arial" w:cs="Arial" w:eastAsia="Arial" w:hAnsi="Arial"/>
          <w:sz w:val="17"/>
          <w:szCs w:val="17"/>
          <w:color w:val="auto"/>
        </w:rPr>
        <w:t>, the Company has elected to settle all conversions for Notes called for Redemption with a Conversion Date that occurs during the related Redemption Conversion Period by Physical Settlement, then the Company may instead elect to choose a Redemption Date that is a Business Day no more than sixty (60), nor less than thirty (30), calendar days after such Redemption Notice Date.</w:t>
      </w:r>
    </w:p>
    <w:p>
      <w:pPr>
        <w:spacing w:after="0" w:line="393" w:lineRule="exact"/>
        <w:rPr>
          <w:rFonts w:ascii="Arial" w:cs="Arial" w:eastAsia="Arial" w:hAnsi="Arial"/>
          <w:sz w:val="17"/>
          <w:szCs w:val="17"/>
          <w:color w:val="auto"/>
        </w:rPr>
      </w:pPr>
    </w:p>
    <w:p>
      <w:pPr>
        <w:ind w:left="5540" w:hanging="111"/>
        <w:spacing w:after="0"/>
        <w:tabs>
          <w:tab w:leader="none" w:pos="5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left="-656" w:firstLine="656"/>
        <w:spacing w:after="0" w:line="287" w:lineRule="auto"/>
        <w:tabs>
          <w:tab w:leader="none" w:pos="936"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Redemption Price</w:t>
      </w:r>
      <w:r>
        <w:rPr>
          <w:rFonts w:ascii="Arial" w:cs="Arial" w:eastAsia="Arial" w:hAnsi="Arial"/>
          <w:sz w:val="16"/>
          <w:szCs w:val="16"/>
          <w:color w:val="auto"/>
        </w:rPr>
        <w:t>. The Redemption Price for any Note called for Redemption is an amount in cash equal to the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Note plus accrued and unpaid interest on such Note to, but excluding, the Redemption Date for such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Arial" w:cs="Arial" w:eastAsia="Arial" w:hAnsi="Arial"/>
          <w:sz w:val="16"/>
          <w:szCs w:val="16"/>
          <w:b w:val="1"/>
          <w:bCs w:val="1"/>
          <w:color w:val="auto"/>
        </w:rPr>
        <w:t>Section 2.05(C)</w:t>
      </w:r>
      <w:r>
        <w:rPr>
          <w:rFonts w:ascii="Arial" w:cs="Arial" w:eastAsia="Arial" w:hAnsi="Arial"/>
          <w:sz w:val="16"/>
          <w:szCs w:val="16"/>
          <w:color w:val="auto"/>
        </w:rPr>
        <w:t xml:space="preserve"> and such Redemption Date occurs on the Business Day immediately after such Interest Payment Date, then (x) accrued and unpaid interest on Notes to, but excluding, such Interest Payment Date will be paid, in accordance with </w:t>
      </w:r>
      <w:r>
        <w:rPr>
          <w:rFonts w:ascii="Arial" w:cs="Arial" w:eastAsia="Arial" w:hAnsi="Arial"/>
          <w:sz w:val="16"/>
          <w:szCs w:val="16"/>
          <w:b w:val="1"/>
          <w:bCs w:val="1"/>
          <w:color w:val="auto"/>
        </w:rPr>
        <w:t>Section 2.05(C)</w:t>
      </w:r>
      <w:r>
        <w:rPr>
          <w:rFonts w:ascii="Arial" w:cs="Arial" w:eastAsia="Arial" w:hAnsi="Arial"/>
          <w:sz w:val="16"/>
          <w:szCs w:val="16"/>
          <w:color w:val="auto"/>
        </w:rPr>
        <w:t>, on the next Business Day to Holders as of the Close of Business on the immediately preceding Regular Record Date; and (y) the Redemption Price will include interest on Notes to be redeemed from, and including, such Interest Payment Date.</w:t>
      </w:r>
    </w:p>
    <w:p>
      <w:pPr>
        <w:spacing w:after="0" w:line="171" w:lineRule="exact"/>
        <w:rPr>
          <w:rFonts w:ascii="Arial" w:cs="Arial" w:eastAsia="Arial" w:hAnsi="Arial"/>
          <w:sz w:val="16"/>
          <w:szCs w:val="16"/>
          <w:color w:val="auto"/>
        </w:rPr>
      </w:pPr>
    </w:p>
    <w:p>
      <w:pPr>
        <w:ind w:left="-656" w:firstLine="656"/>
        <w:spacing w:after="0" w:line="277" w:lineRule="auto"/>
        <w:tabs>
          <w:tab w:leader="none" w:pos="1083"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Redemption Notice</w:t>
      </w:r>
      <w:r>
        <w:rPr>
          <w:rFonts w:ascii="Arial" w:cs="Arial" w:eastAsia="Arial" w:hAnsi="Arial"/>
          <w:sz w:val="18"/>
          <w:szCs w:val="18"/>
          <w:color w:val="auto"/>
        </w:rPr>
        <w:t>. To call any Notes for Redemption, the Company must send to each Holder of such Notes, the Trustee,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Agent and the Paying Agent a written notice of such Redemption (a “</w:t>
      </w:r>
      <w:r>
        <w:rPr>
          <w:rFonts w:ascii="Arial" w:cs="Arial" w:eastAsia="Arial" w:hAnsi="Arial"/>
          <w:sz w:val="18"/>
          <w:szCs w:val="18"/>
          <w:b w:val="1"/>
          <w:bCs w:val="1"/>
          <w:color w:val="auto"/>
        </w:rPr>
        <w:t>Redemption Notice</w:t>
      </w:r>
      <w:r>
        <w:rPr>
          <w:rFonts w:ascii="Arial" w:cs="Arial" w:eastAsia="Arial" w:hAnsi="Arial"/>
          <w:sz w:val="18"/>
          <w:szCs w:val="18"/>
          <w:color w:val="auto"/>
        </w:rPr>
        <w: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Redemption Notice must state:</w:t>
      </w:r>
    </w:p>
    <w:p>
      <w:pPr>
        <w:spacing w:after="0" w:line="225" w:lineRule="exact"/>
        <w:rPr>
          <w:sz w:val="20"/>
          <w:szCs w:val="20"/>
          <w:color w:val="auto"/>
        </w:rPr>
      </w:pPr>
    </w:p>
    <w:p>
      <w:pPr>
        <w:ind w:left="1584" w:hanging="936"/>
        <w:spacing w:after="0"/>
        <w:tabs>
          <w:tab w:leader="none" w:pos="15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that such Notes have been called for Redemption, briefly describing the Company’s Redemption right under this Indenture;</w:t>
      </w:r>
    </w:p>
    <w:p>
      <w:pPr>
        <w:spacing w:after="0" w:line="248" w:lineRule="exact"/>
        <w:rPr>
          <w:rFonts w:ascii="Arial" w:cs="Arial" w:eastAsia="Arial" w:hAnsi="Arial"/>
          <w:sz w:val="16"/>
          <w:szCs w:val="16"/>
          <w:color w:val="auto"/>
        </w:rPr>
      </w:pPr>
    </w:p>
    <w:p>
      <w:pPr>
        <w:ind w:left="1504" w:hanging="856"/>
        <w:spacing w:after="0"/>
        <w:tabs>
          <w:tab w:leader="none" w:pos="15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Redemption Date for such Redemption;</w:t>
      </w:r>
    </w:p>
    <w:p>
      <w:pPr>
        <w:spacing w:after="0" w:line="225" w:lineRule="exact"/>
        <w:rPr>
          <w:rFonts w:ascii="Arial" w:cs="Arial" w:eastAsia="Arial" w:hAnsi="Arial"/>
          <w:sz w:val="18"/>
          <w:szCs w:val="18"/>
          <w:color w:val="auto"/>
        </w:rPr>
      </w:pPr>
    </w:p>
    <w:p>
      <w:pPr>
        <w:jc w:val="both"/>
        <w:ind w:left="4" w:firstLine="644"/>
        <w:spacing w:after="0" w:line="263" w:lineRule="auto"/>
        <w:tabs>
          <w:tab w:leader="none" w:pos="16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Redemption Price per $1,000 principal amount of Notes for such Redemption (and, if the Redemption Date is after a Regular Record Date and on or before the next Interest Payment Date, the amount, manner and timing of the interest payment payable pursuant to the proviso to </w:t>
      </w:r>
      <w:r>
        <w:rPr>
          <w:rFonts w:ascii="Arial" w:cs="Arial" w:eastAsia="Arial" w:hAnsi="Arial"/>
          <w:sz w:val="18"/>
          <w:szCs w:val="18"/>
          <w:b w:val="1"/>
          <w:bCs w:val="1"/>
          <w:color w:val="auto"/>
        </w:rPr>
        <w:t>Section 4.03(F)</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484" w:hanging="836"/>
        <w:spacing w:after="0"/>
        <w:tabs>
          <w:tab w:leader="none" w:pos="14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rFonts w:ascii="Arial" w:cs="Arial" w:eastAsia="Arial" w:hAnsi="Arial"/>
          <w:sz w:val="18"/>
          <w:szCs w:val="18"/>
          <w:color w:val="auto"/>
        </w:rPr>
      </w:pPr>
    </w:p>
    <w:p>
      <w:pPr>
        <w:jc w:val="both"/>
        <w:ind w:left="4" w:firstLine="644"/>
        <w:spacing w:after="0" w:line="263" w:lineRule="auto"/>
        <w:tabs>
          <w:tab w:leader="none" w:pos="15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Notes called for Redemption may be converted at any time before the Close of Business on the second (2nd) Scheduled Trading Day immediately before the Redemption Date (or, if the Company fails to pay the Redemption Price due on such Redemption Date in full, at any time until such time as the Company pays such Redemption Price in full);</w:t>
      </w:r>
    </w:p>
    <w:p>
      <w:pPr>
        <w:spacing w:after="0" w:line="399" w:lineRule="exact"/>
        <w:rPr>
          <w:rFonts w:ascii="Arial" w:cs="Arial" w:eastAsia="Arial" w:hAnsi="Arial"/>
          <w:sz w:val="18"/>
          <w:szCs w:val="18"/>
          <w:color w:val="auto"/>
        </w:rPr>
      </w:pPr>
    </w:p>
    <w:p>
      <w:pPr>
        <w:ind w:left="4884" w:hanging="111"/>
        <w:spacing w:after="0"/>
        <w:tabs>
          <w:tab w:leader="none" w:pos="48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6" w:name="page47"/>
    <w:bookmarkEnd w:id="46"/>
    <w:p>
      <w:pPr>
        <w:ind w:left="660" w:firstLine="644"/>
        <w:spacing w:after="0" w:line="308" w:lineRule="auto"/>
        <w:tabs>
          <w:tab w:leader="none" w:pos="2274"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the Conversion Rate in effect on the Redemption Notice Date for such Redemption and a description and quantification of any adjustments to the Conversion Rate that may result from such Redemption (including pursuant to </w:t>
      </w:r>
      <w:r>
        <w:rPr>
          <w:rFonts w:ascii="Arial" w:cs="Arial" w:eastAsia="Arial" w:hAnsi="Arial"/>
          <w:sz w:val="17"/>
          <w:szCs w:val="17"/>
          <w:b w:val="1"/>
          <w:bCs w:val="1"/>
          <w:color w:val="auto"/>
        </w:rPr>
        <w:t>Section 5.07</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60" w:firstLine="644"/>
        <w:spacing w:after="0" w:line="277" w:lineRule="auto"/>
        <w:tabs>
          <w:tab w:leader="none" w:pos="22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Settlement Method that will apply to all conversions of Notes with a Conversion Date that occurs during the related Redemption Conversion Period; and</w:t>
      </w:r>
    </w:p>
    <w:p>
      <w:pPr>
        <w:spacing w:after="0" w:line="170" w:lineRule="exact"/>
        <w:rPr>
          <w:rFonts w:ascii="Arial" w:cs="Arial" w:eastAsia="Arial" w:hAnsi="Arial"/>
          <w:sz w:val="18"/>
          <w:szCs w:val="18"/>
          <w:color w:val="auto"/>
        </w:rPr>
      </w:pPr>
    </w:p>
    <w:p>
      <w:pPr>
        <w:ind w:left="2020" w:hanging="716"/>
        <w:spacing w:after="0"/>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CUSIP and ISIN numbers, if any, of the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or before the Redemption Notice Date, the Company will send a copy of such Redemption Notice to the Trustee and the Paying Agent. At the Company’s written request, the Trustee will give the Redemption Notice in the Company’s name and at its expense, provided that the Company delivers to the Trustee, at least five Business Days in the case of Physical Notes and five calendar days in the case of Global Notes prior to the Redemption Notice Date (unless the Trustee agrees to a shorter period), an Officer’s Certificate requesting that the Trustee give such notice and setting forth the information to be stated in such notice as provided in this </w:t>
      </w:r>
      <w:r>
        <w:rPr>
          <w:rFonts w:ascii="Arial" w:cs="Arial" w:eastAsia="Arial" w:hAnsi="Arial"/>
          <w:sz w:val="18"/>
          <w:szCs w:val="18"/>
          <w:b w:val="1"/>
          <w:bCs w:val="1"/>
          <w:color w:val="auto"/>
        </w:rPr>
        <w:t>Section 4.03(G)</w:t>
      </w:r>
      <w:r>
        <w:rPr>
          <w:rFonts w:ascii="Arial" w:cs="Arial" w:eastAsia="Arial" w:hAnsi="Arial"/>
          <w:sz w:val="18"/>
          <w:szCs w:val="18"/>
          <w:color w:val="auto"/>
        </w:rPr>
        <w:t>.</w:t>
      </w:r>
    </w:p>
    <w:p>
      <w:pPr>
        <w:spacing w:after="0" w:line="188" w:lineRule="exact"/>
        <w:rPr>
          <w:sz w:val="20"/>
          <w:szCs w:val="20"/>
          <w:color w:val="auto"/>
        </w:rPr>
      </w:pPr>
    </w:p>
    <w:p>
      <w:pPr>
        <w:ind w:left="1500" w:hanging="844"/>
        <w:spacing w:after="0"/>
        <w:tabs>
          <w:tab w:leader="none" w:pos="15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Selection, Conversion and Transfer of Notes to Be Redeemed in Part</w:t>
      </w:r>
      <w:r>
        <w:rPr>
          <w:rFonts w:ascii="Arial" w:cs="Arial" w:eastAsia="Arial" w:hAnsi="Arial"/>
          <w:sz w:val="16"/>
          <w:szCs w:val="16"/>
          <w:color w:val="auto"/>
        </w:rPr>
        <w:t>. If less than all Notes then outstanding are called for Redemption,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then:</w:t>
      </w:r>
    </w:p>
    <w:p>
      <w:pPr>
        <w:spacing w:after="0" w:line="211" w:lineRule="exact"/>
        <w:rPr>
          <w:sz w:val="20"/>
          <w:szCs w:val="20"/>
          <w:color w:val="auto"/>
        </w:rPr>
      </w:pPr>
    </w:p>
    <w:p>
      <w:pPr>
        <w:jc w:val="both"/>
        <w:ind w:left="660" w:firstLine="644"/>
        <w:spacing w:after="0" w:line="263" w:lineRule="auto"/>
        <w:tabs>
          <w:tab w:leader="none" w:pos="233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Notes to be redeemed will be selected by the Company as follows: (1) in the case of Global Notes, in accordance with the Depositary Procedures; and (2) in the case of Physical Notes, pro rata, by lot or by such other method the Company considers fair and appropriate; and</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2279"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only a portion of a Note is subject to Redemption and such Note is converted in part, then the converted portion of such Note will be deemed to be from the portion of such Note that was subject to Redemption.</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574"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Payment of the Redemption Price</w:t>
      </w:r>
      <w:r>
        <w:rPr>
          <w:rFonts w:ascii="Arial" w:cs="Arial" w:eastAsia="Arial" w:hAnsi="Arial"/>
          <w:sz w:val="18"/>
          <w:szCs w:val="18"/>
          <w:color w:val="auto"/>
        </w:rPr>
        <w:t>. Without limiting the Company’s obligation to deposit the Redemption Price by the time proscribed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w:t>
      </w:r>
      <w:r>
        <w:rPr>
          <w:rFonts w:ascii="Arial" w:cs="Arial" w:eastAsia="Arial" w:hAnsi="Arial"/>
          <w:sz w:val="18"/>
          <w:szCs w:val="18"/>
          <w:b w:val="1"/>
          <w:bCs w:val="1"/>
          <w:color w:val="auto"/>
        </w:rPr>
        <w:t>Section 3.01(B)</w:t>
      </w:r>
      <w:r>
        <w:rPr>
          <w:rFonts w:ascii="Arial" w:cs="Arial" w:eastAsia="Arial" w:hAnsi="Arial"/>
          <w:sz w:val="18"/>
          <w:szCs w:val="18"/>
          <w:color w:val="auto"/>
        </w:rPr>
        <w:t xml:space="preserve">, the Company will cause the Redemption Price for a Note (or portion thereof) subject to Redemption to be paid to the Holder thereof on or before the applicable Redemption Date. For the avoidance of doubt, interest payable pursuant to the proviso to </w:t>
      </w:r>
      <w:r>
        <w:rPr>
          <w:rFonts w:ascii="Arial" w:cs="Arial" w:eastAsia="Arial" w:hAnsi="Arial"/>
          <w:sz w:val="18"/>
          <w:szCs w:val="18"/>
          <w:b w:val="1"/>
          <w:bCs w:val="1"/>
          <w:color w:val="auto"/>
        </w:rPr>
        <w:t>Section 4.03(F)</w:t>
      </w:r>
      <w:r>
        <w:rPr>
          <w:rFonts w:ascii="Arial" w:cs="Arial" w:eastAsia="Arial" w:hAnsi="Arial"/>
          <w:sz w:val="18"/>
          <w:szCs w:val="18"/>
          <w:color w:val="auto"/>
        </w:rPr>
        <w:t xml:space="preserve"> on any Note (or portion thereof) subject to Redemption must be paid pursuant to such proviso.</w:t>
      </w:r>
    </w:p>
    <w:p>
      <w:pPr>
        <w:spacing w:after="0" w:line="182" w:lineRule="exact"/>
        <w:rPr>
          <w:rFonts w:ascii="Arial" w:cs="Arial" w:eastAsia="Arial" w:hAnsi="Arial"/>
          <w:sz w:val="18"/>
          <w:szCs w:val="18"/>
          <w:color w:val="auto"/>
        </w:rPr>
      </w:pPr>
    </w:p>
    <w:p>
      <w:pPr>
        <w:jc w:val="both"/>
        <w:ind w:firstLine="656"/>
        <w:spacing w:after="0" w:line="291" w:lineRule="auto"/>
        <w:tabs>
          <w:tab w:leader="none" w:pos="1639"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Special Provisions for Partial Calls</w:t>
      </w:r>
      <w:r>
        <w:rPr>
          <w:rFonts w:ascii="Arial" w:cs="Arial" w:eastAsia="Arial" w:hAnsi="Arial"/>
          <w:sz w:val="16"/>
          <w:szCs w:val="16"/>
          <w:color w:val="auto"/>
        </w:rPr>
        <w:t>. If the Company elects to redeem less than all of the outstanding Notes pursuant to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4.03</w:t>
      </w:r>
      <w:r>
        <w:rPr>
          <w:rFonts w:ascii="Arial" w:cs="Arial" w:eastAsia="Arial" w:hAnsi="Arial"/>
          <w:sz w:val="16"/>
          <w:szCs w:val="16"/>
          <w:color w:val="auto"/>
        </w:rPr>
        <w:t>, and the Holder of any Note, or any owner of a beneficial interest in any Global Note, is reasonably not able to determine, before the Close of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the thirty-second (32nd) Scheduled Trading Day (or, if, in accordance with </w:t>
      </w:r>
      <w:r>
        <w:rPr>
          <w:rFonts w:ascii="Arial" w:cs="Arial" w:eastAsia="Arial" w:hAnsi="Arial"/>
          <w:sz w:val="16"/>
          <w:szCs w:val="16"/>
          <w:b w:val="1"/>
          <w:bCs w:val="1"/>
          <w:color w:val="auto"/>
        </w:rPr>
        <w:t>Section 5.03(A)(i)(3)</w:t>
      </w:r>
      <w:r>
        <w:rPr>
          <w:rFonts w:ascii="Arial" w:cs="Arial" w:eastAsia="Arial" w:hAnsi="Arial"/>
          <w:sz w:val="16"/>
          <w:szCs w:val="16"/>
          <w:color w:val="auto"/>
        </w:rPr>
        <w:t xml:space="preserve">, the Company has elected to settle all conversions of Notes with a Conversion Date that occurs during the related Redemption Conversion Period, the tenth (10th) calendar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during the related Redemption Conversion Period, and each such conversion will be deemed to be of a Note called for Redemption for purposes of this </w:t>
      </w:r>
      <w:r>
        <w:rPr>
          <w:rFonts w:ascii="Arial" w:cs="Arial" w:eastAsia="Arial" w:hAnsi="Arial"/>
          <w:sz w:val="16"/>
          <w:szCs w:val="16"/>
          <w:b w:val="1"/>
          <w:bCs w:val="1"/>
          <w:color w:val="auto"/>
        </w:rPr>
        <w:t>Section 4.03</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Sections 5.01(C)</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(i)(4) </w:t>
      </w:r>
      <w:r>
        <w:rPr>
          <w:rFonts w:ascii="Arial" w:cs="Arial" w:eastAsia="Arial" w:hAnsi="Arial"/>
          <w:sz w:val="16"/>
          <w:szCs w:val="16"/>
          <w:color w:val="auto"/>
        </w:rPr>
        <w:t>and</w:t>
      </w:r>
      <w:r>
        <w:rPr>
          <w:rFonts w:ascii="Arial" w:cs="Arial" w:eastAsia="Arial" w:hAnsi="Arial"/>
          <w:sz w:val="16"/>
          <w:szCs w:val="16"/>
          <w:b w:val="1"/>
          <w:bCs w:val="1"/>
          <w:color w:val="auto"/>
        </w:rPr>
        <w:t xml:space="preserve"> 5.07</w:t>
      </w:r>
      <w:r>
        <w:rPr>
          <w:rFonts w:ascii="Arial" w:cs="Arial" w:eastAsia="Arial" w:hAnsi="Arial"/>
          <w:sz w:val="16"/>
          <w:szCs w:val="16"/>
          <w:color w:val="auto"/>
        </w:rPr>
        <w:t>. The Trustee will have no obligation to make any determination in connection with the foregoing.</w:t>
      </w:r>
    </w:p>
    <w:p>
      <w:pPr>
        <w:spacing w:after="0" w:line="379" w:lineRule="exact"/>
        <w:rPr>
          <w:rFonts w:ascii="Arial" w:cs="Arial" w:eastAsia="Arial" w:hAnsi="Arial"/>
          <w:sz w:val="16"/>
          <w:szCs w:val="16"/>
          <w:color w:val="auto"/>
        </w:rPr>
      </w:pPr>
    </w:p>
    <w:p>
      <w:pPr>
        <w:ind w:left="5540" w:hanging="111"/>
        <w:spacing w:after="0"/>
        <w:tabs>
          <w:tab w:leader="none" w:pos="5540" w:val="left"/>
        </w:tabs>
        <w:numPr>
          <w:ilvl w:val="2"/>
          <w:numId w:val="53"/>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left="4360"/>
        <w:spacing w:after="0"/>
        <w:tabs>
          <w:tab w:leader="none" w:pos="564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8"/>
          <w:szCs w:val="18"/>
          <w:b w:val="1"/>
          <w:bCs w:val="1"/>
          <w:color w:val="auto"/>
        </w:rPr>
        <w:t>CONVERSION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5.01. R</w:t>
      </w:r>
      <w:r>
        <w:rPr>
          <w:rFonts w:ascii="Arial" w:cs="Arial" w:eastAsia="Arial" w:hAnsi="Arial"/>
          <w:sz w:val="12"/>
          <w:szCs w:val="12"/>
          <w:b w:val="1"/>
          <w:bCs w:val="1"/>
          <w:color w:val="auto"/>
        </w:rPr>
        <w:t>IGHT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ONVERT</w:t>
      </w:r>
      <w:r>
        <w:rPr>
          <w:rFonts w:ascii="Arial" w:cs="Arial" w:eastAsia="Arial" w:hAnsi="Arial"/>
          <w:sz w:val="18"/>
          <w:szCs w:val="18"/>
          <w:b w:val="1"/>
          <w:bCs w:val="1"/>
          <w:color w:val="auto"/>
        </w:rPr>
        <w:t>.</w:t>
      </w:r>
    </w:p>
    <w:p>
      <w:pPr>
        <w:spacing w:after="0" w:line="225" w:lineRule="exact"/>
        <w:rPr>
          <w:sz w:val="20"/>
          <w:szCs w:val="20"/>
          <w:color w:val="auto"/>
        </w:rPr>
      </w:pPr>
    </w:p>
    <w:p>
      <w:pPr>
        <w:ind w:left="1620" w:hanging="964"/>
        <w:spacing w:after="0"/>
        <w:tabs>
          <w:tab w:leader="none" w:pos="162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Subject to the provisions of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Article 5</w:t>
      </w:r>
      <w:r>
        <w:rPr>
          <w:rFonts w:ascii="Arial" w:cs="Arial" w:eastAsia="Arial" w:hAnsi="Arial"/>
          <w:sz w:val="16"/>
          <w:szCs w:val="16"/>
          <w:color w:val="auto"/>
        </w:rPr>
        <w:t>, each Holder may, at its option, convert such Holder’s Notes into Conversion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Consideration.</w:t>
      </w:r>
    </w:p>
    <w:p>
      <w:pPr>
        <w:spacing w:after="0" w:line="210" w:lineRule="exact"/>
        <w:rPr>
          <w:rFonts w:ascii="Arial" w:cs="Arial" w:eastAsia="Arial" w:hAnsi="Arial"/>
          <w:sz w:val="16"/>
          <w:szCs w:val="16"/>
          <w:color w:val="auto"/>
        </w:rPr>
      </w:pPr>
    </w:p>
    <w:p>
      <w:pPr>
        <w:ind w:firstLine="656"/>
        <w:spacing w:after="0" w:line="342" w:lineRule="auto"/>
        <w:tabs>
          <w:tab w:leader="none" w:pos="1612"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Conversions in Part</w:t>
      </w:r>
      <w:r>
        <w:rPr>
          <w:rFonts w:ascii="Arial" w:cs="Arial" w:eastAsia="Arial" w:hAnsi="Arial"/>
          <w:sz w:val="16"/>
          <w:szCs w:val="16"/>
          <w:color w:val="auto"/>
        </w:rPr>
        <w:t>. Subject to the terms of this Indenture, Notes may be converted in part, but only in Authorized Denominations.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Provisions of this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applying to the conversion of a Note in whole will equally apply to conversions of a permitted portion of a Note.</w:t>
      </w:r>
    </w:p>
    <w:p>
      <w:pPr>
        <w:spacing w:after="0" w:line="123" w:lineRule="exact"/>
        <w:rPr>
          <w:rFonts w:ascii="Arial" w:cs="Arial" w:eastAsia="Arial" w:hAnsi="Arial"/>
          <w:sz w:val="16"/>
          <w:szCs w:val="16"/>
          <w:color w:val="auto"/>
        </w:rPr>
      </w:pPr>
    </w:p>
    <w:p>
      <w:pPr>
        <w:ind w:left="1520" w:hanging="864"/>
        <w:spacing w:after="0"/>
        <w:tabs>
          <w:tab w:leader="none" w:pos="15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When Notes May Be Converted</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2240" w:hanging="936"/>
        <w:spacing w:after="0"/>
        <w:tabs>
          <w:tab w:leader="none" w:pos="2240"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5.01(C)(ii)</w:t>
      </w:r>
      <w:r>
        <w:rPr>
          <w:rFonts w:ascii="Arial" w:cs="Arial" w:eastAsia="Arial" w:hAnsi="Arial"/>
          <w:sz w:val="18"/>
          <w:szCs w:val="18"/>
          <w:color w:val="auto"/>
        </w:rPr>
        <w:t>, a Note may be converted only in the following circumstances:</w:t>
      </w:r>
    </w:p>
    <w:p>
      <w:pPr>
        <w:spacing w:after="0" w:line="229" w:lineRule="exact"/>
        <w:rPr>
          <w:rFonts w:ascii="Arial" w:cs="Arial" w:eastAsia="Arial" w:hAnsi="Arial"/>
          <w:sz w:val="18"/>
          <w:szCs w:val="18"/>
          <w:color w:val="auto"/>
        </w:rPr>
      </w:pPr>
    </w:p>
    <w:p>
      <w:pPr>
        <w:jc w:val="both"/>
        <w:ind w:left="1300" w:firstLine="652"/>
        <w:spacing w:after="0" w:line="255" w:lineRule="auto"/>
        <w:tabs>
          <w:tab w:leader="none" w:pos="3251" w:val="left"/>
        </w:tabs>
        <w:numPr>
          <w:ilvl w:val="2"/>
          <w:numId w:val="54"/>
        </w:numPr>
        <w:rPr>
          <w:rFonts w:ascii="Arial" w:cs="Arial" w:eastAsia="Arial" w:hAnsi="Arial"/>
          <w:sz w:val="18"/>
          <w:szCs w:val="18"/>
          <w:color w:val="auto"/>
        </w:rPr>
      </w:pPr>
      <w:r>
        <w:rPr>
          <w:rFonts w:ascii="Arial" w:cs="Arial" w:eastAsia="Arial" w:hAnsi="Arial"/>
          <w:sz w:val="18"/>
          <w:szCs w:val="18"/>
          <w:i w:val="1"/>
          <w:iCs w:val="1"/>
          <w:color w:val="auto"/>
        </w:rPr>
        <w:t>Conversion upon Satisfaction of Sale Price Condition</w:t>
      </w:r>
      <w:r>
        <w:rPr>
          <w:rFonts w:ascii="Arial" w:cs="Arial" w:eastAsia="Arial" w:hAnsi="Arial"/>
          <w:sz w:val="18"/>
          <w:szCs w:val="18"/>
          <w:color w:val="auto"/>
        </w:rPr>
        <w:t>. Before the Close of Business on the Business Day</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before September 15, 2026, a Holder may convert its Notes during any calendar quarter (and only during such calendar quarter) commencing after the calendar quarter ending on March 31, 2022,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spacing w:after="0" w:line="192" w:lineRule="exact"/>
        <w:rPr>
          <w:rFonts w:ascii="Arial" w:cs="Arial" w:eastAsia="Arial" w:hAnsi="Arial"/>
          <w:sz w:val="18"/>
          <w:szCs w:val="18"/>
          <w:color w:val="auto"/>
        </w:rPr>
      </w:pPr>
    </w:p>
    <w:p>
      <w:pPr>
        <w:jc w:val="both"/>
        <w:ind w:left="1300" w:firstLine="652"/>
        <w:spacing w:after="0" w:line="272" w:lineRule="auto"/>
        <w:tabs>
          <w:tab w:leader="none" w:pos="2913" w:val="left"/>
        </w:tabs>
        <w:numPr>
          <w:ilvl w:val="2"/>
          <w:numId w:val="54"/>
        </w:numPr>
        <w:rPr>
          <w:rFonts w:ascii="Arial" w:cs="Arial" w:eastAsia="Arial" w:hAnsi="Arial"/>
          <w:sz w:val="17"/>
          <w:szCs w:val="17"/>
          <w:color w:val="auto"/>
        </w:rPr>
      </w:pPr>
      <w:r>
        <w:rPr>
          <w:rFonts w:ascii="Arial" w:cs="Arial" w:eastAsia="Arial" w:hAnsi="Arial"/>
          <w:sz w:val="17"/>
          <w:szCs w:val="17"/>
          <w:i w:val="1"/>
          <w:iCs w:val="1"/>
          <w:color w:val="auto"/>
        </w:rPr>
        <w:t>Conversion upon Satisfaction of Note Trading Price Condition</w:t>
      </w:r>
      <w:r>
        <w:rPr>
          <w:rFonts w:ascii="Arial" w:cs="Arial" w:eastAsia="Arial" w:hAnsi="Arial"/>
          <w:sz w:val="17"/>
          <w:szCs w:val="17"/>
          <w:color w:val="auto"/>
        </w:rPr>
        <w:t>. Before the Close of Business on the Business Day</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before September 15, 2026, a Holder may convert its Notes during the five (5) consecutive Business Days immediately after any ten (10) consecutive Trading Day period (such ten (10) consecutive Trading Day period, the “</w:t>
      </w:r>
      <w:r>
        <w:rPr>
          <w:rFonts w:ascii="Arial" w:cs="Arial" w:eastAsia="Arial" w:hAnsi="Arial"/>
          <w:sz w:val="17"/>
          <w:szCs w:val="17"/>
          <w:b w:val="1"/>
          <w:bCs w:val="1"/>
          <w:color w:val="auto"/>
        </w:rPr>
        <w:t>Measurement Period</w:t>
      </w:r>
      <w:r>
        <w:rPr>
          <w:rFonts w:ascii="Arial" w:cs="Arial" w:eastAsia="Arial" w:hAnsi="Arial"/>
          <w:sz w:val="17"/>
          <w:szCs w:val="17"/>
          <w:color w:val="auto"/>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Arial" w:cs="Arial" w:eastAsia="Arial" w:hAnsi="Arial"/>
          <w:sz w:val="17"/>
          <w:szCs w:val="17"/>
          <w:b w:val="1"/>
          <w:bCs w:val="1"/>
          <w:color w:val="auto"/>
        </w:rPr>
        <w:t>Trading Price Condition</w:t>
      </w:r>
      <w:r>
        <w:rPr>
          <w:rFonts w:ascii="Arial" w:cs="Arial" w:eastAsia="Arial" w:hAnsi="Arial"/>
          <w:sz w:val="17"/>
          <w:szCs w:val="17"/>
          <w:color w:val="auto"/>
        </w:rPr>
        <w:t>.”</w:t>
      </w:r>
    </w:p>
    <w:p>
      <w:pPr>
        <w:spacing w:after="0" w:line="393" w:lineRule="exact"/>
        <w:rPr>
          <w:rFonts w:ascii="Arial" w:cs="Arial" w:eastAsia="Arial" w:hAnsi="Arial"/>
          <w:sz w:val="17"/>
          <w:szCs w:val="17"/>
          <w:color w:val="auto"/>
        </w:rPr>
      </w:pPr>
    </w:p>
    <w:p>
      <w:pPr>
        <w:ind w:left="5540" w:hanging="111"/>
        <w:spacing w:after="0"/>
        <w:tabs>
          <w:tab w:leader="none" w:pos="5540" w:val="left"/>
        </w:tabs>
        <w:numPr>
          <w:ilvl w:val="3"/>
          <w:numId w:val="54"/>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left="180"/>
        <w:spacing w:after="0" w:line="286" w:lineRule="auto"/>
        <w:rPr>
          <w:sz w:val="20"/>
          <w:szCs w:val="20"/>
          <w:color w:val="auto"/>
        </w:rPr>
      </w:pPr>
      <w:r>
        <w:rPr>
          <w:rFonts w:ascii="Arial" w:cs="Arial" w:eastAsia="Arial" w:hAnsi="Arial"/>
          <w:sz w:val="16"/>
          <w:szCs w:val="16"/>
          <w:color w:val="auto"/>
        </w:rPr>
        <w:t xml:space="preserve">The Trading Price will be determined by the Bid Solicitation Agent pursuant to this </w:t>
      </w:r>
      <w:r>
        <w:rPr>
          <w:rFonts w:ascii="Arial" w:cs="Arial" w:eastAsia="Arial" w:hAnsi="Arial"/>
          <w:sz w:val="16"/>
          <w:szCs w:val="16"/>
          <w:b w:val="1"/>
          <w:bCs w:val="1"/>
          <w:color w:val="auto"/>
        </w:rPr>
        <w:t>Section 5.01(C)(i)(2)</w:t>
      </w:r>
      <w:r>
        <w:rPr>
          <w:rFonts w:ascii="Arial" w:cs="Arial" w:eastAsia="Arial" w:hAnsi="Arial"/>
          <w:sz w:val="16"/>
          <w:szCs w:val="16"/>
          <w:color w:val="auto"/>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provides the Company with reasonable evidence that the Trading Price per $1,000 principal amount of Notes would be less than ninety eight percent (98%) of the product of the Last Reported Sale Price per share of Common Stock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(x) notify the Holders, the Trustee and the Conversion Agent of the same and (y) select the institutions to provide bids to the Bid Solicitation Agent and will instruct such institutions to provide bids to the Bid Solicitation Agent in accordance with the definition of “Trading Price.”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spacing w:after="0" w:line="171" w:lineRule="exact"/>
        <w:rPr>
          <w:sz w:val="20"/>
          <w:szCs w:val="20"/>
          <w:color w:val="auto"/>
        </w:rPr>
      </w:pPr>
    </w:p>
    <w:p>
      <w:pPr>
        <w:ind w:left="1720" w:hanging="888"/>
        <w:spacing w:after="0"/>
        <w:tabs>
          <w:tab w:leader="none" w:pos="17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Conversion upon Specified Corporate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40" w:firstLine="640"/>
        <w:spacing w:after="0" w:line="277" w:lineRule="auto"/>
        <w:tabs>
          <w:tab w:leader="none" w:pos="2835"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Certain Distributions</w:t>
      </w:r>
      <w:r>
        <w:rPr>
          <w:rFonts w:ascii="Arial" w:cs="Arial" w:eastAsia="Arial" w:hAnsi="Arial"/>
          <w:sz w:val="18"/>
          <w:szCs w:val="18"/>
          <w:color w:val="auto"/>
        </w:rPr>
        <w:t>. If, before the Close of Business on the Business Day immediately before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15, 2026, the Company elects to:</w:t>
      </w:r>
    </w:p>
    <w:p>
      <w:pPr>
        <w:spacing w:after="0" w:line="170" w:lineRule="exact"/>
        <w:rPr>
          <w:rFonts w:ascii="Arial" w:cs="Arial" w:eastAsia="Arial" w:hAnsi="Arial"/>
          <w:sz w:val="18"/>
          <w:szCs w:val="18"/>
          <w:color w:val="auto"/>
        </w:rPr>
      </w:pPr>
    </w:p>
    <w:p>
      <w:pPr>
        <w:jc w:val="both"/>
        <w:ind w:left="1480" w:firstLine="648"/>
        <w:spacing w:after="0" w:line="270" w:lineRule="auto"/>
        <w:tabs>
          <w:tab w:leader="none" w:pos="3216" w:val="left"/>
        </w:tabs>
        <w:numPr>
          <w:ilvl w:val="2"/>
          <w:numId w:val="55"/>
        </w:numPr>
        <w:rPr>
          <w:rFonts w:ascii="Arial" w:cs="Arial" w:eastAsia="Arial" w:hAnsi="Arial"/>
          <w:sz w:val="17"/>
          <w:szCs w:val="17"/>
          <w:color w:val="auto"/>
        </w:rPr>
      </w:pPr>
      <w:r>
        <w:rPr>
          <w:rFonts w:ascii="Arial" w:cs="Arial" w:eastAsia="Arial" w:hAnsi="Arial"/>
          <w:sz w:val="17"/>
          <w:szCs w:val="17"/>
          <w:color w:val="auto"/>
        </w:rPr>
        <w:t xml:space="preserve">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Arial" w:cs="Arial" w:eastAsia="Arial" w:hAnsi="Arial"/>
          <w:sz w:val="17"/>
          <w:szCs w:val="17"/>
          <w:b w:val="1"/>
          <w:bCs w:val="1"/>
          <w:color w:val="auto"/>
        </w:rPr>
        <w:t>clause (I)</w:t>
      </w:r>
      <w:r>
        <w:rPr>
          <w:rFonts w:ascii="Arial" w:cs="Arial" w:eastAsia="Arial" w:hAnsi="Arial"/>
          <w:sz w:val="17"/>
          <w:szCs w:val="17"/>
          <w:color w:val="auto"/>
        </w:rPr>
        <w:t xml:space="preserve"> upon their separation from the Common Stock or upon the occurrence of such triggering event) entitling them,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Arial" w:cs="Arial" w:eastAsia="Arial" w:hAnsi="Arial"/>
          <w:sz w:val="17"/>
          <w:szCs w:val="17"/>
          <w:b w:val="1"/>
          <w:bCs w:val="1"/>
          <w:color w:val="auto"/>
        </w:rPr>
        <w:t>Section 5.05(A)(ii)</w:t>
      </w:r>
      <w:r>
        <w:rPr>
          <w:rFonts w:ascii="Arial" w:cs="Arial" w:eastAsia="Arial" w:hAnsi="Arial"/>
          <w:sz w:val="17"/>
          <w:szCs w:val="17"/>
          <w:color w:val="auto"/>
        </w:rPr>
        <w:t>); or</w:t>
      </w:r>
    </w:p>
    <w:p>
      <w:pPr>
        <w:spacing w:after="0" w:line="396" w:lineRule="exact"/>
        <w:rPr>
          <w:rFonts w:ascii="Arial" w:cs="Arial" w:eastAsia="Arial" w:hAnsi="Arial"/>
          <w:sz w:val="17"/>
          <w:szCs w:val="17"/>
          <w:color w:val="auto"/>
        </w:rPr>
      </w:pPr>
    </w:p>
    <w:p>
      <w:pPr>
        <w:ind w:left="4420" w:hanging="111"/>
        <w:spacing w:after="0"/>
        <w:tabs>
          <w:tab w:leader="none" w:pos="4420" w:val="left"/>
        </w:tabs>
        <w:numPr>
          <w:ilvl w:val="3"/>
          <w:numId w:val="55"/>
        </w:numPr>
        <w:rPr>
          <w:rFonts w:ascii="Arial" w:cs="Arial" w:eastAsia="Arial" w:hAnsi="Arial"/>
          <w:sz w:val="18"/>
          <w:szCs w:val="18"/>
          <w:color w:val="auto"/>
        </w:rPr>
      </w:pPr>
      <w:r>
        <w:rPr>
          <w:rFonts w:ascii="Arial" w:cs="Arial" w:eastAsia="Arial" w:hAnsi="Arial"/>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9" w:name="page50"/>
    <w:bookmarkEnd w:id="49"/>
    <w:p>
      <w:pPr>
        <w:jc w:val="both"/>
        <w:ind w:left="1480" w:firstLine="648"/>
        <w:spacing w:after="0" w:line="301" w:lineRule="auto"/>
        <w:tabs>
          <w:tab w:leader="none" w:pos="30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distribute, to all or substantially all holders of Common Stock, assets or securities of the Company or rights to purchase the Company’s securities, which distribution per share of Common Stock has a value, as reasonably determined by the Company in good faith, exceeding ten percent (10%) of the Last Reported Sale Price per share of Common Stock on the Trading Day immediately before the date such distribution is announced,</w:t>
      </w:r>
    </w:p>
    <w:p>
      <w:pPr>
        <w:spacing w:after="0" w:line="157" w:lineRule="exact"/>
        <w:rPr>
          <w:sz w:val="20"/>
          <w:szCs w:val="20"/>
          <w:color w:val="auto"/>
        </w:rPr>
      </w:pPr>
    </w:p>
    <w:p>
      <w:pPr>
        <w:jc w:val="both"/>
        <w:ind w:left="840"/>
        <w:spacing w:after="0" w:line="267" w:lineRule="auto"/>
        <w:rPr>
          <w:sz w:val="20"/>
          <w:szCs w:val="20"/>
          <w:color w:val="auto"/>
        </w:rPr>
      </w:pPr>
      <w:r>
        <w:rPr>
          <w:rFonts w:ascii="Arial" w:cs="Arial" w:eastAsia="Arial" w:hAnsi="Arial"/>
          <w:sz w:val="17"/>
          <w:szCs w:val="17"/>
          <w:color w:val="auto"/>
        </w:rPr>
        <w:t xml:space="preserve">then, in either case, (x) the Company will send notice of such distribution, and of the related right to convert Notes, to Holders, the Trustee and the Conversion Agent at least thirty five (35) Scheduled Trading Days before the Ex-Dividend Date for such distribution (or, if later in the case of any such separation of rights issued pursuant to a stockholder rights plan or the occurrence of any such triggering event under a stockholder rights plan, no later than the Business Day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Notes will not become convertible pursuant to clause (y) above (but the Company will be required to send notice of such distribution pursuant to clause (x) 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the Company is then otherwise permitted to settle conversions of Notes by Physical Settlement (and, for the avoidance of doubt, the Company has not elected another Settlement Method to apply, including pursuant to </w:t>
      </w:r>
      <w:r>
        <w:rPr>
          <w:rFonts w:ascii="Arial" w:cs="Arial" w:eastAsia="Arial" w:hAnsi="Arial"/>
          <w:sz w:val="17"/>
          <w:szCs w:val="17"/>
          <w:b w:val="1"/>
          <w:bCs w:val="1"/>
          <w:color w:val="auto"/>
        </w:rPr>
        <w:t>Section 5.03(A)(i)(1)</w:t>
      </w:r>
      <w:r>
        <w:rPr>
          <w:rFonts w:ascii="Arial" w:cs="Arial" w:eastAsia="Arial" w:hAnsi="Arial"/>
          <w:sz w:val="17"/>
          <w:szCs w:val="17"/>
          <w:color w:val="auto"/>
        </w:rPr>
        <w:t>), then the Company may instead elect to provide such notice at least ten (10) Scheduled Trading Days before such Ex-Dividend Date, in which case (x) the Company must settle all conversions of Notes with a Conversion Date occurring on or after the date the Company provides such notice and on or before the Business Day immediately before the Ex-Dividend Date for such distribution (or any earlier announcement by the Company that such distribution will not take place) by Physical Settlement; and (y) such notice must state that all such conversions will be settled by Physical Settlement.</w:t>
      </w:r>
    </w:p>
    <w:p>
      <w:pPr>
        <w:spacing w:after="0" w:line="200" w:lineRule="exact"/>
        <w:rPr>
          <w:sz w:val="20"/>
          <w:szCs w:val="20"/>
          <w:color w:val="auto"/>
        </w:rPr>
      </w:pPr>
    </w:p>
    <w:p>
      <w:pPr>
        <w:spacing w:after="0" w:line="20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0" w:name="page51"/>
    <w:bookmarkEnd w:id="50"/>
    <w:p>
      <w:pPr>
        <w:jc w:val="both"/>
        <w:ind w:left="1300" w:firstLine="640"/>
        <w:spacing w:after="0" w:line="268" w:lineRule="auto"/>
        <w:tabs>
          <w:tab w:leader="none" w:pos="3048" w:val="left"/>
        </w:tabs>
        <w:numPr>
          <w:ilvl w:val="1"/>
          <w:numId w:val="57"/>
        </w:numPr>
        <w:rPr>
          <w:rFonts w:ascii="Arial" w:cs="Arial" w:eastAsia="Arial" w:hAnsi="Arial"/>
          <w:sz w:val="17"/>
          <w:szCs w:val="17"/>
          <w:color w:val="auto"/>
        </w:rPr>
      </w:pPr>
      <w:r>
        <w:rPr>
          <w:rFonts w:ascii="Arial" w:cs="Arial" w:eastAsia="Arial" w:hAnsi="Arial"/>
          <w:sz w:val="17"/>
          <w:szCs w:val="17"/>
          <w:i w:val="1"/>
          <w:iCs w:val="1"/>
          <w:color w:val="auto"/>
        </w:rPr>
        <w:t>Certain Corporate Events</w:t>
      </w:r>
      <w:r>
        <w:rPr>
          <w:rFonts w:ascii="Arial" w:cs="Arial" w:eastAsia="Arial" w:hAnsi="Arial"/>
          <w:sz w:val="17"/>
          <w:szCs w:val="17"/>
          <w:color w:val="auto"/>
        </w:rPr>
        <w:t>. If a Fundamental Change, Make-Whole Fundamental Change (other than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Make-Whole Fundamental Change pursuant to </w:t>
      </w:r>
      <w:r>
        <w:rPr>
          <w:rFonts w:ascii="Arial" w:cs="Arial" w:eastAsia="Arial" w:hAnsi="Arial"/>
          <w:sz w:val="17"/>
          <w:szCs w:val="17"/>
          <w:b w:val="1"/>
          <w:bCs w:val="1"/>
          <w:color w:val="auto"/>
        </w:rPr>
        <w:t>clause (B)</w:t>
      </w:r>
      <w:r>
        <w:rPr>
          <w:rFonts w:ascii="Arial" w:cs="Arial" w:eastAsia="Arial" w:hAnsi="Arial"/>
          <w:sz w:val="17"/>
          <w:szCs w:val="17"/>
          <w:color w:val="auto"/>
        </w:rPr>
        <w:t xml:space="preserve">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does not provide the notice referred to in the immediately following sentence by the Business Day after such effective date, then the last day on which the Notes are convertible pursuant to this sentence will be extended by the number of Business Days from, and including, the Business Day after such effective date to, but excluding, the date the Company provides such notice. No later than the Business Day after such effective date, the Company will send written notice to the Holders, the Trustee and the Conversion Agent of such transaction or event, such effective date and the related right to convert Notes.</w:t>
      </w:r>
    </w:p>
    <w:p>
      <w:pPr>
        <w:spacing w:after="0" w:line="186" w:lineRule="exact"/>
        <w:rPr>
          <w:rFonts w:ascii="Arial" w:cs="Arial" w:eastAsia="Arial" w:hAnsi="Arial"/>
          <w:sz w:val="17"/>
          <w:szCs w:val="17"/>
          <w:color w:val="auto"/>
        </w:rPr>
      </w:pPr>
    </w:p>
    <w:p>
      <w:pPr>
        <w:jc w:val="both"/>
        <w:ind w:left="640" w:firstLine="652"/>
        <w:spacing w:after="0" w:line="263" w:lineRule="auto"/>
        <w:tabs>
          <w:tab w:leader="none" w:pos="2267"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Conversion upon Redemption</w:t>
      </w:r>
      <w:r>
        <w:rPr>
          <w:rFonts w:ascii="Arial" w:cs="Arial" w:eastAsia="Arial" w:hAnsi="Arial"/>
          <w:sz w:val="18"/>
          <w:szCs w:val="18"/>
          <w:color w:val="auto"/>
        </w:rPr>
        <w:t>. If the Company calls any Note for</w:t>
      </w:r>
      <w:r>
        <w:rPr>
          <w:rFonts w:ascii="Arial" w:cs="Arial" w:eastAsia="Arial" w:hAnsi="Arial"/>
          <w:sz w:val="18"/>
          <w:szCs w:val="18"/>
          <w:i w:val="1"/>
          <w:iCs w:val="1"/>
          <w:color w:val="auto"/>
        </w:rPr>
        <w:t xml:space="preserve"> Redemption </w:t>
      </w:r>
      <w:r>
        <w:rPr>
          <w:rFonts w:ascii="Arial" w:cs="Arial" w:eastAsia="Arial" w:hAnsi="Arial"/>
          <w:sz w:val="18"/>
          <w:szCs w:val="18"/>
          <w:color w:val="auto"/>
        </w:rPr>
        <w:t>before the Close of Business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Day immediately before September 15, 2026, then the Holder of such Note may convert such Note at any time during the related Redemption Conversion Period.</w:t>
      </w:r>
    </w:p>
    <w:p>
      <w:pPr>
        <w:spacing w:after="0" w:line="183" w:lineRule="exact"/>
        <w:rPr>
          <w:rFonts w:ascii="Arial" w:cs="Arial" w:eastAsia="Arial" w:hAnsi="Arial"/>
          <w:sz w:val="18"/>
          <w:szCs w:val="18"/>
          <w:color w:val="auto"/>
        </w:rPr>
      </w:pPr>
    </w:p>
    <w:p>
      <w:pPr>
        <w:jc w:val="both"/>
        <w:ind w:left="640" w:firstLine="652"/>
        <w:spacing w:after="0" w:line="287" w:lineRule="auto"/>
        <w:tabs>
          <w:tab w:leader="none" w:pos="2213"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Conversions During Free Convertibility Period</w:t>
      </w:r>
      <w:r>
        <w:rPr>
          <w:rFonts w:ascii="Arial" w:cs="Arial" w:eastAsia="Arial" w:hAnsi="Arial"/>
          <w:sz w:val="18"/>
          <w:szCs w:val="18"/>
          <w:color w:val="auto"/>
        </w:rPr>
        <w:t>. On or after September 15, 2026, a Holder may convert its Notes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time until the Close of Business on the second (2nd) Scheduled Trading Day immediately before the Maturity Date regardless of the conditions set forth in </w:t>
      </w:r>
      <w:r>
        <w:rPr>
          <w:rFonts w:ascii="Arial" w:cs="Arial" w:eastAsia="Arial" w:hAnsi="Arial"/>
          <w:sz w:val="18"/>
          <w:szCs w:val="18"/>
          <w:b w:val="1"/>
          <w:bCs w:val="1"/>
          <w:color w:val="auto"/>
        </w:rPr>
        <w:t>sub-paragraphs (1)</w:t>
      </w:r>
      <w:r>
        <w:rPr>
          <w:rFonts w:ascii="Arial" w:cs="Arial" w:eastAsia="Arial" w:hAnsi="Arial"/>
          <w:sz w:val="18"/>
          <w:szCs w:val="18"/>
          <w:color w:val="auto"/>
        </w:rPr>
        <w:t xml:space="preserve">, </w:t>
      </w:r>
      <w:r>
        <w:rPr>
          <w:rFonts w:ascii="Arial" w:cs="Arial" w:eastAsia="Arial" w:hAnsi="Arial"/>
          <w:sz w:val="18"/>
          <w:szCs w:val="18"/>
          <w:b w:val="1"/>
          <w:bCs w:val="1"/>
          <w:color w:val="auto"/>
        </w:rPr>
        <w:t>(2)</w:t>
      </w:r>
      <w:r>
        <w:rPr>
          <w:rFonts w:ascii="Arial" w:cs="Arial" w:eastAsia="Arial" w:hAnsi="Arial"/>
          <w:sz w:val="18"/>
          <w:szCs w:val="18"/>
          <w:color w:val="auto"/>
        </w:rPr>
        <w:t xml:space="preserve">, </w:t>
      </w:r>
      <w:r>
        <w:rPr>
          <w:rFonts w:ascii="Arial" w:cs="Arial" w:eastAsia="Arial" w:hAnsi="Arial"/>
          <w:sz w:val="18"/>
          <w:szCs w:val="18"/>
          <w:b w:val="1"/>
          <w:bCs w:val="1"/>
          <w:color w:val="auto"/>
        </w:rPr>
        <w:t>(3)</w:t>
      </w:r>
      <w:r>
        <w:rPr>
          <w:rFonts w:ascii="Arial" w:cs="Arial" w:eastAsia="Arial" w:hAnsi="Arial"/>
          <w:sz w:val="18"/>
          <w:szCs w:val="18"/>
          <w:color w:val="auto"/>
        </w:rPr>
        <w:t xml:space="preserve"> or </w:t>
      </w:r>
      <w:r>
        <w:rPr>
          <w:rFonts w:ascii="Arial" w:cs="Arial" w:eastAsia="Arial" w:hAnsi="Arial"/>
          <w:sz w:val="18"/>
          <w:szCs w:val="18"/>
          <w:b w:val="1"/>
          <w:bCs w:val="1"/>
          <w:color w:val="auto"/>
        </w:rPr>
        <w:t>(4)</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5.01(C)(i)</w:t>
      </w:r>
      <w:r>
        <w:rPr>
          <w:rFonts w:ascii="Arial" w:cs="Arial" w:eastAsia="Arial" w:hAnsi="Arial"/>
          <w:sz w:val="18"/>
          <w:szCs w:val="18"/>
          <w:color w:val="auto"/>
        </w:rPr>
        <w:t>.</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For the avoidance of doubt, the Notes may become convertible pursuant to any one or more of the preceding sub-paragraphs of this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5.01(C)(i) </w:t>
      </w:r>
      <w:r>
        <w:rPr>
          <w:rFonts w:ascii="Arial" w:cs="Arial" w:eastAsia="Arial" w:hAnsi="Arial"/>
          <w:sz w:val="18"/>
          <w:szCs w:val="18"/>
          <w:color w:val="auto"/>
        </w:rPr>
        <w:t>and the Notes ceasing to be convertible pursuant to a particular sub-paragraph of this</w:t>
      </w:r>
      <w:r>
        <w:rPr>
          <w:rFonts w:ascii="Arial" w:cs="Arial" w:eastAsia="Arial" w:hAnsi="Arial"/>
          <w:sz w:val="18"/>
          <w:szCs w:val="18"/>
          <w:b w:val="1"/>
          <w:bCs w:val="1"/>
          <w:color w:val="auto"/>
        </w:rPr>
        <w:t xml:space="preserve"> Section 5.01(C)(i) </w:t>
      </w:r>
      <w:r>
        <w:rPr>
          <w:rFonts w:ascii="Arial" w:cs="Arial" w:eastAsia="Arial" w:hAnsi="Arial"/>
          <w:sz w:val="18"/>
          <w:szCs w:val="18"/>
          <w:color w:val="auto"/>
        </w:rPr>
        <w:t>will not preclude the Notes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being convertible pursuant to any other sub-paragraph of this </w:t>
      </w:r>
      <w:r>
        <w:rPr>
          <w:rFonts w:ascii="Arial" w:cs="Arial" w:eastAsia="Arial" w:hAnsi="Arial"/>
          <w:sz w:val="18"/>
          <w:szCs w:val="18"/>
          <w:b w:val="1"/>
          <w:bCs w:val="1"/>
          <w:color w:val="auto"/>
        </w:rPr>
        <w:t>Section 5.01(C)(i)</w:t>
      </w:r>
      <w:r>
        <w:rPr>
          <w:rFonts w:ascii="Arial" w:cs="Arial" w:eastAsia="Arial" w:hAnsi="Arial"/>
          <w:sz w:val="18"/>
          <w:szCs w:val="18"/>
          <w:color w:val="auto"/>
        </w:rPr>
        <w:t>.</w:t>
      </w:r>
    </w:p>
    <w:p>
      <w:pPr>
        <w:spacing w:after="0" w:line="180" w:lineRule="exact"/>
        <w:rPr>
          <w:sz w:val="20"/>
          <w:szCs w:val="20"/>
          <w:color w:val="auto"/>
        </w:rPr>
      </w:pPr>
    </w:p>
    <w:p>
      <w:pPr>
        <w:ind w:left="1500" w:hanging="856"/>
        <w:spacing w:after="0"/>
        <w:tabs>
          <w:tab w:leader="none" w:pos="15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Limitations and Closed Periods</w:t>
      </w:r>
      <w:r>
        <w:rPr>
          <w:rFonts w:ascii="Arial" w:cs="Arial" w:eastAsia="Arial" w:hAnsi="Arial"/>
          <w:sz w:val="18"/>
          <w:szCs w:val="18"/>
          <w:color w:val="auto"/>
        </w:rPr>
        <w:t>. Notwithstanding anything to the contrary in this Indenture or the Notes:</w:t>
      </w:r>
    </w:p>
    <w:p>
      <w:pPr>
        <w:spacing w:after="0" w:line="261" w:lineRule="exact"/>
        <w:rPr>
          <w:rFonts w:ascii="Arial" w:cs="Arial" w:eastAsia="Arial" w:hAnsi="Arial"/>
          <w:sz w:val="18"/>
          <w:szCs w:val="18"/>
          <w:color w:val="auto"/>
        </w:rPr>
      </w:pPr>
    </w:p>
    <w:p>
      <w:pPr>
        <w:ind w:left="640" w:firstLine="652"/>
        <w:spacing w:after="0" w:line="297" w:lineRule="auto"/>
        <w:tabs>
          <w:tab w:leader="none" w:pos="2402"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Notes may be surrendered for conversion during a period where the Notes are convertible pursuant to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5.01(C) </w:t>
      </w:r>
      <w:r>
        <w:rPr>
          <w:rFonts w:ascii="Arial" w:cs="Arial" w:eastAsia="Arial" w:hAnsi="Arial"/>
          <w:sz w:val="18"/>
          <w:szCs w:val="18"/>
          <w:color w:val="auto"/>
        </w:rPr>
        <w:t>only after the Open of Business and before the Close of Business on a Business Day;</w:t>
      </w:r>
    </w:p>
    <w:p>
      <w:pPr>
        <w:spacing w:after="0" w:line="153" w:lineRule="exact"/>
        <w:rPr>
          <w:rFonts w:ascii="Arial" w:cs="Arial" w:eastAsia="Arial" w:hAnsi="Arial"/>
          <w:sz w:val="18"/>
          <w:szCs w:val="18"/>
          <w:color w:val="auto"/>
        </w:rPr>
      </w:pPr>
    </w:p>
    <w:p>
      <w:pPr>
        <w:ind w:left="640" w:right="20" w:firstLine="652"/>
        <w:spacing w:after="0" w:line="277" w:lineRule="auto"/>
        <w:tabs>
          <w:tab w:leader="none" w:pos="2334"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 no event may any Note be converted after the Close of Business on the second (2nd) Scheduled Trading Day immediately before the Maturity Date;</w:t>
      </w:r>
    </w:p>
    <w:p>
      <w:pPr>
        <w:spacing w:after="0" w:line="386" w:lineRule="exact"/>
        <w:rPr>
          <w:rFonts w:ascii="Arial" w:cs="Arial" w:eastAsia="Arial" w:hAnsi="Arial"/>
          <w:sz w:val="18"/>
          <w:szCs w:val="18"/>
          <w:color w:val="auto"/>
        </w:rPr>
      </w:pPr>
    </w:p>
    <w:p>
      <w:pPr>
        <w:ind w:left="4880" w:hanging="111"/>
        <w:spacing w:after="0"/>
        <w:tabs>
          <w:tab w:leader="none" w:pos="48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24" w:right="339" w:bottom="1440" w:gutter="0" w:footer="0" w:header="0"/>
        </w:sectPr>
      </w:pPr>
    </w:p>
    <w:bookmarkStart w:id="51" w:name="page52"/>
    <w:bookmarkEnd w:id="51"/>
    <w:p>
      <w:pPr>
        <w:jc w:val="both"/>
        <w:ind w:left="1300" w:firstLine="652"/>
        <w:spacing w:after="0" w:line="323" w:lineRule="auto"/>
        <w:tabs>
          <w:tab w:leader="none" w:pos="3008"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if the Company calls any Note for Redemption pursuant to </w:t>
      </w:r>
      <w:r>
        <w:rPr>
          <w:rFonts w:ascii="Arial" w:cs="Arial" w:eastAsia="Arial" w:hAnsi="Arial"/>
          <w:sz w:val="16"/>
          <w:szCs w:val="16"/>
          <w:b w:val="1"/>
          <w:bCs w:val="1"/>
          <w:color w:val="auto"/>
        </w:rPr>
        <w:t>Section 4.03</w:t>
      </w:r>
      <w:r>
        <w:rPr>
          <w:rFonts w:ascii="Arial" w:cs="Arial" w:eastAsia="Arial" w:hAnsi="Arial"/>
          <w:sz w:val="16"/>
          <w:szCs w:val="16"/>
          <w:color w:val="auto"/>
        </w:rPr>
        <w:t>, then the Holder of such Note may not convert such Note after the Close of Business on the second (2nd) Scheduled Trading Day immediately before the applicable Redemption Date, except to the extent the Company fails to pay the Redemption Price for such Note in accordance with this Indenture; and</w:t>
      </w:r>
    </w:p>
    <w:p>
      <w:pPr>
        <w:spacing w:after="0" w:line="175" w:lineRule="exact"/>
        <w:rPr>
          <w:rFonts w:ascii="Arial" w:cs="Arial" w:eastAsia="Arial" w:hAnsi="Arial"/>
          <w:sz w:val="16"/>
          <w:szCs w:val="16"/>
          <w:color w:val="auto"/>
        </w:rPr>
      </w:pPr>
    </w:p>
    <w:p>
      <w:pPr>
        <w:jc w:val="both"/>
        <w:ind w:left="1300" w:firstLine="652"/>
        <w:spacing w:after="0" w:line="350" w:lineRule="auto"/>
        <w:tabs>
          <w:tab w:leader="none" w:pos="2967"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if a Fundamental Change Repurchase Notice is validly delivered pursuant to </w:t>
      </w:r>
      <w:r>
        <w:rPr>
          <w:rFonts w:ascii="Arial" w:cs="Arial" w:eastAsia="Arial" w:hAnsi="Arial"/>
          <w:sz w:val="16"/>
          <w:szCs w:val="16"/>
          <w:b w:val="1"/>
          <w:bCs w:val="1"/>
          <w:color w:val="auto"/>
        </w:rPr>
        <w:t>Section 4.02(F)</w:t>
      </w:r>
      <w:r>
        <w:rPr>
          <w:rFonts w:ascii="Arial" w:cs="Arial" w:eastAsia="Arial" w:hAnsi="Arial"/>
          <w:sz w:val="16"/>
          <w:szCs w:val="16"/>
          <w:color w:val="auto"/>
        </w:rPr>
        <w:t xml:space="preserve"> with respect to any Note, then such Note may not be converted, except to the extent (a) such Note is not subject to such notice; (b) such notice is withdrawn in accordance with </w:t>
      </w:r>
      <w:r>
        <w:rPr>
          <w:rFonts w:ascii="Arial" w:cs="Arial" w:eastAsia="Arial" w:hAnsi="Arial"/>
          <w:sz w:val="16"/>
          <w:szCs w:val="16"/>
          <w:b w:val="1"/>
          <w:bCs w:val="1"/>
          <w:color w:val="auto"/>
        </w:rPr>
        <w:t>Section 4.02(F)</w:t>
      </w:r>
      <w:r>
        <w:rPr>
          <w:rFonts w:ascii="Arial" w:cs="Arial" w:eastAsia="Arial" w:hAnsi="Arial"/>
          <w:sz w:val="16"/>
          <w:szCs w:val="16"/>
          <w:color w:val="auto"/>
        </w:rPr>
        <w:t xml:space="preserve">; or (c) the Company fails to pay the Fundamental Change Repurchase Price for such Note in accordance with this Indenture (or a third party fails to make such payment in lieu of the Company in accordance with </w:t>
      </w:r>
      <w:r>
        <w:rPr>
          <w:rFonts w:ascii="Arial" w:cs="Arial" w:eastAsia="Arial" w:hAnsi="Arial"/>
          <w:sz w:val="16"/>
          <w:szCs w:val="16"/>
          <w:b w:val="1"/>
          <w:bCs w:val="1"/>
          <w:color w:val="auto"/>
        </w:rPr>
        <w:t>Section 4.02(H)</w:t>
      </w:r>
      <w:r>
        <w:rPr>
          <w:rFonts w:ascii="Arial" w:cs="Arial" w:eastAsia="Arial" w:hAnsi="Arial"/>
          <w:sz w:val="16"/>
          <w:szCs w:val="16"/>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5.02.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r>
        <w:rPr>
          <w:rFonts w:ascii="Arial" w:cs="Arial" w:eastAsia="Arial" w:hAnsi="Arial"/>
          <w:sz w:val="18"/>
          <w:szCs w:val="18"/>
          <w:b w:val="1"/>
          <w:bCs w:val="1"/>
          <w:color w:val="auto"/>
        </w:rPr>
        <w:t>.</w:t>
      </w:r>
    </w:p>
    <w:p>
      <w:pPr>
        <w:spacing w:after="0" w:line="229" w:lineRule="exact"/>
        <w:rPr>
          <w:sz w:val="20"/>
          <w:szCs w:val="20"/>
          <w:color w:val="auto"/>
        </w:rPr>
      </w:pPr>
    </w:p>
    <w:p>
      <w:pPr>
        <w:ind w:left="1500" w:hanging="844"/>
        <w:spacing w:after="0"/>
        <w:tabs>
          <w:tab w:leader="none" w:pos="15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660" w:firstLine="644"/>
        <w:spacing w:after="0" w:line="266" w:lineRule="auto"/>
        <w:tabs>
          <w:tab w:leader="none" w:pos="2283"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Global Notes</w:t>
      </w:r>
      <w:r>
        <w:rPr>
          <w:rFonts w:ascii="Arial" w:cs="Arial" w:eastAsia="Arial" w:hAnsi="Arial"/>
          <w:sz w:val="18"/>
          <w:szCs w:val="18"/>
          <w:color w:val="auto"/>
        </w:rPr>
        <w:t>. To convert a beneficial interest in a Global Note that is convertible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5.01(C)</w:t>
      </w:r>
      <w:r>
        <w:rPr>
          <w:rFonts w:ascii="Arial" w:cs="Arial" w:eastAsia="Arial" w:hAnsi="Arial"/>
          <w:sz w:val="18"/>
          <w:szCs w:val="18"/>
          <w:color w:val="auto"/>
        </w:rPr>
        <w:t>, the owner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beneficial interest must (1) comply with the Depositary Procedures for converting such beneficial interest (at which time such conversion will become irrevocable); and (2) pay any amounts due pursuant to </w:t>
      </w:r>
      <w:r>
        <w:rPr>
          <w:rFonts w:ascii="Arial" w:cs="Arial" w:eastAsia="Arial" w:hAnsi="Arial"/>
          <w:sz w:val="18"/>
          <w:szCs w:val="18"/>
          <w:b w:val="1"/>
          <w:bCs w:val="1"/>
          <w:color w:val="auto"/>
        </w:rPr>
        <w:t>Section 5.02(D)</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5.02(E)</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jc w:val="both"/>
        <w:ind w:left="660" w:firstLine="644"/>
        <w:spacing w:after="0" w:line="258" w:lineRule="auto"/>
        <w:tabs>
          <w:tab w:leader="none" w:pos="2238"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Physical Notes</w:t>
      </w:r>
      <w:r>
        <w:rPr>
          <w:rFonts w:ascii="Arial" w:cs="Arial" w:eastAsia="Arial" w:hAnsi="Arial"/>
          <w:sz w:val="18"/>
          <w:szCs w:val="18"/>
          <w:color w:val="auto"/>
        </w:rPr>
        <w:t>. To convert all or a portion of a Physical Note that is convertible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5.01(C)</w:t>
      </w:r>
      <w:r>
        <w:rPr>
          <w:rFonts w:ascii="Arial" w:cs="Arial" w:eastAsia="Arial" w:hAnsi="Arial"/>
          <w:sz w:val="18"/>
          <w:szCs w:val="18"/>
          <w:color w:val="auto"/>
        </w:rPr>
        <w:t>, the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Arial" w:cs="Arial" w:eastAsia="Arial" w:hAnsi="Arial"/>
          <w:sz w:val="18"/>
          <w:szCs w:val="18"/>
          <w:b w:val="1"/>
          <w:bCs w:val="1"/>
          <w:color w:val="auto"/>
        </w:rPr>
        <w:t>Section 5.02(D)</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5.02(E)</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656"/>
        <w:spacing w:after="0" w:line="301" w:lineRule="auto"/>
        <w:tabs>
          <w:tab w:leader="none" w:pos="1517"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Effect of Converting a Note</w:t>
      </w:r>
      <w:r>
        <w:rPr>
          <w:rFonts w:ascii="Arial" w:cs="Arial" w:eastAsia="Arial" w:hAnsi="Arial"/>
          <w:sz w:val="16"/>
          <w:szCs w:val="16"/>
          <w:color w:val="auto"/>
        </w:rPr>
        <w:t>. At the Close of Business on the Conversion Date for a Note (or any portion thereof) to be converted,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 (or such portion) will (unless there occurs a Default in the delivery of the Conversion Consideration or interest due, pursuant to </w:t>
      </w:r>
      <w:r>
        <w:rPr>
          <w:rFonts w:ascii="Arial" w:cs="Arial" w:eastAsia="Arial" w:hAnsi="Arial"/>
          <w:sz w:val="16"/>
          <w:szCs w:val="16"/>
          <w:b w:val="1"/>
          <w:bCs w:val="1"/>
          <w:color w:val="auto"/>
        </w:rPr>
        <w:t>Section 5.03(B)</w:t>
      </w:r>
      <w:r>
        <w:rPr>
          <w:rFonts w:ascii="Arial" w:cs="Arial" w:eastAsia="Arial" w:hAnsi="Arial"/>
          <w:sz w:val="16"/>
          <w:szCs w:val="16"/>
          <w:color w:val="auto"/>
        </w:rPr>
        <w:t xml:space="preserve"> or </w:t>
      </w:r>
      <w:r>
        <w:rPr>
          <w:rFonts w:ascii="Arial" w:cs="Arial" w:eastAsia="Arial" w:hAnsi="Arial"/>
          <w:sz w:val="16"/>
          <w:szCs w:val="16"/>
          <w:b w:val="1"/>
          <w:bCs w:val="1"/>
          <w:color w:val="auto"/>
        </w:rPr>
        <w:t>5.02(D)</w:t>
      </w:r>
      <w:r>
        <w:rPr>
          <w:rFonts w:ascii="Arial" w:cs="Arial" w:eastAsia="Arial" w:hAnsi="Arial"/>
          <w:sz w:val="16"/>
          <w:szCs w:val="16"/>
          <w:color w:val="auto"/>
        </w:rPr>
        <w:t>, upon such conversion) be deemed to cease to be outstanding (and, for the avoidance of doubt, no Person will be deemed to be a Holder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Note (or such portion thereof) as of the Close of Business on such Conversion Date), except to the extent provided in </w:t>
      </w:r>
      <w:r>
        <w:rPr>
          <w:rFonts w:ascii="Arial" w:cs="Arial" w:eastAsia="Arial" w:hAnsi="Arial"/>
          <w:sz w:val="16"/>
          <w:szCs w:val="16"/>
          <w:b w:val="1"/>
          <w:bCs w:val="1"/>
          <w:color w:val="auto"/>
        </w:rPr>
        <w:t>Section 5.02(D)</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firstLine="656"/>
        <w:spacing w:after="0" w:line="311" w:lineRule="auto"/>
        <w:tabs>
          <w:tab w:leader="none" w:pos="1598"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Holder of Record of Conversion Shares</w:t>
      </w:r>
      <w:r>
        <w:rPr>
          <w:rFonts w:ascii="Arial" w:cs="Arial" w:eastAsia="Arial" w:hAnsi="Arial"/>
          <w:sz w:val="16"/>
          <w:szCs w:val="16"/>
          <w:color w:val="auto"/>
        </w:rPr>
        <w:t>. The Person in whose name any share of Common Stock is issuable upon conversion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spacing w:after="0" w:line="364" w:lineRule="exact"/>
        <w:rPr>
          <w:rFonts w:ascii="Arial" w:cs="Arial" w:eastAsia="Arial" w:hAnsi="Arial"/>
          <w:sz w:val="16"/>
          <w:szCs w:val="16"/>
          <w:color w:val="auto"/>
        </w:rPr>
      </w:pPr>
    </w:p>
    <w:p>
      <w:pPr>
        <w:ind w:left="5540" w:hanging="111"/>
        <w:spacing w:after="0"/>
        <w:tabs>
          <w:tab w:leader="none" w:pos="5540" w:val="left"/>
        </w:tabs>
        <w:numPr>
          <w:ilvl w:val="2"/>
          <w:numId w:val="61"/>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2" w:name="page53"/>
    <w:bookmarkEnd w:id="52"/>
    <w:p>
      <w:pPr>
        <w:jc w:val="both"/>
        <w:ind w:left="-656" w:firstLine="656"/>
        <w:spacing w:after="0" w:line="285" w:lineRule="auto"/>
        <w:tabs>
          <w:tab w:leader="none" w:pos="988"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Interest Payable upon Conversion in Certain Circumstances</w:t>
      </w:r>
      <w:r>
        <w:rPr>
          <w:rFonts w:ascii="Arial" w:cs="Arial" w:eastAsia="Arial" w:hAnsi="Arial"/>
          <w:sz w:val="16"/>
          <w:szCs w:val="16"/>
          <w:color w:val="auto"/>
        </w:rPr>
        <w:t>. If the Conversion Date of a Note is after a Regular Record Date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Arial" w:cs="Arial" w:eastAsia="Arial" w:hAnsi="Arial"/>
          <w:sz w:val="16"/>
          <w:szCs w:val="16"/>
          <w:b w:val="1"/>
          <w:bCs w:val="1"/>
          <w:color w:val="auto"/>
        </w:rPr>
        <w:t>clause (i)</w:t>
      </w:r>
      <w:r>
        <w:rPr>
          <w:rFonts w:ascii="Arial" w:cs="Arial" w:eastAsia="Arial" w:hAnsi="Arial"/>
          <w:sz w:val="16"/>
          <w:szCs w:val="16"/>
          <w:color w:val="auto"/>
        </w:rPr>
        <w:t xml:space="preserve">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Holder surrendering such Note for conversion need not deliver such cash (w) if such Note is called (or deemed, pursuant to </w:t>
      </w:r>
      <w:r>
        <w:rPr>
          <w:rFonts w:ascii="Arial" w:cs="Arial" w:eastAsia="Arial" w:hAnsi="Arial"/>
          <w:sz w:val="16"/>
          <w:szCs w:val="16"/>
          <w:b w:val="1"/>
          <w:bCs w:val="1"/>
          <w:color w:val="auto"/>
        </w:rPr>
        <w:t>Section 4.03(J)</w:t>
      </w:r>
      <w:r>
        <w:rPr>
          <w:rFonts w:ascii="Arial" w:cs="Arial" w:eastAsia="Arial" w:hAnsi="Arial"/>
          <w:sz w:val="16"/>
          <w:szCs w:val="16"/>
          <w:color w:val="auto"/>
        </w:rPr>
        <w:t xml:space="preserve">, to be called) for Redemption and such Conversion Date occurs during the related Redemption Conversion Period; (x) if such Conversion Date occurs after the Regular Record Date immediately before the Maturity Date; (y) if the Company has specified a Fundamental Change Repurchase Date that is after such Regular Record Date and on or before the Business Day immediately after such Interest Payment Date; or (z) to the extent of any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the interest that would have accrued on such Note to, but excluding, the Maturity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Arial" w:cs="Arial" w:eastAsia="Arial" w:hAnsi="Arial"/>
          <w:sz w:val="16"/>
          <w:szCs w:val="16"/>
          <w:b w:val="1"/>
          <w:bCs w:val="1"/>
          <w:color w:val="auto"/>
        </w:rPr>
        <w:t>Section 5.02(D)</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656" w:firstLine="656"/>
        <w:spacing w:after="0" w:line="301" w:lineRule="auto"/>
        <w:tabs>
          <w:tab w:leader="none" w:pos="919"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Taxes and Duties</w:t>
      </w:r>
      <w:r>
        <w:rPr>
          <w:rFonts w:ascii="Arial" w:cs="Arial" w:eastAsia="Arial" w:hAnsi="Arial"/>
          <w:sz w:val="16"/>
          <w:szCs w:val="16"/>
          <w:color w:val="auto"/>
        </w:rPr>
        <w:t>. If a Holder converts a Note, the Company will pay any documentary, stamp or similar issue or transfer tax or duty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due on the issue or delivery of any shares of Common Stock upon such conversion;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spacing w:after="0" w:line="157" w:lineRule="exact"/>
        <w:rPr>
          <w:rFonts w:ascii="Arial" w:cs="Arial" w:eastAsia="Arial" w:hAnsi="Arial"/>
          <w:sz w:val="16"/>
          <w:szCs w:val="16"/>
          <w:color w:val="auto"/>
        </w:rPr>
      </w:pPr>
    </w:p>
    <w:p>
      <w:pPr>
        <w:jc w:val="both"/>
        <w:ind w:left="-656" w:firstLine="656"/>
        <w:spacing w:after="0" w:line="257" w:lineRule="auto"/>
        <w:tabs>
          <w:tab w:leader="none" w:pos="1138"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Conversion Agent to Notify Company of Conversions</w:t>
      </w:r>
      <w:r>
        <w:rPr>
          <w:rFonts w:ascii="Arial" w:cs="Arial" w:eastAsia="Arial" w:hAnsi="Arial"/>
          <w:sz w:val="18"/>
          <w:szCs w:val="18"/>
          <w:color w:val="auto"/>
        </w:rPr>
        <w:t>. If any Note is submitted for conversion to the Conversion Agent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Agent receives any notice of conversion with respect to a Note, then the Conversion Agent will promptly (and, in any event, no later than the date the Conversion Agent receives such Note or notice if received prior to the Close of Business on such date) notify the Company and the Trustee of such occurrence, together with any other information reasonably requested by the Company, and will cooperate with the Company to determine the Conversion Date for such Note.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884" w:hanging="111"/>
        <w:spacing w:after="0"/>
        <w:tabs>
          <w:tab w:leader="none" w:pos="48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Section 5.03. S</w:t>
      </w:r>
      <w:r>
        <w:rPr>
          <w:rFonts w:ascii="Arial" w:cs="Arial" w:eastAsia="Arial" w:hAnsi="Arial"/>
          <w:sz w:val="12"/>
          <w:szCs w:val="12"/>
          <w:b w:val="1"/>
          <w:bCs w:val="1"/>
          <w:color w:val="auto"/>
        </w:rPr>
        <w:t>ETTLEMENT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301" w:lineRule="auto"/>
        <w:tabs>
          <w:tab w:leader="none" w:pos="1536"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Settlement Method</w:t>
      </w:r>
      <w:r>
        <w:rPr>
          <w:rFonts w:ascii="Arial" w:cs="Arial" w:eastAsia="Arial" w:hAnsi="Arial"/>
          <w:sz w:val="16"/>
          <w:szCs w:val="16"/>
          <w:color w:val="auto"/>
        </w:rPr>
        <w:t>. Upon the conversion of any Note, the Company will settle such conversion by paying or delivering, as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as provided in this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either (x) shares of Common Stock, together, if applicable, with cash in lieu of fractional shares as provided in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5.03(B)(i)(1) </w:t>
      </w:r>
      <w:r>
        <w:rPr>
          <w:rFonts w:ascii="Arial" w:cs="Arial" w:eastAsia="Arial" w:hAnsi="Arial"/>
          <w:sz w:val="16"/>
          <w:szCs w:val="16"/>
          <w:color w:val="auto"/>
        </w:rPr>
        <w:t>(a “</w:t>
      </w:r>
      <w:r>
        <w:rPr>
          <w:rFonts w:ascii="Arial" w:cs="Arial" w:eastAsia="Arial" w:hAnsi="Arial"/>
          <w:sz w:val="16"/>
          <w:szCs w:val="16"/>
          <w:b w:val="1"/>
          <w:bCs w:val="1"/>
          <w:color w:val="auto"/>
        </w:rPr>
        <w:t>Physical Settlement</w:t>
      </w:r>
      <w:r>
        <w:rPr>
          <w:rFonts w:ascii="Arial" w:cs="Arial" w:eastAsia="Arial" w:hAnsi="Arial"/>
          <w:sz w:val="16"/>
          <w:szCs w:val="16"/>
          <w:color w:val="auto"/>
        </w:rPr>
        <w:t>”); (y) solely cash as provided in</w:t>
      </w:r>
      <w:r>
        <w:rPr>
          <w:rFonts w:ascii="Arial" w:cs="Arial" w:eastAsia="Arial" w:hAnsi="Arial"/>
          <w:sz w:val="16"/>
          <w:szCs w:val="16"/>
          <w:b w:val="1"/>
          <w:bCs w:val="1"/>
          <w:color w:val="auto"/>
        </w:rPr>
        <w:t xml:space="preserve"> Section 5.03(B)(i)(2) </w:t>
      </w:r>
      <w:r>
        <w:rPr>
          <w:rFonts w:ascii="Arial" w:cs="Arial" w:eastAsia="Arial" w:hAnsi="Arial"/>
          <w:sz w:val="16"/>
          <w:szCs w:val="16"/>
          <w:color w:val="auto"/>
        </w:rPr>
        <w:t>(a “</w:t>
      </w:r>
      <w:r>
        <w:rPr>
          <w:rFonts w:ascii="Arial" w:cs="Arial" w:eastAsia="Arial" w:hAnsi="Arial"/>
          <w:sz w:val="16"/>
          <w:szCs w:val="16"/>
          <w:b w:val="1"/>
          <w:bCs w:val="1"/>
          <w:color w:val="auto"/>
        </w:rPr>
        <w:t>Cash Settlement</w:t>
      </w:r>
      <w:r>
        <w:rPr>
          <w:rFonts w:ascii="Arial" w:cs="Arial" w:eastAsia="Arial" w:hAnsi="Arial"/>
          <w:sz w:val="16"/>
          <w:szCs w:val="16"/>
          <w:color w:val="auto"/>
        </w:rPr>
        <w:t>”); or (z) a combination of cash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of Common Stock, together, if applicable, with cash in lieu of fractional shares as provided in </w:t>
      </w:r>
      <w:r>
        <w:rPr>
          <w:rFonts w:ascii="Arial" w:cs="Arial" w:eastAsia="Arial" w:hAnsi="Arial"/>
          <w:sz w:val="16"/>
          <w:szCs w:val="16"/>
          <w:b w:val="1"/>
          <w:bCs w:val="1"/>
          <w:color w:val="auto"/>
        </w:rPr>
        <w:t>Section 5.03(B)(i)(3)</w:t>
      </w:r>
      <w:r>
        <w:rPr>
          <w:rFonts w:ascii="Arial" w:cs="Arial" w:eastAsia="Arial" w:hAnsi="Arial"/>
          <w:sz w:val="16"/>
          <w:szCs w:val="16"/>
          <w:color w:val="auto"/>
        </w:rPr>
        <w:t xml:space="preserve"> (a “</w:t>
      </w:r>
      <w:r>
        <w:rPr>
          <w:rFonts w:ascii="Arial" w:cs="Arial" w:eastAsia="Arial" w:hAnsi="Arial"/>
          <w:sz w:val="16"/>
          <w:szCs w:val="16"/>
          <w:b w:val="1"/>
          <w:bCs w:val="1"/>
          <w:color w:val="auto"/>
        </w:rPr>
        <w:t>Combination Settlement</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660" w:right="20" w:firstLine="644"/>
        <w:spacing w:after="0" w:line="277" w:lineRule="auto"/>
        <w:tabs>
          <w:tab w:leader="none" w:pos="2607"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The Company’s Right to Elect Settlement Method</w:t>
      </w:r>
      <w:r>
        <w:rPr>
          <w:rFonts w:ascii="Arial" w:cs="Arial" w:eastAsia="Arial" w:hAnsi="Arial"/>
          <w:sz w:val="18"/>
          <w:szCs w:val="18"/>
          <w:color w:val="auto"/>
        </w:rPr>
        <w:t>. The Company will have the right to elect the Settlement Method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applicable to any conversion of a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206" w:lineRule="exact"/>
        <w:rPr>
          <w:rFonts w:ascii="Arial" w:cs="Arial" w:eastAsia="Arial" w:hAnsi="Arial"/>
          <w:sz w:val="18"/>
          <w:szCs w:val="18"/>
          <w:color w:val="auto"/>
        </w:rPr>
      </w:pPr>
    </w:p>
    <w:p>
      <w:pPr>
        <w:jc w:val="both"/>
        <w:ind w:left="1300" w:firstLine="652"/>
        <w:spacing w:after="0" w:line="297" w:lineRule="auto"/>
        <w:tabs>
          <w:tab w:leader="none" w:pos="2900" w:val="left"/>
        </w:tabs>
        <w:numPr>
          <w:ilvl w:val="2"/>
          <w:numId w:val="6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b w:val="1"/>
          <w:bCs w:val="1"/>
          <w:color w:val="auto"/>
        </w:rPr>
        <w:t>clause (3)</w:t>
      </w:r>
      <w:r>
        <w:rPr>
          <w:rFonts w:ascii="Arial" w:cs="Arial" w:eastAsia="Arial" w:hAnsi="Arial"/>
          <w:sz w:val="17"/>
          <w:szCs w:val="17"/>
          <w:color w:val="auto"/>
        </w:rPr>
        <w:t xml:space="preserve"> below, all conversions of Notes with a Conversion Date that occurs on or after September 15, 2026 will be settled using the same Settlement Method, and the Company will send written notice of such Settlement Method to Holders, the Trustee and the Conversion Agent no later than the Open of Business on September 15, 2026;</w:t>
      </w:r>
    </w:p>
    <w:p>
      <w:pPr>
        <w:spacing w:after="0" w:line="192" w:lineRule="exact"/>
        <w:rPr>
          <w:rFonts w:ascii="Arial" w:cs="Arial" w:eastAsia="Arial" w:hAnsi="Arial"/>
          <w:sz w:val="17"/>
          <w:szCs w:val="17"/>
          <w:color w:val="auto"/>
        </w:rPr>
      </w:pPr>
    </w:p>
    <w:p>
      <w:pPr>
        <w:jc w:val="both"/>
        <w:ind w:left="1300" w:firstLine="652"/>
        <w:spacing w:after="0" w:line="266" w:lineRule="auto"/>
        <w:tabs>
          <w:tab w:leader="none" w:pos="29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(3)</w:t>
      </w:r>
      <w:r>
        <w:rPr>
          <w:rFonts w:ascii="Arial" w:cs="Arial" w:eastAsia="Arial" w:hAnsi="Arial"/>
          <w:sz w:val="18"/>
          <w:szCs w:val="18"/>
          <w:color w:val="auto"/>
        </w:rPr>
        <w:t xml:space="preserve"> below, if the Company elects a Settlement Method with respect to the conversion of any Note whose Conversion Date occurs before September 15, 2026, then the Company will send notice of such Settlement Method to the Holder of such Note, the Trustee and the Conversion Agent (if other than the Trustee) no later than the Close of Business on the Business Day immediately after such Conversion Date;</w:t>
      </w:r>
    </w:p>
    <w:p>
      <w:pPr>
        <w:spacing w:after="0" w:line="179" w:lineRule="exact"/>
        <w:rPr>
          <w:rFonts w:ascii="Arial" w:cs="Arial" w:eastAsia="Arial" w:hAnsi="Arial"/>
          <w:sz w:val="18"/>
          <w:szCs w:val="18"/>
          <w:color w:val="auto"/>
        </w:rPr>
      </w:pPr>
    </w:p>
    <w:p>
      <w:pPr>
        <w:ind w:left="2940" w:hanging="988"/>
        <w:spacing w:after="0"/>
        <w:tabs>
          <w:tab w:leader="none" w:pos="2940" w:val="left"/>
        </w:tabs>
        <w:numPr>
          <w:ilvl w:val="2"/>
          <w:numId w:val="63"/>
        </w:numPr>
        <w:rPr>
          <w:rFonts w:ascii="Arial" w:cs="Arial" w:eastAsia="Arial" w:hAnsi="Arial"/>
          <w:sz w:val="16"/>
          <w:szCs w:val="16"/>
          <w:color w:val="auto"/>
        </w:rPr>
      </w:pPr>
      <w:r>
        <w:rPr>
          <w:rFonts w:ascii="Arial" w:cs="Arial" w:eastAsia="Arial" w:hAnsi="Arial"/>
          <w:sz w:val="16"/>
          <w:szCs w:val="16"/>
          <w:color w:val="auto"/>
        </w:rPr>
        <w:t>if any Notes are called for Redemption, then (a) the Company will specify, in the related Redemption Notice sent</w:t>
      </w:r>
    </w:p>
    <w:p>
      <w:pPr>
        <w:spacing w:after="0" w:line="68" w:lineRule="exact"/>
        <w:rPr>
          <w:rFonts w:ascii="Arial" w:cs="Arial" w:eastAsia="Arial" w:hAnsi="Arial"/>
          <w:sz w:val="16"/>
          <w:szCs w:val="16"/>
          <w:color w:val="auto"/>
        </w:rPr>
      </w:pPr>
    </w:p>
    <w:p>
      <w:pPr>
        <w:jc w:val="both"/>
        <w:ind w:left="1300"/>
        <w:spacing w:after="0" w:line="316" w:lineRule="auto"/>
        <w:rPr>
          <w:rFonts w:ascii="Arial" w:cs="Arial" w:eastAsia="Arial" w:hAnsi="Arial"/>
          <w:sz w:val="16"/>
          <w:szCs w:val="16"/>
          <w:color w:val="auto"/>
        </w:rPr>
      </w:pPr>
      <w:r>
        <w:rPr>
          <w:rFonts w:ascii="Arial" w:cs="Arial" w:eastAsia="Arial" w:hAnsi="Arial"/>
          <w:sz w:val="16"/>
          <w:szCs w:val="16"/>
          <w:color w:val="auto"/>
        </w:rPr>
        <w:t xml:space="preserve">pursuant to </w:t>
      </w:r>
      <w:r>
        <w:rPr>
          <w:rFonts w:ascii="Arial" w:cs="Arial" w:eastAsia="Arial" w:hAnsi="Arial"/>
          <w:sz w:val="16"/>
          <w:szCs w:val="16"/>
          <w:b w:val="1"/>
          <w:bCs w:val="1"/>
          <w:color w:val="auto"/>
        </w:rPr>
        <w:t>Section 4.03(G)</w:t>
      </w:r>
      <w:r>
        <w:rPr>
          <w:rFonts w:ascii="Arial" w:cs="Arial" w:eastAsia="Arial" w:hAnsi="Arial"/>
          <w:sz w:val="16"/>
          <w:szCs w:val="16"/>
          <w:color w:val="auto"/>
        </w:rPr>
        <w:t>, the Settlement Method that will apply to all conversions of Notes with a Conversion Date that occurs during the related Redemption Conversion Period; and (b) if such Redemption Date occurs on or after September 15, 2026, then such Settlement</w:t>
      </w:r>
    </w:p>
    <w:p>
      <w:pPr>
        <w:spacing w:after="0" w:line="1" w:lineRule="exact"/>
        <w:rPr>
          <w:rFonts w:ascii="Arial" w:cs="Arial" w:eastAsia="Arial" w:hAnsi="Arial"/>
          <w:sz w:val="16"/>
          <w:szCs w:val="16"/>
          <w:color w:val="auto"/>
        </w:rPr>
      </w:pPr>
    </w:p>
    <w:p>
      <w:pPr>
        <w:ind w:left="1300"/>
        <w:spacing w:after="0" w:line="297" w:lineRule="auto"/>
        <w:rPr>
          <w:rFonts w:ascii="Arial" w:cs="Arial" w:eastAsia="Arial" w:hAnsi="Arial"/>
          <w:sz w:val="16"/>
          <w:szCs w:val="16"/>
          <w:color w:val="auto"/>
        </w:rPr>
      </w:pPr>
      <w:r>
        <w:rPr>
          <w:rFonts w:ascii="Arial" w:cs="Arial" w:eastAsia="Arial" w:hAnsi="Arial"/>
          <w:sz w:val="18"/>
          <w:szCs w:val="18"/>
          <w:color w:val="auto"/>
        </w:rPr>
        <w:t xml:space="preserve">Method must be the same Settlement Method that, pursuant to </w:t>
      </w:r>
      <w:r>
        <w:rPr>
          <w:rFonts w:ascii="Arial" w:cs="Arial" w:eastAsia="Arial" w:hAnsi="Arial"/>
          <w:sz w:val="18"/>
          <w:szCs w:val="18"/>
          <w:b w:val="1"/>
          <w:bCs w:val="1"/>
          <w:color w:val="auto"/>
        </w:rPr>
        <w:t>clause (1)</w:t>
      </w:r>
      <w:r>
        <w:rPr>
          <w:rFonts w:ascii="Arial" w:cs="Arial" w:eastAsia="Arial" w:hAnsi="Arial"/>
          <w:sz w:val="18"/>
          <w:szCs w:val="18"/>
          <w:color w:val="auto"/>
        </w:rPr>
        <w:t xml:space="preserve"> above, applies to all conversions of Notes with a Conversion Date that occurs on or after September 15, 2026;</w:t>
      </w:r>
    </w:p>
    <w:p>
      <w:pPr>
        <w:spacing w:after="0" w:line="153" w:lineRule="exact"/>
        <w:rPr>
          <w:rFonts w:ascii="Arial" w:cs="Arial" w:eastAsia="Arial" w:hAnsi="Arial"/>
          <w:sz w:val="16"/>
          <w:szCs w:val="16"/>
          <w:color w:val="auto"/>
        </w:rPr>
      </w:pPr>
    </w:p>
    <w:p>
      <w:pPr>
        <w:jc w:val="both"/>
        <w:ind w:left="1300" w:firstLine="652"/>
        <w:spacing w:after="0" w:line="287" w:lineRule="auto"/>
        <w:tabs>
          <w:tab w:leader="none" w:pos="3008"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Arial" w:cs="Arial" w:eastAsia="Arial" w:hAnsi="Arial"/>
          <w:sz w:val="18"/>
          <w:szCs w:val="18"/>
          <w:b w:val="1"/>
          <w:bCs w:val="1"/>
          <w:color w:val="auto"/>
        </w:rPr>
        <w:t>clause (1)</w:t>
      </w:r>
      <w:r>
        <w:rPr>
          <w:rFonts w:ascii="Arial" w:cs="Arial" w:eastAsia="Arial" w:hAnsi="Arial"/>
          <w:sz w:val="18"/>
          <w:szCs w:val="18"/>
          <w:color w:val="auto"/>
        </w:rPr>
        <w:t xml:space="preserve"> or </w:t>
      </w:r>
      <w:r>
        <w:rPr>
          <w:rFonts w:ascii="Arial" w:cs="Arial" w:eastAsia="Arial" w:hAnsi="Arial"/>
          <w:sz w:val="18"/>
          <w:szCs w:val="18"/>
          <w:b w:val="1"/>
          <w:bCs w:val="1"/>
          <w:color w:val="auto"/>
        </w:rPr>
        <w:t>(3)</w:t>
      </w:r>
      <w:r>
        <w:rPr>
          <w:rFonts w:ascii="Arial" w:cs="Arial" w:eastAsia="Arial" w:hAnsi="Arial"/>
          <w:sz w:val="18"/>
          <w:szCs w:val="18"/>
          <w:color w:val="auto"/>
        </w:rPr>
        <w:t xml:space="preserve"> above);</w:t>
      </w:r>
    </w:p>
    <w:p>
      <w:pPr>
        <w:spacing w:after="0" w:line="175" w:lineRule="exact"/>
        <w:rPr>
          <w:rFonts w:ascii="Arial" w:cs="Arial" w:eastAsia="Arial" w:hAnsi="Arial"/>
          <w:sz w:val="18"/>
          <w:szCs w:val="18"/>
          <w:color w:val="auto"/>
        </w:rPr>
      </w:pPr>
    </w:p>
    <w:p>
      <w:pPr>
        <w:jc w:val="both"/>
        <w:ind w:left="1300" w:firstLine="652"/>
        <w:spacing w:after="0" w:line="263" w:lineRule="auto"/>
        <w:tabs>
          <w:tab w:leader="none" w:pos="3102" w:val="left"/>
        </w:tabs>
        <w:numPr>
          <w:ilvl w:val="2"/>
          <w:numId w:val="63"/>
        </w:numPr>
        <w:rPr>
          <w:rFonts w:ascii="Arial" w:cs="Arial" w:eastAsia="Arial" w:hAnsi="Arial"/>
          <w:sz w:val="18"/>
          <w:szCs w:val="18"/>
          <w:color w:val="auto"/>
        </w:rPr>
      </w:pPr>
      <w:r>
        <w:rPr>
          <w:rFonts w:ascii="Arial" w:cs="Arial" w:eastAsia="Arial" w:hAnsi="Arial"/>
          <w:sz w:val="18"/>
          <w:szCs w:val="18"/>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 and</w:t>
      </w:r>
    </w:p>
    <w:p>
      <w:pPr>
        <w:spacing w:after="0" w:line="183" w:lineRule="exact"/>
        <w:rPr>
          <w:rFonts w:ascii="Arial" w:cs="Arial" w:eastAsia="Arial" w:hAnsi="Arial"/>
          <w:sz w:val="18"/>
          <w:szCs w:val="18"/>
          <w:color w:val="auto"/>
        </w:rPr>
      </w:pPr>
    </w:p>
    <w:p>
      <w:pPr>
        <w:jc w:val="both"/>
        <w:ind w:left="1300" w:firstLine="652"/>
        <w:spacing w:after="0" w:line="259" w:lineRule="auto"/>
        <w:tabs>
          <w:tab w:leader="none" w:pos="2913" w:val="left"/>
        </w:tabs>
        <w:numPr>
          <w:ilvl w:val="2"/>
          <w:numId w:val="63"/>
        </w:numPr>
        <w:rPr>
          <w:rFonts w:ascii="Arial" w:cs="Arial" w:eastAsia="Arial" w:hAnsi="Arial"/>
          <w:sz w:val="18"/>
          <w:szCs w:val="18"/>
          <w:color w:val="auto"/>
        </w:rPr>
      </w:pPr>
      <w:r>
        <w:rPr>
          <w:rFonts w:ascii="Arial" w:cs="Arial" w:eastAsia="Arial" w:hAnsi="Arial"/>
          <w:sz w:val="18"/>
          <w:szCs w:val="18"/>
          <w:color w:val="auto"/>
        </w:rPr>
        <w:t>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5540" w:hanging="111"/>
        <w:spacing w:after="0"/>
        <w:tabs>
          <w:tab w:leader="none" w:pos="5540" w:val="left"/>
        </w:tabs>
        <w:numPr>
          <w:ilvl w:val="3"/>
          <w:numId w:val="63"/>
        </w:numPr>
        <w:rPr>
          <w:rFonts w:ascii="Arial" w:cs="Arial" w:eastAsia="Arial" w:hAnsi="Arial"/>
          <w:sz w:val="18"/>
          <w:szCs w:val="18"/>
          <w:color w:val="auto"/>
        </w:rPr>
      </w:pPr>
      <w:r>
        <w:rPr>
          <w:rFonts w:ascii="Arial" w:cs="Arial" w:eastAsia="Arial" w:hAnsi="Arial"/>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2184" w:hanging="888"/>
        <w:spacing w:after="0"/>
        <w:tabs>
          <w:tab w:leader="none" w:pos="2184" w:val="left"/>
        </w:tabs>
        <w:numPr>
          <w:ilvl w:val="2"/>
          <w:numId w:val="64"/>
        </w:numPr>
        <w:rPr>
          <w:rFonts w:ascii="Arial" w:cs="Arial" w:eastAsia="Arial" w:hAnsi="Arial"/>
          <w:sz w:val="17"/>
          <w:szCs w:val="17"/>
          <w:color w:val="auto"/>
        </w:rPr>
      </w:pPr>
      <w:r>
        <w:rPr>
          <w:rFonts w:ascii="Arial" w:cs="Arial" w:eastAsia="Arial" w:hAnsi="Arial"/>
          <w:sz w:val="17"/>
          <w:szCs w:val="17"/>
          <w:color w:val="auto"/>
        </w:rPr>
        <w:t xml:space="preserve">the Settlement Method will be subject to </w:t>
      </w:r>
      <w:r>
        <w:rPr>
          <w:rFonts w:ascii="Arial" w:cs="Arial" w:eastAsia="Arial" w:hAnsi="Arial"/>
          <w:sz w:val="17"/>
          <w:szCs w:val="17"/>
          <w:b w:val="1"/>
          <w:bCs w:val="1"/>
          <w:color w:val="auto"/>
        </w:rPr>
        <w:t>Sections 4.03(E)</w:t>
      </w:r>
      <w:r>
        <w:rPr>
          <w:rFonts w:ascii="Arial" w:cs="Arial" w:eastAsia="Arial" w:hAnsi="Arial"/>
          <w:sz w:val="17"/>
          <w:szCs w:val="17"/>
          <w:color w:val="auto"/>
        </w:rPr>
        <w:t xml:space="preserve">, </w:t>
      </w:r>
      <w:r>
        <w:rPr>
          <w:rFonts w:ascii="Arial" w:cs="Arial" w:eastAsia="Arial" w:hAnsi="Arial"/>
          <w:sz w:val="17"/>
          <w:szCs w:val="17"/>
          <w:b w:val="1"/>
          <w:bCs w:val="1"/>
          <w:color w:val="auto"/>
        </w:rPr>
        <w:t>5.09(A)(2)</w:t>
      </w:r>
      <w:r>
        <w:rPr>
          <w:rFonts w:ascii="Arial" w:cs="Arial" w:eastAsia="Arial" w:hAnsi="Arial"/>
          <w:sz w:val="17"/>
          <w:szCs w:val="17"/>
          <w:color w:val="auto"/>
        </w:rPr>
        <w:t xml:space="preserve"> , </w:t>
      </w:r>
      <w:r>
        <w:rPr>
          <w:rFonts w:ascii="Arial" w:cs="Arial" w:eastAsia="Arial" w:hAnsi="Arial"/>
          <w:sz w:val="17"/>
          <w:szCs w:val="17"/>
          <w:b w:val="1"/>
          <w:bCs w:val="1"/>
          <w:color w:val="auto"/>
        </w:rPr>
        <w:t>5.01(C)(i)(3)(a)</w:t>
      </w:r>
      <w:r>
        <w:rPr>
          <w:rFonts w:ascii="Arial" w:cs="Arial" w:eastAsia="Arial" w:hAnsi="Arial"/>
          <w:sz w:val="17"/>
          <w:szCs w:val="17"/>
          <w:color w:val="auto"/>
        </w:rPr>
        <w:t xml:space="preserve"> and </w:t>
      </w:r>
      <w:r>
        <w:rPr>
          <w:rFonts w:ascii="Arial" w:cs="Arial" w:eastAsia="Arial" w:hAnsi="Arial"/>
          <w:sz w:val="17"/>
          <w:szCs w:val="17"/>
          <w:b w:val="1"/>
          <w:bCs w:val="1"/>
          <w:color w:val="auto"/>
        </w:rPr>
        <w:t>Section 5.07(D)</w:t>
      </w:r>
      <w:r>
        <w:rPr>
          <w:rFonts w:ascii="Arial" w:cs="Arial" w:eastAsia="Arial" w:hAnsi="Arial"/>
          <w:sz w:val="17"/>
          <w:szCs w:val="17"/>
          <w:color w:val="auto"/>
        </w:rPr>
        <w:t>.</w:t>
      </w:r>
    </w:p>
    <w:p>
      <w:pPr>
        <w:spacing w:after="0" w:line="254" w:lineRule="exact"/>
        <w:rPr>
          <w:rFonts w:ascii="Arial" w:cs="Arial" w:eastAsia="Arial" w:hAnsi="Arial"/>
          <w:sz w:val="17"/>
          <w:szCs w:val="17"/>
          <w:color w:val="auto"/>
        </w:rPr>
      </w:pPr>
    </w:p>
    <w:p>
      <w:pPr>
        <w:jc w:val="both"/>
        <w:ind w:left="4" w:firstLine="644"/>
        <w:spacing w:after="0" w:line="285" w:lineRule="auto"/>
        <w:tabs>
          <w:tab w:leader="none" w:pos="1569" w:val="left"/>
        </w:tabs>
        <w:numPr>
          <w:ilvl w:val="1"/>
          <w:numId w:val="65"/>
        </w:numPr>
        <w:rPr>
          <w:rFonts w:ascii="Arial" w:cs="Arial" w:eastAsia="Arial" w:hAnsi="Arial"/>
          <w:sz w:val="16"/>
          <w:szCs w:val="16"/>
          <w:color w:val="auto"/>
        </w:rPr>
      </w:pPr>
      <w:r>
        <w:rPr>
          <w:rFonts w:ascii="Arial" w:cs="Arial" w:eastAsia="Arial" w:hAnsi="Arial"/>
          <w:sz w:val="16"/>
          <w:szCs w:val="16"/>
          <w:i w:val="1"/>
          <w:iCs w:val="1"/>
          <w:color w:val="auto"/>
        </w:rPr>
        <w:t>The Company’s Right to Irrevocably Fix the Settlement Method</w:t>
      </w:r>
      <w:r>
        <w:rPr>
          <w:rFonts w:ascii="Arial" w:cs="Arial" w:eastAsia="Arial" w:hAnsi="Arial"/>
          <w:sz w:val="16"/>
          <w:szCs w:val="16"/>
          <w:color w:val="auto"/>
        </w:rPr>
        <w:t>. The Company will have the right, exercisable at its election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(x) sending notice of such exercise to the Holders (with a copy to the Trustee and the Conversion Agent) and (y) disclosing such exercise on the Company’s website or in a Current Report on Form 8-K (or any successor form) filed with, or furnished to, the SEC, to irrevocably (1)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Settlement Method so elected pursuant to </w:t>
      </w:r>
      <w:r>
        <w:rPr>
          <w:rFonts w:ascii="Arial" w:cs="Arial" w:eastAsia="Arial" w:hAnsi="Arial"/>
          <w:sz w:val="16"/>
          <w:szCs w:val="16"/>
          <w:b w:val="1"/>
          <w:bCs w:val="1"/>
          <w:color w:val="auto"/>
        </w:rPr>
        <w:t>clause (1)</w:t>
      </w:r>
      <w:r>
        <w:rPr>
          <w:rFonts w:ascii="Arial" w:cs="Arial" w:eastAsia="Arial" w:hAnsi="Arial"/>
          <w:sz w:val="16"/>
          <w:szCs w:val="16"/>
          <w:color w:val="auto"/>
        </w:rPr>
        <w:t xml:space="preserve"> above, or the Settlement Method(s) remaining after any elimination pursuant to </w:t>
      </w:r>
      <w:r>
        <w:rPr>
          <w:rFonts w:ascii="Arial" w:cs="Arial" w:eastAsia="Arial" w:hAnsi="Arial"/>
          <w:sz w:val="16"/>
          <w:szCs w:val="16"/>
          <w:b w:val="1"/>
          <w:bCs w:val="1"/>
          <w:color w:val="auto"/>
        </w:rPr>
        <w:t>clause (2)</w:t>
      </w:r>
      <w:r>
        <w:rPr>
          <w:rFonts w:ascii="Arial" w:cs="Arial" w:eastAsia="Arial" w:hAnsi="Arial"/>
          <w:sz w:val="16"/>
          <w:szCs w:val="16"/>
          <w:color w:val="auto"/>
        </w:rPr>
        <w:t xml:space="preserve"> above, as applicable, must be a Settlement Method or Settlement Method(s), as applicable, that the Company is then permitted to elect (for the avoidance of doubt, including pursuant to, and subject to, the other provisions of this </w:t>
      </w:r>
      <w:r>
        <w:rPr>
          <w:rFonts w:ascii="Arial" w:cs="Arial" w:eastAsia="Arial" w:hAnsi="Arial"/>
          <w:sz w:val="16"/>
          <w:szCs w:val="16"/>
          <w:b w:val="1"/>
          <w:bCs w:val="1"/>
          <w:color w:val="auto"/>
        </w:rPr>
        <w:t>Section 5.03(A)</w:t>
      </w:r>
      <w:r>
        <w:rPr>
          <w:rFonts w:ascii="Arial" w:cs="Arial" w:eastAsia="Arial" w:hAnsi="Arial"/>
          <w:sz w:val="16"/>
          <w:szCs w:val="16"/>
          <w:color w:val="auto"/>
        </w:rPr>
        <w:t xml:space="preserve">). Such notice, if sent, must set forth the Settlement Method so elected, or the Settlement Method(s) so eliminated, as applicable, and expressly state that the election is irrevocable and applicable to all conversions of Notes with a Conversion Date that occurs on or after the date such notice is sent to Holders. Upon any such irrevocable election pursuant to </w:t>
      </w:r>
      <w:r>
        <w:rPr>
          <w:rFonts w:ascii="Arial" w:cs="Arial" w:eastAsia="Arial" w:hAnsi="Arial"/>
          <w:sz w:val="16"/>
          <w:szCs w:val="16"/>
          <w:b w:val="1"/>
          <w:bCs w:val="1"/>
          <w:color w:val="auto"/>
        </w:rPr>
        <w:t>clause (1)</w:t>
      </w:r>
      <w:r>
        <w:rPr>
          <w:rFonts w:ascii="Arial" w:cs="Arial" w:eastAsia="Arial" w:hAnsi="Arial"/>
          <w:sz w:val="16"/>
          <w:szCs w:val="16"/>
          <w:color w:val="auto"/>
        </w:rPr>
        <w:t xml:space="preserve"> above, the Default Settlement Method will automatically be deemed to be set to the Settlement Method so elected; and upon any such irrevocable election pursuant to </w:t>
      </w:r>
      <w:r>
        <w:rPr>
          <w:rFonts w:ascii="Arial" w:cs="Arial" w:eastAsia="Arial" w:hAnsi="Arial"/>
          <w:sz w:val="16"/>
          <w:szCs w:val="16"/>
          <w:b w:val="1"/>
          <w:bCs w:val="1"/>
          <w:color w:val="auto"/>
        </w:rPr>
        <w:t>clause (2)</w:t>
      </w:r>
      <w:r>
        <w:rPr>
          <w:rFonts w:ascii="Arial" w:cs="Arial" w:eastAsia="Arial" w:hAnsi="Arial"/>
          <w:sz w:val="16"/>
          <w:szCs w:val="16"/>
          <w:color w:val="auto"/>
        </w:rPr>
        <w:t xml:space="preserve"> above, the Company will, if needed, simultaneously change the Default Settlement Method to a Settlement Method that is consistent with such irrevocable election. Notwithstanding anything to the contrary in the preceding sentences of this paragraph, no such change in the Default Settlement Method or irrevocable election will affect any Settlement Method theretofore elected (or deemed to be elected) with respect to any Note pursuant to this Indenture (including pursuant to this </w:t>
      </w:r>
      <w:r>
        <w:rPr>
          <w:rFonts w:ascii="Arial" w:cs="Arial" w:eastAsia="Arial" w:hAnsi="Arial"/>
          <w:sz w:val="16"/>
          <w:szCs w:val="16"/>
          <w:b w:val="1"/>
          <w:bCs w:val="1"/>
          <w:color w:val="auto"/>
        </w:rPr>
        <w:t>Section 5.03(A)</w:t>
      </w:r>
      <w:r>
        <w:rPr>
          <w:rFonts w:ascii="Arial" w:cs="Arial" w:eastAsia="Arial" w:hAnsi="Arial"/>
          <w:sz w:val="16"/>
          <w:szCs w:val="16"/>
          <w:color w:val="auto"/>
        </w:rPr>
        <w:t xml:space="preserve">). For the avoidance of doubt, such an irrevocable election, if made, will be effective without the need to amend this Indenture or the Notes, including pursuant to </w:t>
      </w:r>
      <w:r>
        <w:rPr>
          <w:rFonts w:ascii="Arial" w:cs="Arial" w:eastAsia="Arial" w:hAnsi="Arial"/>
          <w:sz w:val="16"/>
          <w:szCs w:val="16"/>
          <w:b w:val="1"/>
          <w:bCs w:val="1"/>
          <w:color w:val="auto"/>
        </w:rPr>
        <w:t>Section 8.01(G)</w:t>
      </w:r>
      <w:r>
        <w:rPr>
          <w:rFonts w:ascii="Arial" w:cs="Arial" w:eastAsia="Arial" w:hAnsi="Arial"/>
          <w:sz w:val="16"/>
          <w:szCs w:val="16"/>
          <w:color w:val="auto"/>
        </w:rPr>
        <w:t xml:space="preserve"> (it being understood, however, that the Company may nonetheless choose to execute such an amendment at its option).</w:t>
      </w:r>
    </w:p>
    <w:p>
      <w:pPr>
        <w:spacing w:after="0" w:line="168" w:lineRule="exact"/>
        <w:rPr>
          <w:rFonts w:ascii="Arial" w:cs="Arial" w:eastAsia="Arial" w:hAnsi="Arial"/>
          <w:sz w:val="16"/>
          <w:szCs w:val="16"/>
          <w:color w:val="auto"/>
        </w:rPr>
      </w:pPr>
    </w:p>
    <w:p>
      <w:pPr>
        <w:ind w:left="864" w:hanging="864"/>
        <w:spacing w:after="0"/>
        <w:tabs>
          <w:tab w:leader="none" w:pos="864"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Conversion Consideration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4" w:right="20" w:firstLine="644"/>
        <w:spacing w:after="0" w:line="312" w:lineRule="auto"/>
        <w:tabs>
          <w:tab w:leader="none" w:pos="2045" w:val="left"/>
        </w:tabs>
        <w:numPr>
          <w:ilvl w:val="1"/>
          <w:numId w:val="66"/>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Sections 5.03(B)(ii)</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5.03(B)(iii)</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5.09(A)(2)</w:t>
      </w:r>
      <w:r>
        <w:rPr>
          <w:rFonts w:ascii="Arial" w:cs="Arial" w:eastAsia="Arial" w:hAnsi="Arial"/>
          <w:sz w:val="17"/>
          <w:szCs w:val="17"/>
          <w:color w:val="auto"/>
        </w:rPr>
        <w:t>, the type and amount of consideration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Conversion Consideration</w:t>
      </w:r>
      <w:r>
        <w:rPr>
          <w:rFonts w:ascii="Arial" w:cs="Arial" w:eastAsia="Arial" w:hAnsi="Arial"/>
          <w:sz w:val="17"/>
          <w:szCs w:val="17"/>
          <w:color w:val="auto"/>
        </w:rPr>
        <w:t>”) due in respect of each $1,000 principal amount of a Note to be converted will be as follows:</w:t>
      </w:r>
    </w:p>
    <w:p>
      <w:pPr>
        <w:spacing w:after="0" w:line="143" w:lineRule="exact"/>
        <w:rPr>
          <w:rFonts w:ascii="Arial" w:cs="Arial" w:eastAsia="Arial" w:hAnsi="Arial"/>
          <w:sz w:val="17"/>
          <w:szCs w:val="17"/>
          <w:color w:val="auto"/>
        </w:rPr>
      </w:pPr>
    </w:p>
    <w:p>
      <w:pPr>
        <w:ind w:left="644" w:firstLine="652"/>
        <w:spacing w:after="0" w:line="277" w:lineRule="auto"/>
        <w:tabs>
          <w:tab w:leader="none" w:pos="2311" w:val="left"/>
        </w:tabs>
        <w:numPr>
          <w:ilvl w:val="2"/>
          <w:numId w:val="66"/>
        </w:numPr>
        <w:rPr>
          <w:rFonts w:ascii="Arial" w:cs="Arial" w:eastAsia="Arial" w:hAnsi="Arial"/>
          <w:sz w:val="18"/>
          <w:szCs w:val="18"/>
          <w:color w:val="auto"/>
        </w:rPr>
      </w:pPr>
      <w:r>
        <w:rPr>
          <w:rFonts w:ascii="Arial" w:cs="Arial" w:eastAsia="Arial" w:hAnsi="Arial"/>
          <w:sz w:val="18"/>
          <w:szCs w:val="18"/>
          <w:color w:val="auto"/>
        </w:rPr>
        <w:t>if Physical Settlement applies to such conversion, a number of shares of Common Stock equal to the Conversion Rate in effect on the Conversion Date for such conversion;</w:t>
      </w:r>
    </w:p>
    <w:p>
      <w:pPr>
        <w:spacing w:after="0" w:line="386" w:lineRule="exact"/>
        <w:rPr>
          <w:rFonts w:ascii="Arial" w:cs="Arial" w:eastAsia="Arial" w:hAnsi="Arial"/>
          <w:sz w:val="18"/>
          <w:szCs w:val="18"/>
          <w:color w:val="auto"/>
        </w:rPr>
      </w:pPr>
    </w:p>
    <w:p>
      <w:pPr>
        <w:ind w:left="4884" w:hanging="111"/>
        <w:spacing w:after="0"/>
        <w:tabs>
          <w:tab w:leader="none" w:pos="4884" w:val="left"/>
        </w:tabs>
        <w:numPr>
          <w:ilvl w:val="3"/>
          <w:numId w:val="66"/>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45" w:right="339" w:bottom="1440" w:gutter="0" w:footer="0" w:header="0"/>
        </w:sectPr>
      </w:pPr>
    </w:p>
    <w:bookmarkStart w:id="55" w:name="page56"/>
    <w:bookmarkEnd w:id="55"/>
    <w:p>
      <w:pPr>
        <w:ind w:left="644" w:firstLine="652"/>
        <w:spacing w:after="0" w:line="277" w:lineRule="auto"/>
        <w:tabs>
          <w:tab w:leader="none" w:pos="2257" w:val="left"/>
        </w:tabs>
        <w:numPr>
          <w:ilvl w:val="2"/>
          <w:numId w:val="67"/>
        </w:numPr>
        <w:rPr>
          <w:rFonts w:ascii="Arial" w:cs="Arial" w:eastAsia="Arial" w:hAnsi="Arial"/>
          <w:sz w:val="18"/>
          <w:szCs w:val="18"/>
          <w:color w:val="auto"/>
        </w:rPr>
      </w:pPr>
      <w:r>
        <w:rPr>
          <w:rFonts w:ascii="Arial" w:cs="Arial" w:eastAsia="Arial" w:hAnsi="Arial"/>
          <w:sz w:val="18"/>
          <w:szCs w:val="18"/>
          <w:color w:val="auto"/>
        </w:rPr>
        <w:t>if Cash Settlement applies to such conversion, cash in an amount equal to the sum of the Daily Conversion Values for each VWAP Trading Day in the Observation Period for such conversion; or</w:t>
      </w:r>
    </w:p>
    <w:p>
      <w:pPr>
        <w:spacing w:after="0" w:line="170" w:lineRule="exact"/>
        <w:rPr>
          <w:rFonts w:ascii="Arial" w:cs="Arial" w:eastAsia="Arial" w:hAnsi="Arial"/>
          <w:sz w:val="18"/>
          <w:szCs w:val="18"/>
          <w:color w:val="auto"/>
        </w:rPr>
      </w:pPr>
    </w:p>
    <w:p>
      <w:pPr>
        <w:jc w:val="both"/>
        <w:ind w:left="644" w:firstLine="652"/>
        <w:spacing w:after="0" w:line="259" w:lineRule="auto"/>
        <w:tabs>
          <w:tab w:leader="none" w:pos="25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186" w:lineRule="exact"/>
        <w:rPr>
          <w:rFonts w:ascii="Arial" w:cs="Arial" w:eastAsia="Arial" w:hAnsi="Arial"/>
          <w:sz w:val="18"/>
          <w:szCs w:val="18"/>
          <w:color w:val="auto"/>
        </w:rPr>
      </w:pPr>
    </w:p>
    <w:p>
      <w:pPr>
        <w:jc w:val="both"/>
        <w:ind w:left="4" w:firstLine="644"/>
        <w:spacing w:after="0" w:line="254" w:lineRule="auto"/>
        <w:tabs>
          <w:tab w:leader="none" w:pos="1596"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Cash in Lieu of Fractional Shares</w:t>
      </w:r>
      <w:r>
        <w:rPr>
          <w:rFonts w:ascii="Arial" w:cs="Arial" w:eastAsia="Arial" w:hAnsi="Arial"/>
          <w:sz w:val="18"/>
          <w:szCs w:val="18"/>
          <w:color w:val="auto"/>
        </w:rPr>
        <w:t>. If Physical Settlement or Combination Settlement applies to the conversion of any Note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number of shares of Common Stock deliverable pursuant to </w:t>
      </w:r>
      <w:r>
        <w:rPr>
          <w:rFonts w:ascii="Arial" w:cs="Arial" w:eastAsia="Arial" w:hAnsi="Arial"/>
          <w:sz w:val="18"/>
          <w:szCs w:val="18"/>
          <w:b w:val="1"/>
          <w:bCs w:val="1"/>
          <w:color w:val="auto"/>
        </w:rPr>
        <w:t>Section 5.03(B)(i)</w:t>
      </w:r>
      <w:r>
        <w:rPr>
          <w:rFonts w:ascii="Arial" w:cs="Arial" w:eastAsia="Arial" w:hAnsi="Arial"/>
          <w:sz w:val="18"/>
          <w:szCs w:val="18"/>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applicable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spacing w:after="0" w:line="194" w:lineRule="exact"/>
        <w:rPr>
          <w:rFonts w:ascii="Arial" w:cs="Arial" w:eastAsia="Arial" w:hAnsi="Arial"/>
          <w:sz w:val="18"/>
          <w:szCs w:val="18"/>
          <w:color w:val="auto"/>
        </w:rPr>
      </w:pPr>
    </w:p>
    <w:p>
      <w:pPr>
        <w:jc w:val="both"/>
        <w:ind w:left="4" w:firstLine="644"/>
        <w:spacing w:after="0" w:line="259" w:lineRule="auto"/>
        <w:tabs>
          <w:tab w:leader="none" w:pos="1529"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Conversion of Multiple Notes by a Single Holder</w:t>
      </w:r>
      <w:r>
        <w:rPr>
          <w:rFonts w:ascii="Arial" w:cs="Arial" w:eastAsia="Arial" w:hAnsi="Arial"/>
          <w:sz w:val="18"/>
          <w:szCs w:val="18"/>
          <w:color w:val="auto"/>
        </w:rPr>
        <w:t>. If a Holder converts more than one (1) Note on a single Conversion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186" w:lineRule="exact"/>
        <w:rPr>
          <w:rFonts w:ascii="Arial" w:cs="Arial" w:eastAsia="Arial" w:hAnsi="Arial"/>
          <w:sz w:val="18"/>
          <w:szCs w:val="18"/>
          <w:color w:val="auto"/>
        </w:rPr>
      </w:pPr>
    </w:p>
    <w:p>
      <w:pPr>
        <w:jc w:val="both"/>
        <w:ind w:left="4" w:firstLine="644"/>
        <w:spacing w:after="0" w:line="257" w:lineRule="auto"/>
        <w:tabs>
          <w:tab w:leader="none" w:pos="1564"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Notice of Calculation of Conversion Consideration</w:t>
      </w:r>
      <w:r>
        <w:rPr>
          <w:rFonts w:ascii="Arial" w:cs="Arial" w:eastAsia="Arial" w:hAnsi="Arial"/>
          <w:sz w:val="18"/>
          <w:szCs w:val="18"/>
          <w:color w:val="auto"/>
        </w:rPr>
        <w:t>. If Cash Settlement or Combination Settlement applies to the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of 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the Conversion Agent nor the Paying Agent will have any duty to make any such determination.</w:t>
      </w:r>
    </w:p>
    <w:p>
      <w:pPr>
        <w:spacing w:after="0" w:line="183" w:lineRule="exact"/>
        <w:rPr>
          <w:rFonts w:ascii="Arial" w:cs="Arial" w:eastAsia="Arial" w:hAnsi="Arial"/>
          <w:sz w:val="18"/>
          <w:szCs w:val="18"/>
          <w:color w:val="auto"/>
        </w:rPr>
      </w:pPr>
    </w:p>
    <w:p>
      <w:pPr>
        <w:jc w:val="both"/>
        <w:ind w:left="-656" w:firstLine="656"/>
        <w:spacing w:after="0" w:line="291" w:lineRule="auto"/>
        <w:tabs>
          <w:tab w:leader="none" w:pos="861"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Delivery of the Conversion Consideration</w:t>
      </w:r>
      <w:r>
        <w:rPr>
          <w:rFonts w:ascii="Arial" w:cs="Arial" w:eastAsia="Arial" w:hAnsi="Arial"/>
          <w:sz w:val="16"/>
          <w:szCs w:val="16"/>
          <w:color w:val="auto"/>
        </w:rPr>
        <w:t>. Except as set forth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Sections 5.05(D)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5.07(D)</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5.09</w:t>
      </w:r>
      <w:r>
        <w:rPr>
          <w:rFonts w:ascii="Arial" w:cs="Arial" w:eastAsia="Arial" w:hAnsi="Arial"/>
          <w:sz w:val="16"/>
          <w:szCs w:val="16"/>
          <w:color w:val="auto"/>
        </w:rPr>
        <w:t>, the Company will pay or deliver,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applicable, the Conversion Consideration due upon the conversion of any Note to the Holder as follows: (i) if Cash Settlement or Combination Settlement applies to such conversion, on or before the second (2nd) Business Day immediately after the last VWAP Trading Day of the Observation Period for such conversion; and (ii) if Physical Settlement applies to such conversion, on or before the second (2nd) Business Day immediately after the Conversion Date for such conversion;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Physical Settlement applies to the conversion of any Note with a Conversion Date that is after the Regular Record Date immediately before the Maturity Date, then, solely for purposes of such conversion, (x) the Company will pay or deliver, as applicable, the Conversion Consideration due upon such conversion no later than the Maturity Date (or, if the Maturity Date is not a Business Day, the next Business Day); and (y) the Conversion Date will instead be deemed to be the second (2nd) Business Day immediately before the Maturity Date.</w:t>
      </w:r>
    </w:p>
    <w:p>
      <w:pPr>
        <w:spacing w:after="0" w:line="379" w:lineRule="exact"/>
        <w:rPr>
          <w:rFonts w:ascii="Arial" w:cs="Arial" w:eastAsia="Arial" w:hAnsi="Arial"/>
          <w:sz w:val="16"/>
          <w:szCs w:val="16"/>
          <w:color w:val="auto"/>
        </w:rPr>
      </w:pPr>
    </w:p>
    <w:p>
      <w:pPr>
        <w:ind w:left="4884" w:hanging="111"/>
        <w:spacing w:after="0"/>
        <w:tabs>
          <w:tab w:leader="none" w:pos="4884" w:val="left"/>
        </w:tabs>
        <w:numPr>
          <w:ilvl w:val="3"/>
          <w:numId w:val="69"/>
        </w:numPr>
        <w:rPr>
          <w:rFonts w:ascii="Arial" w:cs="Arial" w:eastAsia="Arial" w:hAnsi="Arial"/>
          <w:sz w:val="18"/>
          <w:szCs w:val="18"/>
          <w:color w:val="auto"/>
        </w:rPr>
      </w:pPr>
      <w:r>
        <w:rPr>
          <w:rFonts w:ascii="Arial" w:cs="Arial" w:eastAsia="Arial" w:hAnsi="Arial"/>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6" w:name="page57"/>
    <w:bookmarkEnd w:id="56"/>
    <w:p>
      <w:pPr>
        <w:jc w:val="both"/>
        <w:ind w:firstLine="656"/>
        <w:spacing w:after="0" w:line="272" w:lineRule="auto"/>
        <w:tabs>
          <w:tab w:leader="none" w:pos="1563"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Deemed Payment of Principal and Interest; Settlement of Accrued Interest Notwithstanding Conversion</w:t>
      </w:r>
      <w:r>
        <w:rPr>
          <w:rFonts w:ascii="Arial" w:cs="Arial" w:eastAsia="Arial" w:hAnsi="Arial"/>
          <w:sz w:val="17"/>
          <w:szCs w:val="17"/>
          <w:color w:val="auto"/>
        </w:rPr>
        <w:t>. If a Holder converts a Note,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then the Company will not adjust the Conversion Rate to account for any accrued and unpaid interest on such Note, and, except as provided in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5.02(D)</w:t>
      </w:r>
      <w:r>
        <w:rPr>
          <w:rFonts w:ascii="Arial" w:cs="Arial" w:eastAsia="Arial" w:hAnsi="Arial"/>
          <w:sz w:val="17"/>
          <w:szCs w:val="17"/>
          <w:color w:val="auto"/>
        </w:rPr>
        <w:t>, the Company’s delivery of the Conversion Consideration due in respect of such conversion will be deemed to fully satisfy and discharge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Company’s obligation to pay the principal of, and accrued and unpaid interest, if any, on, such Note to, but excluding the Conversion Date. As a result, except as provided in </w:t>
      </w:r>
      <w:r>
        <w:rPr>
          <w:rFonts w:ascii="Arial" w:cs="Arial" w:eastAsia="Arial" w:hAnsi="Arial"/>
          <w:sz w:val="17"/>
          <w:szCs w:val="17"/>
          <w:b w:val="1"/>
          <w:bCs w:val="1"/>
          <w:color w:val="auto"/>
        </w:rPr>
        <w:t>Section 5.02(D)</w:t>
      </w:r>
      <w:r>
        <w:rPr>
          <w:rFonts w:ascii="Arial" w:cs="Arial" w:eastAsia="Arial" w:hAnsi="Arial"/>
          <w:sz w:val="17"/>
          <w:szCs w:val="17"/>
          <w:color w:val="auto"/>
        </w:rPr>
        <w:t xml:space="preserve">, any accrued and unpaid interest on a converted Note will be deemed to be paid in full rather than cancelled, extinguished or forfeited. In addition, subject to </w:t>
      </w:r>
      <w:r>
        <w:rPr>
          <w:rFonts w:ascii="Arial" w:cs="Arial" w:eastAsia="Arial" w:hAnsi="Arial"/>
          <w:sz w:val="17"/>
          <w:szCs w:val="17"/>
          <w:b w:val="1"/>
          <w:bCs w:val="1"/>
          <w:color w:val="auto"/>
        </w:rPr>
        <w:t>Section 5.02(D)</w:t>
      </w:r>
      <w:r>
        <w:rPr>
          <w:rFonts w:ascii="Arial" w:cs="Arial" w:eastAsia="Arial" w:hAnsi="Arial"/>
          <w:sz w:val="17"/>
          <w:szCs w:val="17"/>
          <w:color w:val="auto"/>
        </w:rPr>
        <w:t>, if the Conversion Consideration for a Note consists of both cash and shares of Common Stock, then accrued and unpaid interest that is deemed to be paid therewith will be deemed to be paid first out of such cash.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5.04. R</w:t>
      </w:r>
      <w:r>
        <w:rPr>
          <w:rFonts w:ascii="Arial" w:cs="Arial" w:eastAsia="Arial" w:hAnsi="Arial"/>
          <w:sz w:val="12"/>
          <w:szCs w:val="12"/>
          <w:b w:val="1"/>
          <w:bCs w:val="1"/>
          <w:color w:val="auto"/>
        </w:rPr>
        <w:t>ESERVE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TATUS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SSUED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5" w:lineRule="auto"/>
        <w:tabs>
          <w:tab w:leader="none" w:pos="168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Stock Reserve</w:t>
      </w:r>
      <w:r>
        <w:rPr>
          <w:rFonts w:ascii="Arial" w:cs="Arial" w:eastAsia="Arial" w:hAnsi="Arial"/>
          <w:sz w:val="18"/>
          <w:szCs w:val="18"/>
          <w:color w:val="auto"/>
        </w:rPr>
        <w:t>. At all times when any Notes are outstanding, the Company will reserve, out of its authorized, unreserved and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outstanding shares of Common Stock, a number of shares of Common Stock sufficient to permit the conversion of all then-outstanding Notes, assuming (x) Physical Settlement will apply to such conversion; and (y) the Conversion Rate is increased by the maximum amount pursuant to which the Conversion Rate may be increased pursuant to </w:t>
      </w:r>
      <w:r>
        <w:rPr>
          <w:rFonts w:ascii="Arial" w:cs="Arial" w:eastAsia="Arial" w:hAnsi="Arial"/>
          <w:sz w:val="18"/>
          <w:szCs w:val="18"/>
          <w:b w:val="1"/>
          <w:bCs w:val="1"/>
          <w:color w:val="auto"/>
        </w:rPr>
        <w:t>Section 5.07</w:t>
      </w:r>
      <w:r>
        <w:rPr>
          <w:rFonts w:ascii="Arial" w:cs="Arial" w:eastAsia="Arial" w:hAnsi="Arial"/>
          <w:sz w:val="18"/>
          <w:szCs w:val="18"/>
          <w:color w:val="auto"/>
        </w:rPr>
        <w:t xml:space="preserve">. To the extent the Company delivers shares of Common Stock held in its treasury in settlement of the conversion of any Notes, each reference in this Indenture or the Notes to the issuance of shares of Common Stock in connection therewith will be deemed to include such delivery,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656"/>
        <w:spacing w:after="0" w:line="254" w:lineRule="auto"/>
        <w:tabs>
          <w:tab w:leader="none" w:pos="1544"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Status of Conversion Shares; Listing</w:t>
      </w:r>
      <w:r>
        <w:rPr>
          <w:rFonts w:ascii="Arial" w:cs="Arial" w:eastAsia="Arial" w:hAnsi="Arial"/>
          <w:sz w:val="18"/>
          <w:szCs w:val="18"/>
          <w:color w:val="auto"/>
        </w:rPr>
        <w:t>. Each Conversion Share, if any, delivered upon conversion of any Note will be a newly issued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treasury share (except that any Conversion Share delivered by a designated financial institution pursuant to </w:t>
      </w:r>
      <w:r>
        <w:rPr>
          <w:rFonts w:ascii="Arial" w:cs="Arial" w:eastAsia="Arial" w:hAnsi="Arial"/>
          <w:sz w:val="18"/>
          <w:szCs w:val="18"/>
          <w:b w:val="1"/>
          <w:bCs w:val="1"/>
          <w:color w:val="auto"/>
        </w:rPr>
        <w:t>Section 5.08</w:t>
      </w:r>
      <w:r>
        <w:rPr>
          <w:rFonts w:ascii="Arial" w:cs="Arial" w:eastAsia="Arial" w:hAnsi="Arial"/>
          <w:sz w:val="18"/>
          <w:szCs w:val="18"/>
          <w:color w:val="auto"/>
        </w:rPr>
        <w:t xml:space="preserve"> need not be a newly issued or treasury share) and will be duly and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5540" w:hanging="111"/>
        <w:spacing w:after="0"/>
        <w:tabs>
          <w:tab w:leader="none" w:pos="55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Section 5.05. A</w:t>
      </w:r>
      <w:r>
        <w:rPr>
          <w:rFonts w:ascii="Arial" w:cs="Arial" w:eastAsia="Arial" w:hAnsi="Arial"/>
          <w:sz w:val="12"/>
          <w:szCs w:val="12"/>
          <w:b w:val="1"/>
          <w:bCs w:val="1"/>
          <w:color w:val="auto"/>
        </w:rPr>
        <w:t>DJUSTMENTS TO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ATE</w:t>
      </w:r>
      <w:r>
        <w:rPr>
          <w:rFonts w:ascii="Arial" w:cs="Arial" w:eastAsia="Arial" w:hAnsi="Arial"/>
          <w:sz w:val="18"/>
          <w:szCs w:val="18"/>
          <w:b w:val="1"/>
          <w:bCs w:val="1"/>
          <w:color w:val="auto"/>
        </w:rPr>
        <w:t>.</w:t>
      </w:r>
    </w:p>
    <w:p>
      <w:pPr>
        <w:spacing w:after="0" w:line="229" w:lineRule="exact"/>
        <w:rPr>
          <w:sz w:val="20"/>
          <w:szCs w:val="20"/>
          <w:color w:val="auto"/>
        </w:rPr>
      </w:pPr>
    </w:p>
    <w:p>
      <w:pPr>
        <w:ind w:left="1500" w:hanging="844"/>
        <w:spacing w:after="0"/>
        <w:tabs>
          <w:tab w:leader="none" w:pos="150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Events Requiring an Adjustment to the Conversion Rate</w:t>
      </w:r>
      <w:r>
        <w:rPr>
          <w:rFonts w:ascii="Arial" w:cs="Arial" w:eastAsia="Arial" w:hAnsi="Arial"/>
          <w:sz w:val="17"/>
          <w:szCs w:val="17"/>
          <w:color w:val="auto"/>
        </w:rPr>
        <w:t>. The Conversion Rate will be adjusted from time to time as follows:</w:t>
      </w:r>
    </w:p>
    <w:p>
      <w:pPr>
        <w:spacing w:after="0" w:line="236" w:lineRule="exact"/>
        <w:rPr>
          <w:rFonts w:ascii="Arial" w:cs="Arial" w:eastAsia="Arial" w:hAnsi="Arial"/>
          <w:sz w:val="17"/>
          <w:szCs w:val="17"/>
          <w:color w:val="auto"/>
        </w:rPr>
      </w:pPr>
    </w:p>
    <w:p>
      <w:pPr>
        <w:jc w:val="both"/>
        <w:ind w:left="660" w:firstLine="644"/>
        <w:spacing w:after="0" w:line="259" w:lineRule="auto"/>
        <w:tabs>
          <w:tab w:leader="none" w:pos="262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Stock Dividends, Splits and Combinations</w:t>
      </w:r>
      <w:r>
        <w:rPr>
          <w:rFonts w:ascii="Arial" w:cs="Arial" w:eastAsia="Arial" w:hAnsi="Arial"/>
          <w:sz w:val="18"/>
          <w:szCs w:val="18"/>
          <w:color w:val="auto"/>
        </w:rPr>
        <w:t>. If the Company issues solely shares of Common Stock as a dividend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 on all or substantially all shares of the Common Stock, or if the Company effects a stock split or a stock combination of the Common Stock (in each case excluding an issuance solely pursuant to a Common Stock Change Event, as to which </w:t>
      </w:r>
      <w:r>
        <w:rPr>
          <w:rFonts w:ascii="Arial" w:cs="Arial" w:eastAsia="Arial" w:hAnsi="Arial"/>
          <w:sz w:val="18"/>
          <w:szCs w:val="18"/>
          <w:b w:val="1"/>
          <w:bCs w:val="1"/>
          <w:color w:val="auto"/>
        </w:rPr>
        <w:t>Section 5.09</w:t>
      </w:r>
      <w:r>
        <w:rPr>
          <w:rFonts w:ascii="Arial" w:cs="Arial" w:eastAsia="Arial" w:hAnsi="Arial"/>
          <w:sz w:val="18"/>
          <w:szCs w:val="18"/>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127635</wp:posOffset>
            </wp:positionV>
            <wp:extent cx="1122680" cy="445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226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680" w:type="dxa"/>
            <w:vAlign w:val="bottom"/>
            <w:gridSpan w:val="2"/>
          </w:tcPr>
          <w:p>
            <w:pPr>
              <w:ind w:left="40"/>
              <w:spacing w:after="0"/>
              <w:rPr>
                <w:sz w:val="20"/>
                <w:szCs w:val="20"/>
                <w:color w:val="auto"/>
              </w:rPr>
            </w:pPr>
            <w:r>
              <w:rPr>
                <w:rFonts w:ascii="Arial" w:cs="Arial" w:eastAsia="Arial" w:hAnsi="Arial"/>
                <w:sz w:val="18"/>
                <w:szCs w:val="18"/>
                <w:color w:val="auto"/>
              </w:rPr>
              <w:t>where:</w:t>
            </w:r>
          </w:p>
        </w:tc>
        <w:tc>
          <w:tcPr>
            <w:tcW w:w="9940" w:type="dxa"/>
            <w:vAlign w:val="bottom"/>
          </w:tcPr>
          <w:p>
            <w:pPr>
              <w:spacing w:after="0"/>
              <w:rPr>
                <w:sz w:val="20"/>
                <w:szCs w:val="20"/>
                <w:color w:val="auto"/>
              </w:rPr>
            </w:pPr>
          </w:p>
        </w:tc>
      </w:tr>
      <w:tr>
        <w:trPr>
          <w:trHeight w:val="418"/>
        </w:trPr>
        <w:tc>
          <w:tcPr>
            <w:tcW w:w="4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3"/>
              </w:rPr>
              <w:t>the Conversion Rate in effect immediately before the Open of Business on the Ex-Dividend Date for such dividend or distribution, or</w:t>
            </w:r>
          </w:p>
        </w:tc>
      </w:t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immediately before the Open of Business on the effective date of such stock split or stock combination, as applicable;</w:t>
            </w:r>
          </w:p>
        </w:tc>
      </w:tr>
      <w:tr>
        <w:trPr>
          <w:trHeight w:val="462"/>
        </w:trPr>
        <w:tc>
          <w:tcPr>
            <w:tcW w:w="4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6"/>
              </w:rPr>
              <w:t>the Conversion Rate in effect immediately after the Open of Business on such Ex-Dividend Date or effective date, as applicable;</w:t>
            </w:r>
          </w:p>
        </w:tc>
      </w:tr>
      <w:tr>
        <w:trPr>
          <w:trHeight w:val="402"/>
        </w:trPr>
        <w:tc>
          <w:tcPr>
            <w:tcW w:w="400" w:type="dxa"/>
            <w:vAlign w:val="bottom"/>
          </w:tcPr>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29"/>
                <w:szCs w:val="29"/>
                <w:i w:val="1"/>
                <w:iCs w:val="1"/>
                <w:color w:val="auto"/>
                <w:vertAlign w:val="subscript"/>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2"/>
              </w:rPr>
              <w:t>the number of shares of Common Stock outstanding immediately before the Open of Business on such Ex-Dividend Date or effective</w:t>
            </w:r>
          </w:p>
        </w:tc>
      </w:t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date, as applicable, without giving effect to such dividend, distribution, stock split or stock combination; and</w:t>
            </w:r>
          </w:p>
        </w:tc>
      </w:tr>
      <w:tr>
        <w:trPr>
          <w:trHeight w:val="418"/>
        </w:trPr>
        <w:tc>
          <w:tcPr>
            <w:tcW w:w="400" w:type="dxa"/>
            <w:vAlign w:val="bottom"/>
          </w:tcPr>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29"/>
                <w:szCs w:val="29"/>
                <w:i w:val="1"/>
                <w:iCs w:val="1"/>
                <w:color w:val="auto"/>
                <w:vertAlign w:val="subscript"/>
              </w:rPr>
              <w:t>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3"/>
              </w:rPr>
              <w:t>the number of shares of Common Stock outstanding immediately after giving effect to such dividend, distribution, stock split or stock</w:t>
            </w:r>
          </w:p>
        </w:tc>
      </w:t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combination.</w:t>
            </w:r>
          </w:p>
        </w:tc>
      </w:tr>
    </w:tbl>
    <w:p>
      <w:pPr>
        <w:spacing w:after="0" w:line="197"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 xml:space="preserve">If any dividend or distribution of the type described in this </w:t>
      </w:r>
      <w:r>
        <w:rPr>
          <w:rFonts w:ascii="Arial" w:cs="Arial" w:eastAsia="Arial" w:hAnsi="Arial"/>
          <w:sz w:val="18"/>
          <w:szCs w:val="18"/>
          <w:b w:val="1"/>
          <w:bCs w:val="1"/>
          <w:color w:val="auto"/>
        </w:rPr>
        <w:t>Section 5.05(A)(i)</w:t>
      </w:r>
      <w:r>
        <w:rPr>
          <w:rFonts w:ascii="Arial" w:cs="Arial" w:eastAsia="Arial" w:hAnsi="Arial"/>
          <w:sz w:val="18"/>
          <w:szCs w:val="18"/>
          <w:color w:val="auto"/>
        </w:rPr>
        <w:t xml:space="preserve"> is declared, but not so paid, then the Conversion Rate will be readjusted, effective as of the date the Board of Directors determines not to pay such dividend or distribution, to the Conversion Rate that would then be in effect had such dividend or distribution not been declared.</w:t>
      </w:r>
    </w:p>
    <w:p>
      <w:pPr>
        <w:spacing w:after="0" w:line="180" w:lineRule="exact"/>
        <w:rPr>
          <w:sz w:val="20"/>
          <w:szCs w:val="20"/>
          <w:color w:val="auto"/>
        </w:rPr>
      </w:pPr>
    </w:p>
    <w:p>
      <w:pPr>
        <w:jc w:val="both"/>
        <w:ind w:left="660" w:firstLine="644"/>
        <w:spacing w:after="0" w:line="273" w:lineRule="auto"/>
        <w:tabs>
          <w:tab w:leader="none" w:pos="2171"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Rights, Options and Warrants</w:t>
      </w:r>
      <w:r>
        <w:rPr>
          <w:rFonts w:ascii="Arial" w:cs="Arial" w:eastAsia="Arial" w:hAnsi="Arial"/>
          <w:sz w:val="17"/>
          <w:szCs w:val="17"/>
          <w:color w:val="auto"/>
        </w:rPr>
        <w:t>. If the Company distributes, to all or substantially all holders of Common Stock, rights,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warrants (other than rights issued or otherwise distributed pursuant to a stockholder rights plan, as to which </w:t>
      </w:r>
      <w:r>
        <w:rPr>
          <w:rFonts w:ascii="Arial" w:cs="Arial" w:eastAsia="Arial" w:hAnsi="Arial"/>
          <w:sz w:val="17"/>
          <w:szCs w:val="17"/>
          <w:b w:val="1"/>
          <w:bCs w:val="1"/>
          <w:color w:val="auto"/>
        </w:rPr>
        <w:t>Sections 5.05(A)(iii)(1)</w:t>
      </w:r>
      <w:r>
        <w:rPr>
          <w:rFonts w:ascii="Arial" w:cs="Arial" w:eastAsia="Arial" w:hAnsi="Arial"/>
          <w:sz w:val="17"/>
          <w:szCs w:val="17"/>
          <w:color w:val="auto"/>
        </w:rPr>
        <w:t xml:space="preserve"> and </w:t>
      </w:r>
      <w:r>
        <w:rPr>
          <w:rFonts w:ascii="Arial" w:cs="Arial" w:eastAsia="Arial" w:hAnsi="Arial"/>
          <w:sz w:val="17"/>
          <w:szCs w:val="17"/>
          <w:b w:val="1"/>
          <w:bCs w:val="1"/>
          <w:color w:val="auto"/>
        </w:rPr>
        <w:t>5.05(F)</w:t>
      </w:r>
      <w:r>
        <w:rPr>
          <w:rFonts w:ascii="Arial" w:cs="Arial" w:eastAsia="Arial" w:hAnsi="Arial"/>
          <w:sz w:val="17"/>
          <w:szCs w:val="17"/>
          <w:color w:val="auto"/>
        </w:rPr>
        <w:t xml:space="preserve"> will apply) entitling such holders,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7" w:lineRule="exact"/>
        <w:rPr>
          <w:rFonts w:ascii="Arial" w:cs="Arial" w:eastAsia="Arial" w:hAnsi="Arial"/>
          <w:sz w:val="17"/>
          <w:szCs w:val="17"/>
          <w:color w:val="auto"/>
        </w:rPr>
      </w:pPr>
    </w:p>
    <w:p>
      <w:pPr>
        <w:ind w:left="5540" w:hanging="111"/>
        <w:spacing w:after="0"/>
        <w:tabs>
          <w:tab w:leader="none" w:pos="5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-781685</wp:posOffset>
            </wp:positionV>
            <wp:extent cx="1294130" cy="386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94130" cy="3860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680" w:type="dxa"/>
            <w:vAlign w:val="bottom"/>
            <w:gridSpan w:val="2"/>
          </w:tcPr>
          <w:p>
            <w:pPr>
              <w:ind w:left="40"/>
              <w:spacing w:after="0"/>
              <w:rPr>
                <w:sz w:val="20"/>
                <w:szCs w:val="20"/>
                <w:color w:val="auto"/>
              </w:rPr>
            </w:pPr>
            <w:r>
              <w:rPr>
                <w:rFonts w:ascii="Arial" w:cs="Arial" w:eastAsia="Arial" w:hAnsi="Arial"/>
                <w:sz w:val="18"/>
                <w:szCs w:val="18"/>
                <w:color w:val="auto"/>
              </w:rPr>
              <w:t>where:</w:t>
            </w:r>
          </w:p>
        </w:tc>
        <w:tc>
          <w:tcPr>
            <w:tcW w:w="8900" w:type="dxa"/>
            <w:vAlign w:val="bottom"/>
          </w:tcPr>
          <w:p>
            <w:pPr>
              <w:spacing w:after="0"/>
              <w:rPr>
                <w:sz w:val="20"/>
                <w:szCs w:val="20"/>
                <w:color w:val="auto"/>
              </w:rPr>
            </w:pPr>
          </w:p>
        </w:tc>
      </w:tr>
      <w:tr>
        <w:trPr>
          <w:trHeight w:val="463"/>
        </w:trPr>
        <w:tc>
          <w:tcPr>
            <w:tcW w:w="4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900" w:type="dxa"/>
            <w:vAlign w:val="bottom"/>
          </w:tcPr>
          <w:p>
            <w:pPr>
              <w:ind w:left="120"/>
              <w:spacing w:after="0"/>
              <w:rPr>
                <w:sz w:val="20"/>
                <w:szCs w:val="20"/>
                <w:color w:val="auto"/>
              </w:rPr>
            </w:pPr>
            <w:r>
              <w:rPr>
                <w:rFonts w:ascii="Arial" w:cs="Arial" w:eastAsia="Arial" w:hAnsi="Arial"/>
                <w:sz w:val="18"/>
                <w:szCs w:val="18"/>
                <w:color w:val="auto"/>
                <w:w w:val="93"/>
              </w:rPr>
              <w:t>the Conversion Rate in effect immediately before the Open of Business on the Ex-Dividend Date for such distribution;</w:t>
            </w:r>
          </w:p>
        </w:tc>
      </w:tr>
      <w:tr>
        <w:trPr>
          <w:trHeight w:val="445"/>
        </w:trPr>
        <w:tc>
          <w:tcPr>
            <w:tcW w:w="4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900" w:type="dxa"/>
            <w:vAlign w:val="bottom"/>
          </w:tcPr>
          <w:p>
            <w:pPr>
              <w:ind w:left="12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15"/>
        </w:trPr>
        <w:tc>
          <w:tcPr>
            <w:tcW w:w="400" w:type="dxa"/>
            <w:vAlign w:val="bottom"/>
          </w:tcPr>
          <w:p>
            <w:pPr>
              <w:spacing w:after="0"/>
              <w:rPr>
                <w:sz w:val="20"/>
                <w:szCs w:val="20"/>
                <w:color w:val="auto"/>
              </w:rPr>
            </w:pPr>
            <w:r>
              <w:rPr>
                <w:rFonts w:ascii="Arial" w:cs="Arial" w:eastAsia="Arial" w:hAnsi="Arial"/>
                <w:sz w:val="18"/>
                <w:szCs w:val="18"/>
                <w:i w:val="1"/>
                <w:iCs w:val="1"/>
                <w:color w:val="auto"/>
              </w:rPr>
              <w:t>OS</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900" w:type="dxa"/>
            <w:vAlign w:val="bottom"/>
          </w:tcPr>
          <w:p>
            <w:pPr>
              <w:ind w:left="120"/>
              <w:spacing w:after="0"/>
              <w:rPr>
                <w:sz w:val="20"/>
                <w:szCs w:val="20"/>
                <w:color w:val="auto"/>
              </w:rPr>
            </w:pPr>
            <w:r>
              <w:rPr>
                <w:rFonts w:ascii="Arial" w:cs="Arial" w:eastAsia="Arial" w:hAnsi="Arial"/>
                <w:sz w:val="18"/>
                <w:szCs w:val="18"/>
                <w:color w:val="auto"/>
                <w:w w:val="90"/>
              </w:rPr>
              <w:t>the number of shares of Common Stock outstanding immediately before the Open of Business on such Ex-Dividend Date;</w:t>
            </w:r>
          </w:p>
        </w:tc>
      </w:tr>
    </w:tbl>
    <w:p>
      <w:pPr>
        <w:spacing w:after="0" w:line="202" w:lineRule="exact"/>
        <w:rPr>
          <w:sz w:val="20"/>
          <w:szCs w:val="20"/>
          <w:color w:val="auto"/>
        </w:rPr>
      </w:pPr>
    </w:p>
    <w:p>
      <w:pPr>
        <w:ind w:left="460" w:hanging="451"/>
        <w:spacing w:after="0"/>
        <w:tabs>
          <w:tab w:leader="none" w:pos="460" w:val="left"/>
        </w:tabs>
        <w:numPr>
          <w:ilvl w:val="0"/>
          <w:numId w:val="74"/>
        </w:numPr>
        <w:rPr>
          <w:rFonts w:ascii="Arial" w:cs="Arial" w:eastAsia="Arial" w:hAnsi="Arial"/>
          <w:sz w:val="18"/>
          <w:szCs w:val="18"/>
          <w:i w:val="1"/>
          <w:iCs w:val="1"/>
          <w:color w:val="auto"/>
        </w:rPr>
      </w:pPr>
      <w:r>
        <w:rPr>
          <w:rFonts w:ascii="Arial" w:cs="Arial" w:eastAsia="Arial" w:hAnsi="Arial"/>
          <w:sz w:val="18"/>
          <w:szCs w:val="18"/>
          <w:color w:val="auto"/>
        </w:rPr>
        <w:t>=   the total number of shares of Common Stock issuable pursuant to such rights, options or warrants; and</w:t>
      </w:r>
    </w:p>
    <w:p>
      <w:pPr>
        <w:spacing w:after="0" w:line="225" w:lineRule="exact"/>
        <w:rPr>
          <w:sz w:val="20"/>
          <w:szCs w:val="20"/>
          <w:color w:val="auto"/>
        </w:rPr>
      </w:pPr>
    </w:p>
    <w:p>
      <w:pPr>
        <w:ind w:left="800" w:hanging="791"/>
        <w:spacing w:after="0" w:line="263" w:lineRule="auto"/>
        <w:tabs>
          <w:tab w:leader="none" w:pos="476" w:val="left"/>
        </w:tabs>
        <w:numPr>
          <w:ilvl w:val="0"/>
          <w:numId w:val="75"/>
        </w:numPr>
        <w:rPr>
          <w:rFonts w:ascii="Arial" w:cs="Arial" w:eastAsia="Arial" w:hAnsi="Arial"/>
          <w:sz w:val="18"/>
          <w:szCs w:val="18"/>
          <w:i w:val="1"/>
          <w:iCs w:val="1"/>
          <w:color w:val="auto"/>
        </w:rPr>
      </w:pPr>
      <w:r>
        <w:rPr>
          <w:rFonts w:ascii="Arial" w:cs="Arial" w:eastAsia="Arial" w:hAnsi="Arial"/>
          <w:sz w:val="18"/>
          <w:szCs w:val="18"/>
          <w:color w:val="auto"/>
        </w:rPr>
        <w:t>= 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p>
      <w:pPr>
        <w:spacing w:after="0" w:line="184" w:lineRule="exact"/>
        <w:rPr>
          <w:sz w:val="20"/>
          <w:szCs w:val="20"/>
          <w:color w:val="auto"/>
        </w:rPr>
      </w:pPr>
    </w:p>
    <w:p>
      <w:pPr>
        <w:jc w:val="both"/>
        <w:ind w:left="40"/>
        <w:spacing w:after="0" w:line="255" w:lineRule="auto"/>
        <w:rPr>
          <w:sz w:val="20"/>
          <w:szCs w:val="20"/>
          <w:color w:val="auto"/>
        </w:rPr>
      </w:pPr>
      <w:r>
        <w:rPr>
          <w:rFonts w:ascii="Arial" w:cs="Arial" w:eastAsia="Arial" w:hAnsi="Arial"/>
          <w:sz w:val="18"/>
          <w:szCs w:val="18"/>
          <w:color w:val="auto"/>
        </w:rPr>
        <w:t>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options or warrants. To the extent such rights, options or warrants are not so distributed, the Conversion Rate will be readjusted to the Conversion Rate that would then be in effect had the Ex-Dividend Date for the distribution of such rights, options or warrants not occurred.</w:t>
      </w:r>
    </w:p>
    <w:p>
      <w:pPr>
        <w:spacing w:after="0" w:line="188" w:lineRule="exact"/>
        <w:rPr>
          <w:sz w:val="20"/>
          <w:szCs w:val="20"/>
          <w:color w:val="auto"/>
        </w:rPr>
      </w:pPr>
    </w:p>
    <w:p>
      <w:pPr>
        <w:jc w:val="both"/>
        <w:ind w:left="40"/>
        <w:spacing w:after="0" w:line="294"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b w:val="1"/>
          <w:bCs w:val="1"/>
          <w:color w:val="auto"/>
        </w:rPr>
        <w:t>Section 5.05(A)(ii)</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5.01(C)(i)(3)(a)(I)</w:t>
      </w:r>
      <w:r>
        <w:rPr>
          <w:rFonts w:ascii="Arial" w:cs="Arial" w:eastAsia="Arial" w:hAnsi="Arial"/>
          <w:sz w:val="16"/>
          <w:szCs w:val="16"/>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w:t>
      </w:r>
    </w:p>
    <w:p>
      <w:pPr>
        <w:spacing w:after="0" w:line="38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940" w:top="908" w:right="339" w:bottom="1440" w:gutter="0" w:footer="0" w:header="0"/>
        </w:sectPr>
      </w:pPr>
    </w:p>
    <w:bookmarkStart w:id="59" w:name="page60"/>
    <w:bookmarkEnd w:id="59"/>
    <w:p>
      <w:pPr>
        <w:ind w:left="2120" w:hanging="816"/>
        <w:spacing w:after="0"/>
        <w:tabs>
          <w:tab w:leader="none" w:pos="212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Spin-Offs and Other Distributed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3197"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Distributions Other than Spin-Offs</w:t>
      </w:r>
      <w:r>
        <w:rPr>
          <w:rFonts w:ascii="Arial" w:cs="Arial" w:eastAsia="Arial" w:hAnsi="Arial"/>
          <w:sz w:val="18"/>
          <w:szCs w:val="18"/>
          <w:color w:val="auto"/>
        </w:rPr>
        <w:t>. If the Company distributes shares of its Capital Stock, evidences of its</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or other assets or property of the Company, or rights, options or warrants to acquire Capital Stock of the Company or other securities, to all or substantially all holders of the Common Stock, excluding:</w:t>
      </w:r>
    </w:p>
    <w:p>
      <w:pPr>
        <w:spacing w:after="0" w:line="183" w:lineRule="exact"/>
        <w:rPr>
          <w:rFonts w:ascii="Arial" w:cs="Arial" w:eastAsia="Arial" w:hAnsi="Arial"/>
          <w:sz w:val="18"/>
          <w:szCs w:val="18"/>
          <w:color w:val="auto"/>
        </w:rPr>
      </w:pPr>
    </w:p>
    <w:p>
      <w:pPr>
        <w:ind w:left="1960" w:firstLine="640"/>
        <w:spacing w:after="0" w:line="277" w:lineRule="auto"/>
        <w:tabs>
          <w:tab w:leader="none" w:pos="3180"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dividends, distributions, rights, options or warrants for which an adjustment to the Conversion Rate is required (or would be required without regard to </w:t>
      </w:r>
      <w:r>
        <w:rPr>
          <w:rFonts w:ascii="Arial" w:cs="Arial" w:eastAsia="Arial" w:hAnsi="Arial"/>
          <w:sz w:val="18"/>
          <w:szCs w:val="18"/>
          <w:b w:val="1"/>
          <w:bCs w:val="1"/>
          <w:color w:val="auto"/>
        </w:rPr>
        <w:t>Section 5.05(C)</w:t>
      </w:r>
      <w:r>
        <w:rPr>
          <w:rFonts w:ascii="Arial" w:cs="Arial" w:eastAsia="Arial" w:hAnsi="Arial"/>
          <w:sz w:val="18"/>
          <w:szCs w:val="18"/>
          <w:color w:val="auto"/>
        </w:rPr>
        <w:t xml:space="preserve">) pursuant to Section </w:t>
      </w:r>
      <w:r>
        <w:rPr>
          <w:rFonts w:ascii="Arial" w:cs="Arial" w:eastAsia="Arial" w:hAnsi="Arial"/>
          <w:sz w:val="18"/>
          <w:szCs w:val="18"/>
          <w:b w:val="1"/>
          <w:bCs w:val="1"/>
          <w:color w:val="auto"/>
        </w:rPr>
        <w:t>5.05(A)(i)</w:t>
      </w:r>
      <w:r>
        <w:rPr>
          <w:rFonts w:ascii="Arial" w:cs="Arial" w:eastAsia="Arial" w:hAnsi="Arial"/>
          <w:sz w:val="18"/>
          <w:szCs w:val="18"/>
          <w:color w:val="auto"/>
        </w:rPr>
        <w:t xml:space="preserve"> or </w:t>
      </w:r>
      <w:r>
        <w:rPr>
          <w:rFonts w:ascii="Arial" w:cs="Arial" w:eastAsia="Arial" w:hAnsi="Arial"/>
          <w:sz w:val="18"/>
          <w:szCs w:val="18"/>
          <w:b w:val="1"/>
          <w:bCs w:val="1"/>
          <w:color w:val="auto"/>
        </w:rPr>
        <w:t>5.05(A)(ii)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firstLine="640"/>
        <w:spacing w:after="0" w:line="277" w:lineRule="auto"/>
        <w:tabs>
          <w:tab w:leader="none" w:pos="3194"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dividends or distributions paid exclusively in cash for which an adjustment to the Conversion Rate is required (or would be required without regard to </w:t>
      </w:r>
      <w:r>
        <w:rPr>
          <w:rFonts w:ascii="Arial" w:cs="Arial" w:eastAsia="Arial" w:hAnsi="Arial"/>
          <w:sz w:val="18"/>
          <w:szCs w:val="18"/>
          <w:b w:val="1"/>
          <w:bCs w:val="1"/>
          <w:color w:val="auto"/>
        </w:rPr>
        <w:t>Section 5.05(C)</w:t>
      </w:r>
      <w:r>
        <w:rPr>
          <w:rFonts w:ascii="Arial" w:cs="Arial" w:eastAsia="Arial" w:hAnsi="Arial"/>
          <w:sz w:val="18"/>
          <w:szCs w:val="18"/>
          <w:color w:val="auto"/>
        </w:rPr>
        <w:t xml:space="preserve">) pursuant to </w:t>
      </w:r>
      <w:r>
        <w:rPr>
          <w:rFonts w:ascii="Arial" w:cs="Arial" w:eastAsia="Arial" w:hAnsi="Arial"/>
          <w:sz w:val="18"/>
          <w:szCs w:val="18"/>
          <w:b w:val="1"/>
          <w:bCs w:val="1"/>
          <w:color w:val="auto"/>
        </w:rPr>
        <w:t>Section 5.05(A)(iv)</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3280" w:hanging="680"/>
        <w:spacing w:after="0"/>
        <w:tabs>
          <w:tab w:leader="none" w:pos="3280" w:val="left"/>
        </w:tabs>
        <w:numPr>
          <w:ilvl w:val="2"/>
          <w:numId w:val="76"/>
        </w:numPr>
        <w:rPr>
          <w:rFonts w:ascii="Arial" w:cs="Arial" w:eastAsia="Arial" w:hAnsi="Arial"/>
          <w:sz w:val="16"/>
          <w:szCs w:val="16"/>
          <w:color w:val="auto"/>
        </w:rPr>
      </w:pPr>
      <w:r>
        <w:rPr>
          <w:rFonts w:ascii="Arial" w:cs="Arial" w:eastAsia="Arial" w:hAnsi="Arial"/>
          <w:sz w:val="16"/>
          <w:szCs w:val="16"/>
          <w:color w:val="auto"/>
        </w:rPr>
        <w:t>rights issued or otherwise distributed pursuant to a stockholder rights plan, except to the extent provided in</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b w:val="1"/>
          <w:bCs w:val="1"/>
          <w:color w:val="auto"/>
        </w:rPr>
        <w:t>Section 5.05(F)</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960" w:firstLine="640"/>
        <w:spacing w:after="0" w:line="277" w:lineRule="auto"/>
        <w:tabs>
          <w:tab w:leader="none" w:pos="3196"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Spin-Offs for which an adjustment to the Conversion Rate is required (or would be required without regard to </w:t>
      </w:r>
      <w:r>
        <w:rPr>
          <w:rFonts w:ascii="Arial" w:cs="Arial" w:eastAsia="Arial" w:hAnsi="Arial"/>
          <w:sz w:val="18"/>
          <w:szCs w:val="18"/>
          <w:b w:val="1"/>
          <w:bCs w:val="1"/>
          <w:color w:val="auto"/>
        </w:rPr>
        <w:t>Section 5.05(C)</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Section 5.05(A)(iii)(2)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firstLine="640"/>
        <w:spacing w:after="0" w:line="277" w:lineRule="auto"/>
        <w:tabs>
          <w:tab w:leader="none" w:pos="3269"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a distribution solely pursuant to a tender offer or exchange offer for shares of Common Stock, as to which </w:t>
      </w:r>
      <w:r>
        <w:rPr>
          <w:rFonts w:ascii="Arial" w:cs="Arial" w:eastAsia="Arial" w:hAnsi="Arial"/>
          <w:sz w:val="18"/>
          <w:szCs w:val="18"/>
          <w:b w:val="1"/>
          <w:bCs w:val="1"/>
          <w:color w:val="auto"/>
        </w:rPr>
        <w:t xml:space="preserve">Section 5.05(A)(v) </w:t>
      </w:r>
      <w:r>
        <w:rPr>
          <w:rFonts w:ascii="Arial" w:cs="Arial" w:eastAsia="Arial" w:hAnsi="Arial"/>
          <w:sz w:val="18"/>
          <w:szCs w:val="18"/>
          <w:color w:val="auto"/>
        </w:rPr>
        <w:t>will apply; and</w:t>
      </w:r>
    </w:p>
    <w:p>
      <w:pPr>
        <w:spacing w:after="0" w:line="166" w:lineRule="exact"/>
        <w:rPr>
          <w:rFonts w:ascii="Arial" w:cs="Arial" w:eastAsia="Arial" w:hAnsi="Arial"/>
          <w:sz w:val="18"/>
          <w:szCs w:val="18"/>
          <w:color w:val="auto"/>
        </w:rPr>
      </w:pPr>
    </w:p>
    <w:p>
      <w:pPr>
        <w:ind w:left="3120" w:hanging="520"/>
        <w:spacing w:after="0"/>
        <w:tabs>
          <w:tab w:leader="none" w:pos="31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a distribution solely pursuant to a Common Stock Change Event, as to which </w:t>
      </w:r>
      <w:r>
        <w:rPr>
          <w:rFonts w:ascii="Arial" w:cs="Arial" w:eastAsia="Arial" w:hAnsi="Arial"/>
          <w:sz w:val="18"/>
          <w:szCs w:val="18"/>
          <w:b w:val="1"/>
          <w:bCs w:val="1"/>
          <w:color w:val="auto"/>
        </w:rPr>
        <w:t>Section 5.09</w:t>
      </w:r>
      <w:r>
        <w:rPr>
          <w:rFonts w:ascii="Arial" w:cs="Arial" w:eastAsia="Arial" w:hAnsi="Arial"/>
          <w:sz w:val="18"/>
          <w:szCs w:val="18"/>
          <w:color w:val="auto"/>
        </w:rPr>
        <w:t xml:space="preserve"> will apply,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151765</wp:posOffset>
            </wp:positionV>
            <wp:extent cx="1517015" cy="462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0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gridSpan w:val="2"/>
          </w:tcPr>
          <w:p>
            <w:pPr>
              <w:ind w:left="1300"/>
              <w:spacing w:after="0"/>
              <w:rPr>
                <w:sz w:val="20"/>
                <w:szCs w:val="20"/>
                <w:color w:val="auto"/>
              </w:rPr>
            </w:pPr>
            <w:r>
              <w:rPr>
                <w:rFonts w:ascii="Arial" w:cs="Arial" w:eastAsia="Arial" w:hAnsi="Arial"/>
                <w:sz w:val="18"/>
                <w:szCs w:val="18"/>
                <w:color w:val="auto"/>
              </w:rPr>
              <w:t>where:</w:t>
            </w:r>
          </w:p>
        </w:tc>
        <w:tc>
          <w:tcPr>
            <w:tcW w:w="9260" w:type="dxa"/>
            <w:vAlign w:val="bottom"/>
          </w:tcPr>
          <w:p>
            <w:pPr>
              <w:spacing w:after="0"/>
              <w:rPr>
                <w:sz w:val="20"/>
                <w:szCs w:val="20"/>
                <w:color w:val="auto"/>
              </w:rPr>
            </w:pPr>
          </w:p>
        </w:tc>
      </w:tr>
      <w:tr>
        <w:trPr>
          <w:trHeight w:val="463"/>
        </w:trPr>
        <w:tc>
          <w:tcPr>
            <w:tcW w:w="1680" w:type="dxa"/>
            <w:vAlign w:val="bottom"/>
          </w:tcPr>
          <w:p>
            <w:pPr>
              <w:ind w:left="1300"/>
              <w:spacing w:after="0"/>
              <w:rPr>
                <w:sz w:val="20"/>
                <w:szCs w:val="20"/>
                <w:color w:val="auto"/>
              </w:rPr>
            </w:pPr>
            <w:r>
              <w:rPr>
                <w:rFonts w:ascii="Arial" w:cs="Arial" w:eastAsia="Arial" w:hAnsi="Arial"/>
                <w:sz w:val="18"/>
                <w:szCs w:val="18"/>
                <w:i w:val="1"/>
                <w:iCs w:val="1"/>
                <w:color w:val="auto"/>
                <w:w w:val="97"/>
              </w:rPr>
              <w:t>CR</w:t>
            </w:r>
            <w:r>
              <w:rPr>
                <w:rFonts w:ascii="Arial" w:cs="Arial" w:eastAsia="Arial" w:hAnsi="Arial"/>
                <w:sz w:val="29"/>
                <w:szCs w:val="29"/>
                <w:i w:val="1"/>
                <w:iCs w:val="1"/>
                <w:color w:val="auto"/>
                <w:w w:val="97"/>
                <w:vertAlign w:val="subscript"/>
              </w:rPr>
              <w:t>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60" w:type="dxa"/>
            <w:vAlign w:val="bottom"/>
          </w:tcPr>
          <w:p>
            <w:pPr>
              <w:ind w:left="100"/>
              <w:spacing w:after="0"/>
              <w:rPr>
                <w:sz w:val="20"/>
                <w:szCs w:val="20"/>
                <w:color w:val="auto"/>
              </w:rPr>
            </w:pPr>
            <w:r>
              <w:rPr>
                <w:rFonts w:ascii="Arial" w:cs="Arial" w:eastAsia="Arial" w:hAnsi="Arial"/>
                <w:sz w:val="18"/>
                <w:szCs w:val="18"/>
                <w:color w:val="auto"/>
                <w:w w:val="98"/>
              </w:rPr>
              <w:t>the Conversion Rate in effect immediately before the Open of Business on the Ex-Dividend Date for such distribution;</w:t>
            </w:r>
          </w:p>
        </w:tc>
      </w:tr>
      <w:tr>
        <w:trPr>
          <w:trHeight w:val="445"/>
        </w:trPr>
        <w:tc>
          <w:tcPr>
            <w:tcW w:w="1680" w:type="dxa"/>
            <w:vAlign w:val="bottom"/>
          </w:tcPr>
          <w:p>
            <w:pPr>
              <w:ind w:left="1300"/>
              <w:spacing w:after="0"/>
              <w:rPr>
                <w:sz w:val="20"/>
                <w:szCs w:val="20"/>
                <w:color w:val="auto"/>
              </w:rPr>
            </w:pPr>
            <w:r>
              <w:rPr>
                <w:rFonts w:ascii="Arial" w:cs="Arial" w:eastAsia="Arial" w:hAnsi="Arial"/>
                <w:sz w:val="18"/>
                <w:szCs w:val="18"/>
                <w:i w:val="1"/>
                <w:iCs w:val="1"/>
                <w:color w:val="auto"/>
                <w:w w:val="97"/>
              </w:rPr>
              <w:t>CR</w:t>
            </w:r>
            <w:r>
              <w:rPr>
                <w:rFonts w:ascii="Arial" w:cs="Arial" w:eastAsia="Arial" w:hAnsi="Arial"/>
                <w:sz w:val="29"/>
                <w:szCs w:val="29"/>
                <w:i w:val="1"/>
                <w:iCs w:val="1"/>
                <w:color w:val="auto"/>
                <w:w w:val="97"/>
                <w:vertAlign w:val="subscript"/>
              </w:rPr>
              <w:t>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60" w:type="dxa"/>
            <w:vAlign w:val="bottom"/>
          </w:tcPr>
          <w:p>
            <w:pPr>
              <w:ind w:left="10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01"/>
        </w:trPr>
        <w:tc>
          <w:tcPr>
            <w:tcW w:w="1680" w:type="dxa"/>
            <w:vAlign w:val="bottom"/>
          </w:tcPr>
          <w:p>
            <w:pPr>
              <w:ind w:left="1300"/>
              <w:spacing w:after="0"/>
              <w:rPr>
                <w:sz w:val="20"/>
                <w:szCs w:val="20"/>
                <w:color w:val="auto"/>
              </w:rPr>
            </w:pPr>
            <w:r>
              <w:rPr>
                <w:rFonts w:ascii="Arial" w:cs="Arial" w:eastAsia="Arial" w:hAnsi="Arial"/>
                <w:sz w:val="18"/>
                <w:szCs w:val="18"/>
                <w:i w:val="1"/>
                <w:iCs w:val="1"/>
                <w:color w:val="auto"/>
              </w:rPr>
              <w:t>SP</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60" w:type="dxa"/>
            <w:vAlign w:val="bottom"/>
          </w:tcPr>
          <w:p>
            <w:pPr>
              <w:ind w:left="100"/>
              <w:spacing w:after="0"/>
              <w:rPr>
                <w:sz w:val="20"/>
                <w:szCs w:val="20"/>
                <w:color w:val="auto"/>
              </w:rPr>
            </w:pPr>
            <w:r>
              <w:rPr>
                <w:rFonts w:ascii="Arial" w:cs="Arial" w:eastAsia="Arial" w:hAnsi="Arial"/>
                <w:sz w:val="18"/>
                <w:szCs w:val="18"/>
                <w:color w:val="auto"/>
                <w:w w:val="90"/>
              </w:rPr>
              <w:t>the average of the Last Reported Sale Prices per share of Common Stock for the ten (10) consecutive Trading Days ending on,</w:t>
            </w:r>
          </w:p>
        </w:tc>
      </w:tr>
      <w:tr>
        <w:trPr>
          <w:trHeight w:val="230"/>
        </w:trPr>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60" w:type="dxa"/>
            <w:vAlign w:val="bottom"/>
          </w:tcPr>
          <w:p>
            <w:pPr>
              <w:ind w:left="100"/>
              <w:spacing w:after="0"/>
              <w:rPr>
                <w:sz w:val="20"/>
                <w:szCs w:val="20"/>
                <w:color w:val="auto"/>
              </w:rPr>
            </w:pPr>
            <w:r>
              <w:rPr>
                <w:rFonts w:ascii="Arial" w:cs="Arial" w:eastAsia="Arial" w:hAnsi="Arial"/>
                <w:sz w:val="18"/>
                <w:szCs w:val="18"/>
                <w:color w:val="auto"/>
              </w:rPr>
              <w:t>and including, the Trading Day immediately before such Ex-Dividend Date; and</w:t>
            </w:r>
          </w:p>
        </w:tc>
      </w:tr>
      <w:tr>
        <w:trPr>
          <w:trHeight w:val="418"/>
        </w:trPr>
        <w:tc>
          <w:tcPr>
            <w:tcW w:w="1980" w:type="dxa"/>
            <w:vAlign w:val="bottom"/>
            <w:gridSpan w:val="2"/>
          </w:tcPr>
          <w:p>
            <w:pPr>
              <w:ind w:left="1300"/>
              <w:spacing w:after="0"/>
              <w:rPr>
                <w:sz w:val="20"/>
                <w:szCs w:val="20"/>
                <w:color w:val="auto"/>
              </w:rPr>
            </w:pPr>
            <w:r>
              <w:rPr>
                <w:rFonts w:ascii="Arial" w:cs="Arial" w:eastAsia="Arial" w:hAnsi="Arial"/>
                <w:sz w:val="18"/>
                <w:szCs w:val="18"/>
                <w:i w:val="1"/>
                <w:iCs w:val="1"/>
                <w:color w:val="auto"/>
              </w:rPr>
              <w:t xml:space="preserve">FMV </w:t>
            </w:r>
            <w:r>
              <w:rPr>
                <w:rFonts w:ascii="Arial" w:cs="Arial" w:eastAsia="Arial" w:hAnsi="Arial"/>
                <w:sz w:val="18"/>
                <w:szCs w:val="18"/>
                <w:color w:val="auto"/>
              </w:rPr>
              <w:t>=</w:t>
            </w:r>
          </w:p>
        </w:tc>
        <w:tc>
          <w:tcPr>
            <w:tcW w:w="9260" w:type="dxa"/>
            <w:vAlign w:val="bottom"/>
          </w:tcPr>
          <w:p>
            <w:pPr>
              <w:ind w:left="100"/>
              <w:spacing w:after="0"/>
              <w:rPr>
                <w:sz w:val="20"/>
                <w:szCs w:val="20"/>
                <w:color w:val="auto"/>
              </w:rPr>
            </w:pPr>
            <w:r>
              <w:rPr>
                <w:rFonts w:ascii="Arial" w:cs="Arial" w:eastAsia="Arial" w:hAnsi="Arial"/>
                <w:sz w:val="18"/>
                <w:szCs w:val="18"/>
                <w:color w:val="auto"/>
                <w:w w:val="94"/>
              </w:rPr>
              <w:t>the fair market value (as determined by the Company in good faith), as of such Ex-Dividend Date, of the shares of Capital</w:t>
            </w:r>
          </w:p>
        </w:tc>
      </w:tr>
      <w:tr>
        <w:trPr>
          <w:trHeight w:val="216"/>
        </w:trPr>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60" w:type="dxa"/>
            <w:vAlign w:val="bottom"/>
          </w:tcPr>
          <w:p>
            <w:pPr>
              <w:ind w:left="100"/>
              <w:spacing w:after="0"/>
              <w:rPr>
                <w:sz w:val="20"/>
                <w:szCs w:val="20"/>
                <w:color w:val="auto"/>
              </w:rPr>
            </w:pPr>
            <w:r>
              <w:rPr>
                <w:rFonts w:ascii="Arial" w:cs="Arial" w:eastAsia="Arial" w:hAnsi="Arial"/>
                <w:sz w:val="18"/>
                <w:szCs w:val="18"/>
                <w:color w:val="auto"/>
                <w:w w:val="90"/>
              </w:rPr>
              <w:t>Stock, evidences of indebtedness, assets, property, rights, options or warrants distributed per share of Common Stock pursuant</w:t>
            </w:r>
          </w:p>
        </w:tc>
      </w:tr>
      <w:tr>
        <w:trPr>
          <w:trHeight w:val="230"/>
        </w:trPr>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60" w:type="dxa"/>
            <w:vAlign w:val="bottom"/>
          </w:tcPr>
          <w:p>
            <w:pPr>
              <w:ind w:left="100"/>
              <w:spacing w:after="0"/>
              <w:rPr>
                <w:sz w:val="20"/>
                <w:szCs w:val="20"/>
                <w:color w:val="auto"/>
              </w:rPr>
            </w:pPr>
            <w:r>
              <w:rPr>
                <w:rFonts w:ascii="Arial" w:cs="Arial" w:eastAsia="Arial" w:hAnsi="Arial"/>
                <w:sz w:val="18"/>
                <w:szCs w:val="18"/>
                <w:color w:val="auto"/>
              </w:rPr>
              <w:t>to such distribution;</w:t>
            </w:r>
          </w:p>
        </w:tc>
      </w:tr>
      <w:tr>
        <w:trPr>
          <w:trHeight w:val="648"/>
        </w:trPr>
        <w:tc>
          <w:tcPr>
            <w:tcW w:w="1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ind w:left="3440"/>
              <w:spacing w:after="0"/>
              <w:rPr>
                <w:sz w:val="20"/>
                <w:szCs w:val="20"/>
                <w:color w:val="auto"/>
              </w:rPr>
            </w:pPr>
            <w:r>
              <w:rPr>
                <w:rFonts w:ascii="Arial" w:cs="Arial" w:eastAsia="Arial" w:hAnsi="Arial"/>
                <w:sz w:val="18"/>
                <w:szCs w:val="18"/>
                <w:color w:val="auto"/>
              </w:rPr>
              <w:t>- 51 -</w:t>
            </w:r>
          </w:p>
        </w:tc>
      </w:tr>
    </w:tbl>
    <w:p>
      <w:pPr>
        <w:sectPr>
          <w:pgSz w:w="11900" w:h="16838" w:orient="portrait"/>
          <w:cols w:equalWidth="0" w:num="1">
            <w:col w:w="11240"/>
          </w:cols>
          <w:pgMar w:left="320" w:top="908" w:right="339" w:bottom="1440" w:gutter="0" w:footer="0" w:header="0"/>
        </w:sectPr>
      </w:pPr>
    </w:p>
    <w:bookmarkStart w:id="60" w:name="page61"/>
    <w:bookmarkEnd w:id="60"/>
    <w:p>
      <w:pPr>
        <w:jc w:val="both"/>
        <w:ind w:left="180"/>
        <w:spacing w:after="0" w:line="29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w:t>
      </w:r>
      <w:r>
        <w:rPr>
          <w:rFonts w:ascii="Arial" w:cs="Arial" w:eastAsia="Arial" w:hAnsi="Arial"/>
          <w:sz w:val="16"/>
          <w:szCs w:val="16"/>
          <w:i w:val="1"/>
          <w:iCs w:val="1"/>
          <w:color w:val="auto"/>
        </w:rPr>
        <w:t xml:space="preserve"> FMV </w:t>
      </w:r>
      <w:r>
        <w:rPr>
          <w:rFonts w:ascii="Arial" w:cs="Arial" w:eastAsia="Arial" w:hAnsi="Arial"/>
          <w:sz w:val="16"/>
          <w:szCs w:val="16"/>
          <w:color w:val="auto"/>
        </w:rPr>
        <w:t>is equal to or greater than</w:t>
      </w:r>
      <w:r>
        <w:rPr>
          <w:rFonts w:ascii="Arial" w:cs="Arial" w:eastAsia="Arial" w:hAnsi="Arial"/>
          <w:sz w:val="16"/>
          <w:szCs w:val="16"/>
          <w:i w:val="1"/>
          <w:iCs w:val="1"/>
          <w:color w:val="auto"/>
        </w:rPr>
        <w:t xml:space="preserve"> SP</w:t>
      </w:r>
      <w:r>
        <w:rPr>
          <w:rFonts w:ascii="Arial" w:cs="Arial" w:eastAsia="Arial" w:hAnsi="Arial"/>
          <w:sz w:val="16"/>
          <w:szCs w:val="16"/>
          <w:color w:val="auto"/>
        </w:rPr>
        <w:t>, then, in lieu of the foregoing adjustment to the Conversion Rate, each</w:t>
      </w:r>
      <w:r>
        <w:rPr>
          <w:rFonts w:ascii="Arial" w:cs="Arial" w:eastAsia="Arial" w:hAnsi="Arial"/>
          <w:sz w:val="16"/>
          <w:szCs w:val="16"/>
          <w:i w:val="1"/>
          <w:iCs w:val="1"/>
          <w:color w:val="auto"/>
        </w:rPr>
        <w:t xml:space="preserve"> </w:t>
      </w:r>
      <w:r>
        <w:rPr>
          <w:rFonts w:ascii="Arial" w:cs="Arial" w:eastAsia="Arial" w:hAnsi="Arial"/>
          <w:sz w:val="16"/>
          <w:szCs w:val="16"/>
          <w:color w:val="auto"/>
        </w:rPr>
        <w:t>Holder will receive, for each $1,000 principal amount of Notes held by such Holder on the record date for such distribution, at the same time and on the same terms as holders of Common Stock, without having to convert its Notes, 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w:t>
      </w:r>
    </w:p>
    <w:p>
      <w:pPr>
        <w:spacing w:after="0" w:line="161" w:lineRule="exact"/>
        <w:rPr>
          <w:sz w:val="20"/>
          <w:szCs w:val="20"/>
          <w:color w:val="auto"/>
        </w:rPr>
      </w:pPr>
    </w:p>
    <w:p>
      <w:pPr>
        <w:jc w:val="both"/>
        <w:ind w:left="180" w:right="20"/>
        <w:spacing w:after="0" w:line="277" w:lineRule="auto"/>
        <w:rPr>
          <w:sz w:val="20"/>
          <w:szCs w:val="20"/>
          <w:color w:val="auto"/>
        </w:rPr>
      </w:pPr>
      <w:r>
        <w:rPr>
          <w:rFonts w:ascii="Arial" w:cs="Arial" w:eastAsia="Arial" w:hAnsi="Arial"/>
          <w:sz w:val="18"/>
          <w:szCs w:val="18"/>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170" w:lineRule="exact"/>
        <w:rPr>
          <w:sz w:val="20"/>
          <w:szCs w:val="20"/>
          <w:color w:val="auto"/>
        </w:rPr>
      </w:pPr>
    </w:p>
    <w:p>
      <w:pPr>
        <w:jc w:val="both"/>
        <w:ind w:left="180" w:firstLine="652"/>
        <w:spacing w:after="0" w:line="321" w:lineRule="auto"/>
        <w:tabs>
          <w:tab w:leader="none" w:pos="182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Spin-Offs</w:t>
      </w:r>
      <w:r>
        <w:rPr>
          <w:rFonts w:ascii="Arial" w:cs="Arial" w:eastAsia="Arial" w:hAnsi="Arial"/>
          <w:sz w:val="16"/>
          <w:szCs w:val="16"/>
          <w:color w:val="auto"/>
        </w:rPr>
        <w:t>. If the Company distributes or dividends shares of Capital Stock of any class or series, or similar equity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interests, of or relating to an Affiliate, a Subsidiary or other business unit of the Company to all or substantially all holders of the Common Stock (other than solely pursuant to (x) a Common Stock Change Event, as to which </w:t>
      </w:r>
      <w:r>
        <w:rPr>
          <w:rFonts w:ascii="Arial" w:cs="Arial" w:eastAsia="Arial" w:hAnsi="Arial"/>
          <w:sz w:val="16"/>
          <w:szCs w:val="16"/>
          <w:b w:val="1"/>
          <w:bCs w:val="1"/>
          <w:color w:val="auto"/>
        </w:rPr>
        <w:t>Section 5.09</w:t>
      </w:r>
      <w:r>
        <w:rPr>
          <w:rFonts w:ascii="Arial" w:cs="Arial" w:eastAsia="Arial" w:hAnsi="Arial"/>
          <w:sz w:val="16"/>
          <w:szCs w:val="16"/>
          <w:color w:val="auto"/>
        </w:rPr>
        <w:t xml:space="preserve"> will apply; or (y) a tender</w:t>
      </w:r>
    </w:p>
    <w:p>
      <w:pPr>
        <w:jc w:val="both"/>
        <w:ind w:left="180"/>
        <w:spacing w:after="0" w:line="274" w:lineRule="auto"/>
        <w:rPr>
          <w:sz w:val="20"/>
          <w:szCs w:val="20"/>
          <w:color w:val="auto"/>
        </w:rPr>
      </w:pPr>
      <w:r>
        <w:rPr>
          <w:rFonts w:ascii="Arial" w:cs="Arial" w:eastAsia="Arial" w:hAnsi="Arial"/>
          <w:sz w:val="18"/>
          <w:szCs w:val="18"/>
          <w:color w:val="auto"/>
        </w:rPr>
        <w:t xml:space="preserve">offer or exchange offer for shares of Common Stock, as to which </w:t>
      </w:r>
      <w:r>
        <w:rPr>
          <w:rFonts w:ascii="Arial" w:cs="Arial" w:eastAsia="Arial" w:hAnsi="Arial"/>
          <w:sz w:val="18"/>
          <w:szCs w:val="18"/>
          <w:b w:val="1"/>
          <w:bCs w:val="1"/>
          <w:color w:val="auto"/>
        </w:rPr>
        <w:t>Section 5.05(A)(v)</w:t>
      </w:r>
      <w:r>
        <w:rPr>
          <w:rFonts w:ascii="Arial" w:cs="Arial" w:eastAsia="Arial" w:hAnsi="Arial"/>
          <w:sz w:val="18"/>
          <w:szCs w:val="18"/>
          <w:color w:val="auto"/>
        </w:rPr>
        <w:t xml:space="preserve"> will apply), and such Capital Stock or equity interests are listed or quoted (or will be listed or quoted upon the consummation of the transaction)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118745</wp:posOffset>
            </wp:positionV>
            <wp:extent cx="1508760" cy="3771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087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w:t>
      </w:r>
    </w:p>
    <w:p>
      <w:pPr>
        <w:spacing w:after="0" w:line="96" w:lineRule="exact"/>
        <w:rPr>
          <w:sz w:val="20"/>
          <w:szCs w:val="20"/>
          <w:color w:val="auto"/>
        </w:rPr>
      </w:pPr>
    </w:p>
    <w:p>
      <w:pPr>
        <w:jc w:val="both"/>
        <w:ind w:left="640" w:hanging="782"/>
        <w:spacing w:after="0" w:line="277" w:lineRule="auto"/>
        <w:tabs>
          <w:tab w:leader="none" w:pos="620" w:val="left"/>
        </w:tabs>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0</w:t>
      </w:r>
      <w:r>
        <w:rPr>
          <w:sz w:val="20"/>
          <w:szCs w:val="20"/>
          <w:color w:val="auto"/>
        </w:rPr>
        <w:tab/>
      </w:r>
      <w:r>
        <w:rPr>
          <w:rFonts w:ascii="Arial" w:cs="Arial" w:eastAsia="Arial" w:hAnsi="Arial"/>
          <w:sz w:val="18"/>
          <w:szCs w:val="18"/>
          <w:color w:val="auto"/>
        </w:rPr>
        <w:t>= the Conversion Rate in effect immediately before the Close of Business on the last Trading Day of the Spin-Off Valuation Period for such Spin-Off;</w:t>
      </w:r>
    </w:p>
    <w:p>
      <w:pPr>
        <w:spacing w:after="0" w:line="170" w:lineRule="exact"/>
        <w:rPr>
          <w:sz w:val="20"/>
          <w:szCs w:val="20"/>
          <w:color w:val="auto"/>
        </w:rPr>
      </w:pPr>
    </w:p>
    <w:p>
      <w:pPr>
        <w:jc w:val="both"/>
        <w:ind w:left="640" w:hanging="782"/>
        <w:spacing w:after="0" w:line="277" w:lineRule="auto"/>
        <w:tabs>
          <w:tab w:leader="none" w:pos="620" w:val="left"/>
        </w:tabs>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1</w:t>
      </w:r>
      <w:r>
        <w:rPr>
          <w:sz w:val="20"/>
          <w:szCs w:val="20"/>
          <w:color w:val="auto"/>
        </w:rPr>
        <w:tab/>
      </w:r>
      <w:r>
        <w:rPr>
          <w:rFonts w:ascii="Arial" w:cs="Arial" w:eastAsia="Arial" w:hAnsi="Arial"/>
          <w:sz w:val="18"/>
          <w:szCs w:val="18"/>
          <w:color w:val="auto"/>
        </w:rPr>
        <w:t>= the Conversion Rate in effect immediately after the Close of Business on the last Trading Day of the Spin-Off Valuation Period;</w:t>
      </w:r>
    </w:p>
    <w:p>
      <w:pPr>
        <w:spacing w:after="0" w:line="299" w:lineRule="exact"/>
        <w:rPr>
          <w:sz w:val="20"/>
          <w:szCs w:val="20"/>
          <w:color w:val="auto"/>
        </w:rPr>
      </w:pPr>
    </w:p>
    <w:p>
      <w:pPr>
        <w:jc w:val="both"/>
        <w:ind w:left="960" w:hanging="782"/>
        <w:spacing w:after="0" w:line="255" w:lineRule="auto"/>
        <w:tabs>
          <w:tab w:leader="none" w:pos="940" w:val="left"/>
        </w:tabs>
        <w:rPr>
          <w:sz w:val="20"/>
          <w:szCs w:val="20"/>
          <w:color w:val="auto"/>
        </w:rPr>
      </w:pPr>
      <w:r>
        <w:rPr>
          <w:rFonts w:ascii="Arial" w:cs="Arial" w:eastAsia="Arial" w:hAnsi="Arial"/>
          <w:sz w:val="18"/>
          <w:szCs w:val="18"/>
          <w:i w:val="1"/>
          <w:iCs w:val="1"/>
          <w:color w:val="auto"/>
        </w:rPr>
        <w:t xml:space="preserve">FMV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product of (x) the average of the Last Reported Sale Prices per share or unit of the Capital Stock or equity interests distributed in such Spin-Off over the ten (10) consecutive Trading Day period (the “</w:t>
      </w:r>
      <w:r>
        <w:rPr>
          <w:rFonts w:ascii="Arial" w:cs="Arial" w:eastAsia="Arial" w:hAnsi="Arial"/>
          <w:sz w:val="18"/>
          <w:szCs w:val="18"/>
          <w:b w:val="1"/>
          <w:bCs w:val="1"/>
          <w:color w:val="auto"/>
        </w:rPr>
        <w:t>Spin-Off Valuation Period</w:t>
      </w:r>
      <w:r>
        <w:rPr>
          <w:rFonts w:ascii="Arial" w:cs="Arial" w:eastAsia="Arial" w:hAnsi="Arial"/>
          <w:sz w:val="18"/>
          <w:szCs w:val="18"/>
          <w:color w:val="auto"/>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p>
      <w:pPr>
        <w:spacing w:after="0" w:line="192" w:lineRule="exact"/>
        <w:rPr>
          <w:sz w:val="20"/>
          <w:szCs w:val="20"/>
          <w:color w:val="auto"/>
        </w:rPr>
      </w:pPr>
    </w:p>
    <w:p>
      <w:pPr>
        <w:jc w:val="both"/>
        <w:ind w:left="640" w:right="20" w:hanging="782"/>
        <w:spacing w:after="0" w:line="277" w:lineRule="auto"/>
        <w:tabs>
          <w:tab w:leader="none" w:pos="620" w:val="left"/>
        </w:tabs>
        <w:rPr>
          <w:sz w:val="20"/>
          <w:szCs w:val="20"/>
          <w:color w:val="auto"/>
        </w:rPr>
      </w:pPr>
      <w:r>
        <w:rPr>
          <w:rFonts w:ascii="Arial" w:cs="Arial" w:eastAsia="Arial" w:hAnsi="Arial"/>
          <w:sz w:val="18"/>
          <w:szCs w:val="18"/>
          <w:i w:val="1"/>
          <w:iCs w:val="1"/>
          <w:color w:val="auto"/>
        </w:rPr>
        <w:t>SP</w:t>
      </w:r>
      <w:r>
        <w:rPr>
          <w:sz w:val="20"/>
          <w:szCs w:val="20"/>
          <w:color w:val="auto"/>
        </w:rPr>
        <w:tab/>
      </w:r>
      <w:r>
        <w:rPr>
          <w:rFonts w:ascii="Arial" w:cs="Arial" w:eastAsia="Arial" w:hAnsi="Arial"/>
          <w:sz w:val="18"/>
          <w:szCs w:val="18"/>
          <w:color w:val="auto"/>
        </w:rPr>
        <w:t>= the average of the Last Reported Sale Prices per share of Common Stock for each Trading Day in the Spin-Off Valuation Period.</w:t>
      </w:r>
    </w:p>
    <w:p>
      <w:pPr>
        <w:spacing w:after="0" w:line="38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1" w:name="page62"/>
    <w:bookmarkEnd w:id="61"/>
    <w:p>
      <w:pPr>
        <w:jc w:val="both"/>
        <w:ind w:left="680"/>
        <w:spacing w:after="0" w:line="254"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b w:val="1"/>
          <w:bCs w:val="1"/>
          <w:color w:val="auto"/>
        </w:rPr>
        <w:t>Section 5.05(A)(iii)(2)</w:t>
      </w:r>
      <w:r>
        <w:rPr>
          <w:rFonts w:ascii="Arial" w:cs="Arial" w:eastAsia="Arial" w:hAnsi="Arial"/>
          <w:sz w:val="18"/>
          <w:szCs w:val="18"/>
          <w:color w:val="auto"/>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spacing w:after="0" w:line="188" w:lineRule="exact"/>
        <w:rPr>
          <w:sz w:val="20"/>
          <w:szCs w:val="20"/>
          <w:color w:val="auto"/>
        </w:rPr>
      </w:pPr>
    </w:p>
    <w:p>
      <w:pPr>
        <w:jc w:val="both"/>
        <w:ind w:left="680"/>
        <w:spacing w:after="0" w:line="266" w:lineRule="auto"/>
        <w:rPr>
          <w:sz w:val="20"/>
          <w:szCs w:val="20"/>
          <w:color w:val="auto"/>
        </w:rPr>
      </w:pPr>
      <w:r>
        <w:rPr>
          <w:rFonts w:ascii="Arial" w:cs="Arial" w:eastAsia="Arial" w:hAnsi="Arial"/>
          <w:sz w:val="18"/>
          <w:szCs w:val="18"/>
          <w:color w:val="auto"/>
        </w:rPr>
        <w:t xml:space="preserve">To the extent any dividend or distribution of the type set forth in this </w:t>
      </w:r>
      <w:r>
        <w:rPr>
          <w:rFonts w:ascii="Arial" w:cs="Arial" w:eastAsia="Arial" w:hAnsi="Arial"/>
          <w:sz w:val="18"/>
          <w:szCs w:val="18"/>
          <w:b w:val="1"/>
          <w:bCs w:val="1"/>
          <w:color w:val="auto"/>
        </w:rPr>
        <w:t>Section 5.05(A)(iii)(2)</w:t>
      </w:r>
      <w:r>
        <w:rPr>
          <w:rFonts w:ascii="Arial" w:cs="Arial" w:eastAsia="Arial" w:hAnsi="Arial"/>
          <w:sz w:val="18"/>
          <w:szCs w:val="18"/>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180" w:lineRule="exact"/>
        <w:rPr>
          <w:sz w:val="20"/>
          <w:szCs w:val="20"/>
          <w:color w:val="auto"/>
        </w:rPr>
      </w:pPr>
    </w:p>
    <w:p>
      <w:pPr>
        <w:ind w:left="40" w:right="20" w:firstLine="644"/>
        <w:spacing w:after="0" w:line="277" w:lineRule="auto"/>
        <w:tabs>
          <w:tab w:leader="none" w:pos="1627"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Cash Dividends or Distributions</w:t>
      </w:r>
      <w:r>
        <w:rPr>
          <w:rFonts w:ascii="Arial" w:cs="Arial" w:eastAsia="Arial" w:hAnsi="Arial"/>
          <w:sz w:val="18"/>
          <w:szCs w:val="18"/>
          <w:color w:val="auto"/>
        </w:rPr>
        <w:t>. If any cash dividend or distribution is made to all or substantially all holders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117475</wp:posOffset>
            </wp:positionV>
            <wp:extent cx="1294130" cy="420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941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gridSpan w:val="2"/>
          </w:tcPr>
          <w:p>
            <w:pPr>
              <w:ind w:left="40"/>
              <w:spacing w:after="0"/>
              <w:rPr>
                <w:sz w:val="20"/>
                <w:szCs w:val="20"/>
                <w:color w:val="auto"/>
              </w:rPr>
            </w:pPr>
            <w:r>
              <w:rPr>
                <w:rFonts w:ascii="Arial" w:cs="Arial" w:eastAsia="Arial" w:hAnsi="Arial"/>
                <w:sz w:val="18"/>
                <w:szCs w:val="18"/>
                <w:color w:val="auto"/>
              </w:rPr>
              <w:t>where:</w:t>
            </w:r>
          </w:p>
        </w:tc>
        <w:tc>
          <w:tcPr>
            <w:tcW w:w="9520" w:type="dxa"/>
            <w:vAlign w:val="bottom"/>
          </w:tcPr>
          <w:p>
            <w:pPr>
              <w:spacing w:after="0"/>
              <w:rPr>
                <w:sz w:val="20"/>
                <w:szCs w:val="20"/>
                <w:color w:val="auto"/>
              </w:rPr>
            </w:pPr>
          </w:p>
        </w:tc>
      </w:tr>
      <w:tr>
        <w:trPr>
          <w:trHeight w:val="463"/>
        </w:trPr>
        <w:tc>
          <w:tcPr>
            <w:tcW w:w="4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520" w:type="dxa"/>
            <w:vAlign w:val="bottom"/>
          </w:tcPr>
          <w:p>
            <w:pPr>
              <w:ind w:left="120"/>
              <w:spacing w:after="0"/>
              <w:rPr>
                <w:sz w:val="20"/>
                <w:szCs w:val="20"/>
                <w:color w:val="auto"/>
              </w:rPr>
            </w:pPr>
            <w:r>
              <w:rPr>
                <w:rFonts w:ascii="Arial" w:cs="Arial" w:eastAsia="Arial" w:hAnsi="Arial"/>
                <w:sz w:val="18"/>
                <w:szCs w:val="18"/>
                <w:color w:val="auto"/>
                <w:w w:val="91"/>
              </w:rPr>
              <w:t>the Conversion Rate in effect immediately before the Open of Business on the Ex-Dividend Date for such dividend or distribution;</w:t>
            </w:r>
          </w:p>
        </w:tc>
      </w:tr>
      <w:tr>
        <w:trPr>
          <w:trHeight w:val="445"/>
        </w:trPr>
        <w:tc>
          <w:tcPr>
            <w:tcW w:w="4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520" w:type="dxa"/>
            <w:vAlign w:val="bottom"/>
          </w:tcPr>
          <w:p>
            <w:pPr>
              <w:ind w:left="12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15"/>
        </w:trPr>
        <w:tc>
          <w:tcPr>
            <w:tcW w:w="400" w:type="dxa"/>
            <w:vAlign w:val="bottom"/>
          </w:tcPr>
          <w:p>
            <w:pPr>
              <w:spacing w:after="0"/>
              <w:rPr>
                <w:sz w:val="20"/>
                <w:szCs w:val="20"/>
                <w:color w:val="auto"/>
              </w:rPr>
            </w:pPr>
            <w:r>
              <w:rPr>
                <w:rFonts w:ascii="Arial" w:cs="Arial" w:eastAsia="Arial" w:hAnsi="Arial"/>
                <w:sz w:val="18"/>
                <w:szCs w:val="18"/>
                <w:i w:val="1"/>
                <w:iCs w:val="1"/>
                <w:color w:val="auto"/>
              </w:rPr>
              <w:t>SP</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520" w:type="dxa"/>
            <w:vAlign w:val="bottom"/>
          </w:tcPr>
          <w:p>
            <w:pPr>
              <w:ind w:left="120"/>
              <w:spacing w:after="0"/>
              <w:rPr>
                <w:sz w:val="20"/>
                <w:szCs w:val="20"/>
                <w:color w:val="auto"/>
              </w:rPr>
            </w:pPr>
            <w:r>
              <w:rPr>
                <w:rFonts w:ascii="Arial" w:cs="Arial" w:eastAsia="Arial" w:hAnsi="Arial"/>
                <w:sz w:val="18"/>
                <w:szCs w:val="18"/>
                <w:color w:val="auto"/>
                <w:w w:val="93"/>
              </w:rPr>
              <w:t>the Last Reported Sale Price per share of Common Stock on the Trading Day immediately before such Ex-Dividend Date; and</w:t>
            </w:r>
          </w:p>
        </w:tc>
      </w:tr>
    </w:tbl>
    <w:p>
      <w:pPr>
        <w:spacing w:after="0" w:line="202" w:lineRule="exact"/>
        <w:rPr>
          <w:sz w:val="20"/>
          <w:szCs w:val="20"/>
          <w:color w:val="auto"/>
        </w:rPr>
      </w:pPr>
    </w:p>
    <w:p>
      <w:pPr>
        <w:ind w:left="460" w:hanging="451"/>
        <w:spacing w:after="0"/>
        <w:tabs>
          <w:tab w:leader="none" w:pos="460" w:val="left"/>
        </w:tabs>
        <w:numPr>
          <w:ilvl w:val="0"/>
          <w:numId w:val="79"/>
        </w:numPr>
        <w:rPr>
          <w:rFonts w:ascii="Arial" w:cs="Arial" w:eastAsia="Arial" w:hAnsi="Arial"/>
          <w:sz w:val="18"/>
          <w:szCs w:val="18"/>
          <w:i w:val="1"/>
          <w:iCs w:val="1"/>
          <w:color w:val="auto"/>
        </w:rPr>
      </w:pPr>
      <w:r>
        <w:rPr>
          <w:rFonts w:ascii="Arial" w:cs="Arial" w:eastAsia="Arial" w:hAnsi="Arial"/>
          <w:sz w:val="18"/>
          <w:szCs w:val="18"/>
          <w:color w:val="auto"/>
        </w:rPr>
        <w:t>=   the cash amount distributed per share of Common Stock in such dividend or distribution;</w:t>
      </w:r>
    </w:p>
    <w:p>
      <w:pPr>
        <w:spacing w:after="0" w:line="225" w:lineRule="exact"/>
        <w:rPr>
          <w:sz w:val="20"/>
          <w:szCs w:val="20"/>
          <w:color w:val="auto"/>
        </w:rPr>
      </w:pPr>
    </w:p>
    <w:p>
      <w:pPr>
        <w:jc w:val="both"/>
        <w:ind w:left="40"/>
        <w:spacing w:after="0" w:line="30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w:t>
      </w:r>
      <w:r>
        <w:rPr>
          <w:rFonts w:ascii="Arial" w:cs="Arial" w:eastAsia="Arial" w:hAnsi="Arial"/>
          <w:sz w:val="16"/>
          <w:szCs w:val="16"/>
          <w:i w:val="1"/>
          <w:iCs w:val="1"/>
          <w:color w:val="auto"/>
        </w:rPr>
        <w:t xml:space="preserve"> D </w:t>
      </w:r>
      <w:r>
        <w:rPr>
          <w:rFonts w:ascii="Arial" w:cs="Arial" w:eastAsia="Arial" w:hAnsi="Arial"/>
          <w:sz w:val="16"/>
          <w:szCs w:val="16"/>
          <w:color w:val="auto"/>
        </w:rPr>
        <w:t>is equal to or greater than</w:t>
      </w:r>
      <w:r>
        <w:rPr>
          <w:rFonts w:ascii="Arial" w:cs="Arial" w:eastAsia="Arial" w:hAnsi="Arial"/>
          <w:sz w:val="16"/>
          <w:szCs w:val="16"/>
          <w:i w:val="1"/>
          <w:iCs w:val="1"/>
          <w:color w:val="auto"/>
        </w:rPr>
        <w:t xml:space="preserve"> SP</w:t>
      </w:r>
      <w:r>
        <w:rPr>
          <w:rFonts w:ascii="Arial" w:cs="Arial" w:eastAsia="Arial" w:hAnsi="Arial"/>
          <w:sz w:val="16"/>
          <w:szCs w:val="16"/>
          <w:color w:val="auto"/>
        </w:rPr>
        <w:t>, then, in lieu of the foregoing adjustment to the Conversion Rate, each Holder will</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for each $1,000 principal amount of Notes held by such Holder on the record date for such dividend or distribution, at the same time and on the same terms as holders of Common Stock, without having to convert its Notes, the amount of cash that such Holder would have received if such Holder had owned, on such record date, a number of shares of Common Stock equal to the Conversion Rate in effect on such record date.</w:t>
      </w:r>
    </w:p>
    <w:p>
      <w:pPr>
        <w:spacing w:after="0" w:line="37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940" w:top="904" w:right="339" w:bottom="1440" w:gutter="0" w:footer="0" w:header="0"/>
        </w:sectPr>
      </w:pPr>
    </w:p>
    <w:bookmarkStart w:id="62" w:name="page63"/>
    <w:bookmarkEnd w:id="62"/>
    <w:p>
      <w:pPr>
        <w:ind w:left="660"/>
        <w:spacing w:after="0" w:line="308" w:lineRule="auto"/>
        <w:rPr>
          <w:sz w:val="20"/>
          <w:szCs w:val="20"/>
          <w:color w:val="auto"/>
        </w:rPr>
      </w:pPr>
      <w:r>
        <w:rPr>
          <w:rFonts w:ascii="Arial" w:cs="Arial" w:eastAsia="Arial" w:hAnsi="Arial"/>
          <w:sz w:val="17"/>
          <w:szCs w:val="17"/>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146" w:lineRule="exact"/>
        <w:rPr>
          <w:sz w:val="20"/>
          <w:szCs w:val="20"/>
          <w:color w:val="auto"/>
        </w:rPr>
      </w:pPr>
    </w:p>
    <w:p>
      <w:pPr>
        <w:jc w:val="both"/>
        <w:ind w:left="660" w:firstLine="644"/>
        <w:spacing w:after="0" w:line="293" w:lineRule="auto"/>
        <w:tabs>
          <w:tab w:leader="none" w:pos="2233"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Tender Offers or Exchange Offers</w:t>
      </w:r>
      <w:r>
        <w:rPr>
          <w:rFonts w:ascii="Arial" w:cs="Arial" w:eastAsia="Arial" w:hAnsi="Arial"/>
          <w:sz w:val="16"/>
          <w:szCs w:val="16"/>
          <w:color w:val="auto"/>
        </w:rPr>
        <w:t>. If the Company or any of its Subsidiaries makes a payment in respect of a tender offer or</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offer for shares of Common Stock (other than solely pursuant to an odd-lot tender offer pursuant to Rule 13e-4(h)(5) under the Exchange Act (or any successor rule)), and the value (determined as of the Expiration Time by the Company in good faith) of the cash and other consideration paid per share of Common Stock in such tender or exchange offer exceeds the Last Reported Sale Price per share of Common Stock on the Trading Day immediately after the last date (the “</w:t>
      </w:r>
      <w:r>
        <w:rPr>
          <w:rFonts w:ascii="Arial" w:cs="Arial" w:eastAsia="Arial" w:hAnsi="Arial"/>
          <w:sz w:val="16"/>
          <w:szCs w:val="16"/>
          <w:b w:val="1"/>
          <w:bCs w:val="1"/>
          <w:color w:val="auto"/>
        </w:rPr>
        <w:t>Expiration Date</w:t>
      </w:r>
      <w:r>
        <w:rPr>
          <w:rFonts w:ascii="Arial" w:cs="Arial" w:eastAsia="Arial" w:hAnsi="Arial"/>
          <w:sz w:val="16"/>
          <w:szCs w:val="16"/>
          <w:color w:val="auto"/>
        </w:rPr>
        <w:t>”) on which tenders or exchanges may be made pursuant to such tender or exchange offer (as it may be amended),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113665</wp:posOffset>
            </wp:positionV>
            <wp:extent cx="1817370" cy="420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1737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ind w:left="660"/>
              <w:spacing w:after="0"/>
              <w:rPr>
                <w:sz w:val="20"/>
                <w:szCs w:val="20"/>
                <w:color w:val="auto"/>
              </w:rPr>
            </w:pPr>
            <w:r>
              <w:rPr>
                <w:rFonts w:ascii="Arial" w:cs="Arial" w:eastAsia="Arial" w:hAnsi="Arial"/>
                <w:sz w:val="18"/>
                <w:szCs w:val="18"/>
                <w:color w:val="auto"/>
              </w:rPr>
              <w:t>where:</w:t>
            </w:r>
          </w:p>
        </w:tc>
        <w:tc>
          <w:tcPr>
            <w:tcW w:w="9940" w:type="dxa"/>
            <w:vAlign w:val="bottom"/>
          </w:tcPr>
          <w:p>
            <w:pPr>
              <w:spacing w:after="0"/>
              <w:rPr>
                <w:sz w:val="20"/>
                <w:szCs w:val="20"/>
                <w:color w:val="auto"/>
              </w:rPr>
            </w:pPr>
          </w:p>
        </w:tc>
      </w:tr>
      <w:tr>
        <w:trPr>
          <w:trHeight w:val="418"/>
        </w:trPr>
        <w:tc>
          <w:tcPr>
            <w:tcW w:w="1020" w:type="dxa"/>
            <w:vAlign w:val="bottom"/>
          </w:tcPr>
          <w:p>
            <w:pPr>
              <w:ind w:left="620"/>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0"/>
              </w:rPr>
              <w:t>the Conversion Rate in effect immediately before the Close of Business on the last Trading Day of the Tender/Exchange Offer Valuation</w:t>
            </w:r>
          </w:p>
        </w:tc>
      </w:tr>
      <w:tr>
        <w:trPr>
          <w:trHeight w:val="230"/>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Period for such tender or exchange offer;</w:t>
            </w:r>
          </w:p>
        </w:tc>
      </w:tr>
      <w:tr>
        <w:trPr>
          <w:trHeight w:val="418"/>
        </w:trPr>
        <w:tc>
          <w:tcPr>
            <w:tcW w:w="1020" w:type="dxa"/>
            <w:vAlign w:val="bottom"/>
          </w:tcPr>
          <w:p>
            <w:pPr>
              <w:ind w:left="620"/>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29"/>
                <w:szCs w:val="29"/>
                <w:i w:val="1"/>
                <w:iCs w:val="1"/>
                <w:color w:val="auto"/>
                <w:vertAlign w:val="subscript"/>
              </w:rPr>
              <w:t>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1"/>
              </w:rPr>
              <w:t>the Conversion Rate in effect immediately after the Close of Business on the last Trading Day of the Tender/Exchange Offer Valuation</w:t>
            </w:r>
          </w:p>
        </w:tc>
      </w:tr>
      <w:tr>
        <w:trPr>
          <w:trHeight w:val="230"/>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Period;</w:t>
            </w:r>
          </w:p>
        </w:tc>
      </w:tr>
      <w:tr>
        <w:trPr>
          <w:trHeight w:val="417"/>
        </w:trPr>
        <w:tc>
          <w:tcPr>
            <w:tcW w:w="1020" w:type="dxa"/>
            <w:vAlign w:val="bottom"/>
          </w:tcPr>
          <w:p>
            <w:pPr>
              <w:ind w:left="620"/>
              <w:spacing w:after="0"/>
              <w:rPr>
                <w:sz w:val="20"/>
                <w:szCs w:val="20"/>
                <w:color w:val="auto"/>
              </w:rPr>
            </w:pPr>
            <w:r>
              <w:rPr>
                <w:rFonts w:ascii="Arial" w:cs="Arial" w:eastAsia="Arial" w:hAnsi="Arial"/>
                <w:sz w:val="18"/>
                <w:szCs w:val="18"/>
                <w:i w:val="1"/>
                <w:iCs w:val="1"/>
                <w:color w:val="auto"/>
              </w:rPr>
              <w:t>AC</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2"/>
              </w:rPr>
              <w:t>the aggregate value, as of the time such tender or exchange offer expires (the “</w:t>
            </w:r>
            <w:r>
              <w:rPr>
                <w:rFonts w:ascii="Arial" w:cs="Arial" w:eastAsia="Arial" w:hAnsi="Arial"/>
                <w:sz w:val="18"/>
                <w:szCs w:val="18"/>
                <w:b w:val="1"/>
                <w:bCs w:val="1"/>
                <w:color w:val="auto"/>
                <w:w w:val="92"/>
              </w:rPr>
              <w:t>Expiration Time</w:t>
            </w:r>
            <w:r>
              <w:rPr>
                <w:rFonts w:ascii="Arial" w:cs="Arial" w:eastAsia="Arial" w:hAnsi="Arial"/>
                <w:sz w:val="18"/>
                <w:szCs w:val="18"/>
                <w:color w:val="auto"/>
                <w:w w:val="92"/>
              </w:rPr>
              <w:t>”), of all cash and other consideration</w:t>
            </w:r>
          </w:p>
        </w:tc>
      </w:tr>
      <w:tr>
        <w:trPr>
          <w:trHeight w:val="216"/>
        </w:trPr>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w w:val="92"/>
              </w:rPr>
              <w:t>paid for shares of Common Stock purchased or exchanged in such tender or exchange offer (such aggregate value to be determined,</w:t>
            </w:r>
          </w:p>
        </w:tc>
      </w:tr>
      <w:tr>
        <w:trPr>
          <w:trHeight w:val="230"/>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other than with respect to cash, by the Company in good faith);</w:t>
            </w:r>
          </w:p>
        </w:tc>
      </w:tr>
      <w:tr>
        <w:trPr>
          <w:trHeight w:val="419"/>
        </w:trPr>
        <w:tc>
          <w:tcPr>
            <w:tcW w:w="1020" w:type="dxa"/>
            <w:vAlign w:val="bottom"/>
          </w:tcPr>
          <w:p>
            <w:pPr>
              <w:ind w:left="620"/>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29"/>
                <w:szCs w:val="29"/>
                <w:i w:val="1"/>
                <w:iCs w:val="1"/>
                <w:color w:val="auto"/>
                <w:vertAlign w:val="subscript"/>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3"/>
              </w:rPr>
              <w:t>the number of shares of Common Stock outstanding immediately before the Expiration Time (including all shares of Common Stock</w:t>
            </w:r>
          </w:p>
        </w:tc>
      </w:tr>
      <w:tr>
        <w:trPr>
          <w:trHeight w:val="230"/>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accepted for purchase or exchange in such tender or exchange offer);</w:t>
            </w:r>
          </w:p>
        </w:tc>
      </w:tr>
      <w:tr>
        <w:trPr>
          <w:trHeight w:val="418"/>
        </w:trPr>
        <w:tc>
          <w:tcPr>
            <w:tcW w:w="1020" w:type="dxa"/>
            <w:vAlign w:val="bottom"/>
          </w:tcPr>
          <w:p>
            <w:pPr>
              <w:ind w:left="620"/>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29"/>
                <w:szCs w:val="29"/>
                <w:i w:val="1"/>
                <w:iCs w:val="1"/>
                <w:color w:val="auto"/>
                <w:vertAlign w:val="subscript"/>
              </w:rPr>
              <w:t>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4"/>
              </w:rPr>
              <w:t>the number of shares of Common Stock outstanding immediately after the Expiration Time (excluding all shares of Common Stock</w:t>
            </w:r>
          </w:p>
        </w:tc>
      </w:tr>
      <w:tr>
        <w:trPr>
          <w:trHeight w:val="230"/>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rPr>
              <w:t>accepted for purchase or exchange in such tender or exchange offer); and</w:t>
            </w:r>
          </w:p>
        </w:tc>
      </w:tr>
      <w:tr>
        <w:trPr>
          <w:trHeight w:val="413"/>
        </w:trPr>
        <w:tc>
          <w:tcPr>
            <w:tcW w:w="1020" w:type="dxa"/>
            <w:vAlign w:val="bottom"/>
          </w:tcPr>
          <w:p>
            <w:pPr>
              <w:ind w:left="620"/>
              <w:spacing w:after="0"/>
              <w:rPr>
                <w:sz w:val="20"/>
                <w:szCs w:val="20"/>
                <w:color w:val="auto"/>
              </w:rPr>
            </w:pPr>
            <w:r>
              <w:rPr>
                <w:rFonts w:ascii="Arial" w:cs="Arial" w:eastAsia="Arial" w:hAnsi="Arial"/>
                <w:sz w:val="18"/>
                <w:szCs w:val="18"/>
                <w:i w:val="1"/>
                <w:iCs w:val="1"/>
                <w:color w:val="auto"/>
              </w:rPr>
              <w:t>SP</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940" w:type="dxa"/>
            <w:vAlign w:val="bottom"/>
          </w:tcPr>
          <w:p>
            <w:pPr>
              <w:ind w:left="120"/>
              <w:spacing w:after="0"/>
              <w:rPr>
                <w:sz w:val="20"/>
                <w:szCs w:val="20"/>
                <w:color w:val="auto"/>
              </w:rPr>
            </w:pPr>
            <w:r>
              <w:rPr>
                <w:rFonts w:ascii="Arial" w:cs="Arial" w:eastAsia="Arial" w:hAnsi="Arial"/>
                <w:sz w:val="18"/>
                <w:szCs w:val="18"/>
                <w:color w:val="auto"/>
                <w:w w:val="96"/>
              </w:rPr>
              <w:t>the average of the Last Reported Sale Prices per share of Common Stock over the ten (10) consecutive Trading Day period (the</w:t>
            </w:r>
          </w:p>
        </w:tc>
      </w:tr>
      <w:tr>
        <w:trPr>
          <w:trHeight w:val="234"/>
        </w:trPr>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tcPr>
          <w:p>
            <w:pPr>
              <w:ind w:left="1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Tender/Exchange Offer Valuation Period</w:t>
            </w:r>
            <w:r>
              <w:rPr>
                <w:rFonts w:ascii="Arial" w:cs="Arial" w:eastAsia="Arial" w:hAnsi="Arial"/>
                <w:sz w:val="18"/>
                <w:szCs w:val="18"/>
                <w:color w:val="auto"/>
                <w:w w:val="95"/>
              </w:rPr>
              <w:t>”) beginning on, and including, the Trading Day immediately after the Expiration Date;</w:t>
            </w:r>
          </w:p>
        </w:tc>
      </w:tr>
      <w:tr>
        <w:trPr>
          <w:trHeight w:val="648"/>
        </w:trPr>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4120"/>
              <w:spacing w:after="0"/>
              <w:rPr>
                <w:sz w:val="20"/>
                <w:szCs w:val="20"/>
                <w:color w:val="auto"/>
              </w:rPr>
            </w:pPr>
            <w:r>
              <w:rPr>
                <w:rFonts w:ascii="Arial" w:cs="Arial" w:eastAsia="Arial" w:hAnsi="Arial"/>
                <w:sz w:val="18"/>
                <w:szCs w:val="18"/>
                <w:color w:val="auto"/>
              </w:rPr>
              <w:t>- 54 -</w:t>
            </w:r>
          </w:p>
        </w:tc>
      </w:tr>
    </w:tbl>
    <w:p>
      <w:pPr>
        <w:sectPr>
          <w:pgSz w:w="11900" w:h="16838" w:orient="portrait"/>
          <w:cols w:equalWidth="0" w:num="1">
            <w:col w:w="11240"/>
          </w:cols>
          <w:pgMar w:left="320" w:top="908" w:right="339" w:bottom="1440" w:gutter="0" w:footer="0" w:header="0"/>
        </w:sectPr>
      </w:pPr>
    </w:p>
    <w:bookmarkStart w:id="63" w:name="page64"/>
    <w:bookmarkEnd w:id="63"/>
    <w:p>
      <w:pPr>
        <w:jc w:val="both"/>
        <w:ind w:left="4"/>
        <w:spacing w:after="0" w:line="289"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Conversion Rate will in no event be adjusted down pursuant to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5.05(A)(v)</w:t>
      </w:r>
      <w:r>
        <w:rPr>
          <w:rFonts w:ascii="Arial" w:cs="Arial" w:eastAsia="Arial" w:hAnsi="Arial"/>
          <w:sz w:val="16"/>
          <w:szCs w:val="16"/>
          <w:color w:val="auto"/>
        </w:rPr>
        <w:t>, except to the extent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immediately following paragraph. Notwithstanding anything to the contrary in this </w:t>
      </w:r>
      <w:r>
        <w:rPr>
          <w:rFonts w:ascii="Arial" w:cs="Arial" w:eastAsia="Arial" w:hAnsi="Arial"/>
          <w:sz w:val="16"/>
          <w:szCs w:val="16"/>
          <w:b w:val="1"/>
          <w:bCs w:val="1"/>
          <w:color w:val="auto"/>
        </w:rPr>
        <w:t>Section 5.05(A)(v)</w:t>
      </w:r>
      <w:r>
        <w:rPr>
          <w:rFonts w:ascii="Arial" w:cs="Arial" w:eastAsia="Arial" w:hAnsi="Arial"/>
          <w:sz w:val="16"/>
          <w:szCs w:val="16"/>
          <w:color w:val="auto"/>
        </w:rPr>
        <w:t>,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spacing w:after="0" w:line="165"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To the extent such tender or exchange offer is announced but not consummated (including as a result of the Company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188" w:lineRule="exact"/>
        <w:rPr>
          <w:sz w:val="20"/>
          <w:szCs w:val="20"/>
          <w:color w:val="auto"/>
        </w:rPr>
      </w:pPr>
    </w:p>
    <w:p>
      <w:pPr>
        <w:ind w:left="864" w:hanging="864"/>
        <w:spacing w:after="0"/>
        <w:tabs>
          <w:tab w:leader="none" w:pos="864"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No Adjustments in Certain Cases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72" w:lineRule="auto"/>
        <w:tabs>
          <w:tab w:leader="none" w:pos="1748" w:val="left"/>
        </w:tabs>
        <w:numPr>
          <w:ilvl w:val="1"/>
          <w:numId w:val="81"/>
        </w:numPr>
        <w:rPr>
          <w:rFonts w:ascii="Arial" w:cs="Arial" w:eastAsia="Arial" w:hAnsi="Arial"/>
          <w:sz w:val="17"/>
          <w:szCs w:val="17"/>
          <w:color w:val="auto"/>
        </w:rPr>
      </w:pPr>
      <w:r>
        <w:rPr>
          <w:rFonts w:ascii="Arial" w:cs="Arial" w:eastAsia="Arial" w:hAnsi="Arial"/>
          <w:sz w:val="17"/>
          <w:szCs w:val="17"/>
          <w:i w:val="1"/>
          <w:iCs w:val="1"/>
          <w:color w:val="auto"/>
        </w:rPr>
        <w:t>Where Holders Participate in the Transaction or Event Without Conversion</w:t>
      </w:r>
      <w:r>
        <w:rPr>
          <w:rFonts w:ascii="Arial" w:cs="Arial" w:eastAsia="Arial" w:hAnsi="Arial"/>
          <w:sz w:val="17"/>
          <w:szCs w:val="17"/>
          <w:color w:val="auto"/>
        </w:rPr>
        <w:t>. Notwithstanding anything to the contrary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5.05(A)</w:t>
      </w:r>
      <w:r>
        <w:rPr>
          <w:rFonts w:ascii="Arial" w:cs="Arial" w:eastAsia="Arial" w:hAnsi="Arial"/>
          <w:sz w:val="17"/>
          <w:szCs w:val="17"/>
          <w:color w:val="auto"/>
        </w:rPr>
        <w:t>, the Company will not be obligated to adjust the Conversion Rate on account of a transaction or other event otherwise requiring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 adjustment pursuant to </w:t>
      </w:r>
      <w:r>
        <w:rPr>
          <w:rFonts w:ascii="Arial" w:cs="Arial" w:eastAsia="Arial" w:hAnsi="Arial"/>
          <w:sz w:val="17"/>
          <w:szCs w:val="17"/>
          <w:b w:val="1"/>
          <w:bCs w:val="1"/>
          <w:color w:val="auto"/>
        </w:rPr>
        <w:t>Section 5.05(A)</w:t>
      </w:r>
      <w:r>
        <w:rPr>
          <w:rFonts w:ascii="Arial" w:cs="Arial" w:eastAsia="Arial" w:hAnsi="Arial"/>
          <w:sz w:val="17"/>
          <w:szCs w:val="17"/>
          <w:color w:val="auto"/>
        </w:rPr>
        <w:t xml:space="preserve"> (other than a stock split or combination of the type set forth in </w:t>
      </w:r>
      <w:r>
        <w:rPr>
          <w:rFonts w:ascii="Arial" w:cs="Arial" w:eastAsia="Arial" w:hAnsi="Arial"/>
          <w:sz w:val="17"/>
          <w:szCs w:val="17"/>
          <w:b w:val="1"/>
          <w:bCs w:val="1"/>
          <w:color w:val="auto"/>
        </w:rPr>
        <w:t>Section 5.05(A)(i)</w:t>
      </w:r>
      <w:r>
        <w:rPr>
          <w:rFonts w:ascii="Arial" w:cs="Arial" w:eastAsia="Arial" w:hAnsi="Arial"/>
          <w:sz w:val="17"/>
          <w:szCs w:val="17"/>
          <w:color w:val="auto"/>
        </w:rPr>
        <w:t xml:space="preserve"> or a tender or exchange offer of the type set forth in </w:t>
      </w:r>
      <w:r>
        <w:rPr>
          <w:rFonts w:ascii="Arial" w:cs="Arial" w:eastAsia="Arial" w:hAnsi="Arial"/>
          <w:sz w:val="17"/>
          <w:szCs w:val="17"/>
          <w:b w:val="1"/>
          <w:bCs w:val="1"/>
          <w:color w:val="auto"/>
        </w:rPr>
        <w:t>Section 5.05(A)(v)</w:t>
      </w:r>
      <w:r>
        <w:rPr>
          <w:rFonts w:ascii="Arial" w:cs="Arial" w:eastAsia="Arial" w:hAnsi="Arial"/>
          <w:sz w:val="17"/>
          <w:szCs w:val="17"/>
          <w:color w:val="auto"/>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393" w:lineRule="exact"/>
        <w:rPr>
          <w:rFonts w:ascii="Arial" w:cs="Arial" w:eastAsia="Arial" w:hAnsi="Arial"/>
          <w:sz w:val="17"/>
          <w:szCs w:val="17"/>
          <w:color w:val="auto"/>
        </w:rPr>
      </w:pPr>
    </w:p>
    <w:p>
      <w:pPr>
        <w:ind w:left="4884" w:hanging="111"/>
        <w:spacing w:after="0"/>
        <w:tabs>
          <w:tab w:leader="none" w:pos="4884" w:val="left"/>
        </w:tabs>
        <w:numPr>
          <w:ilvl w:val="2"/>
          <w:numId w:val="81"/>
        </w:numPr>
        <w:rPr>
          <w:rFonts w:ascii="Arial" w:cs="Arial" w:eastAsia="Arial" w:hAnsi="Arial"/>
          <w:sz w:val="18"/>
          <w:szCs w:val="18"/>
          <w:color w:val="auto"/>
        </w:rPr>
      </w:pPr>
      <w:r>
        <w:rPr>
          <w:rFonts w:ascii="Arial" w:cs="Arial" w:eastAsia="Arial" w:hAnsi="Arial"/>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4" w:name="page65"/>
    <w:bookmarkEnd w:id="64"/>
    <w:p>
      <w:pPr>
        <w:ind w:left="4" w:firstLine="644"/>
        <w:spacing w:after="0" w:line="282" w:lineRule="auto"/>
        <w:tabs>
          <w:tab w:leader="none" w:pos="1717"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Certain Events</w:t>
      </w:r>
      <w:r>
        <w:rPr>
          <w:rFonts w:ascii="Arial" w:cs="Arial" w:eastAsia="Arial" w:hAnsi="Arial"/>
          <w:sz w:val="18"/>
          <w:szCs w:val="18"/>
          <w:color w:val="auto"/>
        </w:rPr>
        <w:t>. The Company will not be required to adjust the Conversion Rate except as provided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5.05</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5.07</w:t>
      </w:r>
      <w:r>
        <w:rPr>
          <w:rFonts w:ascii="Arial" w:cs="Arial" w:eastAsia="Arial" w:hAnsi="Arial"/>
          <w:sz w:val="18"/>
          <w:szCs w:val="18"/>
          <w:color w:val="auto"/>
        </w:rPr>
        <w:t>. Without limiting the foregoing, the Company will not be obligated to adjust the Conversion Rate on account of:</w:t>
      </w:r>
    </w:p>
    <w:p>
      <w:pPr>
        <w:spacing w:after="0" w:line="202" w:lineRule="exact"/>
        <w:rPr>
          <w:rFonts w:ascii="Arial" w:cs="Arial" w:eastAsia="Arial" w:hAnsi="Arial"/>
          <w:sz w:val="18"/>
          <w:szCs w:val="18"/>
          <w:color w:val="auto"/>
        </w:rPr>
      </w:pPr>
    </w:p>
    <w:p>
      <w:pPr>
        <w:ind w:left="644" w:firstLine="652"/>
        <w:spacing w:after="0" w:line="297" w:lineRule="auto"/>
        <w:tabs>
          <w:tab w:leader="none" w:pos="2257"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b w:val="1"/>
          <w:bCs w:val="1"/>
          <w:color w:val="auto"/>
        </w:rPr>
        <w:t>Section 5.05</w:t>
      </w:r>
      <w:r>
        <w:rPr>
          <w:rFonts w:ascii="Arial" w:cs="Arial" w:eastAsia="Arial" w:hAnsi="Arial"/>
          <w:sz w:val="18"/>
          <w:szCs w:val="18"/>
          <w:color w:val="auto"/>
        </w:rPr>
        <w:t>, the sale of shares of Common Stock for a purchase price that is less than the market price per share of Common Stock or less than the Conversion Price;</w:t>
      </w:r>
    </w:p>
    <w:p>
      <w:pPr>
        <w:spacing w:after="0" w:line="153" w:lineRule="exact"/>
        <w:rPr>
          <w:rFonts w:ascii="Arial" w:cs="Arial" w:eastAsia="Arial" w:hAnsi="Arial"/>
          <w:sz w:val="18"/>
          <w:szCs w:val="18"/>
          <w:color w:val="auto"/>
        </w:rPr>
      </w:pPr>
    </w:p>
    <w:p>
      <w:pPr>
        <w:jc w:val="both"/>
        <w:ind w:left="644" w:firstLine="652"/>
        <w:spacing w:after="0" w:line="263" w:lineRule="auto"/>
        <w:tabs>
          <w:tab w:leader="none" w:pos="2257"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83" w:lineRule="exact"/>
        <w:rPr>
          <w:rFonts w:ascii="Arial" w:cs="Arial" w:eastAsia="Arial" w:hAnsi="Arial"/>
          <w:sz w:val="18"/>
          <w:szCs w:val="18"/>
          <w:color w:val="auto"/>
        </w:rPr>
      </w:pPr>
    </w:p>
    <w:p>
      <w:pPr>
        <w:jc w:val="both"/>
        <w:ind w:left="644" w:right="20" w:firstLine="652"/>
        <w:spacing w:after="0" w:line="342" w:lineRule="auto"/>
        <w:tabs>
          <w:tab w:leader="none" w:pos="2244" w:val="left"/>
        </w:tabs>
        <w:numPr>
          <w:ilvl w:val="2"/>
          <w:numId w:val="82"/>
        </w:numPr>
        <w:rPr>
          <w:rFonts w:ascii="Arial" w:cs="Arial" w:eastAsia="Arial" w:hAnsi="Arial"/>
          <w:sz w:val="16"/>
          <w:szCs w:val="16"/>
          <w:color w:val="auto"/>
        </w:rPr>
      </w:pPr>
      <w:r>
        <w:rPr>
          <w:rFonts w:ascii="Arial" w:cs="Arial" w:eastAsia="Arial" w:hAnsi="Arial"/>
          <w:sz w:val="16"/>
          <w:szCs w:val="16"/>
          <w:color w:val="auto"/>
        </w:rPr>
        <w:t>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123" w:lineRule="exact"/>
        <w:rPr>
          <w:rFonts w:ascii="Arial" w:cs="Arial" w:eastAsia="Arial" w:hAnsi="Arial"/>
          <w:sz w:val="16"/>
          <w:szCs w:val="16"/>
          <w:color w:val="auto"/>
        </w:rPr>
      </w:pPr>
    </w:p>
    <w:p>
      <w:pPr>
        <w:ind w:left="644" w:right="20" w:firstLine="652"/>
        <w:spacing w:after="0" w:line="277" w:lineRule="auto"/>
        <w:tabs>
          <w:tab w:leader="none" w:pos="2257"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issuance of any shares of Common Stock pursuant to any option, warrant, right or convertible or exchangeable security of the Company outstanding as of the Issue Date;</w:t>
      </w:r>
    </w:p>
    <w:p>
      <w:pPr>
        <w:spacing w:after="0" w:line="170" w:lineRule="exact"/>
        <w:rPr>
          <w:rFonts w:ascii="Arial" w:cs="Arial" w:eastAsia="Arial" w:hAnsi="Arial"/>
          <w:sz w:val="18"/>
          <w:szCs w:val="18"/>
          <w:color w:val="auto"/>
        </w:rPr>
      </w:pPr>
    </w:p>
    <w:p>
      <w:pPr>
        <w:ind w:left="2184" w:hanging="888"/>
        <w:spacing w:after="0"/>
        <w:tabs>
          <w:tab w:leader="none" w:pos="2184" w:val="left"/>
        </w:tabs>
        <w:numPr>
          <w:ilvl w:val="2"/>
          <w:numId w:val="82"/>
        </w:numPr>
        <w:rPr>
          <w:rFonts w:ascii="Arial" w:cs="Arial" w:eastAsia="Arial" w:hAnsi="Arial"/>
          <w:sz w:val="18"/>
          <w:szCs w:val="18"/>
          <w:color w:val="auto"/>
        </w:rPr>
      </w:pPr>
      <w:r>
        <w:rPr>
          <w:rFonts w:ascii="Arial" w:cs="Arial" w:eastAsia="Arial" w:hAnsi="Arial"/>
          <w:sz w:val="18"/>
          <w:szCs w:val="18"/>
          <w:color w:val="auto"/>
        </w:rPr>
        <w:t>solely a change in the par value of the Common Stock; or</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2"/>
          <w:numId w:val="82"/>
        </w:numPr>
        <w:rPr>
          <w:rFonts w:ascii="Arial" w:cs="Arial" w:eastAsia="Arial" w:hAnsi="Arial"/>
          <w:sz w:val="18"/>
          <w:szCs w:val="18"/>
          <w:color w:val="auto"/>
        </w:rPr>
      </w:pPr>
      <w:r>
        <w:rPr>
          <w:rFonts w:ascii="Arial" w:cs="Arial" w:eastAsia="Arial" w:hAnsi="Arial"/>
          <w:sz w:val="18"/>
          <w:szCs w:val="18"/>
          <w:color w:val="auto"/>
        </w:rPr>
        <w:t>accrued and unpaid interest on the Notes.</w:t>
      </w:r>
    </w:p>
    <w:p>
      <w:pPr>
        <w:spacing w:after="0" w:line="221" w:lineRule="exact"/>
        <w:rPr>
          <w:rFonts w:ascii="Arial" w:cs="Arial" w:eastAsia="Arial" w:hAnsi="Arial"/>
          <w:sz w:val="18"/>
          <w:szCs w:val="18"/>
          <w:color w:val="auto"/>
        </w:rPr>
      </w:pPr>
    </w:p>
    <w:p>
      <w:pPr>
        <w:jc w:val="both"/>
        <w:ind w:left="-656" w:firstLine="656"/>
        <w:spacing w:after="0" w:line="256" w:lineRule="auto"/>
        <w:tabs>
          <w:tab w:leader="none" w:pos="996"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Adjustment Deferral</w:t>
      </w:r>
      <w:r>
        <w:rPr>
          <w:rFonts w:ascii="Arial" w:cs="Arial" w:eastAsia="Arial" w:hAnsi="Arial"/>
          <w:sz w:val="18"/>
          <w:szCs w:val="18"/>
          <w:color w:val="auto"/>
        </w:rPr>
        <w:t>. If an adjustment to the Conversion Rate otherwise required by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5</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result in a change of less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than one percent (1%) to the Conversion Rate, then, notwithstanding anything to the contrary in this </w:t>
      </w:r>
      <w:r>
        <w:rPr>
          <w:rFonts w:ascii="Arial" w:cs="Arial" w:eastAsia="Arial" w:hAnsi="Arial"/>
          <w:sz w:val="18"/>
          <w:szCs w:val="18"/>
          <w:b w:val="1"/>
          <w:bCs w:val="1"/>
          <w:color w:val="auto"/>
        </w:rPr>
        <w:t>Article 5</w:t>
      </w:r>
      <w:r>
        <w:rPr>
          <w:rFonts w:ascii="Arial" w:cs="Arial" w:eastAsia="Arial" w:hAnsi="Arial"/>
          <w:sz w:val="18"/>
          <w:szCs w:val="18"/>
          <w:color w:val="auto"/>
        </w:rPr>
        <w:t>, the Company may, at its election, defer such adjustment, except that all such deferred adjustments must be given effect immediately upon the earliest of the following: (i) when all such deferred adjustments would result in an aggregate change of at least one percent (1%) to the Conversion Rate; (ii) the Conversion Date of, or any VWAP Trading Day of an Observation Period for, any Note; (iii) the effective date of a Fundamental Change or a Make-Whole Fundamental Change Effective Date; (iv) any Redemption Notice Date; and (v) September 15, 2026.</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4884" w:hanging="111"/>
        <w:spacing w:after="0"/>
        <w:tabs>
          <w:tab w:leader="none" w:pos="4884" w:val="left"/>
        </w:tabs>
        <w:numPr>
          <w:ilvl w:val="3"/>
          <w:numId w:val="83"/>
        </w:numPr>
        <w:rPr>
          <w:rFonts w:ascii="Arial" w:cs="Arial" w:eastAsia="Arial" w:hAnsi="Arial"/>
          <w:sz w:val="18"/>
          <w:szCs w:val="18"/>
          <w:color w:val="auto"/>
        </w:rPr>
      </w:pPr>
      <w:r>
        <w:rPr>
          <w:rFonts w:ascii="Arial" w:cs="Arial" w:eastAsia="Arial" w:hAnsi="Arial"/>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5" w:name="page66"/>
    <w:bookmarkEnd w:id="65"/>
    <w:p>
      <w:pPr>
        <w:ind w:left="1320" w:hanging="664"/>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Adjustments Not Yet Effective</w:t>
      </w:r>
      <w:r>
        <w:rPr>
          <w:rFonts w:ascii="Arial" w:cs="Arial" w:eastAsia="Arial" w:hAnsi="Arial"/>
          <w:sz w:val="18"/>
          <w:szCs w:val="18"/>
          <w:color w:val="auto"/>
        </w:rPr>
        <w:t>. Notwithstanding anything to the contrary in this Indenture or the Notes, if:</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 Note is to be converted pursuant to Physical Settlement or Combination Settlement;</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2157"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the record date, effective date or Expiration Time for any event that requires an adjustment to the Conversion Rate pursuant to </w:t>
      </w:r>
      <w:r>
        <w:rPr>
          <w:rFonts w:ascii="Arial" w:cs="Arial" w:eastAsia="Arial" w:hAnsi="Arial"/>
          <w:sz w:val="17"/>
          <w:szCs w:val="17"/>
          <w:b w:val="1"/>
          <w:bCs w:val="1"/>
          <w:color w:val="auto"/>
        </w:rPr>
        <w:t xml:space="preserve">Section 5.05(A) </w:t>
      </w:r>
      <w:r>
        <w:rPr>
          <w:rFonts w:ascii="Arial" w:cs="Arial" w:eastAsia="Arial" w:hAnsi="Arial"/>
          <w:sz w:val="17"/>
          <w:szCs w:val="17"/>
          <w:color w:val="auto"/>
        </w:rPr>
        <w:t>has occurred on or before the Conversion Date for such conversion (in the case of Physical Settlement) or on or before any</w:t>
      </w:r>
      <w:r>
        <w:rPr>
          <w:rFonts w:ascii="Arial" w:cs="Arial" w:eastAsia="Arial" w:hAnsi="Arial"/>
          <w:sz w:val="17"/>
          <w:szCs w:val="17"/>
          <w:b w:val="1"/>
          <w:bCs w:val="1"/>
          <w:color w:val="auto"/>
        </w:rPr>
        <w:t xml:space="preserve"> </w:t>
      </w:r>
      <w:r>
        <w:rPr>
          <w:rFonts w:ascii="Arial" w:cs="Arial" w:eastAsia="Arial" w:hAnsi="Arial"/>
          <w:sz w:val="17"/>
          <w:szCs w:val="17"/>
          <w:color w:val="auto"/>
        </w:rPr>
        <w:t>VWAP Trading Day in the Observation Period for such conversion (in the case of Combination Settlement), but an adjustment to the Conversion Rate for such event has not yet become effective as of such Conversion Date or VWAP Trading Day, as applicable;</w:t>
      </w:r>
    </w:p>
    <w:p>
      <w:pPr>
        <w:spacing w:after="0" w:line="171" w:lineRule="exact"/>
        <w:rPr>
          <w:rFonts w:ascii="Arial" w:cs="Arial" w:eastAsia="Arial" w:hAnsi="Arial"/>
          <w:sz w:val="17"/>
          <w:szCs w:val="17"/>
          <w:color w:val="auto"/>
        </w:rPr>
      </w:pPr>
    </w:p>
    <w:p>
      <w:pPr>
        <w:jc w:val="both"/>
        <w:ind w:left="660" w:firstLine="644"/>
        <w:spacing w:after="0" w:line="263" w:lineRule="auto"/>
        <w:tabs>
          <w:tab w:leader="none" w:pos="2253"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Conversion Consideration due upon such conversion (in the case of Physical Settlement) includes any whole shares of Common Stock or due in respect of such VWAP Trading Day (in the case of Combination Settlement) includes any whole or fractional shares of Common Stock; and</w:t>
      </w:r>
    </w:p>
    <w:p>
      <w:pPr>
        <w:spacing w:after="0" w:line="183" w:lineRule="exact"/>
        <w:rPr>
          <w:rFonts w:ascii="Arial" w:cs="Arial" w:eastAsia="Arial" w:hAnsi="Arial"/>
          <w:sz w:val="18"/>
          <w:szCs w:val="18"/>
          <w:color w:val="auto"/>
        </w:rPr>
      </w:pPr>
    </w:p>
    <w:p>
      <w:pPr>
        <w:ind w:left="2140" w:hanging="836"/>
        <w:spacing w:after="0"/>
        <w:tabs>
          <w:tab w:leader="none" w:pos="21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such shares are not entitled to participate in such event (because they were not held on the related record date or otherwise),</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determination date.</w:t>
      </w:r>
    </w:p>
    <w:p>
      <w:pPr>
        <w:spacing w:after="0" w:line="171" w:lineRule="exact"/>
        <w:rPr>
          <w:sz w:val="20"/>
          <w:szCs w:val="20"/>
          <w:color w:val="auto"/>
        </w:rPr>
      </w:pPr>
    </w:p>
    <w:p>
      <w:pPr>
        <w:ind w:firstLine="656"/>
        <w:spacing w:after="0" w:line="277" w:lineRule="auto"/>
        <w:tabs>
          <w:tab w:leader="none" w:pos="1368"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Conversion Rate Adjustments where Converting Holders Participate in the Relevant Transaction or Event</w:t>
      </w:r>
      <w:r>
        <w:rPr>
          <w:rFonts w:ascii="Arial" w:cs="Arial" w:eastAsia="Arial" w:hAnsi="Arial"/>
          <w:sz w:val="18"/>
          <w:szCs w:val="18"/>
          <w:color w:val="auto"/>
        </w:rPr>
        <w:t>. Notwithstanding anything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contrary in this Indenture or the Notes, if:</w:t>
      </w:r>
    </w:p>
    <w:p>
      <w:pPr>
        <w:spacing w:after="0" w:line="170" w:lineRule="exact"/>
        <w:rPr>
          <w:rFonts w:ascii="Arial" w:cs="Arial" w:eastAsia="Arial" w:hAnsi="Arial"/>
          <w:sz w:val="18"/>
          <w:szCs w:val="18"/>
          <w:color w:val="auto"/>
        </w:rPr>
      </w:pPr>
    </w:p>
    <w:p>
      <w:pPr>
        <w:ind w:left="2460" w:hanging="1156"/>
        <w:spacing w:after="0"/>
        <w:tabs>
          <w:tab w:leader="none" w:pos="24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Conversion Rate adjustment for any dividend or distribution becomes effective on any Ex-Dividend Date pursuant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color w:val="auto"/>
        </w:rPr>
        <w:t>Section 5.05(A)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160" w:hanging="856"/>
        <w:spacing w:after="0"/>
        <w:tabs>
          <w:tab w:leader="none" w:pos="2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Note is to be converted pursuant to Physical Settlement or Combination Settlement;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199"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2287"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Conversion Consideration due upon such conversion (in the case of Physical Settlement) includes any whole shares of Common Stock or due in respect of such VWAP Trading Day (in the case of Combination Settlement) includes any whole or fractional shares of Common Stock, in each case based on a Conversion Rate that is adjusted for such dividend or distribution; and</w:t>
      </w:r>
    </w:p>
    <w:p>
      <w:pPr>
        <w:spacing w:after="0" w:line="381" w:lineRule="exact"/>
        <w:rPr>
          <w:rFonts w:ascii="Arial" w:cs="Arial" w:eastAsia="Arial" w:hAnsi="Arial"/>
          <w:sz w:val="17"/>
          <w:szCs w:val="17"/>
          <w:color w:val="auto"/>
        </w:rPr>
      </w:pPr>
    </w:p>
    <w:p>
      <w:pPr>
        <w:ind w:left="5540" w:hanging="111"/>
        <w:spacing w:after="0"/>
        <w:tabs>
          <w:tab w:leader="none" w:pos="5540" w:val="left"/>
        </w:tabs>
        <w:numPr>
          <w:ilvl w:val="2"/>
          <w:numId w:val="85"/>
        </w:numPr>
        <w:rPr>
          <w:rFonts w:ascii="Arial" w:cs="Arial" w:eastAsia="Arial" w:hAnsi="Arial"/>
          <w:sz w:val="18"/>
          <w:szCs w:val="18"/>
          <w:color w:val="auto"/>
        </w:rPr>
      </w:pPr>
      <w:r>
        <w:rPr>
          <w:rFonts w:ascii="Arial" w:cs="Arial" w:eastAsia="Arial" w:hAnsi="Arial"/>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6" w:name="page67"/>
    <w:bookmarkEnd w:id="66"/>
    <w:p>
      <w:pPr>
        <w:ind w:left="2180" w:hanging="876"/>
        <w:spacing w:after="0"/>
        <w:tabs>
          <w:tab w:leader="none" w:pos="2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such shares would be entitled to participate in such dividend or distribution (including pursuant to </w:t>
      </w:r>
      <w:r>
        <w:rPr>
          <w:rFonts w:ascii="Arial" w:cs="Arial" w:eastAsia="Arial" w:hAnsi="Arial"/>
          <w:sz w:val="17"/>
          <w:szCs w:val="17"/>
          <w:b w:val="1"/>
          <w:bCs w:val="1"/>
          <w:color w:val="auto"/>
        </w:rPr>
        <w:t>Section 5.02(C)</w:t>
      </w:r>
      <w:r>
        <w:rPr>
          <w:rFonts w:ascii="Arial" w:cs="Arial" w:eastAsia="Arial" w:hAnsi="Arial"/>
          <w:sz w:val="17"/>
          <w:szCs w:val="17"/>
          <w:color w:val="auto"/>
        </w:rPr>
        <w:t>),</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then (x)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consideration otherwise due upon such conversion, the same kind and amount of consideration that would have been delivered in such dividend or distribution with respect to such shares of Common Stock had such shares been entitled to participate in such dividend or distribution; and (y) 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177" w:lineRule="exact"/>
        <w:rPr>
          <w:sz w:val="20"/>
          <w:szCs w:val="20"/>
          <w:color w:val="auto"/>
        </w:rPr>
      </w:pPr>
    </w:p>
    <w:p>
      <w:pPr>
        <w:jc w:val="both"/>
        <w:ind w:firstLine="656"/>
        <w:spacing w:after="0" w:line="254" w:lineRule="auto"/>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Stockholder Rights Plans</w:t>
      </w:r>
      <w:r>
        <w:rPr>
          <w:rFonts w:ascii="Arial" w:cs="Arial" w:eastAsia="Arial" w:hAnsi="Arial"/>
          <w:sz w:val="18"/>
          <w:szCs w:val="18"/>
          <w:color w:val="auto"/>
        </w:rPr>
        <w:t>. If any shares of Common Stock are to be issued upon conversion of any Note and, at the time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conversion, the Company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Arial" w:cs="Arial" w:eastAsia="Arial" w:hAnsi="Arial"/>
          <w:sz w:val="18"/>
          <w:szCs w:val="18"/>
          <w:b w:val="1"/>
          <w:bCs w:val="1"/>
          <w:color w:val="auto"/>
        </w:rPr>
        <w:t>Section 5.05(A)(iii)(1)</w:t>
      </w:r>
      <w:r>
        <w:rPr>
          <w:rFonts w:ascii="Arial" w:cs="Arial" w:eastAsia="Arial" w:hAnsi="Arial"/>
          <w:sz w:val="18"/>
          <w:szCs w:val="18"/>
          <w:color w:val="auto"/>
        </w:rPr>
        <w:t xml:space="preserve"> on account of such separation as if, at the time of such separation, the Company had made a distribution of the type referred to in such Section to all holders of the Common Stock, subject to readjustment in accordance with such Section if such rights expire, terminate or are redeemed.</w:t>
      </w:r>
    </w:p>
    <w:p>
      <w:pPr>
        <w:spacing w:after="0" w:line="194" w:lineRule="exact"/>
        <w:rPr>
          <w:rFonts w:ascii="Arial" w:cs="Arial" w:eastAsia="Arial" w:hAnsi="Arial"/>
          <w:sz w:val="18"/>
          <w:szCs w:val="18"/>
          <w:color w:val="auto"/>
        </w:rPr>
      </w:pPr>
    </w:p>
    <w:p>
      <w:pPr>
        <w:jc w:val="both"/>
        <w:ind w:firstLine="656"/>
        <w:spacing w:after="0" w:line="263" w:lineRule="auto"/>
        <w:tabs>
          <w:tab w:leader="none" w:pos="133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Limitation on Effecting Transactions Resulting in Certain Adjustments</w:t>
      </w:r>
      <w:r>
        <w:rPr>
          <w:rFonts w:ascii="Arial" w:cs="Arial" w:eastAsia="Arial" w:hAnsi="Arial"/>
          <w:sz w:val="18"/>
          <w:szCs w:val="18"/>
          <w:color w:val="auto"/>
        </w:rPr>
        <w:t>. The Company will not engage in or be a party to any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event that would require the Conversion Rate to be adjusted pursuant to </w:t>
      </w:r>
      <w:r>
        <w:rPr>
          <w:rFonts w:ascii="Arial" w:cs="Arial" w:eastAsia="Arial" w:hAnsi="Arial"/>
          <w:sz w:val="18"/>
          <w:szCs w:val="18"/>
          <w:b w:val="1"/>
          <w:bCs w:val="1"/>
          <w:color w:val="auto"/>
        </w:rPr>
        <w:t>Section 5.05(A)</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5.07</w:t>
      </w:r>
      <w:r>
        <w:rPr>
          <w:rFonts w:ascii="Arial" w:cs="Arial" w:eastAsia="Arial" w:hAnsi="Arial"/>
          <w:sz w:val="18"/>
          <w:szCs w:val="18"/>
          <w:color w:val="auto"/>
        </w:rPr>
        <w:t xml:space="preserve"> to an amount that would result in the Conversion Price per share of Common Stock being less than the par value per share of Common Stock.</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411"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Equitable Adjustments to Prices</w:t>
      </w:r>
      <w:r>
        <w:rPr>
          <w:rFonts w:ascii="Arial" w:cs="Arial" w:eastAsia="Arial" w:hAnsi="Arial"/>
          <w:sz w:val="18"/>
          <w:szCs w:val="18"/>
          <w:color w:val="auto"/>
        </w:rPr>
        <w:t>. Whenever any provision of this Indenture requires the Company to calculate the Last Reported Sale</w:t>
      </w:r>
      <w:r>
        <w:rPr>
          <w:rFonts w:ascii="Arial" w:cs="Arial" w:eastAsia="Arial" w:hAnsi="Arial"/>
          <w:sz w:val="18"/>
          <w:szCs w:val="18"/>
          <w:i w:val="1"/>
          <w:iCs w:val="1"/>
          <w:color w:val="auto"/>
        </w:rPr>
        <w:t xml:space="preserve"> </w:t>
      </w:r>
      <w:r>
        <w:rPr>
          <w:rFonts w:ascii="Arial" w:cs="Arial" w:eastAsia="Arial" w:hAnsi="Arial"/>
          <w:sz w:val="18"/>
          <w:szCs w:val="18"/>
          <w:color w:val="auto"/>
        </w:rPr>
        <w:t>Prices, the Daily VWAPs, the Daily Conversion Values, the Daily Cash Amounts or the Daily Share Amounts over a period of multiple days (including over an Observation Period and the period, if any, for determining the Stock Price for purposes of a Make-Whole Fundamental Change), the Company will, acting in good faith and in a commercially reasonable manner, make appropriate adjustments, if any, to each to account for any adjustment to the Conversion Rate that becomes effective, or any event requiring an adjustment to the Conversion Rate where the Ex-Dividend Date, effective date, or Expiration Date of the event occurs, at any time during such period.</w:t>
      </w:r>
    </w:p>
    <w:p>
      <w:pPr>
        <w:spacing w:after="0" w:line="188" w:lineRule="exact"/>
        <w:rPr>
          <w:rFonts w:ascii="Arial" w:cs="Arial" w:eastAsia="Arial" w:hAnsi="Arial"/>
          <w:sz w:val="18"/>
          <w:szCs w:val="18"/>
          <w:color w:val="auto"/>
        </w:rPr>
      </w:pPr>
    </w:p>
    <w:p>
      <w:pPr>
        <w:jc w:val="both"/>
        <w:ind w:firstLine="656"/>
        <w:spacing w:after="0" w:line="261" w:lineRule="auto"/>
        <w:tabs>
          <w:tab w:leader="none" w:pos="1412"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Calculation of Number of Outstanding Shares of Common Stock</w:t>
      </w:r>
      <w:r>
        <w:rPr>
          <w:rFonts w:ascii="Arial" w:cs="Arial" w:eastAsia="Arial" w:hAnsi="Arial"/>
          <w:sz w:val="18"/>
          <w:szCs w:val="18"/>
          <w:color w:val="auto"/>
        </w:rPr>
        <w:t>. For purposes of</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5.05(A)</w:t>
      </w:r>
      <w:r>
        <w:rPr>
          <w:rFonts w:ascii="Arial" w:cs="Arial" w:eastAsia="Arial" w:hAnsi="Arial"/>
          <w:sz w:val="18"/>
          <w:szCs w:val="18"/>
          <w:color w:val="auto"/>
        </w:rPr>
        <w:t>, the number of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399" w:lineRule="exact"/>
        <w:rPr>
          <w:rFonts w:ascii="Arial" w:cs="Arial" w:eastAsia="Arial" w:hAnsi="Arial"/>
          <w:sz w:val="18"/>
          <w:szCs w:val="18"/>
          <w:color w:val="auto"/>
        </w:rPr>
      </w:pPr>
    </w:p>
    <w:p>
      <w:pPr>
        <w:ind w:left="5540" w:hanging="111"/>
        <w:spacing w:after="0"/>
        <w:tabs>
          <w:tab w:leader="none" w:pos="55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firstLine="656"/>
        <w:spacing w:after="0" w:line="277" w:lineRule="auto"/>
        <w:tabs>
          <w:tab w:leader="none" w:pos="1571"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Calculations</w:t>
      </w:r>
      <w:r>
        <w:rPr>
          <w:rFonts w:ascii="Arial" w:cs="Arial" w:eastAsia="Arial" w:hAnsi="Arial"/>
          <w:sz w:val="18"/>
          <w:szCs w:val="18"/>
          <w:color w:val="auto"/>
        </w:rPr>
        <w:t>. All calculations with respect to the Conversion Rate and adjustments thereto will be made to the nearest 1/10,000th of a</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Common Stock (with 5/100,000ths rounded upward).</w:t>
      </w:r>
    </w:p>
    <w:p>
      <w:pPr>
        <w:spacing w:after="0" w:line="166" w:lineRule="exact"/>
        <w:rPr>
          <w:rFonts w:ascii="Arial" w:cs="Arial" w:eastAsia="Arial" w:hAnsi="Arial"/>
          <w:sz w:val="18"/>
          <w:szCs w:val="18"/>
          <w:color w:val="auto"/>
        </w:rPr>
      </w:pPr>
    </w:p>
    <w:p>
      <w:pPr>
        <w:jc w:val="both"/>
        <w:ind w:firstLine="656"/>
        <w:spacing w:after="0" w:line="261" w:lineRule="auto"/>
        <w:tabs>
          <w:tab w:leader="none" w:pos="1496"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Notice of Conversion Rate Adjustments</w:t>
      </w:r>
      <w:r>
        <w:rPr>
          <w:rFonts w:ascii="Arial" w:cs="Arial" w:eastAsia="Arial" w:hAnsi="Arial"/>
          <w:sz w:val="18"/>
          <w:szCs w:val="18"/>
          <w:color w:val="auto"/>
        </w:rPr>
        <w:t>. Upon the effectiveness of any adjustment to the Conversion Rate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5.05(A)</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5.06. V</w:t>
      </w:r>
      <w:r>
        <w:rPr>
          <w:rFonts w:ascii="Arial" w:cs="Arial" w:eastAsia="Arial" w:hAnsi="Arial"/>
          <w:sz w:val="12"/>
          <w:szCs w:val="12"/>
          <w:b w:val="1"/>
          <w:bCs w:val="1"/>
          <w:color w:val="auto"/>
        </w:rPr>
        <w:t>OLUNTARY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DJUSTMENTS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7" w:lineRule="auto"/>
        <w:tabs>
          <w:tab w:leader="none" w:pos="168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To the extent permitted by law and applicable stock exchange rules, the Company, from time to time, may (but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and (ii) such increase is irrevocably in effect for a period of at least twenty (20) Business Days.</w:t>
      </w:r>
    </w:p>
    <w:p>
      <w:pPr>
        <w:spacing w:after="0" w:line="183" w:lineRule="exact"/>
        <w:rPr>
          <w:rFonts w:ascii="Arial" w:cs="Arial" w:eastAsia="Arial" w:hAnsi="Arial"/>
          <w:sz w:val="18"/>
          <w:szCs w:val="18"/>
          <w:color w:val="auto"/>
        </w:rPr>
      </w:pPr>
    </w:p>
    <w:p>
      <w:pPr>
        <w:jc w:val="both"/>
        <w:ind w:firstLine="656"/>
        <w:spacing w:after="0" w:line="314" w:lineRule="auto"/>
        <w:tabs>
          <w:tab w:leader="none" w:pos="1531"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Notice of Voluntary Increases</w:t>
      </w:r>
      <w:r>
        <w:rPr>
          <w:rFonts w:ascii="Arial" w:cs="Arial" w:eastAsia="Arial" w:hAnsi="Arial"/>
          <w:sz w:val="16"/>
          <w:szCs w:val="16"/>
          <w:color w:val="auto"/>
        </w:rPr>
        <w:t>. If the Board of Directors determines to increase the Conversion Rate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5.06(A)</w:t>
      </w:r>
      <w:r>
        <w:rPr>
          <w:rFonts w:ascii="Arial" w:cs="Arial" w:eastAsia="Arial" w:hAnsi="Arial"/>
          <w:sz w:val="16"/>
          <w:szCs w:val="16"/>
          <w:color w:val="auto"/>
        </w:rPr>
        <w:t>, then,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 later than the first Business Day of the related twenty (20) Business Day period referred to in </w:t>
      </w:r>
      <w:r>
        <w:rPr>
          <w:rFonts w:ascii="Arial" w:cs="Arial" w:eastAsia="Arial" w:hAnsi="Arial"/>
          <w:sz w:val="16"/>
          <w:szCs w:val="16"/>
          <w:b w:val="1"/>
          <w:bCs w:val="1"/>
          <w:color w:val="auto"/>
        </w:rPr>
        <w:t>Section 5.06(A)</w:t>
      </w:r>
      <w:r>
        <w:rPr>
          <w:rFonts w:ascii="Arial" w:cs="Arial" w:eastAsia="Arial" w:hAnsi="Arial"/>
          <w:sz w:val="16"/>
          <w:szCs w:val="16"/>
          <w:color w:val="auto"/>
        </w:rPr>
        <w:t>, the Company will send notice to each Holder, the Trustee and the Conversion Agent of such increase, the amount thereof and the period during which such increase will be in effect.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5.07. A</w:t>
      </w:r>
      <w:r>
        <w:rPr>
          <w:rFonts w:ascii="Arial" w:cs="Arial" w:eastAsia="Arial" w:hAnsi="Arial"/>
          <w:sz w:val="12"/>
          <w:szCs w:val="12"/>
          <w:b w:val="1"/>
          <w:bCs w:val="1"/>
          <w:color w:val="auto"/>
        </w:rPr>
        <w:t>DJUSTMENTS</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ATE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ONNECTION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w:t>
      </w:r>
      <w:r>
        <w:rPr>
          <w:rFonts w:ascii="Arial" w:cs="Arial" w:eastAsia="Arial" w:hAnsi="Arial"/>
          <w:sz w:val="18"/>
          <w:szCs w:val="18"/>
          <w:b w:val="1"/>
          <w:bCs w:val="1"/>
          <w:color w:val="auto"/>
        </w:rPr>
        <w:t xml:space="preserve"> A M</w:t>
      </w:r>
      <w:r>
        <w:rPr>
          <w:rFonts w:ascii="Arial" w:cs="Arial" w:eastAsia="Arial" w:hAnsi="Arial"/>
          <w:sz w:val="12"/>
          <w:szCs w:val="12"/>
          <w:b w:val="1"/>
          <w:bCs w:val="1"/>
          <w:color w:val="auto"/>
        </w:rPr>
        <w:t>AKE</w:t>
      </w:r>
      <w:r>
        <w:rPr>
          <w:rFonts w:ascii="Arial" w:cs="Arial" w:eastAsia="Arial" w:hAnsi="Arial"/>
          <w:sz w:val="18"/>
          <w:szCs w:val="18"/>
          <w:b w:val="1"/>
          <w:bCs w:val="1"/>
          <w:color w:val="auto"/>
        </w:rPr>
        <w:t>-W</w:t>
      </w:r>
      <w:r>
        <w:rPr>
          <w:rFonts w:ascii="Arial" w:cs="Arial" w:eastAsia="Arial" w:hAnsi="Arial"/>
          <w:sz w:val="12"/>
          <w:szCs w:val="12"/>
          <w:b w:val="1"/>
          <w:bCs w:val="1"/>
          <w:color w:val="auto"/>
        </w:rPr>
        <w:t>HOLE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UNDAMENTAL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301" w:lineRule="auto"/>
        <w:tabs>
          <w:tab w:leader="none" w:pos="1644"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If a Make-Whole Fundamental Change occurs and the Conversion Date for the conversion of a Note occurs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related Make-Whole Fundamental Change Conversion Period, then, subject to this </w:t>
      </w:r>
      <w:r>
        <w:rPr>
          <w:rFonts w:ascii="Arial" w:cs="Arial" w:eastAsia="Arial" w:hAnsi="Arial"/>
          <w:sz w:val="16"/>
          <w:szCs w:val="16"/>
          <w:b w:val="1"/>
          <w:bCs w:val="1"/>
          <w:color w:val="auto"/>
        </w:rPr>
        <w:t>Section 5.07</w:t>
      </w:r>
      <w:r>
        <w:rPr>
          <w:rFonts w:ascii="Arial" w:cs="Arial" w:eastAsia="Arial" w:hAnsi="Arial"/>
          <w:sz w:val="16"/>
          <w:szCs w:val="16"/>
          <w:color w:val="auto"/>
        </w:rPr>
        <w:t>, the Conversion Rate applicable to such conversion will be increased by a number of shares (the “</w:t>
      </w:r>
      <w:r>
        <w:rPr>
          <w:rFonts w:ascii="Arial" w:cs="Arial" w:eastAsia="Arial" w:hAnsi="Arial"/>
          <w:sz w:val="16"/>
          <w:szCs w:val="16"/>
          <w:b w:val="1"/>
          <w:bCs w:val="1"/>
          <w:color w:val="auto"/>
        </w:rPr>
        <w:t>Additional Shares</w:t>
      </w:r>
      <w:r>
        <w:rPr>
          <w:rFonts w:ascii="Arial" w:cs="Arial" w:eastAsia="Arial" w:hAnsi="Arial"/>
          <w:sz w:val="16"/>
          <w:szCs w:val="16"/>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373" w:lineRule="exact"/>
        <w:rPr>
          <w:rFonts w:ascii="Arial" w:cs="Arial" w:eastAsia="Arial" w:hAnsi="Arial"/>
          <w:sz w:val="16"/>
          <w:szCs w:val="16"/>
          <w:color w:val="auto"/>
        </w:rPr>
      </w:pPr>
    </w:p>
    <w:p>
      <w:pPr>
        <w:ind w:left="5540" w:hanging="111"/>
        <w:spacing w:after="0"/>
        <w:tabs>
          <w:tab w:leader="none" w:pos="55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53"/>
        </w:trPr>
        <w:tc>
          <w:tcPr>
            <w:tcW w:w="1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Make-Whole</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ind w:left="320"/>
              <w:spacing w:after="0"/>
              <w:rPr>
                <w:sz w:val="20"/>
                <w:szCs w:val="20"/>
                <w:color w:val="auto"/>
              </w:rPr>
            </w:pPr>
            <w:r>
              <w:rPr>
                <w:rFonts w:ascii="Arial" w:cs="Arial" w:eastAsia="Arial" w:hAnsi="Arial"/>
                <w:sz w:val="13"/>
                <w:szCs w:val="13"/>
                <w:b w:val="1"/>
                <w:bCs w:val="1"/>
                <w:color w:val="auto"/>
              </w:rPr>
              <w:t>Stock Price</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08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Fundamental</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Change</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Effective</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$36.52</w:t>
            </w:r>
          </w:p>
        </w:tc>
        <w:tc>
          <w:tcPr>
            <w:tcW w:w="16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$40.00</w:t>
            </w:r>
          </w:p>
        </w:tc>
        <w:tc>
          <w:tcPr>
            <w:tcW w:w="16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$45.00</w:t>
            </w:r>
          </w:p>
        </w:tc>
        <w:tc>
          <w:tcPr>
            <w:tcW w:w="16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$50.00</w:t>
            </w:r>
          </w:p>
        </w:tc>
        <w:tc>
          <w:tcPr>
            <w:tcW w:w="20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$54.78</w:t>
            </w:r>
          </w:p>
        </w:tc>
        <w:tc>
          <w:tcPr>
            <w:tcW w:w="18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$60.00</w:t>
            </w:r>
          </w:p>
        </w:tc>
        <w:tc>
          <w:tcPr>
            <w:tcW w:w="180" w:type="dxa"/>
            <w:vAlign w:val="bottom"/>
          </w:tcPr>
          <w:p>
            <w:pPr>
              <w:spacing w:after="0"/>
              <w:rPr>
                <w:sz w:val="13"/>
                <w:szCs w:val="13"/>
                <w:color w:val="auto"/>
              </w:rPr>
            </w:pPr>
          </w:p>
        </w:tc>
        <w:tc>
          <w:tcPr>
            <w:tcW w:w="580" w:type="dxa"/>
            <w:vAlign w:val="bottom"/>
          </w:tcPr>
          <w:p>
            <w:pPr>
              <w:ind w:left="120"/>
              <w:spacing w:after="0"/>
              <w:rPr>
                <w:sz w:val="20"/>
                <w:szCs w:val="20"/>
                <w:color w:val="auto"/>
              </w:rPr>
            </w:pPr>
            <w:r>
              <w:rPr>
                <w:rFonts w:ascii="Arial" w:cs="Arial" w:eastAsia="Arial" w:hAnsi="Arial"/>
                <w:sz w:val="13"/>
                <w:szCs w:val="13"/>
                <w:b w:val="1"/>
                <w:bCs w:val="1"/>
                <w:color w:val="auto"/>
              </w:rPr>
              <w:t>$65.00</w:t>
            </w:r>
          </w:p>
        </w:tc>
        <w:tc>
          <w:tcPr>
            <w:tcW w:w="200" w:type="dxa"/>
            <w:vAlign w:val="bottom"/>
          </w:tcPr>
          <w:p>
            <w:pPr>
              <w:spacing w:after="0"/>
              <w:rPr>
                <w:sz w:val="13"/>
                <w:szCs w:val="13"/>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$71.21</w:t>
            </w:r>
          </w:p>
        </w:tc>
        <w:tc>
          <w:tcPr>
            <w:tcW w:w="180" w:type="dxa"/>
            <w:vAlign w:val="bottom"/>
          </w:tcPr>
          <w:p>
            <w:pPr>
              <w:spacing w:after="0"/>
              <w:rPr>
                <w:sz w:val="13"/>
                <w:szCs w:val="1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$80.00</w:t>
            </w:r>
          </w:p>
        </w:tc>
        <w:tc>
          <w:tcPr>
            <w:tcW w:w="180" w:type="dxa"/>
            <w:vAlign w:val="bottom"/>
          </w:tcPr>
          <w:p>
            <w:pPr>
              <w:spacing w:after="0"/>
              <w:rPr>
                <w:sz w:val="13"/>
                <w:szCs w:val="1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$90.00</w:t>
            </w:r>
          </w:p>
        </w:tc>
        <w:tc>
          <w:tcPr>
            <w:tcW w:w="18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b w:val="1"/>
                <w:bCs w:val="1"/>
                <w:color w:val="auto"/>
              </w:rPr>
              <w:t>$100.00</w:t>
            </w:r>
          </w:p>
        </w:tc>
        <w:tc>
          <w:tcPr>
            <w:tcW w:w="18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b w:val="1"/>
                <w:bCs w:val="1"/>
                <w:color w:val="auto"/>
              </w:rPr>
              <w:t>$125.00</w:t>
            </w: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150.00</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u w:val="single" w:color="auto"/>
                <w:color w:val="auto"/>
                <w:w w:val="85"/>
              </w:rPr>
              <w:t>$</w:t>
            </w:r>
            <w:r>
              <w:rPr>
                <w:rFonts w:ascii="Arial" w:cs="Arial" w:eastAsia="Arial" w:hAnsi="Arial"/>
                <w:sz w:val="13"/>
                <w:szCs w:val="13"/>
                <w:b w:val="1"/>
                <w:bCs w:val="1"/>
                <w:color w:val="auto"/>
                <w:w w:val="85"/>
              </w:rPr>
              <w:t>200.00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5"/>
              </w:rPr>
              <w:t>December 14, 2021</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9.1274</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7.6365</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5.9951</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4.7710</w:t>
            </w: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3.8746</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3.1157</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240"/>
              <w:spacing w:after="0" w:line="129" w:lineRule="exact"/>
              <w:rPr>
                <w:sz w:val="20"/>
                <w:szCs w:val="20"/>
                <w:color w:val="auto"/>
              </w:rPr>
            </w:pPr>
            <w:r>
              <w:rPr>
                <w:rFonts w:ascii="Arial" w:cs="Arial" w:eastAsia="Arial" w:hAnsi="Arial"/>
                <w:sz w:val="13"/>
                <w:szCs w:val="13"/>
                <w:color w:val="auto"/>
                <w:w w:val="80"/>
              </w:rPr>
              <w:t>2.5472</w:t>
            </w: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1.9992</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1.4343</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0.9920</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0.6879</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0.2652</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0.0837</w:t>
            </w: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0.0000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3"/>
                <w:szCs w:val="13"/>
                <w:color w:val="auto"/>
                <w:w w:val="92"/>
              </w:rPr>
              <w:t>December 15, 2022</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9.1274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7.4268</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5.7460</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4.5044</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3.6042</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2.8508</w:t>
            </w:r>
          </w:p>
        </w:tc>
        <w:tc>
          <w:tcPr>
            <w:tcW w:w="7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2.2935</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1.7638</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1.2283</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0.8194</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0.5463</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0.1845</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0.0437</w:t>
            </w:r>
          </w:p>
        </w:tc>
        <w:tc>
          <w:tcPr>
            <w:tcW w:w="4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0.0000</w:t>
            </w:r>
          </w:p>
        </w:tc>
        <w:tc>
          <w:tcPr>
            <w:tcW w:w="0" w:type="dxa"/>
            <w:vAlign w:val="bottom"/>
          </w:tcPr>
          <w:p>
            <w:pPr>
              <w:spacing w:after="0"/>
              <w:rPr>
                <w:sz w:val="1"/>
                <w:szCs w:val="1"/>
                <w:color w:val="auto"/>
              </w:rPr>
            </w:pPr>
          </w:p>
        </w:tc>
      </w:tr>
      <w:tr>
        <w:trPr>
          <w:trHeight w:val="135"/>
        </w:trPr>
        <w:tc>
          <w:tcPr>
            <w:tcW w:w="1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2"/>
              </w:rPr>
              <w:t>December 15, 2023</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9.1274</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7.2788</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5.5211</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4.2380</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3.3207</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2.5650</w:t>
            </w:r>
          </w:p>
        </w:tc>
        <w:tc>
          <w:tcPr>
            <w:tcW w:w="7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2.0158</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1.5047</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1.0026</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0.6339</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0.3978</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0.1079</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0.0133</w:t>
            </w:r>
          </w:p>
        </w:tc>
        <w:tc>
          <w:tcPr>
            <w:tcW w:w="4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0.0000</w:t>
            </w: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3"/>
                <w:szCs w:val="13"/>
                <w:color w:val="auto"/>
                <w:w w:val="92"/>
              </w:rPr>
              <w:t>December 15, 2024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9.1274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7.1018</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5.2216</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3.8716</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2.9277</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2.1705</w:t>
            </w:r>
          </w:p>
        </w:tc>
        <w:tc>
          <w:tcPr>
            <w:tcW w:w="7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1.6372</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1.1590</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0.7134</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0.4084</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0.2283</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0.0366</w:t>
            </w: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0.0000</w:t>
            </w:r>
          </w:p>
        </w:tc>
        <w:tc>
          <w:tcPr>
            <w:tcW w:w="4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0.0000</w:t>
            </w:r>
          </w:p>
        </w:tc>
        <w:tc>
          <w:tcPr>
            <w:tcW w:w="0" w:type="dxa"/>
            <w:vAlign w:val="bottom"/>
          </w:tcPr>
          <w:p>
            <w:pPr>
              <w:spacing w:after="0"/>
              <w:rPr>
                <w:sz w:val="1"/>
                <w:szCs w:val="1"/>
                <w:color w:val="auto"/>
              </w:rPr>
            </w:pPr>
          </w:p>
        </w:tc>
      </w:tr>
      <w:tr>
        <w:trPr>
          <w:trHeight w:val="135"/>
        </w:trPr>
        <w:tc>
          <w:tcPr>
            <w:tcW w:w="1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2"/>
              </w:rPr>
              <w:t>December 15, 2025</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9.1274</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6.8048</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4.7018</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3.2324</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2.2506</w:t>
            </w: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1.5117</w:t>
            </w:r>
          </w:p>
        </w:tc>
        <w:tc>
          <w:tcPr>
            <w:tcW w:w="7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1.0308</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0.6392</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0.3218</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0.1411</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0.0545</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0.0000</w:t>
            </w:r>
          </w:p>
        </w:tc>
        <w:tc>
          <w:tcPr>
            <w:tcW w:w="5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0.0000</w:t>
            </w:r>
          </w:p>
        </w:tc>
        <w:tc>
          <w:tcPr>
            <w:tcW w:w="4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0.0000</w:t>
            </w:r>
          </w:p>
        </w:tc>
        <w:tc>
          <w:tcPr>
            <w:tcW w:w="0" w:type="dxa"/>
            <w:vAlign w:val="bottom"/>
          </w:tcPr>
          <w:p>
            <w:pPr>
              <w:spacing w:after="0"/>
              <w:rPr>
                <w:sz w:val="1"/>
                <w:szCs w:val="1"/>
                <w:color w:val="auto"/>
              </w:rPr>
            </w:pPr>
          </w:p>
        </w:tc>
      </w:tr>
      <w:tr>
        <w:trPr>
          <w:trHeight w:val="160"/>
        </w:trPr>
        <w:tc>
          <w:tcPr>
            <w:tcW w:w="1080" w:type="dxa"/>
            <w:vAlign w:val="bottom"/>
            <w:gridSpan w:val="2"/>
          </w:tcPr>
          <w:p>
            <w:pPr>
              <w:spacing w:after="0"/>
              <w:rPr>
                <w:sz w:val="20"/>
                <w:szCs w:val="20"/>
                <w:color w:val="auto"/>
              </w:rPr>
            </w:pPr>
            <w:r>
              <w:rPr>
                <w:rFonts w:ascii="Arial" w:cs="Arial" w:eastAsia="Arial" w:hAnsi="Arial"/>
                <w:sz w:val="13"/>
                <w:szCs w:val="13"/>
                <w:color w:val="auto"/>
                <w:w w:val="92"/>
              </w:rPr>
              <w:t>December 15, 2026</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9.1274</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6.7452</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3.9674</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1.7452</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0.0000</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0.0000</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0.0000</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0.0000</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such Make-Whole Fundamental Change Effective Date or Stock Price is not set forth in the table above, then:</w:t>
      </w:r>
    </w:p>
    <w:p>
      <w:pPr>
        <w:spacing w:after="0" w:line="225" w:lineRule="exact"/>
        <w:rPr>
          <w:sz w:val="20"/>
          <w:szCs w:val="20"/>
          <w:color w:val="auto"/>
        </w:rPr>
      </w:pPr>
    </w:p>
    <w:p>
      <w:pPr>
        <w:jc w:val="both"/>
        <w:ind w:left="660" w:firstLine="644"/>
        <w:spacing w:after="0" w:line="259" w:lineRule="auto"/>
        <w:tabs>
          <w:tab w:leader="none" w:pos="231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2373"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if the Stock Price is greater than $200.00 (subject to adjustment in the same manner as the Stock Prices set forth in the column headings of the table above are adjusted pursuant to </w:t>
      </w:r>
      <w:r>
        <w:rPr>
          <w:rFonts w:ascii="Arial" w:cs="Arial" w:eastAsia="Arial" w:hAnsi="Arial"/>
          <w:sz w:val="18"/>
          <w:szCs w:val="18"/>
          <w:b w:val="1"/>
          <w:bCs w:val="1"/>
          <w:color w:val="auto"/>
        </w:rPr>
        <w:t>Section 5.07(B)</w:t>
      </w:r>
      <w:r>
        <w:rPr>
          <w:rFonts w:ascii="Arial" w:cs="Arial" w:eastAsia="Arial" w:hAnsi="Arial"/>
          <w:sz w:val="18"/>
          <w:szCs w:val="18"/>
          <w:color w:val="auto"/>
        </w:rPr>
        <w:t>), or less than $36.52 (subject to adjustment in the same manner), per share, then no Additional Shares will be added to the Conversion Rate.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Notwithstanding anything to the contrary in this Indenture or the Notes, in no event will the Conversion Rate be increased to an amount that exceeds 27.3822 shares of Common Stock per $1,000 principal amount of Notes, which amount is subject to adjustment in the same manner as, and at the same time and for the same events for which, the Conversion Rate is required to be adjusted pursuant to </w:t>
      </w:r>
      <w:r>
        <w:rPr>
          <w:rFonts w:ascii="Arial" w:cs="Arial" w:eastAsia="Arial" w:hAnsi="Arial"/>
          <w:sz w:val="17"/>
          <w:szCs w:val="17"/>
          <w:b w:val="1"/>
          <w:bCs w:val="1"/>
          <w:color w:val="auto"/>
        </w:rPr>
        <w:t>Section 5.05(A)</w:t>
      </w:r>
      <w:r>
        <w:rPr>
          <w:rFonts w:ascii="Arial" w:cs="Arial" w:eastAsia="Arial" w:hAnsi="Arial"/>
          <w:sz w:val="17"/>
          <w:szCs w:val="17"/>
          <w:color w:val="auto"/>
        </w:rPr>
        <w:t>.</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For the avoidance of doubt, but subject to </w:t>
      </w:r>
      <w:r>
        <w:rPr>
          <w:rFonts w:ascii="Arial" w:cs="Arial" w:eastAsia="Arial" w:hAnsi="Arial"/>
          <w:sz w:val="18"/>
          <w:szCs w:val="18"/>
          <w:b w:val="1"/>
          <w:bCs w:val="1"/>
          <w:color w:val="auto"/>
        </w:rPr>
        <w:t>Section 4.03(J)</w:t>
      </w:r>
      <w:r>
        <w:rPr>
          <w:rFonts w:ascii="Arial" w:cs="Arial" w:eastAsia="Arial" w:hAnsi="Arial"/>
          <w:sz w:val="18"/>
          <w:szCs w:val="18"/>
          <w:color w:val="auto"/>
        </w:rPr>
        <w:t xml:space="preserve">, (x) the sending of a Redemption Notice will constitute a Make-Whole Fundamental Change only with respect to the Notes called (or deemed called) for Redemption pursuant to such Redemption Notice, and not with respect to any other Notes; and (y) the Conversion Rate applicable to the Notes not so called for Redemption will not be subject to increase pursuant to this </w:t>
      </w:r>
      <w:r>
        <w:rPr>
          <w:rFonts w:ascii="Arial" w:cs="Arial" w:eastAsia="Arial" w:hAnsi="Arial"/>
          <w:sz w:val="18"/>
          <w:szCs w:val="18"/>
          <w:b w:val="1"/>
          <w:bCs w:val="1"/>
          <w:color w:val="auto"/>
        </w:rPr>
        <w:t>Section 5.07</w:t>
      </w:r>
      <w:r>
        <w:rPr>
          <w:rFonts w:ascii="Arial" w:cs="Arial" w:eastAsia="Arial" w:hAnsi="Arial"/>
          <w:sz w:val="18"/>
          <w:szCs w:val="18"/>
          <w:color w:val="auto"/>
        </w:rPr>
        <w:t xml:space="preserve"> on account of such Redemption Notice, except to the limited extent described in </w:t>
      </w:r>
      <w:r>
        <w:rPr>
          <w:rFonts w:ascii="Arial" w:cs="Arial" w:eastAsia="Arial" w:hAnsi="Arial"/>
          <w:sz w:val="18"/>
          <w:szCs w:val="18"/>
          <w:b w:val="1"/>
          <w:bCs w:val="1"/>
          <w:color w:val="auto"/>
        </w:rPr>
        <w:t>Section 4.03(J)</w:t>
      </w:r>
      <w:r>
        <w:rPr>
          <w:rFonts w:ascii="Arial" w:cs="Arial" w:eastAsia="Arial" w:hAnsi="Arial"/>
          <w:sz w:val="18"/>
          <w:szCs w:val="18"/>
          <w:color w:val="auto"/>
        </w:rPr>
        <w:t>.</w:t>
      </w:r>
    </w:p>
    <w:p>
      <w:pPr>
        <w:spacing w:after="0" w:line="184" w:lineRule="exact"/>
        <w:rPr>
          <w:sz w:val="20"/>
          <w:szCs w:val="20"/>
          <w:color w:val="auto"/>
        </w:rPr>
      </w:pPr>
    </w:p>
    <w:p>
      <w:pPr>
        <w:jc w:val="both"/>
        <w:ind w:firstLine="656"/>
        <w:spacing w:after="0" w:line="301" w:lineRule="auto"/>
        <w:tabs>
          <w:tab w:leader="none" w:pos="1585"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Adjustment of Stock Prices and Number of Additional Shares</w:t>
      </w:r>
      <w:r>
        <w:rPr>
          <w:rFonts w:ascii="Arial" w:cs="Arial" w:eastAsia="Arial" w:hAnsi="Arial"/>
          <w:sz w:val="16"/>
          <w:szCs w:val="16"/>
          <w:color w:val="auto"/>
        </w:rPr>
        <w:t>. The Stock Prices in the first row (</w:t>
      </w:r>
      <w:r>
        <w:rPr>
          <w:rFonts w:ascii="Arial" w:cs="Arial" w:eastAsia="Arial" w:hAnsi="Arial"/>
          <w:sz w:val="16"/>
          <w:szCs w:val="16"/>
          <w:i w:val="1"/>
          <w:iCs w:val="1"/>
          <w:color w:val="auto"/>
        </w:rPr>
        <w:t>i.e.</w:t>
      </w:r>
      <w:r>
        <w:rPr>
          <w:rFonts w:ascii="Arial" w:cs="Arial" w:eastAsia="Arial" w:hAnsi="Arial"/>
          <w:sz w:val="16"/>
          <w:szCs w:val="16"/>
          <w:color w:val="auto"/>
        </w:rPr>
        <w:t>, the column headers) of the table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set forth in </w:t>
      </w:r>
      <w:r>
        <w:rPr>
          <w:rFonts w:ascii="Arial" w:cs="Arial" w:eastAsia="Arial" w:hAnsi="Arial"/>
          <w:sz w:val="16"/>
          <w:szCs w:val="16"/>
          <w:b w:val="1"/>
          <w:bCs w:val="1"/>
          <w:color w:val="auto"/>
        </w:rPr>
        <w:t>Section 5.07(A)</w:t>
      </w:r>
      <w:r>
        <w:rPr>
          <w:rFonts w:ascii="Arial" w:cs="Arial" w:eastAsia="Arial" w:hAnsi="Arial"/>
          <w:sz w:val="16"/>
          <w:szCs w:val="16"/>
          <w:color w:val="auto"/>
        </w:rPr>
        <w:t xml:space="preserve"> will be adjusted in the same manner as, and at the same time and for the same events for which, the Conversion Price is adjusted as a result of the operation of </w:t>
      </w:r>
      <w:r>
        <w:rPr>
          <w:rFonts w:ascii="Arial" w:cs="Arial" w:eastAsia="Arial" w:hAnsi="Arial"/>
          <w:sz w:val="16"/>
          <w:szCs w:val="16"/>
          <w:b w:val="1"/>
          <w:bCs w:val="1"/>
          <w:color w:val="auto"/>
        </w:rPr>
        <w:t>Section 5.05(A)</w:t>
      </w:r>
      <w:r>
        <w:rPr>
          <w:rFonts w:ascii="Arial" w:cs="Arial" w:eastAsia="Arial" w:hAnsi="Arial"/>
          <w:sz w:val="16"/>
          <w:szCs w:val="16"/>
          <w:color w:val="auto"/>
        </w:rPr>
        <w:t xml:space="preserve">. The numbers of Additional Shares in the table set forth in </w:t>
      </w:r>
      <w:r>
        <w:rPr>
          <w:rFonts w:ascii="Arial" w:cs="Arial" w:eastAsia="Arial" w:hAnsi="Arial"/>
          <w:sz w:val="16"/>
          <w:szCs w:val="16"/>
          <w:b w:val="1"/>
          <w:bCs w:val="1"/>
          <w:color w:val="auto"/>
        </w:rPr>
        <w:t>Section 5.07(A)</w:t>
      </w:r>
      <w:r>
        <w:rPr>
          <w:rFonts w:ascii="Arial" w:cs="Arial" w:eastAsia="Arial" w:hAnsi="Arial"/>
          <w:sz w:val="16"/>
          <w:szCs w:val="16"/>
          <w:color w:val="auto"/>
        </w:rPr>
        <w:t xml:space="preserve"> will be adjusted in the same manner as, and at the same time and for the same events for which, the Conversion Rate is adjusted pursuant to </w:t>
      </w:r>
      <w:r>
        <w:rPr>
          <w:rFonts w:ascii="Arial" w:cs="Arial" w:eastAsia="Arial" w:hAnsi="Arial"/>
          <w:sz w:val="16"/>
          <w:szCs w:val="16"/>
          <w:b w:val="1"/>
          <w:bCs w:val="1"/>
          <w:color w:val="auto"/>
        </w:rPr>
        <w:t>Section 5.05(A)</w:t>
      </w:r>
      <w:r>
        <w:rPr>
          <w:rFonts w:ascii="Arial" w:cs="Arial" w:eastAsia="Arial" w:hAnsi="Arial"/>
          <w:sz w:val="16"/>
          <w:szCs w:val="16"/>
          <w:color w:val="auto"/>
        </w:rPr>
        <w:t>.</w:t>
      </w:r>
    </w:p>
    <w:p>
      <w:pPr>
        <w:spacing w:after="0" w:line="373" w:lineRule="exact"/>
        <w:rPr>
          <w:rFonts w:ascii="Arial" w:cs="Arial" w:eastAsia="Arial" w:hAnsi="Arial"/>
          <w:sz w:val="16"/>
          <w:szCs w:val="16"/>
          <w:color w:val="auto"/>
        </w:rPr>
      </w:pPr>
    </w:p>
    <w:p>
      <w:pPr>
        <w:ind w:left="5540" w:hanging="111"/>
        <w:spacing w:after="0"/>
        <w:tabs>
          <w:tab w:leader="none" w:pos="5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9" w:name="page70"/>
    <w:bookmarkEnd w:id="69"/>
    <w:p>
      <w:pPr>
        <w:jc w:val="both"/>
        <w:ind w:firstLine="656"/>
        <w:spacing w:after="0" w:line="263" w:lineRule="auto"/>
        <w:tabs>
          <w:tab w:leader="none" w:pos="1841"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Notice of the Occurrence of a Make-Whole Fundamental Change</w:t>
      </w:r>
      <w:r>
        <w:rPr>
          <w:rFonts w:ascii="Arial" w:cs="Arial" w:eastAsia="Arial" w:hAnsi="Arial"/>
          <w:sz w:val="18"/>
          <w:szCs w:val="18"/>
          <w:color w:val="auto"/>
        </w:rPr>
        <w:t>. The Company will notify the Holders, the Trustee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Conversion Agent of each Make-Whole Fundamental Change occurring pursuant to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of the definition thereof in accordance with </w:t>
      </w:r>
      <w:r>
        <w:rPr>
          <w:rFonts w:ascii="Arial" w:cs="Arial" w:eastAsia="Arial" w:hAnsi="Arial"/>
          <w:sz w:val="18"/>
          <w:szCs w:val="18"/>
          <w:b w:val="1"/>
          <w:bCs w:val="1"/>
          <w:color w:val="auto"/>
        </w:rPr>
        <w:t>Section 5.01(C)</w:t>
      </w:r>
      <w:r>
        <w:rPr>
          <w:rFonts w:ascii="Arial" w:cs="Arial" w:eastAsia="Arial" w:hAnsi="Arial"/>
          <w:sz w:val="18"/>
          <w:szCs w:val="18"/>
          <w:color w:val="auto"/>
        </w:rPr>
        <w:t xml:space="preserve"> </w:t>
      </w:r>
      <w:r>
        <w:rPr>
          <w:rFonts w:ascii="Arial" w:cs="Arial" w:eastAsia="Arial" w:hAnsi="Arial"/>
          <w:sz w:val="18"/>
          <w:szCs w:val="18"/>
          <w:b w:val="1"/>
          <w:bCs w:val="1"/>
          <w:color w:val="auto"/>
        </w:rPr>
        <w:t>(i)(3)(b)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82"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Settlement of Cash Make-Whole Fundamental Changes</w:t>
      </w:r>
      <w:r>
        <w:rPr>
          <w:rFonts w:ascii="Arial" w:cs="Arial" w:eastAsia="Arial" w:hAnsi="Arial"/>
          <w:sz w:val="18"/>
          <w:szCs w:val="18"/>
          <w:color w:val="auto"/>
        </w:rPr>
        <w:t>. For the avoidance of doubt, if holders of Common Stock receive solely cash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connection with a Common Stock Change Event that also constitutes a Make-Whole Fundamental Change, then, pursuant to </w:t>
      </w:r>
      <w:r>
        <w:rPr>
          <w:rFonts w:ascii="Arial" w:cs="Arial" w:eastAsia="Arial" w:hAnsi="Arial"/>
          <w:sz w:val="18"/>
          <w:szCs w:val="18"/>
          <w:b w:val="1"/>
          <w:bCs w:val="1"/>
          <w:color w:val="auto"/>
        </w:rPr>
        <w:t>Section 5.09</w:t>
      </w:r>
      <w:r>
        <w:rPr>
          <w:rFonts w:ascii="Arial" w:cs="Arial" w:eastAsia="Arial" w:hAnsi="Arial"/>
          <w:sz w:val="18"/>
          <w:szCs w:val="18"/>
          <w:color w:val="auto"/>
        </w:rPr>
        <w:t>, conversions of Notes will thereafter be settled no later than the second (2nd) Business Day after the relevant Conversion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5.08. E</w:t>
      </w:r>
      <w:r>
        <w:rPr>
          <w:rFonts w:ascii="Arial" w:cs="Arial" w:eastAsia="Arial" w:hAnsi="Arial"/>
          <w:sz w:val="12"/>
          <w:szCs w:val="12"/>
          <w:b w:val="1"/>
          <w:bCs w:val="1"/>
          <w:color w:val="auto"/>
        </w:rPr>
        <w:t>XCHANGE IN</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IEU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b w:val="1"/>
          <w:bCs w:val="1"/>
          <w:color w:val="auto"/>
        </w:rPr>
        <w:t>Article 5</w:t>
      </w:r>
      <w:r>
        <w:rPr>
          <w:rFonts w:ascii="Arial" w:cs="Arial" w:eastAsia="Arial" w:hAnsi="Arial"/>
          <w:sz w:val="17"/>
          <w:szCs w:val="17"/>
          <w:color w:val="auto"/>
        </w:rPr>
        <w:t xml:space="preserve">, and subject to the terms of this </w:t>
      </w:r>
      <w:r>
        <w:rPr>
          <w:rFonts w:ascii="Arial" w:cs="Arial" w:eastAsia="Arial" w:hAnsi="Arial"/>
          <w:sz w:val="17"/>
          <w:szCs w:val="17"/>
          <w:b w:val="1"/>
          <w:bCs w:val="1"/>
          <w:color w:val="auto"/>
        </w:rPr>
        <w:t>Section 5.08</w:t>
      </w:r>
      <w:r>
        <w:rPr>
          <w:rFonts w:ascii="Arial" w:cs="Arial" w:eastAsia="Arial" w:hAnsi="Arial"/>
          <w:sz w:val="17"/>
          <w:szCs w:val="17"/>
          <w:color w:val="auto"/>
        </w:rPr>
        <w:t>, if a Note is submitted for conversion, the Company may elect to arrange to have such Note exchanged in lieu of conversion by a financial institution designated by the Company. To make such election, the Company must send written notice of such election to the Holder of such Note, the Trustee and the Conversion Agent before the Close of Business on the Business Day immediately following the Conversion Date for such Note. If the Company has made such election, then:</w:t>
      </w:r>
    </w:p>
    <w:p>
      <w:pPr>
        <w:spacing w:after="0" w:line="169" w:lineRule="exact"/>
        <w:rPr>
          <w:sz w:val="20"/>
          <w:szCs w:val="20"/>
          <w:color w:val="auto"/>
        </w:rPr>
      </w:pPr>
    </w:p>
    <w:p>
      <w:pPr>
        <w:jc w:val="both"/>
        <w:ind w:firstLine="656"/>
        <w:spacing w:after="0" w:line="301" w:lineRule="auto"/>
        <w:tabs>
          <w:tab w:leader="none" w:pos="1644"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(or such other amount agreed to by the Holder and the financial institution) in the manner and at the time the Company would have had to deliver the same pursuant to this </w:t>
      </w:r>
      <w:r>
        <w:rPr>
          <w:rFonts w:ascii="Arial" w:cs="Arial" w:eastAsia="Arial" w:hAnsi="Arial"/>
          <w:sz w:val="16"/>
          <w:szCs w:val="16"/>
          <w:b w:val="1"/>
          <w:bCs w:val="1"/>
          <w:color w:val="auto"/>
        </w:rPr>
        <w:t>Article 5</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firstLine="656"/>
        <w:spacing w:after="0" w:line="279" w:lineRule="auto"/>
        <w:tabs>
          <w:tab w:leader="none" w:pos="1625"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such Note is a Global Note, then (i) such designated institution will send written confirmation to the Conversion Agent promptly after wiring the cash Conversion Consideration, if any, and delivering any other Conversion Consideration (or such other consideration agreed to by the Holder and the financial institution), due upon such conversion to the Holder of such Note; and (ii) the Conversion Agent will as soon as reasonably practicable thereafter contact such Holder’s custodian with the Depositary to confirm receipt of the same; and</w:t>
      </w:r>
    </w:p>
    <w:p>
      <w:pPr>
        <w:spacing w:after="0" w:line="171" w:lineRule="exact"/>
        <w:rPr>
          <w:rFonts w:ascii="Arial" w:cs="Arial" w:eastAsia="Arial" w:hAnsi="Arial"/>
          <w:sz w:val="17"/>
          <w:szCs w:val="17"/>
          <w:color w:val="auto"/>
        </w:rPr>
      </w:pPr>
    </w:p>
    <w:p>
      <w:pPr>
        <w:ind w:left="1520" w:hanging="864"/>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Note will not cease to be outstanding by reason of such exchange in lieu of conversion;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such financial institution does not accept such Note or fails to timely deliver the Conversion Consideration (or such other amount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agreed to by the Holder and the financial institution) as set forth in </w:t>
      </w:r>
      <w:r>
        <w:rPr>
          <w:rFonts w:ascii="Arial" w:cs="Arial" w:eastAsia="Arial" w:hAnsi="Arial"/>
          <w:sz w:val="18"/>
          <w:szCs w:val="18"/>
          <w:b w:val="1"/>
          <w:bCs w:val="1"/>
          <w:color w:val="auto"/>
        </w:rPr>
        <w:t>Section 5.08(A)</w:t>
      </w:r>
      <w:r>
        <w:rPr>
          <w:rFonts w:ascii="Arial" w:cs="Arial" w:eastAsia="Arial" w:hAnsi="Arial"/>
          <w:sz w:val="18"/>
          <w:szCs w:val="18"/>
          <w:color w:val="auto"/>
        </w:rPr>
        <w:t xml:space="preserve">, then the Company will be responsible for delivering the Conversion Consideration in the manner and at the time provided in this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as if the Company had not elected to make an exchange in lieu of conversion. The Conversion Agent will be entitled to conclusively rely upon the Company’s instruction in connection with effecting such exchange election and will have no liability in respect of such exchange election.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Section 5.09. E</w:t>
      </w:r>
      <w:r>
        <w:rPr>
          <w:rFonts w:ascii="Arial" w:cs="Arial" w:eastAsia="Arial" w:hAnsi="Arial"/>
          <w:sz w:val="12"/>
          <w:szCs w:val="12"/>
          <w:b w:val="1"/>
          <w:bCs w:val="1"/>
          <w:color w:val="auto"/>
        </w:rPr>
        <w:t>FFECT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w:t>
      </w:r>
      <w:r>
        <w:rPr>
          <w:rFonts w:ascii="Arial" w:cs="Arial" w:eastAsia="Arial" w:hAnsi="Arial"/>
          <w:sz w:val="18"/>
          <w:szCs w:val="18"/>
          <w:b w:val="1"/>
          <w:bCs w:val="1"/>
          <w:color w:val="auto"/>
        </w:rPr>
        <w:t>.</w:t>
      </w:r>
    </w:p>
    <w:p>
      <w:pPr>
        <w:spacing w:after="0" w:line="229" w:lineRule="exact"/>
        <w:rPr>
          <w:sz w:val="20"/>
          <w:szCs w:val="20"/>
          <w:color w:val="auto"/>
        </w:rPr>
      </w:pPr>
    </w:p>
    <w:p>
      <w:pPr>
        <w:ind w:left="1260" w:hanging="604"/>
        <w:spacing w:after="0"/>
        <w:tabs>
          <w:tab w:leader="none" w:pos="12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If there occurs any:</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107" w:val="left"/>
        </w:tabs>
        <w:numPr>
          <w:ilvl w:val="1"/>
          <w:numId w:val="95"/>
        </w:numPr>
        <w:rPr>
          <w:rFonts w:ascii="Arial" w:cs="Arial" w:eastAsia="Arial" w:hAnsi="Arial"/>
          <w:sz w:val="18"/>
          <w:szCs w:val="18"/>
          <w:color w:val="auto"/>
        </w:rPr>
      </w:pPr>
      <w:r>
        <w:rPr>
          <w:rFonts w:ascii="Arial" w:cs="Arial" w:eastAsia="Arial" w:hAnsi="Arial"/>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consolidation, merger, combination or binding or statutory share exchange involving the Company;</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sale, lease or other transfer of all or substantially all of the assets of the Company and its Subsidiaries, taken as a whole, to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Person; or</w:t>
      </w:r>
    </w:p>
    <w:p>
      <w:pPr>
        <w:spacing w:after="0" w:line="210" w:lineRule="exact"/>
        <w:rPr>
          <w:rFonts w:ascii="Arial" w:cs="Arial" w:eastAsia="Arial" w:hAnsi="Arial"/>
          <w:sz w:val="16"/>
          <w:szCs w:val="16"/>
          <w:color w:val="auto"/>
        </w:rPr>
      </w:pPr>
    </w:p>
    <w:p>
      <w:pPr>
        <w:ind w:left="2020" w:hanging="716"/>
        <w:spacing w:after="0"/>
        <w:tabs>
          <w:tab w:leader="none" w:pos="20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other similar event,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as a result of which, the Common Stock is converted into, or is exchanged for, or represents solely the right to receive, other securities, cash or other property, or any combination of the foregoing (such an event, a “</w:t>
      </w:r>
      <w:r>
        <w:rPr>
          <w:rFonts w:ascii="Arial" w:cs="Arial" w:eastAsia="Arial" w:hAnsi="Arial"/>
          <w:sz w:val="17"/>
          <w:szCs w:val="17"/>
          <w:b w:val="1"/>
          <w:bCs w:val="1"/>
          <w:color w:val="auto"/>
        </w:rPr>
        <w:t>Common Stock Change Event</w:t>
      </w:r>
      <w:r>
        <w:rPr>
          <w:rFonts w:ascii="Arial" w:cs="Arial" w:eastAsia="Arial" w:hAnsi="Arial"/>
          <w:sz w:val="17"/>
          <w:szCs w:val="17"/>
          <w:color w:val="auto"/>
        </w:rPr>
        <w:t>,” and such other securities, cash or property, the “</w:t>
      </w:r>
      <w:r>
        <w:rPr>
          <w:rFonts w:ascii="Arial" w:cs="Arial" w:eastAsia="Arial" w:hAnsi="Arial"/>
          <w:sz w:val="17"/>
          <w:szCs w:val="17"/>
          <w:b w:val="1"/>
          <w:bCs w:val="1"/>
          <w:color w:val="auto"/>
        </w:rPr>
        <w:t>Reference Property</w:t>
      </w:r>
      <w:r>
        <w:rPr>
          <w:rFonts w:ascii="Arial" w:cs="Arial" w:eastAsia="Arial" w:hAnsi="Arial"/>
          <w:sz w:val="17"/>
          <w:szCs w:val="17"/>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Arial" w:cs="Arial" w:eastAsia="Arial" w:hAnsi="Arial"/>
          <w:sz w:val="17"/>
          <w:szCs w:val="17"/>
          <w:b w:val="1"/>
          <w:bCs w:val="1"/>
          <w:color w:val="auto"/>
        </w:rPr>
        <w:t>Reference Property Unit</w:t>
      </w:r>
      <w:r>
        <w:rPr>
          <w:rFonts w:ascii="Arial" w:cs="Arial" w:eastAsia="Arial" w:hAnsi="Arial"/>
          <w:sz w:val="17"/>
          <w:szCs w:val="17"/>
          <w:color w:val="auto"/>
        </w:rPr>
        <w:t>”), then, notwithstanding anything to the contrary in this Indenture or the Notes,</w:t>
      </w:r>
    </w:p>
    <w:p>
      <w:pPr>
        <w:spacing w:after="0" w:line="176" w:lineRule="exact"/>
        <w:rPr>
          <w:sz w:val="20"/>
          <w:szCs w:val="20"/>
          <w:color w:val="auto"/>
        </w:rPr>
      </w:pPr>
    </w:p>
    <w:p>
      <w:pPr>
        <w:jc w:val="both"/>
        <w:ind w:left="1300" w:firstLine="652"/>
        <w:spacing w:after="0" w:line="321" w:lineRule="auto"/>
        <w:tabs>
          <w:tab w:leader="none" w:pos="2873"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(or in any related definitions) were instead a reference to the same number of</w:t>
      </w:r>
    </w:p>
    <w:p>
      <w:pPr>
        <w:jc w:val="both"/>
        <w:ind w:left="1300"/>
        <w:spacing w:after="0" w:line="309" w:lineRule="auto"/>
        <w:rPr>
          <w:sz w:val="20"/>
          <w:szCs w:val="20"/>
          <w:color w:val="auto"/>
        </w:rPr>
      </w:pPr>
      <w:r>
        <w:rPr>
          <w:rFonts w:ascii="Arial" w:cs="Arial" w:eastAsia="Arial" w:hAnsi="Arial"/>
          <w:sz w:val="16"/>
          <w:szCs w:val="16"/>
          <w:color w:val="auto"/>
        </w:rPr>
        <w:t xml:space="preserve">Reference Property Units; (II) for purposes of </w:t>
      </w:r>
      <w:r>
        <w:rPr>
          <w:rFonts w:ascii="Arial" w:cs="Arial" w:eastAsia="Arial" w:hAnsi="Arial"/>
          <w:sz w:val="16"/>
          <w:szCs w:val="16"/>
          <w:b w:val="1"/>
          <w:bCs w:val="1"/>
          <w:color w:val="auto"/>
        </w:rPr>
        <w:t>Section 4.03</w:t>
      </w:r>
      <w:r>
        <w:rPr>
          <w:rFonts w:ascii="Arial" w:cs="Arial" w:eastAsia="Arial" w:hAnsi="Arial"/>
          <w:sz w:val="16"/>
          <w:szCs w:val="16"/>
          <w:color w:val="auto"/>
        </w:rPr>
        <w:t>, each reference to any number of shares of Common Stock in such Section (or in any related definitions) will instead be deemed to be a reference to the same number of Reference Property Units; and (III) for purposes of the definitions of “Fundamental Change” and “Make-Whole Fundamental Change,” references to “Common Stock” and the Company’s “common equity” will be deemed to mean the common equity, if any, forming part of such Reference Property;</w:t>
      </w:r>
    </w:p>
    <w:p>
      <w:pPr>
        <w:spacing w:after="0" w:line="150" w:lineRule="exact"/>
        <w:rPr>
          <w:sz w:val="20"/>
          <w:szCs w:val="20"/>
          <w:color w:val="auto"/>
        </w:rPr>
      </w:pPr>
    </w:p>
    <w:p>
      <w:pPr>
        <w:jc w:val="both"/>
        <w:ind w:left="1300" w:right="20" w:firstLine="652"/>
        <w:spacing w:after="0" w:line="297" w:lineRule="auto"/>
        <w:tabs>
          <w:tab w:leader="none" w:pos="29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w:t>
      </w:r>
    </w:p>
    <w:p>
      <w:pPr>
        <w:spacing w:after="0" w:line="1" w:lineRule="exact"/>
        <w:rPr>
          <w:rFonts w:ascii="Arial" w:cs="Arial" w:eastAsia="Arial" w:hAnsi="Arial"/>
          <w:sz w:val="16"/>
          <w:szCs w:val="16"/>
          <w:color w:val="auto"/>
        </w:rPr>
      </w:pPr>
    </w:p>
    <w:p>
      <w:pPr>
        <w:jc w:val="both"/>
        <w:ind w:left="1300"/>
        <w:spacing w:after="0" w:line="274" w:lineRule="auto"/>
        <w:rPr>
          <w:rFonts w:ascii="Arial" w:cs="Arial" w:eastAsia="Arial" w:hAnsi="Arial"/>
          <w:sz w:val="16"/>
          <w:szCs w:val="16"/>
          <w:color w:val="auto"/>
        </w:rPr>
      </w:pPr>
      <w:r>
        <w:rPr>
          <w:rFonts w:ascii="Arial" w:cs="Arial" w:eastAsia="Arial" w:hAnsi="Arial"/>
          <w:sz w:val="18"/>
          <w:szCs w:val="18"/>
          <w:color w:val="auto"/>
        </w:rPr>
        <w:t xml:space="preserve">(including, for the avoidance of doubt, any increase to such Conversion Rate pursuant to </w:t>
      </w:r>
      <w:r>
        <w:rPr>
          <w:rFonts w:ascii="Arial" w:cs="Arial" w:eastAsia="Arial" w:hAnsi="Arial"/>
          <w:sz w:val="18"/>
          <w:szCs w:val="18"/>
          <w:b w:val="1"/>
          <w:bCs w:val="1"/>
          <w:color w:val="auto"/>
        </w:rPr>
        <w:t>Section 5.07</w:t>
      </w:r>
      <w:r>
        <w:rPr>
          <w:rFonts w:ascii="Arial" w:cs="Arial" w:eastAsia="Arial" w:hAnsi="Arial"/>
          <w:sz w:val="18"/>
          <w:szCs w:val="18"/>
          <w:color w:val="auto"/>
        </w:rPr>
        <w:t>, if applicable); and (y) the amount of cash constituting such Reference Property Unit; and (II) the Company will settle each such conversion no later than the second (2nd) Business Day after the relevant Conversion Date; and</w:t>
      </w:r>
    </w:p>
    <w:p>
      <w:pPr>
        <w:spacing w:after="0" w:line="388" w:lineRule="exact"/>
        <w:rPr>
          <w:rFonts w:ascii="Arial" w:cs="Arial" w:eastAsia="Arial" w:hAnsi="Arial"/>
          <w:sz w:val="16"/>
          <w:szCs w:val="16"/>
          <w:color w:val="auto"/>
        </w:rPr>
      </w:pPr>
    </w:p>
    <w:p>
      <w:pPr>
        <w:ind w:left="5540" w:hanging="111"/>
        <w:spacing w:after="0"/>
        <w:tabs>
          <w:tab w:leader="none" w:pos="55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left="1300" w:firstLine="652"/>
        <w:spacing w:after="0" w:line="293" w:lineRule="auto"/>
        <w:tabs>
          <w:tab w:leader="none" w:pos="2873"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(if other than the Trustee) in writing of such weighted average as soon as practicable after such determination is made.</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At or before the effective time of such Common Stock Change Event, the Company and the resulting, surviving or transferee Person (if not the Company) of such Common Stock Change Event (the “</w:t>
      </w:r>
      <w:r>
        <w:rPr>
          <w:rFonts w:ascii="Arial" w:cs="Arial" w:eastAsia="Arial" w:hAnsi="Arial"/>
          <w:sz w:val="16"/>
          <w:szCs w:val="16"/>
          <w:b w:val="1"/>
          <w:bCs w:val="1"/>
          <w:color w:val="auto"/>
        </w:rPr>
        <w:t>Successor Person</w:t>
      </w:r>
      <w:r>
        <w:rPr>
          <w:rFonts w:ascii="Arial" w:cs="Arial" w:eastAsia="Arial" w:hAnsi="Arial"/>
          <w:sz w:val="16"/>
          <w:szCs w:val="16"/>
          <w:color w:val="auto"/>
        </w:rPr>
        <w:t xml:space="preserve">”) will execute and deliver to the Trustee a supplemental indenture pursuant to </w:t>
      </w:r>
      <w:r>
        <w:rPr>
          <w:rFonts w:ascii="Arial" w:cs="Arial" w:eastAsia="Arial" w:hAnsi="Arial"/>
          <w:sz w:val="16"/>
          <w:szCs w:val="16"/>
          <w:b w:val="1"/>
          <w:bCs w:val="1"/>
          <w:color w:val="auto"/>
        </w:rPr>
        <w:t>Section 8.01(F)</w:t>
      </w:r>
      <w:r>
        <w:rPr>
          <w:rFonts w:ascii="Arial" w:cs="Arial" w:eastAsia="Arial" w:hAnsi="Arial"/>
          <w:sz w:val="16"/>
          <w:szCs w:val="16"/>
          <w:color w:val="auto"/>
        </w:rPr>
        <w:t>, which supplemental indenture will (x) provide for subsequent conversions of Notes in the manner set forth in this</w:t>
      </w:r>
      <w:r>
        <w:rPr>
          <w:rFonts w:ascii="Arial" w:cs="Arial" w:eastAsia="Arial" w:hAnsi="Arial"/>
          <w:sz w:val="16"/>
          <w:szCs w:val="16"/>
          <w:b w:val="1"/>
          <w:bCs w:val="1"/>
          <w:color w:val="auto"/>
        </w:rPr>
        <w:t xml:space="preserve"> Section 5.09</w:t>
      </w:r>
      <w:r>
        <w:rPr>
          <w:rFonts w:ascii="Arial" w:cs="Arial" w:eastAsia="Arial" w:hAnsi="Arial"/>
          <w:sz w:val="16"/>
          <w:szCs w:val="16"/>
          <w:color w:val="auto"/>
        </w:rPr>
        <w:t>; (y)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for subsequent adjustments to the Conversion Rate pursuant to </w:t>
      </w:r>
      <w:r>
        <w:rPr>
          <w:rFonts w:ascii="Arial" w:cs="Arial" w:eastAsia="Arial" w:hAnsi="Arial"/>
          <w:sz w:val="16"/>
          <w:szCs w:val="16"/>
          <w:b w:val="1"/>
          <w:bCs w:val="1"/>
          <w:color w:val="auto"/>
        </w:rPr>
        <w:t>Section 5.05(A)</w:t>
      </w:r>
      <w:r>
        <w:rPr>
          <w:rFonts w:ascii="Arial" w:cs="Arial" w:eastAsia="Arial" w:hAnsi="Arial"/>
          <w:sz w:val="16"/>
          <w:szCs w:val="16"/>
          <w:color w:val="auto"/>
        </w:rPr>
        <w:t xml:space="preserve"> in a manner consistent with this </w:t>
      </w:r>
      <w:r>
        <w:rPr>
          <w:rFonts w:ascii="Arial" w:cs="Arial" w:eastAsia="Arial" w:hAnsi="Arial"/>
          <w:sz w:val="16"/>
          <w:szCs w:val="16"/>
          <w:b w:val="1"/>
          <w:bCs w:val="1"/>
          <w:color w:val="auto"/>
        </w:rPr>
        <w:t>Section 5.09</w:t>
      </w:r>
      <w:r>
        <w:rPr>
          <w:rFonts w:ascii="Arial" w:cs="Arial" w:eastAsia="Arial" w:hAnsi="Arial"/>
          <w:sz w:val="16"/>
          <w:szCs w:val="16"/>
          <w:color w:val="auto"/>
        </w:rPr>
        <w:t xml:space="preserve">; and (z) contain such other provisions, if any, that the Company reasonably determines are appropriate to preserve the economic interests of the Holders and to give effect to the provisions of this </w:t>
      </w:r>
      <w:r>
        <w:rPr>
          <w:rFonts w:ascii="Arial" w:cs="Arial" w:eastAsia="Arial" w:hAnsi="Arial"/>
          <w:sz w:val="16"/>
          <w:szCs w:val="16"/>
          <w:b w:val="1"/>
          <w:bCs w:val="1"/>
          <w:color w:val="auto"/>
        </w:rPr>
        <w:t>Section 5.09(A)</w:t>
      </w:r>
      <w:r>
        <w:rPr>
          <w:rFonts w:ascii="Arial" w:cs="Arial" w:eastAsia="Arial" w:hAnsi="Arial"/>
          <w:sz w:val="16"/>
          <w:szCs w:val="16"/>
          <w:color w:val="auto"/>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spacing w:after="0" w:line="165" w:lineRule="exact"/>
        <w:rPr>
          <w:sz w:val="20"/>
          <w:szCs w:val="20"/>
          <w:color w:val="auto"/>
        </w:rPr>
      </w:pPr>
    </w:p>
    <w:p>
      <w:pPr>
        <w:ind w:firstLine="656"/>
        <w:spacing w:after="0" w:line="308" w:lineRule="auto"/>
        <w:tabs>
          <w:tab w:leader="none" w:pos="1527"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Notice of Common Stock Change Events</w:t>
      </w:r>
      <w:r>
        <w:rPr>
          <w:rFonts w:ascii="Arial" w:cs="Arial" w:eastAsia="Arial" w:hAnsi="Arial"/>
          <w:sz w:val="17"/>
          <w:szCs w:val="17"/>
          <w:color w:val="auto"/>
        </w:rPr>
        <w:t>. The Company will provide notice of each Common Stock Change Event to Holders, the</w:t>
      </w:r>
      <w:r>
        <w:rPr>
          <w:rFonts w:ascii="Arial" w:cs="Arial" w:eastAsia="Arial" w:hAnsi="Arial"/>
          <w:sz w:val="17"/>
          <w:szCs w:val="17"/>
          <w:i w:val="1"/>
          <w:iCs w:val="1"/>
          <w:color w:val="auto"/>
        </w:rPr>
        <w:t xml:space="preserve"> </w:t>
      </w:r>
      <w:r>
        <w:rPr>
          <w:rFonts w:ascii="Arial" w:cs="Arial" w:eastAsia="Arial" w:hAnsi="Arial"/>
          <w:sz w:val="17"/>
          <w:szCs w:val="17"/>
          <w:color w:val="auto"/>
        </w:rPr>
        <w:t>Trustee and the Conversion Agent no later than the Business Day after the effective date of such Common Stock Change Event.</w:t>
      </w:r>
    </w:p>
    <w:p>
      <w:pPr>
        <w:spacing w:after="0" w:line="146" w:lineRule="exact"/>
        <w:rPr>
          <w:rFonts w:ascii="Arial" w:cs="Arial" w:eastAsia="Arial" w:hAnsi="Arial"/>
          <w:sz w:val="17"/>
          <w:szCs w:val="17"/>
          <w:color w:val="auto"/>
        </w:rPr>
      </w:pPr>
    </w:p>
    <w:p>
      <w:pPr>
        <w:ind w:left="1360" w:hanging="704"/>
        <w:spacing w:after="0"/>
        <w:tabs>
          <w:tab w:leader="none" w:pos="136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Compliance Covenant</w:t>
      </w:r>
      <w:r>
        <w:rPr>
          <w:rFonts w:ascii="Arial" w:cs="Arial" w:eastAsia="Arial" w:hAnsi="Arial"/>
          <w:sz w:val="16"/>
          <w:szCs w:val="16"/>
          <w:color w:val="auto"/>
        </w:rPr>
        <w:t>. The Company will not become a party to any Common Stock Change Event unless its terms are consistent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Section 5.09</w:t>
      </w:r>
      <w:r>
        <w:rPr>
          <w:rFonts w:ascii="Arial" w:cs="Arial" w:eastAsia="Arial" w:hAnsi="Arial"/>
          <w:sz w:val="18"/>
          <w:szCs w:val="18"/>
          <w:color w:val="auto"/>
        </w:rPr>
        <w:t>.</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540" w:hanging="111"/>
        <w:spacing w:after="0"/>
        <w:tabs>
          <w:tab w:leader="none" w:pos="5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left="4460"/>
        <w:spacing w:after="0"/>
        <w:tabs>
          <w:tab w:leader="none" w:pos="560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6"/>
          <w:szCs w:val="16"/>
          <w:b w:val="1"/>
          <w:bCs w:val="1"/>
          <w:color w:val="auto"/>
        </w:rPr>
        <w:t>SUCCESSORS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6.01. W</w:t>
      </w:r>
      <w:r>
        <w:rPr>
          <w:rFonts w:ascii="Arial" w:cs="Arial" w:eastAsia="Arial" w:hAnsi="Arial"/>
          <w:sz w:val="12"/>
          <w:szCs w:val="12"/>
          <w:b w:val="1"/>
          <w:bCs w:val="1"/>
          <w:color w:val="auto"/>
        </w:rPr>
        <w:t>HEN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63" w:lineRule="auto"/>
        <w:tabs>
          <w:tab w:leader="none" w:pos="1514"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Company will not consolidate with or merge with or into, or (directly, or indirectly through one or more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sell, lease or otherwise transfer, in one transaction or a series of transactions, all or substantially all of the assets of the Company and its Subsidiaries, taken as a whole, to another Person (a “</w:t>
      </w:r>
      <w:r>
        <w:rPr>
          <w:rFonts w:ascii="Arial" w:cs="Arial" w:eastAsia="Arial" w:hAnsi="Arial"/>
          <w:sz w:val="18"/>
          <w:szCs w:val="18"/>
          <w:b w:val="1"/>
          <w:bCs w:val="1"/>
          <w:color w:val="auto"/>
        </w:rPr>
        <w:t>Business Combination Event</w:t>
      </w:r>
      <w:r>
        <w:rPr>
          <w:rFonts w:ascii="Arial" w:cs="Arial" w:eastAsia="Arial" w:hAnsi="Arial"/>
          <w:sz w:val="18"/>
          <w:szCs w:val="18"/>
          <w:color w:val="auto"/>
        </w:rPr>
        <w:t>”), unless:</w:t>
      </w:r>
    </w:p>
    <w:p>
      <w:pPr>
        <w:spacing w:after="0" w:line="183" w:lineRule="exact"/>
        <w:rPr>
          <w:rFonts w:ascii="Arial" w:cs="Arial" w:eastAsia="Arial" w:hAnsi="Arial"/>
          <w:sz w:val="18"/>
          <w:szCs w:val="18"/>
          <w:color w:val="auto"/>
        </w:rPr>
      </w:pPr>
    </w:p>
    <w:p>
      <w:pPr>
        <w:jc w:val="both"/>
        <w:ind w:left="660" w:firstLine="644"/>
        <w:spacing w:after="0" w:line="296" w:lineRule="auto"/>
        <w:tabs>
          <w:tab w:leader="none" w:pos="2256"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resulting, surviving or transferee Person either (x) is the Company or (y) if not the Company, is a corporation (or, if such Business Combination Event is an Exempted Fundamental Change, is a corporation, limited liability company, limited partnership or other similar entity) (the “</w:t>
      </w:r>
      <w:r>
        <w:rPr>
          <w:rFonts w:ascii="Arial" w:cs="Arial" w:eastAsia="Arial" w:hAnsi="Arial"/>
          <w:sz w:val="16"/>
          <w:szCs w:val="16"/>
          <w:b w:val="1"/>
          <w:bCs w:val="1"/>
          <w:color w:val="auto"/>
        </w:rPr>
        <w:t>Successor Entity</w:t>
      </w:r>
      <w:r>
        <w:rPr>
          <w:rFonts w:ascii="Arial" w:cs="Arial" w:eastAsia="Arial" w:hAnsi="Arial"/>
          <w:sz w:val="16"/>
          <w:szCs w:val="16"/>
          <w:color w:val="auto"/>
        </w:rPr>
        <w:t xml:space="preserve">”)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Arial" w:cs="Arial" w:eastAsia="Arial" w:hAnsi="Arial"/>
          <w:sz w:val="16"/>
          <w:szCs w:val="16"/>
          <w:b w:val="1"/>
          <w:bCs w:val="1"/>
          <w:color w:val="auto"/>
        </w:rPr>
        <w:t>Section 8.01(E)</w:t>
      </w:r>
      <w:r>
        <w:rPr>
          <w:rFonts w:ascii="Arial" w:cs="Arial" w:eastAsia="Arial" w:hAnsi="Arial"/>
          <w:sz w:val="16"/>
          <w:szCs w:val="16"/>
          <w:color w:val="auto"/>
        </w:rPr>
        <w:t>) all of the Company’s obligations under this Indenture and the Notes; and</w:t>
      </w:r>
    </w:p>
    <w:p>
      <w:pPr>
        <w:spacing w:after="0" w:line="161" w:lineRule="exact"/>
        <w:rPr>
          <w:rFonts w:ascii="Arial" w:cs="Arial" w:eastAsia="Arial" w:hAnsi="Arial"/>
          <w:sz w:val="16"/>
          <w:szCs w:val="16"/>
          <w:color w:val="auto"/>
        </w:rPr>
      </w:pPr>
    </w:p>
    <w:p>
      <w:pPr>
        <w:ind w:left="2220" w:hanging="916"/>
        <w:spacing w:after="0"/>
        <w:tabs>
          <w:tab w:leader="none" w:pos="222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immediately after giving effect to such Business Combination Event, no Default or Event of Default will have occurred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 continuing.</w:t>
      </w:r>
    </w:p>
    <w:p>
      <w:pPr>
        <w:spacing w:after="0" w:line="210" w:lineRule="exact"/>
        <w:rPr>
          <w:rFonts w:ascii="Arial" w:cs="Arial" w:eastAsia="Arial" w:hAnsi="Arial"/>
          <w:sz w:val="16"/>
          <w:szCs w:val="16"/>
          <w:color w:val="auto"/>
        </w:rPr>
      </w:pPr>
    </w:p>
    <w:p>
      <w:pPr>
        <w:jc w:val="both"/>
        <w:ind w:firstLine="656"/>
        <w:spacing w:after="0" w:line="259" w:lineRule="auto"/>
        <w:tabs>
          <w:tab w:leader="none" w:pos="1293"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Delivery of Officer’s Certificate and Opinion of Counsel to the Trustee</w:t>
      </w:r>
      <w:r>
        <w:rPr>
          <w:rFonts w:ascii="Arial" w:cs="Arial" w:eastAsia="Arial" w:hAnsi="Arial"/>
          <w:sz w:val="18"/>
          <w:szCs w:val="18"/>
          <w:color w:val="auto"/>
        </w:rPr>
        <w:t>. Before the effective time of any Business Combination Event,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will deliver to the Trustee an Officer’s Certificate and Opinion of Counsel, each stating that (i) such Business Combination Event (and, if applicable, the related supplemental indenture) comply with </w:t>
      </w:r>
      <w:r>
        <w:rPr>
          <w:rFonts w:ascii="Arial" w:cs="Arial" w:eastAsia="Arial" w:hAnsi="Arial"/>
          <w:sz w:val="18"/>
          <w:szCs w:val="18"/>
          <w:b w:val="1"/>
          <w:bCs w:val="1"/>
          <w:color w:val="auto"/>
        </w:rPr>
        <w:t>Section 6.01(A)</w:t>
      </w:r>
      <w:r>
        <w:rPr>
          <w:rFonts w:ascii="Arial" w:cs="Arial" w:eastAsia="Arial" w:hAnsi="Arial"/>
          <w:sz w:val="18"/>
          <w:szCs w:val="18"/>
          <w:color w:val="auto"/>
        </w:rPr>
        <w:t>; and (ii) all conditions precedent to such Business Combination Event provided in this Indenture have been satisfied.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6.02. S</w:t>
      </w:r>
      <w:r>
        <w:rPr>
          <w:rFonts w:ascii="Arial" w:cs="Arial" w:eastAsia="Arial" w:hAnsi="Arial"/>
          <w:sz w:val="12"/>
          <w:szCs w:val="12"/>
          <w:b w:val="1"/>
          <w:bCs w:val="1"/>
          <w:color w:val="auto"/>
        </w:rPr>
        <w:t>UCCESSOR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NTITY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UBSTITUTED</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At the effective time of any Business Combination Event that complies with </w:t>
      </w:r>
      <w:r>
        <w:rPr>
          <w:rFonts w:ascii="Arial" w:cs="Arial" w:eastAsia="Arial" w:hAnsi="Arial"/>
          <w:sz w:val="18"/>
          <w:szCs w:val="18"/>
          <w:b w:val="1"/>
          <w:bCs w:val="1"/>
          <w:color w:val="auto"/>
        </w:rPr>
        <w:t>Section 6.01</w:t>
      </w:r>
      <w:r>
        <w:rPr>
          <w:rFonts w:ascii="Arial" w:cs="Arial" w:eastAsia="Arial" w:hAnsi="Arial"/>
          <w:sz w:val="18"/>
          <w:szCs w:val="18"/>
          <w:color w:val="auto"/>
        </w:rPr>
        <w:t>,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6.03. E</w:t>
      </w:r>
      <w:r>
        <w:rPr>
          <w:rFonts w:ascii="Arial" w:cs="Arial" w:eastAsia="Arial" w:hAnsi="Arial"/>
          <w:sz w:val="12"/>
          <w:szCs w:val="12"/>
          <w:b w:val="1"/>
          <w:bCs w:val="1"/>
          <w:color w:val="auto"/>
        </w:rPr>
        <w:t>XCLUSION FOR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RANSFERS WITH</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HOLLY</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WNED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UBSIDIARIES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b w:val="1"/>
          <w:bCs w:val="1"/>
          <w:color w:val="auto"/>
        </w:rPr>
        <w:t>Article 6</w:t>
      </w:r>
      <w:r>
        <w:rPr>
          <w:rFonts w:ascii="Arial" w:cs="Arial" w:eastAsia="Arial" w:hAnsi="Arial"/>
          <w:sz w:val="18"/>
          <w:szCs w:val="18"/>
          <w:color w:val="auto"/>
        </w:rPr>
        <w:t xml:space="preserve">, this </w:t>
      </w:r>
      <w:r>
        <w:rPr>
          <w:rFonts w:ascii="Arial" w:cs="Arial" w:eastAsia="Arial" w:hAnsi="Arial"/>
          <w:sz w:val="18"/>
          <w:szCs w:val="18"/>
          <w:b w:val="1"/>
          <w:bCs w:val="1"/>
          <w:color w:val="auto"/>
        </w:rPr>
        <w:t>Article 6</w:t>
      </w:r>
      <w:r>
        <w:rPr>
          <w:rFonts w:ascii="Arial" w:cs="Arial" w:eastAsia="Arial" w:hAnsi="Arial"/>
          <w:sz w:val="18"/>
          <w:szCs w:val="18"/>
          <w:color w:val="auto"/>
        </w:rPr>
        <w:t xml:space="preserve"> will not apply to any transfer of assets between or among the Company and any one or more of its Wholly Owned Subsidiaries not effected by merger or consolidation.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3880"/>
        <w:spacing w:after="0"/>
        <w:tabs>
          <w:tab w:leader="none" w:pos="498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DEFAULTS AND 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7.01. E</w:t>
      </w:r>
      <w:r>
        <w:rPr>
          <w:rFonts w:ascii="Arial" w:cs="Arial" w:eastAsia="Arial" w:hAnsi="Arial"/>
          <w:sz w:val="12"/>
          <w:szCs w:val="12"/>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w:t>
      </w:r>
      <w:r>
        <w:rPr>
          <w:rFonts w:ascii="Arial" w:cs="Arial" w:eastAsia="Arial" w:hAnsi="Arial"/>
          <w:sz w:val="18"/>
          <w:szCs w:val="18"/>
          <w:b w:val="1"/>
          <w:bCs w:val="1"/>
          <w:color w:val="auto"/>
        </w:rPr>
        <w:t>.</w:t>
      </w:r>
    </w:p>
    <w:p>
      <w:pPr>
        <w:spacing w:after="0" w:line="225" w:lineRule="exact"/>
        <w:rPr>
          <w:sz w:val="20"/>
          <w:szCs w:val="20"/>
          <w:color w:val="auto"/>
        </w:rPr>
      </w:pPr>
    </w:p>
    <w:p>
      <w:pPr>
        <w:ind w:left="1260" w:hanging="604"/>
        <w:spacing w:after="0"/>
        <w:tabs>
          <w:tab w:leader="none" w:pos="12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Definition of Events of Default</w:t>
      </w:r>
      <w:r>
        <w:rPr>
          <w:rFonts w:ascii="Arial" w:cs="Arial" w:eastAsia="Arial" w:hAnsi="Arial"/>
          <w:sz w:val="18"/>
          <w:szCs w:val="18"/>
          <w:color w:val="auto"/>
        </w:rPr>
        <w:t>. “</w:t>
      </w:r>
      <w:r>
        <w:rPr>
          <w:rFonts w:ascii="Arial" w:cs="Arial" w:eastAsia="Arial" w:hAnsi="Arial"/>
          <w:sz w:val="18"/>
          <w:szCs w:val="18"/>
          <w:b w:val="1"/>
          <w:bCs w:val="1"/>
          <w:color w:val="auto"/>
        </w:rPr>
        <w:t>Event of Default</w:t>
      </w:r>
      <w:r>
        <w:rPr>
          <w:rFonts w:ascii="Arial" w:cs="Arial" w:eastAsia="Arial" w:hAnsi="Arial"/>
          <w:sz w:val="18"/>
          <w:szCs w:val="18"/>
          <w:color w:val="auto"/>
        </w:rPr>
        <w:t>” means the occurrence of any of the following:</w:t>
      </w:r>
    </w:p>
    <w:p>
      <w:pPr>
        <w:spacing w:after="0" w:line="229" w:lineRule="exact"/>
        <w:rPr>
          <w:rFonts w:ascii="Arial" w:cs="Arial" w:eastAsia="Arial" w:hAnsi="Arial"/>
          <w:sz w:val="18"/>
          <w:szCs w:val="18"/>
          <w:color w:val="auto"/>
        </w:rPr>
      </w:pPr>
    </w:p>
    <w:p>
      <w:pPr>
        <w:ind w:left="660" w:right="20" w:firstLine="644"/>
        <w:spacing w:after="0" w:line="277" w:lineRule="auto"/>
        <w:tabs>
          <w:tab w:leader="none" w:pos="249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default in the payment when due (whether at maturity, upon Redemption, Repurchase Upon Fundamental Change or otherwise) of the principal of, or the Redemption Price or Fundamental Change Repurchase Price for, any Note;</w:t>
      </w:r>
    </w:p>
    <w:p>
      <w:pPr>
        <w:spacing w:after="0" w:line="170" w:lineRule="exact"/>
        <w:rPr>
          <w:rFonts w:ascii="Arial" w:cs="Arial" w:eastAsia="Arial" w:hAnsi="Arial"/>
          <w:sz w:val="18"/>
          <w:szCs w:val="18"/>
          <w:color w:val="auto"/>
        </w:rPr>
      </w:pPr>
    </w:p>
    <w:p>
      <w:pPr>
        <w:ind w:left="2160" w:hanging="856"/>
        <w:spacing w:after="0"/>
        <w:tabs>
          <w:tab w:leader="none" w:pos="21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default for thirty (30) consecutive days in the payment when due of interest on any Note;</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215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the Company’s failure to deliver, when required by this Indenture, (x) a Fundamental Change Notice, or (y) a notice pursuant to </w:t>
      </w:r>
      <w:r>
        <w:rPr>
          <w:rFonts w:ascii="Arial" w:cs="Arial" w:eastAsia="Arial" w:hAnsi="Arial"/>
          <w:sz w:val="18"/>
          <w:szCs w:val="18"/>
          <w:b w:val="1"/>
          <w:bCs w:val="1"/>
          <w:color w:val="auto"/>
        </w:rPr>
        <w:t>Section 5.01(C)(i)(3)</w:t>
      </w:r>
      <w:r>
        <w:rPr>
          <w:rFonts w:ascii="Arial" w:cs="Arial" w:eastAsia="Arial" w:hAnsi="Arial"/>
          <w:sz w:val="18"/>
          <w:szCs w:val="18"/>
          <w:color w:val="auto"/>
        </w:rPr>
        <w:t xml:space="preserve">, or (z) a notice of a Make-Whole Fundamental Change (other than a Make-Whole Fundamental Change pursuant to </w:t>
      </w:r>
      <w:r>
        <w:rPr>
          <w:rFonts w:ascii="Arial" w:cs="Arial" w:eastAsia="Arial" w:hAnsi="Arial"/>
          <w:sz w:val="18"/>
          <w:szCs w:val="18"/>
          <w:b w:val="1"/>
          <w:bCs w:val="1"/>
          <w:color w:val="auto"/>
        </w:rPr>
        <w:t xml:space="preserve">clause (B) </w:t>
      </w:r>
      <w:r>
        <w:rPr>
          <w:rFonts w:ascii="Arial" w:cs="Arial" w:eastAsia="Arial" w:hAnsi="Arial"/>
          <w:sz w:val="18"/>
          <w:szCs w:val="18"/>
          <w:color w:val="auto"/>
        </w:rPr>
        <w:t>of the definition thereof) pursuant to the provisions referred to in</w:t>
      </w:r>
      <w:r>
        <w:rPr>
          <w:rFonts w:ascii="Arial" w:cs="Arial" w:eastAsia="Arial" w:hAnsi="Arial"/>
          <w:sz w:val="18"/>
          <w:szCs w:val="18"/>
          <w:b w:val="1"/>
          <w:bCs w:val="1"/>
          <w:color w:val="auto"/>
        </w:rPr>
        <w:t xml:space="preserve"> Section 5.07(C)</w:t>
      </w:r>
      <w:r>
        <w:rPr>
          <w:rFonts w:ascii="Arial" w:cs="Arial" w:eastAsia="Arial" w:hAnsi="Arial"/>
          <w:sz w:val="18"/>
          <w:szCs w:val="18"/>
          <w:color w:val="auto"/>
        </w:rPr>
        <w:t>, and, in the case of</w:t>
      </w:r>
      <w:r>
        <w:rPr>
          <w:rFonts w:ascii="Arial" w:cs="Arial" w:eastAsia="Arial" w:hAnsi="Arial"/>
          <w:sz w:val="18"/>
          <w:szCs w:val="18"/>
          <w:b w:val="1"/>
          <w:bCs w:val="1"/>
          <w:color w:val="auto"/>
        </w:rPr>
        <w:t xml:space="preserve"> clause (x) </w:t>
      </w:r>
      <w:r>
        <w:rPr>
          <w:rFonts w:ascii="Arial" w:cs="Arial" w:eastAsia="Arial" w:hAnsi="Arial"/>
          <w:sz w:val="18"/>
          <w:szCs w:val="18"/>
          <w:color w:val="auto"/>
        </w:rPr>
        <w:t>only, such failure is not</w:t>
      </w:r>
      <w:r>
        <w:rPr>
          <w:rFonts w:ascii="Arial" w:cs="Arial" w:eastAsia="Arial" w:hAnsi="Arial"/>
          <w:sz w:val="18"/>
          <w:szCs w:val="18"/>
          <w:b w:val="1"/>
          <w:bCs w:val="1"/>
          <w:color w:val="auto"/>
        </w:rPr>
        <w:t xml:space="preserve"> </w:t>
      </w:r>
      <w:r>
        <w:rPr>
          <w:rFonts w:ascii="Arial" w:cs="Arial" w:eastAsia="Arial" w:hAnsi="Arial"/>
          <w:sz w:val="18"/>
          <w:szCs w:val="18"/>
          <w:color w:val="auto"/>
        </w:rPr>
        <w:t>cured within five (5) days after its occurrence;</w:t>
      </w:r>
    </w:p>
    <w:p>
      <w:pPr>
        <w:spacing w:after="0" w:line="182" w:lineRule="exact"/>
        <w:rPr>
          <w:rFonts w:ascii="Arial" w:cs="Arial" w:eastAsia="Arial" w:hAnsi="Arial"/>
          <w:sz w:val="18"/>
          <w:szCs w:val="18"/>
          <w:color w:val="auto"/>
        </w:rPr>
      </w:pPr>
    </w:p>
    <w:p>
      <w:pPr>
        <w:ind w:left="660" w:firstLine="644"/>
        <w:spacing w:after="0" w:line="282" w:lineRule="auto"/>
        <w:tabs>
          <w:tab w:leader="none" w:pos="230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a default in the Company’s obligation to convert a Note in accordance with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upon the exercise of the conversion right with respect thereto, if such default is not cured within three (3) days after its occurrence;</w:t>
      </w:r>
    </w:p>
    <w:p>
      <w:pPr>
        <w:spacing w:after="0" w:line="161" w:lineRule="exact"/>
        <w:rPr>
          <w:rFonts w:ascii="Arial" w:cs="Arial" w:eastAsia="Arial" w:hAnsi="Arial"/>
          <w:sz w:val="18"/>
          <w:szCs w:val="18"/>
          <w:color w:val="auto"/>
        </w:rPr>
      </w:pPr>
    </w:p>
    <w:p>
      <w:pPr>
        <w:ind w:left="2180" w:hanging="876"/>
        <w:spacing w:after="0"/>
        <w:tabs>
          <w:tab w:leader="none" w:pos="21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a default in the Company’s obligations under </w:t>
      </w:r>
      <w:r>
        <w:rPr>
          <w:rFonts w:ascii="Arial" w:cs="Arial" w:eastAsia="Arial" w:hAnsi="Arial"/>
          <w:sz w:val="18"/>
          <w:szCs w:val="18"/>
          <w:b w:val="1"/>
          <w:bCs w:val="1"/>
          <w:color w:val="auto"/>
        </w:rPr>
        <w:t>Article 6</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644"/>
        <w:spacing w:after="0" w:line="301" w:lineRule="auto"/>
        <w:tabs>
          <w:tab w:leader="none" w:pos="215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a default in any of the Company’s obligations or agreements under this Indenture or the Notes (other than a default set forth in </w:t>
      </w:r>
      <w:r>
        <w:rPr>
          <w:rFonts w:ascii="Arial" w:cs="Arial" w:eastAsia="Arial" w:hAnsi="Arial"/>
          <w:sz w:val="16"/>
          <w:szCs w:val="16"/>
          <w:b w:val="1"/>
          <w:bCs w:val="1"/>
          <w:color w:val="auto"/>
        </w:rPr>
        <w:t>clause (i)</w:t>
      </w:r>
      <w:r>
        <w:rPr>
          <w:rFonts w:ascii="Arial" w:cs="Arial" w:eastAsia="Arial" w:hAnsi="Arial"/>
          <w:sz w:val="16"/>
          <w:szCs w:val="16"/>
          <w:color w:val="auto"/>
        </w:rPr>
        <w:t>,</w:t>
      </w:r>
      <w:r>
        <w:rPr>
          <w:rFonts w:ascii="Arial" w:cs="Arial" w:eastAsia="Arial" w:hAnsi="Arial"/>
          <w:sz w:val="16"/>
          <w:szCs w:val="16"/>
          <w:b w:val="1"/>
          <w:bCs w:val="1"/>
          <w:color w:val="auto"/>
        </w:rPr>
        <w:t xml:space="preserve"> (ii)</w:t>
      </w:r>
      <w:r>
        <w:rPr>
          <w:rFonts w:ascii="Arial" w:cs="Arial" w:eastAsia="Arial" w:hAnsi="Arial"/>
          <w:sz w:val="16"/>
          <w:szCs w:val="16"/>
          <w:color w:val="auto"/>
        </w:rPr>
        <w:t>,</w:t>
      </w:r>
      <w:r>
        <w:rPr>
          <w:rFonts w:ascii="Arial" w:cs="Arial" w:eastAsia="Arial" w:hAnsi="Arial"/>
          <w:sz w:val="16"/>
          <w:szCs w:val="16"/>
          <w:b w:val="1"/>
          <w:bCs w:val="1"/>
          <w:color w:val="auto"/>
        </w:rPr>
        <w:t xml:space="preserve"> (iii)</w:t>
      </w:r>
      <w:r>
        <w:rPr>
          <w:rFonts w:ascii="Arial" w:cs="Arial" w:eastAsia="Arial" w:hAnsi="Arial"/>
          <w:sz w:val="16"/>
          <w:szCs w:val="16"/>
          <w:color w:val="auto"/>
        </w:rPr>
        <w:t>,</w:t>
      </w:r>
      <w:r>
        <w:rPr>
          <w:rFonts w:ascii="Arial" w:cs="Arial" w:eastAsia="Arial" w:hAnsi="Arial"/>
          <w:sz w:val="16"/>
          <w:szCs w:val="16"/>
          <w:b w:val="1"/>
          <w:bCs w:val="1"/>
          <w:color w:val="auto"/>
        </w:rPr>
        <w:t xml:space="preserve"> (iv) </w:t>
      </w:r>
      <w:r>
        <w:rPr>
          <w:rFonts w:ascii="Arial" w:cs="Arial" w:eastAsia="Arial" w:hAnsi="Arial"/>
          <w:sz w:val="16"/>
          <w:szCs w:val="16"/>
          <w:color w:val="auto"/>
        </w:rPr>
        <w:t>or</w:t>
      </w:r>
      <w:r>
        <w:rPr>
          <w:rFonts w:ascii="Arial" w:cs="Arial" w:eastAsia="Arial" w:hAnsi="Arial"/>
          <w:sz w:val="16"/>
          <w:szCs w:val="16"/>
          <w:b w:val="1"/>
          <w:bCs w:val="1"/>
          <w:color w:val="auto"/>
        </w:rPr>
        <w:t xml:space="preserve"> (v) </w:t>
      </w:r>
      <w:r>
        <w:rPr>
          <w:rFonts w:ascii="Arial" w:cs="Arial" w:eastAsia="Arial" w:hAnsi="Arial"/>
          <w:sz w:val="16"/>
          <w:szCs w:val="16"/>
          <w:color w:val="auto"/>
        </w:rPr>
        <w:t>of this</w:t>
      </w:r>
      <w:r>
        <w:rPr>
          <w:rFonts w:ascii="Arial" w:cs="Arial" w:eastAsia="Arial" w:hAnsi="Arial"/>
          <w:sz w:val="16"/>
          <w:szCs w:val="16"/>
          <w:b w:val="1"/>
          <w:bCs w:val="1"/>
          <w:color w:val="auto"/>
        </w:rPr>
        <w:t xml:space="preserve"> Section 7.01(A)</w:t>
      </w:r>
      <w:r>
        <w:rPr>
          <w:rFonts w:ascii="Arial" w:cs="Arial" w:eastAsia="Arial" w:hAnsi="Arial"/>
          <w:sz w:val="16"/>
          <w:szCs w:val="16"/>
          <w:color w:val="auto"/>
        </w:rPr>
        <w:t>) where such default is not cured or waived within sixty (60) days after written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157" w:lineRule="exact"/>
        <w:rPr>
          <w:rFonts w:ascii="Arial" w:cs="Arial" w:eastAsia="Arial" w:hAnsi="Arial"/>
          <w:sz w:val="16"/>
          <w:szCs w:val="16"/>
          <w:color w:val="auto"/>
        </w:rPr>
      </w:pPr>
    </w:p>
    <w:p>
      <w:pPr>
        <w:jc w:val="both"/>
        <w:ind w:left="660" w:firstLine="644"/>
        <w:spacing w:after="0" w:line="259" w:lineRule="auto"/>
        <w:tabs>
          <w:tab w:leader="none" w:pos="233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default by the Company or any of its Subsidiaries with respect to any one or more mortgages, agreements or other instruments under which there is outstanding, or by which there is secured or evidenced, any indebtedness for money borrowed of at least one hundred million dollars ($100,000,000) (or its foreign currency equivalent) in the aggregate of the Company or any of its Subsidiaries, whether such indebtedness exists as of the Issue Date or is thereafter created, where such default:</w:t>
      </w:r>
    </w:p>
    <w:p>
      <w:pPr>
        <w:spacing w:after="0" w:line="186" w:lineRule="exact"/>
        <w:rPr>
          <w:rFonts w:ascii="Arial" w:cs="Arial" w:eastAsia="Arial" w:hAnsi="Arial"/>
          <w:sz w:val="18"/>
          <w:szCs w:val="18"/>
          <w:color w:val="auto"/>
        </w:rPr>
      </w:pPr>
    </w:p>
    <w:p>
      <w:pPr>
        <w:ind w:left="1300" w:right="20" w:firstLine="652"/>
        <w:spacing w:after="0" w:line="342" w:lineRule="auto"/>
        <w:tabs>
          <w:tab w:leader="none" w:pos="3021" w:val="left"/>
        </w:tabs>
        <w:numPr>
          <w:ilvl w:val="2"/>
          <w:numId w:val="101"/>
        </w:numPr>
        <w:rPr>
          <w:rFonts w:ascii="Arial" w:cs="Arial" w:eastAsia="Arial" w:hAnsi="Arial"/>
          <w:sz w:val="16"/>
          <w:szCs w:val="16"/>
          <w:color w:val="auto"/>
        </w:rPr>
      </w:pPr>
      <w:r>
        <w:rPr>
          <w:rFonts w:ascii="Arial" w:cs="Arial" w:eastAsia="Arial" w:hAnsi="Arial"/>
          <w:sz w:val="16"/>
          <w:szCs w:val="16"/>
          <w:color w:val="auto"/>
        </w:rPr>
        <w:t>constitutes a failure to pay the principal of such indebtedness when due and payable at its stated maturity, upon required repurchase, upon declaration of acceleration or otherwise, in each case after the expiration of any applicable grace period; or</w:t>
      </w:r>
    </w:p>
    <w:p>
      <w:pPr>
        <w:spacing w:after="0" w:line="123" w:lineRule="exact"/>
        <w:rPr>
          <w:rFonts w:ascii="Arial" w:cs="Arial" w:eastAsia="Arial" w:hAnsi="Arial"/>
          <w:sz w:val="16"/>
          <w:szCs w:val="16"/>
          <w:color w:val="auto"/>
        </w:rPr>
      </w:pPr>
    </w:p>
    <w:p>
      <w:pPr>
        <w:ind w:left="2840" w:hanging="888"/>
        <w:spacing w:after="0"/>
        <w:tabs>
          <w:tab w:leader="none" w:pos="284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results in such indebtedness becoming or being declared due and payable before its stated maturity,</w:t>
      </w:r>
    </w:p>
    <w:p>
      <w:pPr>
        <w:spacing w:after="0" w:line="225"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1364" w:hanging="716"/>
        <w:spacing w:after="0"/>
        <w:tabs>
          <w:tab w:leader="none" w:pos="13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or any of its Significant Subsidiaries, pursuant to or within the meaning of any Bankruptcy Law, either:</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any substantial part of its property;</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takes any comparable action under any foreign Bankruptcy Law; or</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404" w:hanging="756"/>
        <w:spacing w:after="0"/>
        <w:tabs>
          <w:tab w:leader="none" w:pos="140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either:</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is for relief against the Company or any of its Significant Subsidiaries in an involuntary case or proceeding;</w:t>
      </w:r>
    </w:p>
    <w:p>
      <w:pPr>
        <w:spacing w:after="0" w:line="236" w:lineRule="exact"/>
        <w:rPr>
          <w:rFonts w:ascii="Arial" w:cs="Arial" w:eastAsia="Arial" w:hAnsi="Arial"/>
          <w:sz w:val="17"/>
          <w:szCs w:val="17"/>
          <w:color w:val="auto"/>
        </w:rPr>
      </w:pPr>
    </w:p>
    <w:p>
      <w:pPr>
        <w:ind w:left="644" w:firstLine="652"/>
        <w:spacing w:after="0" w:line="277" w:lineRule="auto"/>
        <w:tabs>
          <w:tab w:leader="none" w:pos="217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appoints a custodian of the Company or any of its Significant Subsidiaries, or for any substantial part of the property of the Company or any of its Significant Subsidiaries;</w:t>
      </w:r>
    </w:p>
    <w:p>
      <w:pPr>
        <w:spacing w:after="0" w:line="170" w:lineRule="exact"/>
        <w:rPr>
          <w:rFonts w:ascii="Arial" w:cs="Arial" w:eastAsia="Arial" w:hAnsi="Arial"/>
          <w:sz w:val="18"/>
          <w:szCs w:val="18"/>
          <w:color w:val="auto"/>
        </w:rPr>
      </w:pPr>
    </w:p>
    <w:p>
      <w:pPr>
        <w:ind w:left="2184" w:hanging="888"/>
        <w:spacing w:after="0"/>
        <w:tabs>
          <w:tab w:leader="none" w:pos="218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 or any of its Significant Subsidiaries; or</w:t>
      </w:r>
    </w:p>
    <w:p>
      <w:pPr>
        <w:spacing w:after="0" w:line="225" w:lineRule="exact"/>
        <w:rPr>
          <w:rFonts w:ascii="Arial" w:cs="Arial" w:eastAsia="Arial" w:hAnsi="Arial"/>
          <w:sz w:val="18"/>
          <w:szCs w:val="18"/>
          <w:color w:val="auto"/>
        </w:rPr>
      </w:pPr>
    </w:p>
    <w:p>
      <w:pPr>
        <w:ind w:left="2184" w:hanging="888"/>
        <w:spacing w:after="0"/>
        <w:tabs>
          <w:tab w:leader="none" w:pos="218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grants any similar relief under any foreign Bankruptcy Law,</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and, in each case under this </w:t>
      </w:r>
      <w:r>
        <w:rPr>
          <w:rFonts w:ascii="Arial" w:cs="Arial" w:eastAsia="Arial" w:hAnsi="Arial"/>
          <w:sz w:val="18"/>
          <w:szCs w:val="18"/>
          <w:b w:val="1"/>
          <w:bCs w:val="1"/>
          <w:color w:val="auto"/>
        </w:rPr>
        <w:t>Section 7.01(A)(ix)</w:t>
      </w:r>
      <w:r>
        <w:rPr>
          <w:rFonts w:ascii="Arial" w:cs="Arial" w:eastAsia="Arial" w:hAnsi="Arial"/>
          <w:sz w:val="18"/>
          <w:szCs w:val="18"/>
          <w:color w:val="auto"/>
        </w:rPr>
        <w:t>, such order or decree remains unstayed and in effect for at least sixty (60) days.</w:t>
      </w:r>
    </w:p>
    <w:p>
      <w:pPr>
        <w:spacing w:after="0" w:line="225" w:lineRule="exact"/>
        <w:rPr>
          <w:sz w:val="20"/>
          <w:szCs w:val="20"/>
          <w:color w:val="auto"/>
        </w:rPr>
      </w:pPr>
    </w:p>
    <w:p>
      <w:pPr>
        <w:jc w:val="both"/>
        <w:ind w:left="-656" w:right="20" w:firstLine="656"/>
        <w:spacing w:after="0" w:line="266" w:lineRule="auto"/>
        <w:tabs>
          <w:tab w:leader="none" w:pos="718"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Cause Irrelevant</w:t>
      </w:r>
      <w:r>
        <w:rPr>
          <w:rFonts w:ascii="Arial" w:cs="Arial" w:eastAsia="Arial" w:hAnsi="Arial"/>
          <w:sz w:val="18"/>
          <w:szCs w:val="18"/>
          <w:color w:val="auto"/>
        </w:rPr>
        <w:t>. Each of the events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7.01(A)</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constitute an Event of Default regardless of the cause thereof or</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voluntary or involuntary or effected by operation of law or pursuant to any judgment, decree or order of any court or any order, rule or regulation of any administrative or governmental body.</w:t>
      </w:r>
    </w:p>
    <w:p>
      <w:pPr>
        <w:spacing w:after="0" w:line="395" w:lineRule="exact"/>
        <w:rPr>
          <w:rFonts w:ascii="Arial" w:cs="Arial" w:eastAsia="Arial" w:hAnsi="Arial"/>
          <w:sz w:val="18"/>
          <w:szCs w:val="18"/>
          <w:color w:val="auto"/>
        </w:rPr>
      </w:pPr>
    </w:p>
    <w:p>
      <w:pPr>
        <w:ind w:left="4884" w:hanging="111"/>
        <w:spacing w:after="0"/>
        <w:tabs>
          <w:tab w:leader="none" w:pos="488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Section 7.02. A</w:t>
      </w:r>
      <w:r>
        <w:rPr>
          <w:rFonts w:ascii="Arial" w:cs="Arial" w:eastAsia="Arial" w:hAnsi="Arial"/>
          <w:sz w:val="12"/>
          <w:szCs w:val="12"/>
          <w:b w:val="1"/>
          <w:bCs w:val="1"/>
          <w:color w:val="auto"/>
        </w:rPr>
        <w:t>CCELERATION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56"/>
        <w:spacing w:after="0" w:line="289" w:lineRule="auto"/>
        <w:tabs>
          <w:tab w:leader="none" w:pos="1536" w:val="left"/>
        </w:tabs>
        <w:numPr>
          <w:ilvl w:val="1"/>
          <w:numId w:val="104"/>
        </w:numPr>
        <w:rPr>
          <w:rFonts w:ascii="Arial" w:cs="Arial" w:eastAsia="Arial" w:hAnsi="Arial"/>
          <w:sz w:val="17"/>
          <w:szCs w:val="17"/>
          <w:color w:val="auto"/>
        </w:rPr>
      </w:pPr>
      <w:r>
        <w:rPr>
          <w:rFonts w:ascii="Arial" w:cs="Arial" w:eastAsia="Arial" w:hAnsi="Arial"/>
          <w:sz w:val="17"/>
          <w:szCs w:val="17"/>
          <w:i w:val="1"/>
          <w:iCs w:val="1"/>
          <w:color w:val="auto"/>
        </w:rPr>
        <w:t>Automatic Acceleration in Certain Circumstances</w:t>
      </w:r>
      <w:r>
        <w:rPr>
          <w:rFonts w:ascii="Arial" w:cs="Arial" w:eastAsia="Arial" w:hAnsi="Arial"/>
          <w:sz w:val="17"/>
          <w:szCs w:val="17"/>
          <w:color w:val="auto"/>
        </w:rPr>
        <w:t>. If an Event of Default set forth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7.01(A)(viii)</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7.01(A)(ix)</w:t>
      </w:r>
      <w:r>
        <w:rPr>
          <w:rFonts w:ascii="Arial" w:cs="Arial" w:eastAsia="Arial" w:hAnsi="Arial"/>
          <w:sz w:val="17"/>
          <w:szCs w:val="17"/>
          <w:i w:val="1"/>
          <w:iCs w:val="1"/>
          <w:color w:val="auto"/>
        </w:rPr>
        <w:t xml:space="preserve"> </w:t>
      </w:r>
      <w:r>
        <w:rPr>
          <w:rFonts w:ascii="Arial" w:cs="Arial" w:eastAsia="Arial" w:hAnsi="Arial"/>
          <w:sz w:val="17"/>
          <w:szCs w:val="17"/>
          <w:color w:val="auto"/>
        </w:rPr>
        <w:t>occurs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spacing w:after="0" w:line="157" w:lineRule="exact"/>
        <w:rPr>
          <w:rFonts w:ascii="Arial" w:cs="Arial" w:eastAsia="Arial" w:hAnsi="Arial"/>
          <w:sz w:val="17"/>
          <w:szCs w:val="17"/>
          <w:color w:val="auto"/>
        </w:rPr>
      </w:pPr>
    </w:p>
    <w:p>
      <w:pPr>
        <w:ind w:left="1660" w:hanging="1004"/>
        <w:spacing w:after="0"/>
        <w:tabs>
          <w:tab w:leader="none" w:pos="1660" w:val="left"/>
        </w:tabs>
        <w:numPr>
          <w:ilvl w:val="1"/>
          <w:numId w:val="104"/>
        </w:numPr>
        <w:rPr>
          <w:rFonts w:ascii="Arial" w:cs="Arial" w:eastAsia="Arial" w:hAnsi="Arial"/>
          <w:sz w:val="16"/>
          <w:szCs w:val="16"/>
          <w:color w:val="auto"/>
        </w:rPr>
      </w:pPr>
      <w:r>
        <w:rPr>
          <w:rFonts w:ascii="Arial" w:cs="Arial" w:eastAsia="Arial" w:hAnsi="Arial"/>
          <w:sz w:val="16"/>
          <w:szCs w:val="16"/>
          <w:i w:val="1"/>
          <w:iCs w:val="1"/>
          <w:color w:val="auto"/>
        </w:rPr>
        <w:t>Optional Acceleration</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7.03</w:t>
      </w:r>
      <w:r>
        <w:rPr>
          <w:rFonts w:ascii="Arial" w:cs="Arial" w:eastAsia="Arial" w:hAnsi="Arial"/>
          <w:sz w:val="16"/>
          <w:szCs w:val="16"/>
          <w:color w:val="auto"/>
        </w:rPr>
        <w:t>, if an Event of Default (other than an Event of Default set forth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7.01(A)</w:t>
      </w:r>
    </w:p>
    <w:p>
      <w:pPr>
        <w:spacing w:after="0" w:line="50" w:lineRule="exact"/>
        <w:rPr>
          <w:rFonts w:ascii="Arial" w:cs="Arial" w:eastAsia="Arial" w:hAnsi="Arial"/>
          <w:sz w:val="16"/>
          <w:szCs w:val="16"/>
          <w:color w:val="auto"/>
        </w:rPr>
      </w:pPr>
    </w:p>
    <w:p>
      <w:pPr>
        <w:jc w:val="both"/>
        <w:ind w:firstLine="8"/>
        <w:spacing w:after="0" w:line="253" w:lineRule="auto"/>
        <w:tabs>
          <w:tab w:leader="none" w:pos="405"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 xml:space="preserve">or </w:t>
      </w:r>
      <w:r>
        <w:rPr>
          <w:rFonts w:ascii="Arial" w:cs="Arial" w:eastAsia="Arial" w:hAnsi="Arial"/>
          <w:sz w:val="18"/>
          <w:szCs w:val="18"/>
          <w:b w:val="1"/>
          <w:bCs w:val="1"/>
          <w:color w:val="auto"/>
        </w:rPr>
        <w:t>7.01(A)(ix)</w:t>
      </w:r>
      <w:r>
        <w:rPr>
          <w:rFonts w:ascii="Arial" w:cs="Arial" w:eastAsia="Arial" w:hAnsi="Arial"/>
          <w:sz w:val="18"/>
          <w:szCs w:val="18"/>
          <w:color w:val="auto"/>
        </w:rPr>
        <w:t xml:space="preserve"> with respect to the Company and not solely with respect to a Significant Subsidiary of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spacing w:after="0" w:line="192" w:lineRule="exact"/>
        <w:rPr>
          <w:rFonts w:ascii="Arial" w:cs="Arial" w:eastAsia="Arial" w:hAnsi="Arial"/>
          <w:sz w:val="18"/>
          <w:szCs w:val="18"/>
          <w:b w:val="1"/>
          <w:bCs w:val="1"/>
          <w:color w:val="auto"/>
        </w:rPr>
      </w:pPr>
    </w:p>
    <w:p>
      <w:pPr>
        <w:jc w:val="both"/>
        <w:ind w:firstLine="656"/>
        <w:spacing w:after="0" w:line="296" w:lineRule="auto"/>
        <w:tabs>
          <w:tab w:leader="none" w:pos="1733" w:val="left"/>
        </w:tabs>
        <w:numPr>
          <w:ilvl w:val="1"/>
          <w:numId w:val="105"/>
        </w:numPr>
        <w:rPr>
          <w:rFonts w:ascii="Arial" w:cs="Arial" w:eastAsia="Arial" w:hAnsi="Arial"/>
          <w:sz w:val="16"/>
          <w:szCs w:val="16"/>
          <w:color w:val="auto"/>
        </w:rPr>
      </w:pPr>
      <w:r>
        <w:rPr>
          <w:rFonts w:ascii="Arial" w:cs="Arial" w:eastAsia="Arial" w:hAnsi="Arial"/>
          <w:sz w:val="16"/>
          <w:szCs w:val="16"/>
          <w:i w:val="1"/>
          <w:iCs w:val="1"/>
          <w:color w:val="auto"/>
        </w:rPr>
        <w:t>Rescission of Acceleration</w:t>
      </w:r>
      <w:r>
        <w:rPr>
          <w:rFonts w:ascii="Arial" w:cs="Arial" w:eastAsia="Arial" w:hAnsi="Arial"/>
          <w:sz w:val="16"/>
          <w:szCs w:val="16"/>
          <w:color w:val="auto"/>
        </w:rPr>
        <w:t>. Notwithstanding anything to the contrary in this Indenture or the Notes, the Holders of a majority in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7.03. S</w:t>
      </w:r>
      <w:r>
        <w:rPr>
          <w:rFonts w:ascii="Arial" w:cs="Arial" w:eastAsia="Arial" w:hAnsi="Arial"/>
          <w:sz w:val="12"/>
          <w:szCs w:val="12"/>
          <w:b w:val="1"/>
          <w:bCs w:val="1"/>
          <w:color w:val="auto"/>
        </w:rPr>
        <w:t>OLE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EMEDY FOR A</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AILURE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84" w:lineRule="auto"/>
        <w:tabs>
          <w:tab w:leader="none" w:pos="1590" w:val="left"/>
        </w:tabs>
        <w:numPr>
          <w:ilvl w:val="1"/>
          <w:numId w:val="106"/>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Notwithstanding anything to the contrary in this Indenture or the Notes, the Company may elect that the sole remedy for</w:t>
      </w:r>
      <w:r>
        <w:rPr>
          <w:rFonts w:ascii="Arial" w:cs="Arial" w:eastAsia="Arial" w:hAnsi="Arial"/>
          <w:sz w:val="16"/>
          <w:szCs w:val="16"/>
          <w:i w:val="1"/>
          <w:iCs w:val="1"/>
          <w:color w:val="auto"/>
        </w:rPr>
        <w:t xml:space="preserve"> </w:t>
      </w:r>
      <w:r>
        <w:rPr>
          <w:rFonts w:ascii="Arial" w:cs="Arial" w:eastAsia="Arial" w:hAnsi="Arial"/>
          <w:sz w:val="16"/>
          <w:szCs w:val="16"/>
          <w:color w:val="auto"/>
        </w:rPr>
        <w:t>any Event of Default (a “</w:t>
      </w:r>
      <w:r>
        <w:rPr>
          <w:rFonts w:ascii="Arial" w:cs="Arial" w:eastAsia="Arial" w:hAnsi="Arial"/>
          <w:sz w:val="16"/>
          <w:szCs w:val="16"/>
          <w:b w:val="1"/>
          <w:bCs w:val="1"/>
          <w:color w:val="auto"/>
        </w:rPr>
        <w:t>Reporting Event of Default</w:t>
      </w:r>
      <w:r>
        <w:rPr>
          <w:rFonts w:ascii="Arial" w:cs="Arial" w:eastAsia="Arial" w:hAnsi="Arial"/>
          <w:sz w:val="16"/>
          <w:szCs w:val="16"/>
          <w:color w:val="auto"/>
        </w:rPr>
        <w:t xml:space="preserve">”) pursuant to </w:t>
      </w:r>
      <w:r>
        <w:rPr>
          <w:rFonts w:ascii="Arial" w:cs="Arial" w:eastAsia="Arial" w:hAnsi="Arial"/>
          <w:sz w:val="16"/>
          <w:szCs w:val="16"/>
          <w:b w:val="1"/>
          <w:bCs w:val="1"/>
          <w:color w:val="auto"/>
        </w:rPr>
        <w:t>Section 7.01(A)(vi)</w:t>
      </w:r>
      <w:r>
        <w:rPr>
          <w:rFonts w:ascii="Arial" w:cs="Arial" w:eastAsia="Arial" w:hAnsi="Arial"/>
          <w:sz w:val="16"/>
          <w:szCs w:val="16"/>
          <w:color w:val="auto"/>
        </w:rPr>
        <w:t xml:space="preserve"> arising from the Company’s failure to comply with </w:t>
      </w:r>
      <w:r>
        <w:rPr>
          <w:rFonts w:ascii="Arial" w:cs="Arial" w:eastAsia="Arial" w:hAnsi="Arial"/>
          <w:sz w:val="16"/>
          <w:szCs w:val="16"/>
          <w:b w:val="1"/>
          <w:bCs w:val="1"/>
          <w:color w:val="auto"/>
        </w:rPr>
        <w:t>Section 3.02</w:t>
      </w:r>
      <w:r>
        <w:rPr>
          <w:rFonts w:ascii="Arial" w:cs="Arial" w:eastAsia="Arial" w:hAnsi="Arial"/>
          <w:sz w:val="16"/>
          <w:szCs w:val="16"/>
          <w:color w:val="auto"/>
        </w:rPr>
        <w:t xml:space="preserve"> will, for each of the first two hundred seventy (270)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Arial" w:cs="Arial" w:eastAsia="Arial" w:hAnsi="Arial"/>
          <w:sz w:val="16"/>
          <w:szCs w:val="16"/>
          <w:b w:val="1"/>
          <w:bCs w:val="1"/>
          <w:color w:val="auto"/>
        </w:rPr>
        <w:t>Section 7.02</w:t>
      </w:r>
      <w:r>
        <w:rPr>
          <w:rFonts w:ascii="Arial" w:cs="Arial" w:eastAsia="Arial" w:hAnsi="Arial"/>
          <w:sz w:val="16"/>
          <w:szCs w:val="16"/>
          <w:color w:val="auto"/>
        </w:rPr>
        <w:t xml:space="preserve"> on account of the relevant Reporting Event of Default from, and including, the two hundred seventy-first (271st) calendar day on which a Reporting Event of Default has occurred and is continuing or if the Company fails to pay any accrued and unpaid Special Interest when due; and</w:t>
      </w:r>
    </w:p>
    <w:p>
      <w:pPr>
        <w:spacing w:after="0" w:line="4" w:lineRule="exact"/>
        <w:rPr>
          <w:rFonts w:ascii="Arial" w:cs="Arial" w:eastAsia="Arial" w:hAnsi="Arial"/>
          <w:sz w:val="16"/>
          <w:szCs w:val="16"/>
          <w:color w:val="auto"/>
        </w:rPr>
      </w:pPr>
    </w:p>
    <w:p>
      <w:pPr>
        <w:ind w:right="20" w:firstLine="8"/>
        <w:spacing w:after="0" w:line="260" w:lineRule="auto"/>
        <w:tabs>
          <w:tab w:leader="none" w:pos="27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Special Interest will cease to accrue on any Notes from, and including, such two hundred seventy-first (271st) calendar day (it being understood that interest on any defaulted Special Interest will nonetheless accrue pursuant to </w:t>
      </w:r>
      <w:r>
        <w:rPr>
          <w:rFonts w:ascii="Arial" w:cs="Arial" w:eastAsia="Arial" w:hAnsi="Arial"/>
          <w:sz w:val="18"/>
          <w:szCs w:val="18"/>
          <w:b w:val="1"/>
          <w:bCs w:val="1"/>
          <w:color w:val="auto"/>
        </w:rPr>
        <w:t>Section 2.05(B)</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585"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Amount and Payment of Special Interest</w:t>
      </w:r>
      <w:r>
        <w:rPr>
          <w:rFonts w:ascii="Arial" w:cs="Arial" w:eastAsia="Arial" w:hAnsi="Arial"/>
          <w:sz w:val="18"/>
          <w:szCs w:val="18"/>
          <w:color w:val="auto"/>
        </w:rPr>
        <w:t>. Any Special Interest that accrues on a Note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7.03(A)</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payable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same dates and in the same manner as the Stated Interest on such Note and will accrue at a rate per annum equal to one quarter of one percent (0.25%) of the principal amount thereof for the first ninety (90) days on which Special Interest accrues and, thereafter, at a rate per annum equal to one half of one percent (0.50%) of the principal amount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will Special Interest, together with any Additional Interest, accrue on any day on a Note at a combined rate per annum that exceeds one percent (1.00%). For the avoidance of doubt, any Special Interest that accrues on a Note will be in addition to the Stated Interest that accrues on such Note and, subject to the proviso of the immediately preceding sentence, in addition to any Additional Interest that accrues on such Note.</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hanging="111"/>
        <w:spacing w:after="0"/>
        <w:tabs>
          <w:tab w:leader="none" w:pos="554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56"/>
        <w:spacing w:after="0" w:line="277" w:lineRule="auto"/>
        <w:tabs>
          <w:tab w:leader="none" w:pos="1679"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Notice of Election</w:t>
      </w:r>
      <w:r>
        <w:rPr>
          <w:rFonts w:ascii="Arial" w:cs="Arial" w:eastAsia="Arial" w:hAnsi="Arial"/>
          <w:sz w:val="17"/>
          <w:szCs w:val="17"/>
          <w:color w:val="auto"/>
        </w:rPr>
        <w:t>. To make the election set forth in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7.03(A)</w:t>
      </w:r>
      <w:r>
        <w:rPr>
          <w:rFonts w:ascii="Arial" w:cs="Arial" w:eastAsia="Arial" w:hAnsi="Arial"/>
          <w:sz w:val="17"/>
          <w:szCs w:val="17"/>
          <w:color w:val="auto"/>
        </w:rPr>
        <w:t>, the Company must send to the Holders, the Trustee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Paying Agent, before the date on which each Reporting Event of Default first occurs, a written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spacing w:after="0" w:line="171" w:lineRule="exact"/>
        <w:rPr>
          <w:rFonts w:ascii="Arial" w:cs="Arial" w:eastAsia="Arial" w:hAnsi="Arial"/>
          <w:sz w:val="17"/>
          <w:szCs w:val="17"/>
          <w:color w:val="auto"/>
        </w:rPr>
      </w:pPr>
    </w:p>
    <w:p>
      <w:pPr>
        <w:jc w:val="both"/>
        <w:ind w:firstLine="656"/>
        <w:spacing w:after="0" w:line="301" w:lineRule="auto"/>
        <w:tabs>
          <w:tab w:leader="none" w:pos="1496"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Notice to Trustee and Paying Agent; Trustee’s Disclaimer</w:t>
      </w:r>
      <w:r>
        <w:rPr>
          <w:rFonts w:ascii="Arial" w:cs="Arial" w:eastAsia="Arial" w:hAnsi="Arial"/>
          <w:sz w:val="16"/>
          <w:szCs w:val="16"/>
          <w:color w:val="auto"/>
        </w:rPr>
        <w:t>. If Special Interest accrues on any Note, then, no later than five (5)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153" w:lineRule="exact"/>
        <w:rPr>
          <w:rFonts w:ascii="Arial" w:cs="Arial" w:eastAsia="Arial" w:hAnsi="Arial"/>
          <w:sz w:val="16"/>
          <w:szCs w:val="16"/>
          <w:color w:val="auto"/>
        </w:rPr>
      </w:pPr>
    </w:p>
    <w:p>
      <w:pPr>
        <w:ind w:firstLine="656"/>
        <w:spacing w:after="0" w:line="312" w:lineRule="auto"/>
        <w:tabs>
          <w:tab w:leader="none" w:pos="1507"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No Effect on Other Events of Default</w:t>
      </w:r>
      <w:r>
        <w:rPr>
          <w:rFonts w:ascii="Arial" w:cs="Arial" w:eastAsia="Arial" w:hAnsi="Arial"/>
          <w:sz w:val="17"/>
          <w:szCs w:val="17"/>
          <w:color w:val="auto"/>
        </w:rPr>
        <w:t>. No election pursuant to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7.03</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a Reporting Event of Default will affect</w:t>
      </w:r>
      <w:r>
        <w:rPr>
          <w:rFonts w:ascii="Arial" w:cs="Arial" w:eastAsia="Arial" w:hAnsi="Arial"/>
          <w:sz w:val="17"/>
          <w:szCs w:val="17"/>
          <w:i w:val="1"/>
          <w:iCs w:val="1"/>
          <w:color w:val="auto"/>
        </w:rPr>
        <w:t xml:space="preserve"> </w:t>
      </w:r>
      <w:r>
        <w:rPr>
          <w:rFonts w:ascii="Arial" w:cs="Arial" w:eastAsia="Arial" w:hAnsi="Arial"/>
          <w:sz w:val="17"/>
          <w:szCs w:val="17"/>
          <w:color w:val="auto"/>
        </w:rPr>
        <w:t>the rights of any Holder with respect to any other Event of Default, including with respect to any other Reporting Event of Default.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7.04.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EMEDIES</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342" w:lineRule="auto"/>
        <w:tabs>
          <w:tab w:leader="none" w:pos="1523"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Trustee May Pursue All Remedies</w:t>
      </w:r>
      <w:r>
        <w:rPr>
          <w:rFonts w:ascii="Arial" w:cs="Arial" w:eastAsia="Arial" w:hAnsi="Arial"/>
          <w:sz w:val="16"/>
          <w:szCs w:val="16"/>
          <w:color w:val="auto"/>
        </w:rPr>
        <w:t>. If an Event of Default occurs and is continuing, then the Trustee may pursue any available remedy</w:t>
      </w:r>
      <w:r>
        <w:rPr>
          <w:rFonts w:ascii="Arial" w:cs="Arial" w:eastAsia="Arial" w:hAnsi="Arial"/>
          <w:sz w:val="16"/>
          <w:szCs w:val="16"/>
          <w:i w:val="1"/>
          <w:iCs w:val="1"/>
          <w:color w:val="auto"/>
        </w:rPr>
        <w:t xml:space="preserve"> </w:t>
      </w:r>
      <w:r>
        <w:rPr>
          <w:rFonts w:ascii="Arial" w:cs="Arial" w:eastAsia="Arial" w:hAnsi="Arial"/>
          <w:sz w:val="16"/>
          <w:szCs w:val="16"/>
          <w:color w:val="auto"/>
        </w:rPr>
        <w:t>to collect the payment of any amounts due with respect to the Notes or to enforce the performance of any provision of this Indenture or the Notes.</w:t>
      </w:r>
    </w:p>
    <w:p>
      <w:pPr>
        <w:spacing w:after="0" w:line="123" w:lineRule="exact"/>
        <w:rPr>
          <w:rFonts w:ascii="Arial" w:cs="Arial" w:eastAsia="Arial" w:hAnsi="Arial"/>
          <w:sz w:val="16"/>
          <w:szCs w:val="16"/>
          <w:color w:val="auto"/>
        </w:rPr>
      </w:pPr>
    </w:p>
    <w:p>
      <w:pPr>
        <w:jc w:val="both"/>
        <w:ind w:firstLine="656"/>
        <w:spacing w:after="0" w:line="311" w:lineRule="auto"/>
        <w:tabs>
          <w:tab w:leader="none" w:pos="1598"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Procedural Matters</w:t>
      </w:r>
      <w:r>
        <w:rPr>
          <w:rFonts w:ascii="Arial" w:cs="Arial" w:eastAsia="Arial" w:hAnsi="Arial"/>
          <w:sz w:val="16"/>
          <w:szCs w:val="16"/>
          <w:color w:val="auto"/>
        </w:rPr>
        <w:t>. The Trustee may maintain a proceeding even if it does not possess any of the Notes or does not produce 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7.05. W</w:t>
      </w:r>
      <w:r>
        <w:rPr>
          <w:rFonts w:ascii="Arial" w:cs="Arial" w:eastAsia="Arial" w:hAnsi="Arial"/>
          <w:sz w:val="12"/>
          <w:szCs w:val="12"/>
          <w:b w:val="1"/>
          <w:bCs w:val="1"/>
          <w:color w:val="auto"/>
        </w:rPr>
        <w:t>AIVER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AST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An Event of Default pursuant to </w:t>
      </w:r>
      <w:r>
        <w:rPr>
          <w:rFonts w:ascii="Arial" w:cs="Arial" w:eastAsia="Arial" w:hAnsi="Arial"/>
          <w:sz w:val="17"/>
          <w:szCs w:val="17"/>
          <w:b w:val="1"/>
          <w:bCs w:val="1"/>
          <w:color w:val="auto"/>
        </w:rPr>
        <w:t>clause (i)</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w:t>
      </w:r>
      <w:r>
        <w:rPr>
          <w:rFonts w:ascii="Arial" w:cs="Arial" w:eastAsia="Arial" w:hAnsi="Arial"/>
          <w:sz w:val="17"/>
          <w:szCs w:val="17"/>
          <w:b w:val="1"/>
          <w:bCs w:val="1"/>
          <w:color w:val="auto"/>
        </w:rPr>
        <w:t>(iv)</w:t>
      </w:r>
      <w:r>
        <w:rPr>
          <w:rFonts w:ascii="Arial" w:cs="Arial" w:eastAsia="Arial" w:hAnsi="Arial"/>
          <w:sz w:val="17"/>
          <w:szCs w:val="17"/>
          <w:color w:val="auto"/>
        </w:rPr>
        <w:t xml:space="preserve"> or </w:t>
      </w:r>
      <w:r>
        <w:rPr>
          <w:rFonts w:ascii="Arial" w:cs="Arial" w:eastAsia="Arial" w:hAnsi="Arial"/>
          <w:sz w:val="17"/>
          <w:szCs w:val="17"/>
          <w:b w:val="1"/>
          <w:bCs w:val="1"/>
          <w:color w:val="auto"/>
        </w:rPr>
        <w:t>(vi)</w:t>
      </w:r>
      <w:r>
        <w:rPr>
          <w:rFonts w:ascii="Arial" w:cs="Arial" w:eastAsia="Arial" w:hAnsi="Arial"/>
          <w:sz w:val="17"/>
          <w:szCs w:val="17"/>
          <w:color w:val="auto"/>
        </w:rPr>
        <w:t xml:space="preserve"> of </w:t>
      </w:r>
      <w:r>
        <w:rPr>
          <w:rFonts w:ascii="Arial" w:cs="Arial" w:eastAsia="Arial" w:hAnsi="Arial"/>
          <w:sz w:val="17"/>
          <w:szCs w:val="17"/>
          <w:b w:val="1"/>
          <w:bCs w:val="1"/>
          <w:color w:val="auto"/>
        </w:rPr>
        <w:t>Section 7.01(A)</w:t>
      </w:r>
      <w:r>
        <w:rPr>
          <w:rFonts w:ascii="Arial" w:cs="Arial" w:eastAsia="Arial" w:hAnsi="Arial"/>
          <w:sz w:val="17"/>
          <w:szCs w:val="17"/>
          <w:color w:val="auto"/>
        </w:rPr>
        <w:t xml:space="preserve"> (that, in the case of </w:t>
      </w:r>
      <w:r>
        <w:rPr>
          <w:rFonts w:ascii="Arial" w:cs="Arial" w:eastAsia="Arial" w:hAnsi="Arial"/>
          <w:sz w:val="17"/>
          <w:szCs w:val="17"/>
          <w:b w:val="1"/>
          <w:bCs w:val="1"/>
          <w:color w:val="auto"/>
        </w:rPr>
        <w:t>clause (vi)</w:t>
      </w:r>
      <w:r>
        <w:rPr>
          <w:rFonts w:ascii="Arial" w:cs="Arial" w:eastAsia="Arial" w:hAnsi="Arial"/>
          <w:sz w:val="17"/>
          <w:szCs w:val="17"/>
          <w:color w:val="auto"/>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Section 7.06. C</w:t>
      </w:r>
      <w:r>
        <w:rPr>
          <w:rFonts w:ascii="Arial" w:cs="Arial" w:eastAsia="Arial" w:hAnsi="Arial"/>
          <w:sz w:val="12"/>
          <w:szCs w:val="12"/>
          <w:b w:val="1"/>
          <w:bCs w:val="1"/>
          <w:color w:val="auto"/>
        </w:rPr>
        <w:t>ONTROL BY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AJORITY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Subject to the last sentence of this paragraph, 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the Trustee determines may be unduly prejudicial to the rights of other Holders (it being understood that the Trustee does not have an affirmative duty to determine whether any direction is prejudicial to any Holder) or may involve the Trustee in liability. Prior to taking any action under this Indenture, the Trustee is entitled to security and indemnity satisfactory to the Trustee against any loss, liability or expense to the Trustee that may result from the Trustee’s following such direction.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7.07. L</w:t>
      </w:r>
      <w:r>
        <w:rPr>
          <w:rFonts w:ascii="Arial" w:cs="Arial" w:eastAsia="Arial" w:hAnsi="Arial"/>
          <w:sz w:val="12"/>
          <w:szCs w:val="12"/>
          <w:b w:val="1"/>
          <w:bCs w:val="1"/>
          <w:color w:val="auto"/>
        </w:rPr>
        <w:t>IMITATION 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UITS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No Holder may pursue any remedy with respect to this Indenture or the Notes (except to enforce (x) its rights to receive the principal of, or the Redemption Price or Fundamental Change Repurchase Price for, or interest on, any Notes; or (y) the Company’s obligations to convert any Notes pursuant to </w:t>
      </w:r>
      <w:r>
        <w:rPr>
          <w:rFonts w:ascii="Arial" w:cs="Arial" w:eastAsia="Arial" w:hAnsi="Arial"/>
          <w:sz w:val="18"/>
          <w:szCs w:val="18"/>
          <w:b w:val="1"/>
          <w:bCs w:val="1"/>
          <w:color w:val="auto"/>
        </w:rPr>
        <w:t>Article 5</w:t>
      </w:r>
      <w:r>
        <w:rPr>
          <w:rFonts w:ascii="Arial" w:cs="Arial" w:eastAsia="Arial" w:hAnsi="Arial"/>
          <w:sz w:val="18"/>
          <w:szCs w:val="18"/>
          <w:color w:val="auto"/>
        </w:rPr>
        <w:t>), unless:</w:t>
      </w:r>
    </w:p>
    <w:p>
      <w:pPr>
        <w:spacing w:after="0" w:line="184" w:lineRule="exact"/>
        <w:rPr>
          <w:sz w:val="20"/>
          <w:szCs w:val="20"/>
          <w:color w:val="auto"/>
        </w:rPr>
      </w:pPr>
    </w:p>
    <w:p>
      <w:pPr>
        <w:ind w:left="1500" w:hanging="844"/>
        <w:spacing w:after="0"/>
        <w:tabs>
          <w:tab w:leader="none" w:pos="1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such Holder has previously delivered to the Trustee notice that an Event of Default is continuing;</w:t>
      </w:r>
    </w:p>
    <w:p>
      <w:pPr>
        <w:spacing w:after="0" w:line="225" w:lineRule="exact"/>
        <w:rPr>
          <w:rFonts w:ascii="Arial" w:cs="Arial" w:eastAsia="Arial" w:hAnsi="Arial"/>
          <w:sz w:val="18"/>
          <w:szCs w:val="18"/>
          <w:color w:val="auto"/>
        </w:rPr>
      </w:pPr>
    </w:p>
    <w:p>
      <w:pPr>
        <w:ind w:firstLine="656"/>
        <w:spacing w:after="0" w:line="277" w:lineRule="auto"/>
        <w:tabs>
          <w:tab w:leader="none" w:pos="157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Holders of at least twenty five percent (25%) in aggregate principal amount of the Notes then outstanding deliver a written request to the Trustee to pursue such remedy;</w:t>
      </w:r>
    </w:p>
    <w:p>
      <w:pPr>
        <w:spacing w:after="0" w:line="170" w:lineRule="exact"/>
        <w:rPr>
          <w:rFonts w:ascii="Arial" w:cs="Arial" w:eastAsia="Arial" w:hAnsi="Arial"/>
          <w:sz w:val="18"/>
          <w:szCs w:val="18"/>
          <w:color w:val="auto"/>
        </w:rPr>
      </w:pPr>
    </w:p>
    <w:p>
      <w:pPr>
        <w:ind w:firstLine="656"/>
        <w:spacing w:after="0" w:line="277" w:lineRule="auto"/>
        <w:tabs>
          <w:tab w:leader="none" w:pos="162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Trustee does not comply with such request within sixty (60) calendar days after its receipt of such request and such offer of security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indemnity; and</w:t>
      </w:r>
    </w:p>
    <w:p>
      <w:pPr>
        <w:spacing w:after="0" w:line="210" w:lineRule="exact"/>
        <w:rPr>
          <w:rFonts w:ascii="Arial" w:cs="Arial" w:eastAsia="Arial" w:hAnsi="Arial"/>
          <w:sz w:val="16"/>
          <w:szCs w:val="16"/>
          <w:color w:val="auto"/>
        </w:rPr>
      </w:pPr>
    </w:p>
    <w:p>
      <w:pPr>
        <w:ind w:firstLine="656"/>
        <w:spacing w:after="0" w:line="277" w:lineRule="auto"/>
        <w:tabs>
          <w:tab w:leader="none" w:pos="15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during such sixty (60) calendar day period, Holders of a majority in aggregate principal amount of the Notes then outstanding do not deliver to the Trustee a direction that is inconsistent with such request.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Holder of a Note may not use this Indenture to prejudice the rights of another Holder or to obtain a preference or priority over another 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Trustee will have no duty to determine whether any Holder’s use of this Indenture complies with the preceding sentence.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Section 7.08. A</w:t>
      </w:r>
      <w:r>
        <w:rPr>
          <w:rFonts w:ascii="Arial" w:cs="Arial" w:eastAsia="Arial" w:hAnsi="Arial"/>
          <w:sz w:val="12"/>
          <w:szCs w:val="12"/>
          <w:b w:val="1"/>
          <w:bCs w:val="1"/>
          <w:color w:val="auto"/>
        </w:rPr>
        <w:t>BSOLUTE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 TO</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NSTITUTE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UIT FOR THE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NFORCEMENT OF THE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ONSIDERATION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Notwithstanding anything to the contrary in this Indenture or the Notes (but without limiting </w:t>
      </w:r>
      <w:r>
        <w:rPr>
          <w:rFonts w:ascii="Arial" w:cs="Arial" w:eastAsia="Arial" w:hAnsi="Arial"/>
          <w:sz w:val="17"/>
          <w:szCs w:val="17"/>
          <w:b w:val="1"/>
          <w:bCs w:val="1"/>
          <w:color w:val="auto"/>
        </w:rPr>
        <w:t>Section 8.01</w:t>
      </w:r>
      <w:r>
        <w:rPr>
          <w:rFonts w:ascii="Arial" w:cs="Arial" w:eastAsia="Arial" w:hAnsi="Arial"/>
          <w:sz w:val="17"/>
          <w:szCs w:val="17"/>
          <w:color w:val="auto"/>
        </w:rPr>
        <w:t xml:space="preserve">), the right of each Holder of a Note to bring suit for the enforcement of any payment or delivery, as applicable, of the principal of, or the Redemption Price or Fundamental Change Repurchase Price for, or any interest on, or the Conversion Consideration due pursuant to </w:t>
      </w:r>
      <w:r>
        <w:rPr>
          <w:rFonts w:ascii="Arial" w:cs="Arial" w:eastAsia="Arial" w:hAnsi="Arial"/>
          <w:sz w:val="17"/>
          <w:szCs w:val="17"/>
          <w:b w:val="1"/>
          <w:bCs w:val="1"/>
          <w:color w:val="auto"/>
        </w:rPr>
        <w:t>Article 5</w:t>
      </w:r>
      <w:r>
        <w:rPr>
          <w:rFonts w:ascii="Arial" w:cs="Arial" w:eastAsia="Arial" w:hAnsi="Arial"/>
          <w:sz w:val="17"/>
          <w:szCs w:val="17"/>
          <w:color w:val="auto"/>
        </w:rPr>
        <w:t xml:space="preserve"> upon conversion of, such Note on or after the respective due dates therefor provided in this Indenture and the Notes, will not be impaired or affected without the consent of such Holder.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7.09. C</w:t>
      </w:r>
      <w:r>
        <w:rPr>
          <w:rFonts w:ascii="Arial" w:cs="Arial" w:eastAsia="Arial" w:hAnsi="Arial"/>
          <w:sz w:val="12"/>
          <w:szCs w:val="12"/>
          <w:b w:val="1"/>
          <w:bCs w:val="1"/>
          <w:color w:val="auto"/>
        </w:rPr>
        <w:t>OLLECTION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UIT BY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The Trustee will have the right, upon the occurrence and continuance of an Event of Default pursuant to </w:t>
      </w:r>
      <w:r>
        <w:rPr>
          <w:rFonts w:ascii="Arial" w:cs="Arial" w:eastAsia="Arial" w:hAnsi="Arial"/>
          <w:sz w:val="18"/>
          <w:szCs w:val="18"/>
          <w:b w:val="1"/>
          <w:bCs w:val="1"/>
          <w:color w:val="auto"/>
        </w:rPr>
        <w:t>clause (i)</w:t>
      </w:r>
      <w:r>
        <w:rPr>
          <w:rFonts w:ascii="Arial" w:cs="Arial" w:eastAsia="Arial" w:hAnsi="Arial"/>
          <w:sz w:val="18"/>
          <w:szCs w:val="18"/>
          <w:color w:val="auto"/>
        </w:rPr>
        <w:t xml:space="preserve">, </w:t>
      </w:r>
      <w:r>
        <w:rPr>
          <w:rFonts w:ascii="Arial" w:cs="Arial" w:eastAsia="Arial" w:hAnsi="Arial"/>
          <w:sz w:val="18"/>
          <w:szCs w:val="18"/>
          <w:b w:val="1"/>
          <w:bCs w:val="1"/>
          <w:color w:val="auto"/>
        </w:rPr>
        <w:t>(ii)</w:t>
      </w:r>
      <w:r>
        <w:rPr>
          <w:rFonts w:ascii="Arial" w:cs="Arial" w:eastAsia="Arial" w:hAnsi="Arial"/>
          <w:sz w:val="18"/>
          <w:szCs w:val="18"/>
          <w:color w:val="auto"/>
        </w:rPr>
        <w:t xml:space="preserve"> or </w:t>
      </w:r>
      <w:r>
        <w:rPr>
          <w:rFonts w:ascii="Arial" w:cs="Arial" w:eastAsia="Arial" w:hAnsi="Arial"/>
          <w:sz w:val="18"/>
          <w:szCs w:val="18"/>
          <w:b w:val="1"/>
          <w:bCs w:val="1"/>
          <w:color w:val="auto"/>
        </w:rPr>
        <w:t>(iv)</w:t>
      </w:r>
      <w:r>
        <w:rPr>
          <w:rFonts w:ascii="Arial" w:cs="Arial" w:eastAsia="Arial" w:hAnsi="Arial"/>
          <w:sz w:val="18"/>
          <w:szCs w:val="18"/>
          <w:color w:val="auto"/>
        </w:rPr>
        <w:t xml:space="preserve"> of </w:t>
      </w:r>
      <w:r>
        <w:rPr>
          <w:rFonts w:ascii="Arial" w:cs="Arial" w:eastAsia="Arial" w:hAnsi="Arial"/>
          <w:sz w:val="18"/>
          <w:szCs w:val="18"/>
          <w:b w:val="1"/>
          <w:bCs w:val="1"/>
          <w:color w:val="auto"/>
        </w:rPr>
        <w:t>Section 7.01(A)</w:t>
      </w:r>
      <w:r>
        <w:rPr>
          <w:rFonts w:ascii="Arial" w:cs="Arial" w:eastAsia="Arial" w:hAnsi="Arial"/>
          <w:sz w:val="18"/>
          <w:szCs w:val="18"/>
          <w:color w:val="auto"/>
        </w:rPr>
        <w:t xml:space="preserve">, to recover judgment in its own name and as trustee of an express trust against the Company for the total unpaid or undelivered principal of, or Redemption Price or Fundamental Change Repurchase Price for, or interest on, or Conversion Consideration due pursuant to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Arial" w:cs="Arial" w:eastAsia="Arial" w:hAnsi="Arial"/>
          <w:sz w:val="18"/>
          <w:szCs w:val="18"/>
          <w:b w:val="1"/>
          <w:bCs w:val="1"/>
          <w:color w:val="auto"/>
        </w:rPr>
        <w:t>Section 10.06</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7.10.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AY</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ROOFS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LAIM</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Arial" w:cs="Arial" w:eastAsia="Arial" w:hAnsi="Arial"/>
          <w:sz w:val="16"/>
          <w:szCs w:val="16"/>
          <w:b w:val="1"/>
          <w:bCs w:val="1"/>
          <w:color w:val="auto"/>
        </w:rPr>
        <w:t>Section 10.06</w:t>
      </w:r>
      <w:r>
        <w:rPr>
          <w:rFonts w:ascii="Arial" w:cs="Arial" w:eastAsia="Arial" w:hAnsi="Arial"/>
          <w:sz w:val="16"/>
          <w:szCs w:val="16"/>
          <w:color w:val="auto"/>
        </w:rPr>
        <w:t>. To the extent that the payment of any such compensation, expenses, disbursements, advances and other amounts out of the estate in such proceeding, is denied for any reason, payment of the same will be secured by a lien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Section 7.11. P</w:t>
      </w:r>
      <w:r>
        <w:rPr>
          <w:rFonts w:ascii="Arial" w:cs="Arial" w:eastAsia="Arial" w:hAnsi="Arial"/>
          <w:sz w:val="12"/>
          <w:szCs w:val="12"/>
          <w:b w:val="1"/>
          <w:bCs w:val="1"/>
          <w:color w:val="auto"/>
        </w:rPr>
        <w:t>RIORITIES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Trustee will pay or deliver in the following order any money or other property that it collects pursuant to this </w:t>
      </w:r>
      <w:r>
        <w:rPr>
          <w:rFonts w:ascii="Arial" w:cs="Arial" w:eastAsia="Arial" w:hAnsi="Arial"/>
          <w:sz w:val="18"/>
          <w:szCs w:val="18"/>
          <w:b w:val="1"/>
          <w:bCs w:val="1"/>
          <w:color w:val="auto"/>
        </w:rPr>
        <w:t>Article 7</w:t>
      </w:r>
      <w:r>
        <w:rPr>
          <w:rFonts w:ascii="Arial" w:cs="Arial" w:eastAsia="Arial" w:hAnsi="Arial"/>
          <w:sz w:val="18"/>
          <w:szCs w:val="18"/>
          <w:color w:val="auto"/>
        </w:rPr>
        <w:t>:</w:t>
      </w:r>
    </w:p>
    <w:p>
      <w:pPr>
        <w:spacing w:after="0" w:line="225" w:lineRule="exact"/>
        <w:rPr>
          <w:sz w:val="20"/>
          <w:szCs w:val="20"/>
          <w:color w:val="auto"/>
        </w:rPr>
      </w:pPr>
    </w:p>
    <w:p>
      <w:pPr>
        <w:jc w:val="both"/>
        <w:ind w:left="660" w:right="20" w:firstLine="648"/>
        <w:spacing w:after="0" w:line="266" w:lineRule="auto"/>
        <w:rPr>
          <w:sz w:val="20"/>
          <w:szCs w:val="20"/>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to the Trustee, the other Note Agents and each of their respective agents and attorneys for amounts due under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10.06</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payment of all fees, compensation, expenses and liabilities incurred, and all advances made, by the Trustee and the Note Agents and the costs and expenses of collection;</w:t>
      </w:r>
    </w:p>
    <w:p>
      <w:pPr>
        <w:spacing w:after="0" w:line="180"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i w:val="1"/>
          <w:iCs w:val="1"/>
          <w:color w:val="auto"/>
        </w:rPr>
        <w:t xml:space="preserve">Second: </w:t>
      </w:r>
      <w:r>
        <w:rPr>
          <w:rFonts w:ascii="Arial" w:cs="Arial" w:eastAsia="Arial" w:hAnsi="Arial"/>
          <w:sz w:val="17"/>
          <w:szCs w:val="17"/>
          <w:color w:val="auto"/>
        </w:rPr>
        <w:t>to Holders for unpaid amounts or other property due on the Notes, including the principal of, or the Redemption Price or</w:t>
      </w:r>
      <w:r>
        <w:rPr>
          <w:rFonts w:ascii="Arial" w:cs="Arial" w:eastAsia="Arial" w:hAnsi="Arial"/>
          <w:sz w:val="17"/>
          <w:szCs w:val="17"/>
          <w:i w:val="1"/>
          <w:iCs w:val="1"/>
          <w:color w:val="auto"/>
        </w:rPr>
        <w:t xml:space="preserve"> </w:t>
      </w:r>
      <w:r>
        <w:rPr>
          <w:rFonts w:ascii="Arial" w:cs="Arial" w:eastAsia="Arial" w:hAnsi="Arial"/>
          <w:sz w:val="17"/>
          <w:szCs w:val="17"/>
          <w:color w:val="auto"/>
        </w:rPr>
        <w:t>Fundamental Change Repurchase Price for, or any interest on, or any Conversion Consideration due upon conversion of, the Notes, ratably, and without preference or priority of any kind, according to such amounts or other property due and payable on all of the Notes; and</w:t>
      </w:r>
    </w:p>
    <w:p>
      <w:pPr>
        <w:spacing w:after="0" w:line="16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i w:val="1"/>
          <w:iCs w:val="1"/>
          <w:color w:val="auto"/>
        </w:rPr>
        <w:t>Third:</w:t>
      </w:r>
      <w:r>
        <w:rPr>
          <w:sz w:val="20"/>
          <w:szCs w:val="20"/>
          <w:color w:val="auto"/>
        </w:rPr>
        <w:tab/>
      </w:r>
      <w:r>
        <w:rPr>
          <w:rFonts w:ascii="Arial" w:cs="Arial" w:eastAsia="Arial" w:hAnsi="Arial"/>
          <w:sz w:val="18"/>
          <w:szCs w:val="18"/>
          <w:color w:val="auto"/>
        </w:rPr>
        <w:t>to the Company or such other Person as a court of competent jurisdiction directs.</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The Trustee may fix a record date and payment date for any payment or delivery to the Holders pursuant to this </w:t>
      </w:r>
      <w:r>
        <w:rPr>
          <w:rFonts w:ascii="Arial" w:cs="Arial" w:eastAsia="Arial" w:hAnsi="Arial"/>
          <w:sz w:val="17"/>
          <w:szCs w:val="17"/>
          <w:b w:val="1"/>
          <w:bCs w:val="1"/>
          <w:color w:val="auto"/>
        </w:rPr>
        <w:t>Section 7.11</w:t>
      </w:r>
      <w:r>
        <w:rPr>
          <w:rFonts w:ascii="Arial" w:cs="Arial" w:eastAsia="Arial" w:hAnsi="Arial"/>
          <w:sz w:val="17"/>
          <w:szCs w:val="17"/>
          <w:color w:val="auto"/>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7.12. U</w:t>
      </w:r>
      <w:r>
        <w:rPr>
          <w:rFonts w:ascii="Arial" w:cs="Arial" w:eastAsia="Arial" w:hAnsi="Arial"/>
          <w:sz w:val="12"/>
          <w:szCs w:val="12"/>
          <w:b w:val="1"/>
          <w:bCs w:val="1"/>
          <w:color w:val="auto"/>
        </w:rPr>
        <w:t>NDERTAKING FOR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OSTS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this </w:t>
      </w:r>
      <w:r>
        <w:rPr>
          <w:rFonts w:ascii="Arial" w:cs="Arial" w:eastAsia="Arial" w:hAnsi="Arial"/>
          <w:sz w:val="18"/>
          <w:szCs w:val="18"/>
          <w:b w:val="1"/>
          <w:bCs w:val="1"/>
          <w:color w:val="auto"/>
        </w:rPr>
        <w:t>Section 7.12</w:t>
      </w:r>
      <w:r>
        <w:rPr>
          <w:rFonts w:ascii="Arial" w:cs="Arial" w:eastAsia="Arial" w:hAnsi="Arial"/>
          <w:sz w:val="18"/>
          <w:szCs w:val="18"/>
          <w:color w:val="auto"/>
        </w:rPr>
        <w:t xml:space="preserve"> does not apply to any suit by the Trustee, any suit by a Holder pursuant to </w:t>
      </w:r>
      <w:r>
        <w:rPr>
          <w:rFonts w:ascii="Arial" w:cs="Arial" w:eastAsia="Arial" w:hAnsi="Arial"/>
          <w:sz w:val="18"/>
          <w:szCs w:val="18"/>
          <w:b w:val="1"/>
          <w:bCs w:val="1"/>
          <w:color w:val="auto"/>
        </w:rPr>
        <w:t>Section 7.08</w:t>
      </w:r>
      <w:r>
        <w:rPr>
          <w:rFonts w:ascii="Arial" w:cs="Arial" w:eastAsia="Arial" w:hAnsi="Arial"/>
          <w:sz w:val="18"/>
          <w:szCs w:val="18"/>
          <w:color w:val="auto"/>
        </w:rPr>
        <w:t xml:space="preserve"> or any suit by one or more Holders of more than ten percent (10%) in aggregate principal amount of the Notes then outstanding.</w:t>
      </w:r>
    </w:p>
    <w:p>
      <w:pPr>
        <w:spacing w:after="0" w:line="188" w:lineRule="exact"/>
        <w:rPr>
          <w:sz w:val="20"/>
          <w:szCs w:val="20"/>
          <w:color w:val="auto"/>
        </w:rPr>
      </w:pPr>
    </w:p>
    <w:p>
      <w:pPr>
        <w:ind w:left="2980"/>
        <w:spacing w:after="0"/>
        <w:tabs>
          <w:tab w:leader="none" w:pos="420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7"/>
          <w:szCs w:val="17"/>
          <w:b w:val="1"/>
          <w:bCs w:val="1"/>
          <w:color w:val="auto"/>
        </w:rPr>
        <w:t>AMENDMENTS, SUPPLEMENTS AND WAIVERS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8.01. W</w:t>
      </w:r>
      <w:r>
        <w:rPr>
          <w:rFonts w:ascii="Arial" w:cs="Arial" w:eastAsia="Arial" w:hAnsi="Arial"/>
          <w:sz w:val="12"/>
          <w:szCs w:val="12"/>
          <w:b w:val="1"/>
          <w:bCs w:val="1"/>
          <w:color w:val="auto"/>
        </w:rPr>
        <w:t>ITHOUT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ONSENT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b w:val="1"/>
          <w:bCs w:val="1"/>
          <w:color w:val="auto"/>
        </w:rPr>
        <w:t>Section 8.02</w:t>
      </w:r>
      <w:r>
        <w:rPr>
          <w:rFonts w:ascii="Arial" w:cs="Arial" w:eastAsia="Arial" w:hAnsi="Arial"/>
          <w:sz w:val="18"/>
          <w:szCs w:val="18"/>
          <w:color w:val="auto"/>
        </w:rPr>
        <w:t>, the Company and the Trustee may amend or supplement this Indenture or the Notes without the consent of any Holder to:</w:t>
      </w:r>
    </w:p>
    <w:p>
      <w:pPr>
        <w:spacing w:after="0" w:line="166" w:lineRule="exact"/>
        <w:rPr>
          <w:sz w:val="20"/>
          <w:szCs w:val="20"/>
          <w:color w:val="auto"/>
        </w:rPr>
      </w:pPr>
    </w:p>
    <w:p>
      <w:pPr>
        <w:ind w:left="1500" w:hanging="844"/>
        <w:spacing w:after="0"/>
        <w:tabs>
          <w:tab w:leader="none" w:pos="15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cure any ambiguity or correct any omission, defect or inconsistency in this Indenture or the Notes;</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add guarantees with respect to the Company’s obligations under this Indenture or the Notes;</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secure the Notes;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40" w:hanging="111"/>
        <w:spacing w:after="0"/>
        <w:tabs>
          <w:tab w:leader="none" w:pos="55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right="20" w:firstLine="656"/>
        <w:spacing w:after="0" w:line="277" w:lineRule="auto"/>
        <w:tabs>
          <w:tab w:leader="none" w:pos="156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add to the Company’s covenants or Events of Default for the benefit of the Holders or surrender any right or power conferred on the Company under this Indenture;</w:t>
      </w:r>
    </w:p>
    <w:p>
      <w:pPr>
        <w:spacing w:after="0" w:line="170" w:lineRule="exact"/>
        <w:rPr>
          <w:rFonts w:ascii="Arial" w:cs="Arial" w:eastAsia="Arial" w:hAnsi="Arial"/>
          <w:sz w:val="18"/>
          <w:szCs w:val="18"/>
          <w:color w:val="auto"/>
        </w:rPr>
      </w:pPr>
    </w:p>
    <w:p>
      <w:pPr>
        <w:ind w:left="1700" w:hanging="1044"/>
        <w:spacing w:after="0"/>
        <w:tabs>
          <w:tab w:leader="none" w:pos="17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provide for the assumption of the Company’s obligations under this Indenture and the Notes pursuant to, and in compliance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Article 6</w:t>
      </w:r>
      <w:r>
        <w:rPr>
          <w:rFonts w:ascii="Arial" w:cs="Arial" w:eastAsia="Arial" w:hAnsi="Arial"/>
          <w:sz w:val="18"/>
          <w:szCs w:val="18"/>
          <w:color w:val="auto"/>
        </w:rPr>
        <w:t>;</w:t>
      </w:r>
    </w:p>
    <w:p>
      <w:pPr>
        <w:spacing w:after="0" w:line="206" w:lineRule="exact"/>
        <w:rPr>
          <w:rFonts w:ascii="Arial" w:cs="Arial" w:eastAsia="Arial" w:hAnsi="Arial"/>
          <w:sz w:val="16"/>
          <w:szCs w:val="16"/>
          <w:color w:val="auto"/>
        </w:rPr>
      </w:pPr>
    </w:p>
    <w:p>
      <w:pPr>
        <w:ind w:left="1660" w:hanging="1004"/>
        <w:spacing w:after="0"/>
        <w:tabs>
          <w:tab w:leader="none" w:pos="1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enter into supplemental indentures pursuant to, and in accordance with, </w:t>
      </w:r>
      <w:r>
        <w:rPr>
          <w:rFonts w:ascii="Arial" w:cs="Arial" w:eastAsia="Arial" w:hAnsi="Arial"/>
          <w:sz w:val="16"/>
          <w:szCs w:val="16"/>
          <w:b w:val="1"/>
          <w:bCs w:val="1"/>
          <w:color w:val="auto"/>
        </w:rPr>
        <w:t>Section 5.09</w:t>
      </w:r>
      <w:r>
        <w:rPr>
          <w:rFonts w:ascii="Arial" w:cs="Arial" w:eastAsia="Arial" w:hAnsi="Arial"/>
          <w:sz w:val="16"/>
          <w:szCs w:val="16"/>
          <w:color w:val="auto"/>
        </w:rPr>
        <w:t xml:space="preserve"> in connection with a Common Stock Change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Event;</w:t>
      </w:r>
    </w:p>
    <w:p>
      <w:pPr>
        <w:spacing w:after="0" w:line="210" w:lineRule="exact"/>
        <w:rPr>
          <w:rFonts w:ascii="Arial" w:cs="Arial" w:eastAsia="Arial" w:hAnsi="Arial"/>
          <w:sz w:val="16"/>
          <w:szCs w:val="16"/>
          <w:color w:val="auto"/>
        </w:rPr>
      </w:pPr>
    </w:p>
    <w:p>
      <w:pPr>
        <w:ind w:firstLine="656"/>
        <w:spacing w:after="0" w:line="308" w:lineRule="auto"/>
        <w:tabs>
          <w:tab w:leader="none" w:pos="176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irrevocably elect or eliminate any Settlement Method or Specified Dollar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such election or elimination will affect any Settlement Method theretofore elected (or deemed to be elected) with respect to any Note pursuant to </w:t>
      </w:r>
      <w:r>
        <w:rPr>
          <w:rFonts w:ascii="Arial" w:cs="Arial" w:eastAsia="Arial" w:hAnsi="Arial"/>
          <w:sz w:val="17"/>
          <w:szCs w:val="17"/>
          <w:b w:val="1"/>
          <w:bCs w:val="1"/>
          <w:color w:val="auto"/>
        </w:rPr>
        <w:t>Section 5.03(A)</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500" w:hanging="844"/>
        <w:spacing w:after="0"/>
        <w:tabs>
          <w:tab w:leader="none" w:pos="1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evidence or provide for the acceptance of the appointment, under this Indenture, of a successor Trustee;</w:t>
      </w:r>
    </w:p>
    <w:p>
      <w:pPr>
        <w:spacing w:after="0" w:line="225" w:lineRule="exact"/>
        <w:rPr>
          <w:rFonts w:ascii="Arial" w:cs="Arial" w:eastAsia="Arial" w:hAnsi="Arial"/>
          <w:sz w:val="18"/>
          <w:szCs w:val="18"/>
          <w:color w:val="auto"/>
        </w:rPr>
      </w:pPr>
    </w:p>
    <w:p>
      <w:pPr>
        <w:ind w:firstLine="656"/>
        <w:spacing w:after="0" w:line="277" w:lineRule="auto"/>
        <w:tabs>
          <w:tab w:leader="none" w:pos="164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conform the provisions of this Indenture and the Notes to the “Description of Notes” section of the Company’s preliminary offering memorandum, dated December 8, 2021, as supplemented by the related pricing term sheet, dated December 9, 2021;</w:t>
      </w:r>
    </w:p>
    <w:p>
      <w:pPr>
        <w:spacing w:after="0" w:line="166" w:lineRule="exact"/>
        <w:rPr>
          <w:rFonts w:ascii="Arial" w:cs="Arial" w:eastAsia="Arial" w:hAnsi="Arial"/>
          <w:sz w:val="18"/>
          <w:szCs w:val="18"/>
          <w:color w:val="auto"/>
        </w:rPr>
      </w:pPr>
    </w:p>
    <w:p>
      <w:pPr>
        <w:ind w:left="1560" w:hanging="904"/>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provide for or confirm the issuance of additional Notes pursuant to </w:t>
      </w:r>
      <w:r>
        <w:rPr>
          <w:rFonts w:ascii="Arial" w:cs="Arial" w:eastAsia="Arial" w:hAnsi="Arial"/>
          <w:sz w:val="18"/>
          <w:szCs w:val="18"/>
          <w:b w:val="1"/>
          <w:bCs w:val="1"/>
          <w:color w:val="auto"/>
        </w:rPr>
        <w:t>Section 2.03(B)</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656"/>
        <w:spacing w:after="0" w:line="277" w:lineRule="auto"/>
        <w:tabs>
          <w:tab w:leader="none" w:pos="156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comply with any requirement of the SEC in connection with any qualification of this Indenture or any supplemental indenture under the Trust Indenture Act, as then in effect; or</w:t>
      </w:r>
    </w:p>
    <w:p>
      <w:pPr>
        <w:spacing w:after="0" w:line="170" w:lineRule="exact"/>
        <w:rPr>
          <w:rFonts w:ascii="Arial" w:cs="Arial" w:eastAsia="Arial" w:hAnsi="Arial"/>
          <w:sz w:val="18"/>
          <w:szCs w:val="18"/>
          <w:color w:val="auto"/>
        </w:rPr>
      </w:pPr>
    </w:p>
    <w:p>
      <w:pPr>
        <w:ind w:right="20" w:firstLine="656"/>
        <w:spacing w:after="0" w:line="277" w:lineRule="auto"/>
        <w:tabs>
          <w:tab w:leader="none" w:pos="171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make any other change to this Indenture or the Notes that does not, individually or in the aggregate with all other such changes, adversely affect the rights of the Holders, as such, in any material respect.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At the written request of any Holder of a Note or owner of a beneficial interest in a Global Note, the Company will provide a copy of the “Description of Notes” section and pricing term sheet referred to in </w:t>
      </w:r>
      <w:r>
        <w:rPr>
          <w:rFonts w:ascii="Arial" w:cs="Arial" w:eastAsia="Arial" w:hAnsi="Arial"/>
          <w:sz w:val="18"/>
          <w:szCs w:val="18"/>
          <w:b w:val="1"/>
          <w:bCs w:val="1"/>
          <w:color w:val="auto"/>
        </w:rPr>
        <w:t>Section 8.01(I)</w:t>
      </w:r>
      <w:r>
        <w:rPr>
          <w:rFonts w:ascii="Arial" w:cs="Arial" w:eastAsia="Arial" w:hAnsi="Arial"/>
          <w:sz w:val="18"/>
          <w:szCs w:val="18"/>
          <w:color w:val="auto"/>
        </w:rPr>
        <w: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Section 8.02. W</w:t>
      </w:r>
      <w:r>
        <w:rPr>
          <w:rFonts w:ascii="Arial" w:cs="Arial" w:eastAsia="Arial" w:hAnsi="Arial"/>
          <w:sz w:val="12"/>
          <w:szCs w:val="12"/>
          <w:b w:val="1"/>
          <w:bCs w:val="1"/>
          <w:color w:val="auto"/>
        </w:rPr>
        <w:t>ITH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ONSENT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56"/>
        <w:spacing w:after="0" w:line="258" w:lineRule="auto"/>
        <w:tabs>
          <w:tab w:leader="none" w:pos="1577"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Sections 8.01</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7.05</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7.08</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immediately following sentence, the Company and the Trustee may,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Arial" w:cs="Arial" w:eastAsia="Arial" w:hAnsi="Arial"/>
          <w:sz w:val="18"/>
          <w:szCs w:val="18"/>
          <w:b w:val="1"/>
          <w:bCs w:val="1"/>
          <w:color w:val="auto"/>
        </w:rPr>
        <w:t>Section 8.01</w:t>
      </w:r>
      <w:r>
        <w:rPr>
          <w:rFonts w:ascii="Arial" w:cs="Arial" w:eastAsia="Arial" w:hAnsi="Arial"/>
          <w:sz w:val="18"/>
          <w:szCs w:val="18"/>
          <w:color w:val="auto"/>
        </w:rPr>
        <w:t>, without the consent of each affected Holder, no amendment or supplement to this Indenture or the Notes, or waiver of any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or the Notes, may:</w:t>
      </w:r>
    </w:p>
    <w:p>
      <w:pPr>
        <w:spacing w:after="0" w:line="187" w:lineRule="exact"/>
        <w:rPr>
          <w:rFonts w:ascii="Arial" w:cs="Arial" w:eastAsia="Arial" w:hAnsi="Arial"/>
          <w:sz w:val="18"/>
          <w:szCs w:val="18"/>
          <w:color w:val="auto"/>
        </w:rPr>
      </w:pPr>
    </w:p>
    <w:p>
      <w:pPr>
        <w:ind w:left="2240" w:hanging="936"/>
        <w:spacing w:after="0"/>
        <w:tabs>
          <w:tab w:leader="none" w:pos="22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reduce the principal, or extend the stated maturity, of any Note;</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230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reduce the Redemption Price or Fundamental Change Repurchase Price for any Note or change the times at which, or the circumstances under which, the Notes may or will be redeemed or repurchased by the Company;</w:t>
      </w:r>
    </w:p>
    <w:p>
      <w:pPr>
        <w:spacing w:after="0" w:line="170" w:lineRule="exact"/>
        <w:rPr>
          <w:rFonts w:ascii="Arial" w:cs="Arial" w:eastAsia="Arial" w:hAnsi="Arial"/>
          <w:sz w:val="18"/>
          <w:szCs w:val="18"/>
          <w:color w:val="auto"/>
        </w:rPr>
      </w:pPr>
    </w:p>
    <w:p>
      <w:pPr>
        <w:ind w:left="2120" w:hanging="816"/>
        <w:spacing w:after="0"/>
        <w:tabs>
          <w:tab w:leader="none" w:pos="21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reduce the rate, or extend the time for the payment, of interest on any Note;</w:t>
      </w:r>
    </w:p>
    <w:p>
      <w:pPr>
        <w:spacing w:after="0" w:line="225" w:lineRule="exact"/>
        <w:rPr>
          <w:rFonts w:ascii="Arial" w:cs="Arial" w:eastAsia="Arial" w:hAnsi="Arial"/>
          <w:sz w:val="18"/>
          <w:szCs w:val="18"/>
          <w:color w:val="auto"/>
        </w:rPr>
      </w:pPr>
    </w:p>
    <w:p>
      <w:pPr>
        <w:ind w:left="2140" w:hanging="836"/>
        <w:spacing w:after="0"/>
        <w:tabs>
          <w:tab w:leader="none" w:pos="21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make any change that adversely affects the conversion rights of any Note;</w:t>
      </w:r>
    </w:p>
    <w:p>
      <w:pPr>
        <w:spacing w:after="0" w:line="221" w:lineRule="exact"/>
        <w:rPr>
          <w:rFonts w:ascii="Arial" w:cs="Arial" w:eastAsia="Arial" w:hAnsi="Arial"/>
          <w:sz w:val="18"/>
          <w:szCs w:val="18"/>
          <w:color w:val="auto"/>
        </w:rPr>
      </w:pPr>
    </w:p>
    <w:p>
      <w:pPr>
        <w:ind w:left="2180" w:hanging="876"/>
        <w:spacing w:after="0"/>
        <w:tabs>
          <w:tab w:leader="none" w:pos="21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impair the rights of any Holder set forth in </w:t>
      </w:r>
      <w:r>
        <w:rPr>
          <w:rFonts w:ascii="Arial" w:cs="Arial" w:eastAsia="Arial" w:hAnsi="Arial"/>
          <w:sz w:val="18"/>
          <w:szCs w:val="18"/>
          <w:b w:val="1"/>
          <w:bCs w:val="1"/>
          <w:color w:val="auto"/>
        </w:rPr>
        <w:t>Section 7.08</w:t>
      </w:r>
      <w:r>
        <w:rPr>
          <w:rFonts w:ascii="Arial" w:cs="Arial" w:eastAsia="Arial" w:hAnsi="Arial"/>
          <w:sz w:val="18"/>
          <w:szCs w:val="18"/>
          <w:color w:val="auto"/>
        </w:rPr>
        <w:t xml:space="preserve"> (as such section is in effect on the Issue Date);</w:t>
      </w:r>
    </w:p>
    <w:p>
      <w:pPr>
        <w:spacing w:after="0" w:line="229" w:lineRule="exact"/>
        <w:rPr>
          <w:rFonts w:ascii="Arial" w:cs="Arial" w:eastAsia="Arial" w:hAnsi="Arial"/>
          <w:sz w:val="18"/>
          <w:szCs w:val="18"/>
          <w:color w:val="auto"/>
        </w:rPr>
      </w:pPr>
    </w:p>
    <w:p>
      <w:pPr>
        <w:ind w:left="2140" w:hanging="836"/>
        <w:spacing w:after="0"/>
        <w:tabs>
          <w:tab w:leader="none" w:pos="21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make any Note payable in money, or at a place of payment, other than that stated in this Indenture or the Note;</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reduce the amount of Notes whose Holders must consent to any amendment, supplement, waiver or other modification; or</w:t>
      </w:r>
    </w:p>
    <w:p>
      <w:pPr>
        <w:spacing w:after="0" w:line="236" w:lineRule="exact"/>
        <w:rPr>
          <w:rFonts w:ascii="Arial" w:cs="Arial" w:eastAsia="Arial" w:hAnsi="Arial"/>
          <w:sz w:val="17"/>
          <w:szCs w:val="17"/>
          <w:color w:val="auto"/>
        </w:rPr>
      </w:pPr>
    </w:p>
    <w:p>
      <w:pPr>
        <w:ind w:left="660" w:right="20" w:firstLine="644"/>
        <w:spacing w:after="0" w:line="277" w:lineRule="auto"/>
        <w:tabs>
          <w:tab w:leader="none" w:pos="220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make any direct or indirect change to any amendment, supplement, waiver or modification provision of this Indenture or the Notes that requires the consent of each affected Holder.</w:t>
      </w:r>
    </w:p>
    <w:p>
      <w:pPr>
        <w:spacing w:after="0" w:line="16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For the avoidance of doubt, pursuant to </w:t>
      </w:r>
      <w:r>
        <w:rPr>
          <w:rFonts w:ascii="Arial" w:cs="Arial" w:eastAsia="Arial" w:hAnsi="Arial"/>
          <w:sz w:val="17"/>
          <w:szCs w:val="17"/>
          <w:b w:val="1"/>
          <w:bCs w:val="1"/>
          <w:color w:val="auto"/>
        </w:rPr>
        <w:t>clauses (i)</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w:t>
      </w:r>
      <w:r>
        <w:rPr>
          <w:rFonts w:ascii="Arial" w:cs="Arial" w:eastAsia="Arial" w:hAnsi="Arial"/>
          <w:sz w:val="17"/>
          <w:szCs w:val="17"/>
          <w:b w:val="1"/>
          <w:bCs w:val="1"/>
          <w:color w:val="auto"/>
        </w:rPr>
        <w:t>(iii)</w:t>
      </w:r>
      <w:r>
        <w:rPr>
          <w:rFonts w:ascii="Arial" w:cs="Arial" w:eastAsia="Arial" w:hAnsi="Arial"/>
          <w:sz w:val="17"/>
          <w:szCs w:val="17"/>
          <w:color w:val="auto"/>
        </w:rPr>
        <w:t xml:space="preserve"> and </w:t>
      </w:r>
      <w:r>
        <w:rPr>
          <w:rFonts w:ascii="Arial" w:cs="Arial" w:eastAsia="Arial" w:hAnsi="Arial"/>
          <w:sz w:val="17"/>
          <w:szCs w:val="17"/>
          <w:b w:val="1"/>
          <w:bCs w:val="1"/>
          <w:color w:val="auto"/>
        </w:rPr>
        <w:t>(iv)</w:t>
      </w:r>
      <w:r>
        <w:rPr>
          <w:rFonts w:ascii="Arial" w:cs="Arial" w:eastAsia="Arial" w:hAnsi="Arial"/>
          <w:sz w:val="17"/>
          <w:szCs w:val="17"/>
          <w:color w:val="auto"/>
        </w:rPr>
        <w:t xml:space="preserve"> of this </w:t>
      </w:r>
      <w:r>
        <w:rPr>
          <w:rFonts w:ascii="Arial" w:cs="Arial" w:eastAsia="Arial" w:hAnsi="Arial"/>
          <w:sz w:val="17"/>
          <w:szCs w:val="17"/>
          <w:b w:val="1"/>
          <w:bCs w:val="1"/>
          <w:color w:val="auto"/>
        </w:rPr>
        <w:t>Section 8.02(A)</w:t>
      </w:r>
      <w:r>
        <w:rPr>
          <w:rFonts w:ascii="Arial" w:cs="Arial" w:eastAsia="Arial" w:hAnsi="Arial"/>
          <w:sz w:val="17"/>
          <w:szCs w:val="17"/>
          <w:color w:val="auto"/>
        </w:rPr>
        <w:t>, no amendment or supplement to this Indenture or the Notes, or waiver of any provision of this Indenture or the Notes, may change the amount or type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spacing w:after="0" w:line="165" w:lineRule="exact"/>
        <w:rPr>
          <w:sz w:val="20"/>
          <w:szCs w:val="20"/>
          <w:color w:val="auto"/>
        </w:rPr>
      </w:pPr>
    </w:p>
    <w:p>
      <w:pPr>
        <w:ind w:firstLine="656"/>
        <w:spacing w:after="0" w:line="282" w:lineRule="auto"/>
        <w:tabs>
          <w:tab w:leader="none" w:pos="172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Holders Need Not Approve the Particular Form of any Amendment</w:t>
      </w:r>
      <w:r>
        <w:rPr>
          <w:rFonts w:ascii="Arial" w:cs="Arial" w:eastAsia="Arial" w:hAnsi="Arial"/>
          <w:sz w:val="18"/>
          <w:szCs w:val="18"/>
          <w:color w:val="auto"/>
        </w:rPr>
        <w:t>. A consent of any Holder pursuant to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8.02</w:t>
      </w:r>
      <w:r>
        <w:rPr>
          <w:rFonts w:ascii="Arial" w:cs="Arial" w:eastAsia="Arial" w:hAnsi="Arial"/>
          <w:sz w:val="18"/>
          <w:szCs w:val="18"/>
          <w:i w:val="1"/>
          <w:iCs w:val="1"/>
          <w:color w:val="auto"/>
        </w:rPr>
        <w:t xml:space="preserve"> </w:t>
      </w:r>
      <w:r>
        <w:rPr>
          <w:rFonts w:ascii="Arial" w:cs="Arial" w:eastAsia="Arial" w:hAnsi="Arial"/>
          <w:sz w:val="18"/>
          <w:szCs w:val="18"/>
          <w:color w:val="auto"/>
        </w:rPr>
        <w:t>need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 only the substance, and not necessarily the particular form, of the proposed amendment, supplement or waiver.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8.03. 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MENDMENTS</w:t>
      </w:r>
      <w:r>
        <w:rPr>
          <w:rFonts w:ascii="Arial" w:cs="Arial" w:eastAsia="Arial" w:hAnsi="Arial"/>
          <w:sz w:val="18"/>
          <w:szCs w:val="18"/>
          <w:b w:val="1"/>
          <w:bCs w:val="1"/>
          <w:color w:val="auto"/>
        </w:rPr>
        <w:t>, S</w:t>
      </w:r>
      <w:r>
        <w:rPr>
          <w:rFonts w:ascii="Arial" w:cs="Arial" w:eastAsia="Arial" w:hAnsi="Arial"/>
          <w:sz w:val="12"/>
          <w:szCs w:val="12"/>
          <w:b w:val="1"/>
          <w:bCs w:val="1"/>
          <w:color w:val="auto"/>
        </w:rPr>
        <w:t>UPPLEMENTS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AIVERS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As soon as reasonably practicable after any amendment, supplement or waiver pursuant to </w:t>
      </w:r>
      <w:r>
        <w:rPr>
          <w:rFonts w:ascii="Arial" w:cs="Arial" w:eastAsia="Arial" w:hAnsi="Arial"/>
          <w:sz w:val="16"/>
          <w:szCs w:val="16"/>
          <w:b w:val="1"/>
          <w:bCs w:val="1"/>
          <w:color w:val="auto"/>
        </w:rPr>
        <w:t>Section 8.01</w:t>
      </w:r>
      <w:r>
        <w:rPr>
          <w:rFonts w:ascii="Arial" w:cs="Arial" w:eastAsia="Arial" w:hAnsi="Arial"/>
          <w:sz w:val="16"/>
          <w:szCs w:val="16"/>
          <w:color w:val="auto"/>
        </w:rPr>
        <w:t xml:space="preserve"> or </w:t>
      </w:r>
      <w:r>
        <w:rPr>
          <w:rFonts w:ascii="Arial" w:cs="Arial" w:eastAsia="Arial" w:hAnsi="Arial"/>
          <w:sz w:val="16"/>
          <w:szCs w:val="16"/>
          <w:b w:val="1"/>
          <w:bCs w:val="1"/>
          <w:color w:val="auto"/>
        </w:rPr>
        <w:t>8.02</w:t>
      </w:r>
      <w:r>
        <w:rPr>
          <w:rFonts w:ascii="Arial" w:cs="Arial" w:eastAsia="Arial" w:hAnsi="Arial"/>
          <w:sz w:val="16"/>
          <w:szCs w:val="16"/>
          <w:color w:val="auto"/>
        </w:rPr>
        <w:t xml:space="preserve"> becomes effective, the Company will send to the Holders and the Trustee notice that (A) describes the substance of such amendment, supplement or waiver in reasonable detail and (B) states the effective date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Section 8.04. R</w:t>
      </w:r>
      <w:r>
        <w:rPr>
          <w:rFonts w:ascii="Arial" w:cs="Arial" w:eastAsia="Arial" w:hAnsi="Arial"/>
          <w:sz w:val="12"/>
          <w:szCs w:val="12"/>
          <w:b w:val="1"/>
          <w:bCs w:val="1"/>
          <w:color w:val="auto"/>
        </w:rPr>
        <w:t>EVOCATION</w:t>
      </w:r>
      <w:r>
        <w:rPr>
          <w:rFonts w:ascii="Arial" w:cs="Arial" w:eastAsia="Arial" w:hAnsi="Arial"/>
          <w:sz w:val="18"/>
          <w:szCs w:val="18"/>
          <w:b w:val="1"/>
          <w:bCs w:val="1"/>
          <w:color w:val="auto"/>
        </w:rPr>
        <w:t>, E</w:t>
      </w:r>
      <w:r>
        <w:rPr>
          <w:rFonts w:ascii="Arial" w:cs="Arial" w:eastAsia="Arial" w:hAnsi="Arial"/>
          <w:sz w:val="12"/>
          <w:szCs w:val="12"/>
          <w:b w:val="1"/>
          <w:bCs w:val="1"/>
          <w:color w:val="auto"/>
        </w:rPr>
        <w:t>FFECT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OLICITATION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ONSENTS</w:t>
      </w:r>
      <w:r>
        <w:rPr>
          <w:rFonts w:ascii="Arial" w:cs="Arial" w:eastAsia="Arial" w:hAnsi="Arial"/>
          <w:sz w:val="18"/>
          <w:szCs w:val="18"/>
          <w:b w:val="1"/>
          <w:bCs w:val="1"/>
          <w:color w:val="auto"/>
        </w:rPr>
        <w:t>; S</w:t>
      </w:r>
      <w:r>
        <w:rPr>
          <w:rFonts w:ascii="Arial" w:cs="Arial" w:eastAsia="Arial" w:hAnsi="Arial"/>
          <w:sz w:val="12"/>
          <w:szCs w:val="12"/>
          <w:b w:val="1"/>
          <w:bCs w:val="1"/>
          <w:color w:val="auto"/>
        </w:rPr>
        <w:t>PECIAL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ECORD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ATES</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9" w:lineRule="auto"/>
        <w:tabs>
          <w:tab w:leader="none" w:pos="1752"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Revocation and Effect of Consents</w:t>
      </w:r>
      <w:r>
        <w:rPr>
          <w:rFonts w:ascii="Arial" w:cs="Arial" w:eastAsia="Arial" w:hAnsi="Arial"/>
          <w:sz w:val="17"/>
          <w:szCs w:val="17"/>
          <w:color w:val="auto"/>
        </w:rPr>
        <w:t>. The consent of a Holder of a Note to an amendment, supplement or waiver will bind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constitute the consent of) each subsequent Holder of any Note to the extent the same evidences any portion of the same indebtedness as the consenting Holder’s Note, subject to the right of any Holder of a Note to revoke (if not prohibited pursuant to </w:t>
      </w:r>
      <w:r>
        <w:rPr>
          <w:rFonts w:ascii="Arial" w:cs="Arial" w:eastAsia="Arial" w:hAnsi="Arial"/>
          <w:sz w:val="17"/>
          <w:szCs w:val="17"/>
          <w:b w:val="1"/>
          <w:bCs w:val="1"/>
          <w:color w:val="auto"/>
        </w:rPr>
        <w:t>Section 8.04(B)</w:t>
      </w:r>
      <w:r>
        <w:rPr>
          <w:rFonts w:ascii="Arial" w:cs="Arial" w:eastAsia="Arial" w:hAnsi="Arial"/>
          <w:sz w:val="17"/>
          <w:szCs w:val="17"/>
          <w:color w:val="auto"/>
        </w:rPr>
        <w:t>) any such consent with respect to such Note by delivering notice of revocation to the Trustee before the time such amendment, supplement or waiver becomes effective.</w:t>
      </w:r>
    </w:p>
    <w:p>
      <w:pPr>
        <w:spacing w:after="0" w:line="171" w:lineRule="exact"/>
        <w:rPr>
          <w:rFonts w:ascii="Arial" w:cs="Arial" w:eastAsia="Arial" w:hAnsi="Arial"/>
          <w:sz w:val="17"/>
          <w:szCs w:val="17"/>
          <w:color w:val="auto"/>
        </w:rPr>
      </w:pPr>
    </w:p>
    <w:p>
      <w:pPr>
        <w:jc w:val="both"/>
        <w:ind w:firstLine="656"/>
        <w:spacing w:after="0" w:line="255" w:lineRule="auto"/>
        <w:tabs>
          <w:tab w:leader="none" w:pos="1571"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Special Record Dates</w:t>
      </w:r>
      <w:r>
        <w:rPr>
          <w:rFonts w:ascii="Arial" w:cs="Arial" w:eastAsia="Arial" w:hAnsi="Arial"/>
          <w:sz w:val="18"/>
          <w:szCs w:val="18"/>
          <w:color w:val="auto"/>
        </w:rPr>
        <w:t>. The Company may, but is not required to, fix a record date for the purpose of determining the Holders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consent or take any other action in connection with any amendment, supplement or waiver pursuant to this </w:t>
      </w:r>
      <w:r>
        <w:rPr>
          <w:rFonts w:ascii="Arial" w:cs="Arial" w:eastAsia="Arial" w:hAnsi="Arial"/>
          <w:sz w:val="18"/>
          <w:szCs w:val="18"/>
          <w:b w:val="1"/>
          <w:bCs w:val="1"/>
          <w:color w:val="auto"/>
        </w:rPr>
        <w:t>Article 8</w:t>
      </w:r>
      <w:r>
        <w:rPr>
          <w:rFonts w:ascii="Arial" w:cs="Arial" w:eastAsia="Arial" w:hAnsi="Arial"/>
          <w:sz w:val="18"/>
          <w:szCs w:val="18"/>
          <w:color w:val="auto"/>
        </w:rPr>
        <w:t xml:space="preserve">. If a record date is fixed, then, notwithstanding anything to the contrary in </w:t>
      </w:r>
      <w:r>
        <w:rPr>
          <w:rFonts w:ascii="Arial" w:cs="Arial" w:eastAsia="Arial" w:hAnsi="Arial"/>
          <w:sz w:val="18"/>
          <w:szCs w:val="18"/>
          <w:b w:val="1"/>
          <w:bCs w:val="1"/>
          <w:color w:val="auto"/>
        </w:rPr>
        <w:t>Section 8.04(A)</w:t>
      </w:r>
      <w:r>
        <w:rPr>
          <w:rFonts w:ascii="Arial" w:cs="Arial" w:eastAsia="Arial" w:hAnsi="Arial"/>
          <w:sz w:val="18"/>
          <w:szCs w:val="18"/>
          <w:color w:val="auto"/>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consent will be valid or effective for more than one hundred and twenty (120) calendar days after such record date.</w:t>
      </w:r>
    </w:p>
    <w:p>
      <w:pPr>
        <w:spacing w:after="0" w:line="192" w:lineRule="exact"/>
        <w:rPr>
          <w:rFonts w:ascii="Arial" w:cs="Arial" w:eastAsia="Arial" w:hAnsi="Arial"/>
          <w:sz w:val="18"/>
          <w:szCs w:val="18"/>
          <w:color w:val="auto"/>
        </w:rPr>
      </w:pPr>
    </w:p>
    <w:p>
      <w:pPr>
        <w:ind w:firstLine="656"/>
        <w:spacing w:after="0" w:line="277" w:lineRule="auto"/>
        <w:tabs>
          <w:tab w:leader="none" w:pos="1598"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Solicitation of Consents</w:t>
      </w:r>
      <w:r>
        <w:rPr>
          <w:rFonts w:ascii="Arial" w:cs="Arial" w:eastAsia="Arial" w:hAnsi="Arial"/>
          <w:sz w:val="18"/>
          <w:szCs w:val="18"/>
          <w:color w:val="auto"/>
        </w:rPr>
        <w:t>. For the avoidance of doubt, each reference in this Indenture or the Notes to the consent of a Holder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include any such consent obtained in connection with a repurchase of, or tender or exchange offer for, any Notes.</w:t>
      </w:r>
    </w:p>
    <w:p>
      <w:pPr>
        <w:spacing w:after="0" w:line="166" w:lineRule="exact"/>
        <w:rPr>
          <w:rFonts w:ascii="Arial" w:cs="Arial" w:eastAsia="Arial" w:hAnsi="Arial"/>
          <w:sz w:val="18"/>
          <w:szCs w:val="18"/>
          <w:color w:val="auto"/>
        </w:rPr>
      </w:pPr>
    </w:p>
    <w:p>
      <w:pPr>
        <w:jc w:val="both"/>
        <w:ind w:firstLine="656"/>
        <w:spacing w:after="0" w:line="266" w:lineRule="auto"/>
        <w:tabs>
          <w:tab w:leader="none" w:pos="182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Effectiveness and Binding Effect</w:t>
      </w:r>
      <w:r>
        <w:rPr>
          <w:rFonts w:ascii="Arial" w:cs="Arial" w:eastAsia="Arial" w:hAnsi="Arial"/>
          <w:sz w:val="18"/>
          <w:szCs w:val="18"/>
          <w:color w:val="auto"/>
        </w:rPr>
        <w:t>. Each amendment, supplement or waiver pursuant to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8</w:t>
      </w:r>
      <w:r>
        <w:rPr>
          <w:rFonts w:ascii="Arial" w:cs="Arial" w:eastAsia="Arial" w:hAnsi="Arial"/>
          <w:sz w:val="18"/>
          <w:szCs w:val="18"/>
          <w:i w:val="1"/>
          <w:iCs w:val="1"/>
          <w:color w:val="auto"/>
        </w:rPr>
        <w:t xml:space="preserve"> </w:t>
      </w:r>
      <w:r>
        <w:rPr>
          <w:rFonts w:ascii="Arial" w:cs="Arial" w:eastAsia="Arial" w:hAnsi="Arial"/>
          <w:sz w:val="18"/>
          <w:szCs w:val="18"/>
          <w:color w:val="auto"/>
        </w:rPr>
        <w:t>will become effective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its terms and, when it becomes effective with respect to any Note (or any portion thereof), will thereafter bind every Holder of such Note (or such portion).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8.05. N</w:t>
      </w:r>
      <w:r>
        <w:rPr>
          <w:rFonts w:ascii="Arial" w:cs="Arial" w:eastAsia="Arial" w:hAnsi="Arial"/>
          <w:sz w:val="12"/>
          <w:szCs w:val="12"/>
          <w:b w:val="1"/>
          <w:bCs w:val="1"/>
          <w:color w:val="auto"/>
        </w:rPr>
        <w:t>OTATIONS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Arial" w:cs="Arial" w:eastAsia="Arial" w:hAnsi="Arial"/>
          <w:sz w:val="17"/>
          <w:szCs w:val="17"/>
          <w:b w:val="1"/>
          <w:bCs w:val="1"/>
          <w:color w:val="auto"/>
        </w:rPr>
        <w:t>Section 2.02</w:t>
      </w:r>
      <w:r>
        <w:rPr>
          <w:rFonts w:ascii="Arial" w:cs="Arial" w:eastAsia="Arial" w:hAnsi="Arial"/>
          <w:sz w:val="17"/>
          <w:szCs w:val="17"/>
          <w:color w:val="auto"/>
        </w:rPr>
        <w:t xml:space="preserve">, a new Note that reflects the changed terms. The failure to make any appropriate notation or issue a new Note pursuant to this </w:t>
      </w:r>
      <w:r>
        <w:rPr>
          <w:rFonts w:ascii="Arial" w:cs="Arial" w:eastAsia="Arial" w:hAnsi="Arial"/>
          <w:sz w:val="17"/>
          <w:szCs w:val="17"/>
          <w:b w:val="1"/>
          <w:bCs w:val="1"/>
          <w:color w:val="auto"/>
        </w:rPr>
        <w:t>Section 8.05</w:t>
      </w:r>
      <w:r>
        <w:rPr>
          <w:rFonts w:ascii="Arial" w:cs="Arial" w:eastAsia="Arial" w:hAnsi="Arial"/>
          <w:sz w:val="17"/>
          <w:szCs w:val="17"/>
          <w:color w:val="auto"/>
        </w:rPr>
        <w:t xml:space="preserve"> will not impair or affect the validity of such amendment, supplement or waiver.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8.06. T</w:t>
      </w:r>
      <w:r>
        <w:rPr>
          <w:rFonts w:ascii="Arial" w:cs="Arial" w:eastAsia="Arial" w:hAnsi="Arial"/>
          <w:sz w:val="12"/>
          <w:szCs w:val="12"/>
          <w:b w:val="1"/>
          <w:bCs w:val="1"/>
          <w:color w:val="auto"/>
        </w:rPr>
        <w:t>RUSTEE TO</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UPPLEMENTAL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NDENTURES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The Trustee will execute and deliver any amendment or supplemental indenture authorized pursuant to this </w:t>
      </w:r>
      <w:r>
        <w:rPr>
          <w:rFonts w:ascii="Arial" w:cs="Arial" w:eastAsia="Arial" w:hAnsi="Arial"/>
          <w:sz w:val="16"/>
          <w:szCs w:val="16"/>
          <w:b w:val="1"/>
          <w:bCs w:val="1"/>
          <w:color w:val="auto"/>
        </w:rPr>
        <w:t>Article 8</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Trustee need not (but may, in its sole and absolute discretion) execute or deliver any such amendment or supplemental indenture that adversely affects the Trustee’s rights, duties, liabilities or immunities. In executing any amendment or supplemental indenture, the Trustee will be entitled to receive, and (subject to </w:t>
      </w:r>
      <w:r>
        <w:rPr>
          <w:rFonts w:ascii="Arial" w:cs="Arial" w:eastAsia="Arial" w:hAnsi="Arial"/>
          <w:sz w:val="16"/>
          <w:szCs w:val="16"/>
          <w:b w:val="1"/>
          <w:bCs w:val="1"/>
          <w:color w:val="auto"/>
        </w:rPr>
        <w:t>Sections 10.01</w:t>
      </w:r>
      <w:r>
        <w:rPr>
          <w:rFonts w:ascii="Arial" w:cs="Arial" w:eastAsia="Arial" w:hAnsi="Arial"/>
          <w:sz w:val="16"/>
          <w:szCs w:val="16"/>
          <w:color w:val="auto"/>
        </w:rPr>
        <w:t xml:space="preserve"> and </w:t>
      </w:r>
      <w:r>
        <w:rPr>
          <w:rFonts w:ascii="Arial" w:cs="Arial" w:eastAsia="Arial" w:hAnsi="Arial"/>
          <w:sz w:val="16"/>
          <w:szCs w:val="16"/>
          <w:b w:val="1"/>
          <w:bCs w:val="1"/>
          <w:color w:val="auto"/>
        </w:rPr>
        <w:t>10.02</w:t>
      </w:r>
      <w:r>
        <w:rPr>
          <w:rFonts w:ascii="Arial" w:cs="Arial" w:eastAsia="Arial" w:hAnsi="Arial"/>
          <w:sz w:val="16"/>
          <w:szCs w:val="16"/>
          <w:color w:val="auto"/>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3420"/>
        <w:spacing w:after="0"/>
        <w:tabs>
          <w:tab w:leader="none" w:pos="492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9.01. T</w:t>
      </w:r>
      <w:r>
        <w:rPr>
          <w:rFonts w:ascii="Arial" w:cs="Arial" w:eastAsia="Arial" w:hAnsi="Arial"/>
          <w:sz w:val="12"/>
          <w:szCs w:val="12"/>
          <w:b w:val="1"/>
          <w:bCs w:val="1"/>
          <w:color w:val="auto"/>
        </w:rPr>
        <w:t>ERMINATION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under this Indenture, when:</w:t>
      </w:r>
    </w:p>
    <w:p>
      <w:pPr>
        <w:spacing w:after="0" w:line="221" w:lineRule="exact"/>
        <w:rPr>
          <w:sz w:val="20"/>
          <w:szCs w:val="20"/>
          <w:color w:val="auto"/>
        </w:rPr>
      </w:pPr>
    </w:p>
    <w:p>
      <w:pPr>
        <w:jc w:val="both"/>
        <w:ind w:firstLine="656"/>
        <w:spacing w:after="0" w:line="266" w:lineRule="auto"/>
        <w:tabs>
          <w:tab w:leader="none" w:pos="150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all Notes then outstanding (other than Notes replaced pursuant to </w:t>
      </w:r>
      <w:r>
        <w:rPr>
          <w:rFonts w:ascii="Arial" w:cs="Arial" w:eastAsia="Arial" w:hAnsi="Arial"/>
          <w:sz w:val="18"/>
          <w:szCs w:val="18"/>
          <w:b w:val="1"/>
          <w:bCs w:val="1"/>
          <w:color w:val="auto"/>
        </w:rPr>
        <w:t>Section 2.12</w:t>
      </w:r>
      <w:r>
        <w:rPr>
          <w:rFonts w:ascii="Arial" w:cs="Arial" w:eastAsia="Arial" w:hAnsi="Arial"/>
          <w:sz w:val="18"/>
          <w:szCs w:val="18"/>
          <w:color w:val="auto"/>
        </w:rPr>
        <w:t>) have (i) been delivered to the Trustee for cancellation; or (ii) become due and payable (whether on a Redemption Date, a Fundamental Change Repurchase Date, the Maturity Date, upon conversion or otherwise) for an amount of cash or Conversion Consideration, as applicable, that has been fixed;</w:t>
      </w:r>
    </w:p>
    <w:p>
      <w:pPr>
        <w:spacing w:after="0" w:line="179" w:lineRule="exact"/>
        <w:rPr>
          <w:rFonts w:ascii="Arial" w:cs="Arial" w:eastAsia="Arial" w:hAnsi="Arial"/>
          <w:sz w:val="18"/>
          <w:szCs w:val="18"/>
          <w:color w:val="auto"/>
        </w:rPr>
      </w:pPr>
    </w:p>
    <w:p>
      <w:pPr>
        <w:jc w:val="both"/>
        <w:ind w:firstLine="656"/>
        <w:spacing w:after="0" w:line="259" w:lineRule="auto"/>
        <w:tabs>
          <w:tab w:leader="none" w:pos="157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Arial" w:cs="Arial" w:eastAsia="Arial" w:hAnsi="Arial"/>
          <w:sz w:val="18"/>
          <w:szCs w:val="18"/>
          <w:b w:val="1"/>
          <w:bCs w:val="1"/>
          <w:color w:val="auto"/>
        </w:rPr>
        <w:t>Section 2.12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520" w:hanging="864"/>
        <w:spacing w:after="0"/>
        <w:tabs>
          <w:tab w:leader="none" w:pos="15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has paid all other amounts payable by it under this Indenture; and</w:t>
      </w:r>
    </w:p>
    <w:p>
      <w:pPr>
        <w:spacing w:after="0" w:line="225" w:lineRule="exact"/>
        <w:rPr>
          <w:rFonts w:ascii="Arial" w:cs="Arial" w:eastAsia="Arial" w:hAnsi="Arial"/>
          <w:sz w:val="18"/>
          <w:szCs w:val="18"/>
          <w:color w:val="auto"/>
        </w:rPr>
      </w:pPr>
    </w:p>
    <w:p>
      <w:pPr>
        <w:ind w:firstLine="656"/>
        <w:spacing w:after="0" w:line="277" w:lineRule="auto"/>
        <w:tabs>
          <w:tab w:leader="none" w:pos="148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the conditions precedent to the discharge of this Indenture have been satisfied;</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2.10(E)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10</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11.01</w:t>
      </w:r>
      <w:r>
        <w:rPr>
          <w:rFonts w:ascii="Arial" w:cs="Arial" w:eastAsia="Arial" w:hAnsi="Arial"/>
          <w:sz w:val="18"/>
          <w:szCs w:val="18"/>
          <w:i w:val="1"/>
          <w:iCs w:val="1"/>
          <w:color w:val="auto"/>
        </w:rPr>
        <w:t xml:space="preserve"> </w:t>
      </w:r>
      <w:r>
        <w:rPr>
          <w:rFonts w:ascii="Arial" w:cs="Arial" w:eastAsia="Arial" w:hAnsi="Arial"/>
          <w:sz w:val="18"/>
          <w:szCs w:val="18"/>
          <w:color w:val="auto"/>
        </w:rPr>
        <w:t>will survive such discharge and, until no Notes remain outstanding,</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2.14</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obligations of the Trustee, the Paying Agent and the Conversion Agent with respect to money or other property deposited with them will survive such discharge.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Company’s request, the Trustee will acknowledge the satisfaction and discharge of this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9.02. R</w:t>
      </w:r>
      <w:r>
        <w:rPr>
          <w:rFonts w:ascii="Arial" w:cs="Arial" w:eastAsia="Arial" w:hAnsi="Arial"/>
          <w:sz w:val="12"/>
          <w:szCs w:val="12"/>
          <w:b w:val="1"/>
          <w:bCs w:val="1"/>
          <w:color w:val="auto"/>
        </w:rPr>
        <w:t>EPAYMENT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9.03. R</w:t>
      </w:r>
      <w:r>
        <w:rPr>
          <w:rFonts w:ascii="Arial" w:cs="Arial" w:eastAsia="Arial" w:hAnsi="Arial"/>
          <w:sz w:val="12"/>
          <w:szCs w:val="12"/>
          <w:b w:val="1"/>
          <w:bCs w:val="1"/>
          <w:color w:val="auto"/>
        </w:rPr>
        <w:t>EINSTATEMENT</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If the Trustee, the Paying Agent or the Conversion Agent is unable to apply any cash or other property deposited with it pursuant to </w:t>
      </w:r>
      <w:r>
        <w:rPr>
          <w:rFonts w:ascii="Arial" w:cs="Arial" w:eastAsia="Arial" w:hAnsi="Arial"/>
          <w:sz w:val="16"/>
          <w:szCs w:val="16"/>
          <w:b w:val="1"/>
          <w:bCs w:val="1"/>
          <w:color w:val="auto"/>
        </w:rPr>
        <w:t>Section 9.01</w:t>
      </w:r>
      <w:r>
        <w:rPr>
          <w:rFonts w:ascii="Arial" w:cs="Arial" w:eastAsia="Arial" w:hAnsi="Arial"/>
          <w:sz w:val="16"/>
          <w:szCs w:val="16"/>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Arial" w:cs="Arial" w:eastAsia="Arial" w:hAnsi="Arial"/>
          <w:sz w:val="16"/>
          <w:szCs w:val="16"/>
          <w:b w:val="1"/>
          <w:bCs w:val="1"/>
          <w:color w:val="auto"/>
        </w:rPr>
        <w:t>Section 9.01</w:t>
      </w:r>
      <w:r>
        <w:rPr>
          <w:rFonts w:ascii="Arial" w:cs="Arial" w:eastAsia="Arial" w:hAnsi="Arial"/>
          <w:sz w:val="16"/>
          <w:szCs w:val="16"/>
          <w:color w:val="auto"/>
        </w:rPr>
        <w:t xml:space="preserve"> will be rescinded;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left="4480"/>
        <w:spacing w:after="0"/>
        <w:tabs>
          <w:tab w:leader="none" w:pos="590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10.01. D</w:t>
      </w:r>
      <w:r>
        <w:rPr>
          <w:rFonts w:ascii="Arial" w:cs="Arial" w:eastAsia="Arial" w:hAnsi="Arial"/>
          <w:sz w:val="12"/>
          <w:szCs w:val="12"/>
          <w:b w:val="1"/>
          <w:bCs w:val="1"/>
          <w:color w:val="auto"/>
        </w:rPr>
        <w:t>UTIES OF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5" w:lineRule="auto"/>
        <w:tabs>
          <w:tab w:leader="none" w:pos="169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If an Event of Default has occurred and is continuing of which a Responsible Officer of the Trustee has written notice or actual knowledge, the Trustee will exercise such of the rights and powers vested in it by this Indenture, and use the same degree of care and skill in its exercise, as a prudent person would exercise or use under the circumstances in the conduct of such person’s own affairs;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Trustee will be under no obligation to exercise any of the rights or powers under this Indenture at the request or direction of any of the Holder unless such Holders have offered, and if requested, provided, to the Trustee indemnity or security satisfactory to Trustee against any loss, liability or expense that might be incurred by it in compliance with such request or direction.</w:t>
      </w:r>
    </w:p>
    <w:p>
      <w:pPr>
        <w:spacing w:after="0" w:line="192" w:lineRule="exact"/>
        <w:rPr>
          <w:rFonts w:ascii="Arial" w:cs="Arial" w:eastAsia="Arial" w:hAnsi="Arial"/>
          <w:sz w:val="18"/>
          <w:szCs w:val="18"/>
          <w:color w:val="auto"/>
        </w:rPr>
      </w:pPr>
    </w:p>
    <w:p>
      <w:pPr>
        <w:ind w:left="1520" w:hanging="864"/>
        <w:spacing w:after="0"/>
        <w:tabs>
          <w:tab w:leader="none" w:pos="1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28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245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the absence of bad faith or willful misconduct on its part, the Trustee may conclusively rely, as to the truth of the statements and the correctness of the opinions expressed therein, upon Officer’s Certificates or Opinions of Counsel that are provided to the Trustee and conform to the requirements of this Indenture. However,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87" w:lineRule="exact"/>
        <w:rPr>
          <w:rFonts w:ascii="Arial" w:cs="Arial" w:eastAsia="Arial" w:hAnsi="Arial"/>
          <w:sz w:val="18"/>
          <w:szCs w:val="18"/>
          <w:color w:val="auto"/>
        </w:rPr>
      </w:pPr>
    </w:p>
    <w:p>
      <w:pPr>
        <w:ind w:firstLine="656"/>
        <w:spacing w:after="0" w:line="277" w:lineRule="auto"/>
        <w:tabs>
          <w:tab w:leader="none" w:pos="153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negligence or willful misconduct as determined by a final non-appealable order of a court of competent jurisdiction, except that:</w:t>
      </w:r>
    </w:p>
    <w:p>
      <w:pPr>
        <w:spacing w:after="0" w:line="166" w:lineRule="exact"/>
        <w:rPr>
          <w:rFonts w:ascii="Arial" w:cs="Arial" w:eastAsia="Arial" w:hAnsi="Arial"/>
          <w:sz w:val="18"/>
          <w:szCs w:val="18"/>
          <w:color w:val="auto"/>
        </w:rPr>
      </w:pPr>
    </w:p>
    <w:p>
      <w:pPr>
        <w:ind w:left="2240" w:hanging="936"/>
        <w:spacing w:after="0"/>
        <w:tabs>
          <w:tab w:leader="none" w:pos="22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this paragraph will not limit the effect of </w:t>
      </w:r>
      <w:r>
        <w:rPr>
          <w:rFonts w:ascii="Arial" w:cs="Arial" w:eastAsia="Arial" w:hAnsi="Arial"/>
          <w:sz w:val="18"/>
          <w:szCs w:val="18"/>
          <w:b w:val="1"/>
          <w:bCs w:val="1"/>
          <w:color w:val="auto"/>
        </w:rPr>
        <w:t>Section 10.01(B)</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644"/>
        <w:spacing w:after="0" w:line="277" w:lineRule="auto"/>
        <w:tabs>
          <w:tab w:leader="none" w:pos="223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219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the Trustee will not be liable with respect to any action it takes or omits to take in good faith in accordance with a direction received by it pursuant to </w:t>
      </w:r>
      <w:r>
        <w:rPr>
          <w:rFonts w:ascii="Arial" w:cs="Arial" w:eastAsia="Arial" w:hAnsi="Arial"/>
          <w:sz w:val="18"/>
          <w:szCs w:val="18"/>
          <w:b w:val="1"/>
          <w:bCs w:val="1"/>
          <w:color w:val="auto"/>
        </w:rPr>
        <w:t>Section 7.06</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15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in the performance of any of its duties under this Indenture, or in the exercise of any of its rights or powers, if it has reasonable grounds to believe that repayment of such funds or adequate indemnity against such liability is not reasonably assured to it.</w:t>
      </w:r>
    </w:p>
    <w:p>
      <w:pPr>
        <w:spacing w:after="0" w:line="179" w:lineRule="exact"/>
        <w:rPr>
          <w:rFonts w:ascii="Arial" w:cs="Arial" w:eastAsia="Arial" w:hAnsi="Arial"/>
          <w:sz w:val="18"/>
          <w:szCs w:val="18"/>
          <w:color w:val="auto"/>
        </w:rPr>
      </w:pPr>
    </w:p>
    <w:p>
      <w:pPr>
        <w:ind w:firstLine="656"/>
        <w:spacing w:after="0" w:line="282" w:lineRule="auto"/>
        <w:tabs>
          <w:tab w:leader="none" w:pos="15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Each provision of this Indenture that in any way relates to the Trustee is subject to paragraphs </w:t>
      </w:r>
      <w:r>
        <w:rPr>
          <w:rFonts w:ascii="Arial" w:cs="Arial" w:eastAsia="Arial" w:hAnsi="Arial"/>
          <w:sz w:val="18"/>
          <w:szCs w:val="18"/>
          <w:b w:val="1"/>
          <w:bCs w:val="1"/>
          <w:color w:val="auto"/>
        </w:rPr>
        <w:t>(A)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and </w:t>
      </w:r>
      <w:r>
        <w:rPr>
          <w:rFonts w:ascii="Arial" w:cs="Arial" w:eastAsia="Arial" w:hAnsi="Arial"/>
          <w:sz w:val="18"/>
          <w:szCs w:val="18"/>
          <w:b w:val="1"/>
          <w:bCs w:val="1"/>
          <w:color w:val="auto"/>
        </w:rPr>
        <w:t>(C)</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10.01</w:t>
      </w:r>
      <w:r>
        <w:rPr>
          <w:rFonts w:ascii="Arial" w:cs="Arial" w:eastAsia="Arial" w:hAnsi="Arial"/>
          <w:sz w:val="18"/>
          <w:szCs w:val="18"/>
          <w:color w:val="auto"/>
        </w:rPr>
        <w:t>, regardless of whether such provision so expressly provides.</w:t>
      </w:r>
    </w:p>
    <w:p>
      <w:pPr>
        <w:spacing w:after="0" w:line="165" w:lineRule="exact"/>
        <w:rPr>
          <w:rFonts w:ascii="Arial" w:cs="Arial" w:eastAsia="Arial" w:hAnsi="Arial"/>
          <w:sz w:val="18"/>
          <w:szCs w:val="18"/>
          <w:color w:val="auto"/>
        </w:rPr>
      </w:pPr>
    </w:p>
    <w:p>
      <w:pPr>
        <w:ind w:firstLine="656"/>
        <w:spacing w:after="0" w:line="277" w:lineRule="auto"/>
        <w:tabs>
          <w:tab w:leader="none" w:pos="15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in the performance of any of its duties or in the exercise of any of its rights or powers.</w:t>
      </w:r>
    </w:p>
    <w:p>
      <w:pPr>
        <w:spacing w:after="0" w:line="386" w:lineRule="exact"/>
        <w:rPr>
          <w:rFonts w:ascii="Arial" w:cs="Arial" w:eastAsia="Arial" w:hAnsi="Arial"/>
          <w:sz w:val="18"/>
          <w:szCs w:val="18"/>
          <w:color w:val="auto"/>
        </w:rPr>
      </w:pPr>
    </w:p>
    <w:p>
      <w:pPr>
        <w:ind w:left="5520" w:hanging="113"/>
        <w:spacing w:after="0"/>
        <w:tabs>
          <w:tab w:leader="none" w:pos="552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firstLine="656"/>
        <w:spacing w:after="0" w:line="277" w:lineRule="auto"/>
        <w:tabs>
          <w:tab w:leader="none" w:pos="155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ind w:firstLine="656"/>
        <w:spacing w:after="0" w:line="277" w:lineRule="auto"/>
        <w:tabs>
          <w:tab w:leader="none" w:pos="164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Whether or not therein provided, every provision of this Indenture relating to the conduct or affecting the liability of, or affording protection to, the Trustee will be subject to the provisions of this </w:t>
      </w:r>
      <w:r>
        <w:rPr>
          <w:rFonts w:ascii="Arial" w:cs="Arial" w:eastAsia="Arial" w:hAnsi="Arial"/>
          <w:sz w:val="18"/>
          <w:szCs w:val="18"/>
          <w:b w:val="1"/>
          <w:bCs w:val="1"/>
          <w:color w:val="auto"/>
        </w:rPr>
        <w:t>Section 10.01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56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will not be liable in respect of any payment (as to the correctness of amount, entitlement to receive or any other matters relating to payment) or notice effected by the Company or any Paying Agent (except in its capacity as Paying Agent pursuant to the terms of this Indenture) or any records maintained by any co-Note Registrar with respect to the Notes.</w:t>
      </w:r>
    </w:p>
    <w:p>
      <w:pPr>
        <w:spacing w:after="0" w:line="183" w:lineRule="exact"/>
        <w:rPr>
          <w:rFonts w:ascii="Arial" w:cs="Arial" w:eastAsia="Arial" w:hAnsi="Arial"/>
          <w:sz w:val="18"/>
          <w:szCs w:val="18"/>
          <w:color w:val="auto"/>
        </w:rPr>
      </w:pPr>
    </w:p>
    <w:p>
      <w:pPr>
        <w:ind w:left="1560" w:hanging="904"/>
        <w:spacing w:after="0"/>
        <w:tabs>
          <w:tab w:leader="none" w:pos="15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Under no circumstances will the Trustee be liable in its individual capacity for the obligations evidenced by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10.02. R</w:t>
      </w:r>
      <w:r>
        <w:rPr>
          <w:rFonts w:ascii="Arial" w:cs="Arial" w:eastAsia="Arial" w:hAnsi="Arial"/>
          <w:sz w:val="12"/>
          <w:szCs w:val="12"/>
          <w:b w:val="1"/>
          <w:bCs w:val="1"/>
          <w:color w:val="auto"/>
        </w:rPr>
        <w:t>IGHTS OF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277" w:lineRule="auto"/>
        <w:tabs>
          <w:tab w:leader="none" w:pos="15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may conclusively rely on any document that it believes to be genuine and signed or presented by the proper Person, and the Trustee need not investigate any fact or matter stated in such document.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61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and may conclusively rely on,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spacing w:after="0" w:line="186" w:lineRule="exact"/>
        <w:rPr>
          <w:rFonts w:ascii="Arial" w:cs="Arial" w:eastAsia="Arial" w:hAnsi="Arial"/>
          <w:sz w:val="18"/>
          <w:szCs w:val="18"/>
          <w:color w:val="auto"/>
        </w:rPr>
      </w:pPr>
    </w:p>
    <w:p>
      <w:pPr>
        <w:ind w:firstLine="656"/>
        <w:spacing w:after="0" w:line="277" w:lineRule="auto"/>
        <w:tabs>
          <w:tab w:leader="none" w:pos="158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such agent appointed with due care.</w:t>
      </w:r>
    </w:p>
    <w:p>
      <w:pPr>
        <w:spacing w:after="0" w:line="170" w:lineRule="exact"/>
        <w:rPr>
          <w:rFonts w:ascii="Arial" w:cs="Arial" w:eastAsia="Arial" w:hAnsi="Arial"/>
          <w:sz w:val="18"/>
          <w:szCs w:val="18"/>
          <w:color w:val="auto"/>
        </w:rPr>
      </w:pPr>
    </w:p>
    <w:p>
      <w:pPr>
        <w:ind w:firstLine="656"/>
        <w:spacing w:after="0" w:line="277" w:lineRule="auto"/>
        <w:tabs>
          <w:tab w:leader="none" w:pos="157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and that it believes to be authorized or within the rights or powers vested in it by this Indenture.</w:t>
      </w:r>
    </w:p>
    <w:p>
      <w:pPr>
        <w:spacing w:after="0" w:line="170" w:lineRule="exact"/>
        <w:rPr>
          <w:rFonts w:ascii="Arial" w:cs="Arial" w:eastAsia="Arial" w:hAnsi="Arial"/>
          <w:sz w:val="18"/>
          <w:szCs w:val="18"/>
          <w:color w:val="auto"/>
        </w:rPr>
      </w:pPr>
    </w:p>
    <w:p>
      <w:pPr>
        <w:ind w:firstLine="656"/>
        <w:spacing w:after="0" w:line="277" w:lineRule="auto"/>
        <w:tabs>
          <w:tab w:leader="none" w:pos="152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55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spacing w:after="0" w:line="183" w:lineRule="exact"/>
        <w:rPr>
          <w:rFonts w:ascii="Arial" w:cs="Arial" w:eastAsia="Arial" w:hAnsi="Arial"/>
          <w:sz w:val="18"/>
          <w:szCs w:val="18"/>
          <w:color w:val="auto"/>
        </w:rPr>
      </w:pPr>
    </w:p>
    <w:p>
      <w:pPr>
        <w:ind w:firstLine="656"/>
        <w:spacing w:after="0" w:line="277" w:lineRule="auto"/>
        <w:tabs>
          <w:tab w:leader="none" w:pos="15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will not be responsible or liable for any punitive, special, indirect, incidental or consequential loss or damage (including lost profits), even if the Trustee has been advised of the likelihood of such loss or damage and regardless of the form of action.</w:t>
      </w:r>
    </w:p>
    <w:p>
      <w:pPr>
        <w:spacing w:after="0" w:line="386" w:lineRule="exact"/>
        <w:rPr>
          <w:rFonts w:ascii="Arial" w:cs="Arial" w:eastAsia="Arial" w:hAnsi="Arial"/>
          <w:sz w:val="18"/>
          <w:szCs w:val="18"/>
          <w:color w:val="auto"/>
        </w:rPr>
      </w:pPr>
    </w:p>
    <w:p>
      <w:pPr>
        <w:ind w:left="5520" w:hanging="113"/>
        <w:spacing w:after="0"/>
        <w:tabs>
          <w:tab w:leader="none" w:pos="55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56"/>
        <w:spacing w:after="0" w:line="259" w:lineRule="auto"/>
        <w:tabs>
          <w:tab w:leader="none" w:pos="17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will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the Trustee will incur no liability or additional liability of any kind by reason of such inquiry or investigation.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6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will not be deemed to have notice of any Default or Event of Default unless written notice of any event that is a Default or Event of Default is received by a Responsible Officer of the Trustee at the corporate trust office of the Trustee, and such notice references the Notes and this Indenture and states that it is a “Notice of Default.”</w:t>
      </w:r>
    </w:p>
    <w:p>
      <w:pPr>
        <w:spacing w:after="0" w:line="183" w:lineRule="exact"/>
        <w:rPr>
          <w:rFonts w:ascii="Arial" w:cs="Arial" w:eastAsia="Arial" w:hAnsi="Arial"/>
          <w:sz w:val="18"/>
          <w:szCs w:val="18"/>
          <w:color w:val="auto"/>
        </w:rPr>
      </w:pPr>
    </w:p>
    <w:p>
      <w:pPr>
        <w:ind w:firstLine="656"/>
        <w:spacing w:after="0" w:line="277" w:lineRule="auto"/>
        <w:tabs>
          <w:tab w:leader="none" w:pos="162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w:t>
      </w:r>
    </w:p>
    <w:p>
      <w:pPr>
        <w:spacing w:after="0" w:line="170" w:lineRule="exact"/>
        <w:rPr>
          <w:rFonts w:ascii="Arial" w:cs="Arial" w:eastAsia="Arial" w:hAnsi="Arial"/>
          <w:sz w:val="18"/>
          <w:szCs w:val="18"/>
          <w:color w:val="auto"/>
        </w:rPr>
      </w:pPr>
    </w:p>
    <w:p>
      <w:pPr>
        <w:ind w:firstLine="656"/>
        <w:spacing w:after="0" w:line="277" w:lineRule="auto"/>
        <w:tabs>
          <w:tab w:leader="none" w:pos="152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its right to be indemnified, are extended to, and will be enforceable by, the Trustee in each of its capacities under this Indenture.</w:t>
      </w:r>
    </w:p>
    <w:p>
      <w:pPr>
        <w:spacing w:after="0" w:line="170" w:lineRule="exact"/>
        <w:rPr>
          <w:rFonts w:ascii="Arial" w:cs="Arial" w:eastAsia="Arial" w:hAnsi="Arial"/>
          <w:sz w:val="18"/>
          <w:szCs w:val="18"/>
          <w:color w:val="auto"/>
        </w:rPr>
      </w:pPr>
    </w:p>
    <w:p>
      <w:pPr>
        <w:ind w:right="20" w:firstLine="656"/>
        <w:spacing w:after="0" w:line="277" w:lineRule="auto"/>
        <w:tabs>
          <w:tab w:leader="none" w:pos="15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or titles of officers authorized at such time to take specified actions pursuant to this Indenture.</w:t>
      </w:r>
    </w:p>
    <w:p>
      <w:pPr>
        <w:spacing w:after="0" w:line="170" w:lineRule="exact"/>
        <w:rPr>
          <w:rFonts w:ascii="Arial" w:cs="Arial" w:eastAsia="Arial" w:hAnsi="Arial"/>
          <w:sz w:val="18"/>
          <w:szCs w:val="18"/>
          <w:color w:val="auto"/>
        </w:rPr>
      </w:pPr>
    </w:p>
    <w:p>
      <w:pPr>
        <w:ind w:left="1480" w:hanging="824"/>
        <w:spacing w:after="0"/>
        <w:tabs>
          <w:tab w:leader="none" w:pos="1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will not be construed as duties.</w:t>
      </w:r>
    </w:p>
    <w:p>
      <w:pPr>
        <w:spacing w:after="0" w:line="225" w:lineRule="exact"/>
        <w:rPr>
          <w:rFonts w:ascii="Arial" w:cs="Arial" w:eastAsia="Arial" w:hAnsi="Arial"/>
          <w:sz w:val="18"/>
          <w:szCs w:val="18"/>
          <w:color w:val="auto"/>
        </w:rPr>
      </w:pPr>
    </w:p>
    <w:p>
      <w:pPr>
        <w:ind w:left="1500" w:hanging="844"/>
        <w:spacing w:after="0"/>
        <w:tabs>
          <w:tab w:leader="none" w:pos="15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Trustee will not be required to give any bond or surety in respect of the execution of the trusts and powers under this Indenture.</w:t>
      </w:r>
    </w:p>
    <w:p>
      <w:pPr>
        <w:spacing w:after="0" w:line="248" w:lineRule="exact"/>
        <w:rPr>
          <w:rFonts w:ascii="Arial" w:cs="Arial" w:eastAsia="Arial" w:hAnsi="Arial"/>
          <w:sz w:val="16"/>
          <w:szCs w:val="16"/>
          <w:color w:val="auto"/>
        </w:rPr>
      </w:pPr>
    </w:p>
    <w:p>
      <w:pPr>
        <w:ind w:left="1500" w:hanging="844"/>
        <w:spacing w:after="0"/>
        <w:tabs>
          <w:tab w:leader="none" w:pos="15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Neither the Trustee nor any Note Agent will have any responsibility or liability for any actions taken or not taken by the Depositary.</w:t>
      </w:r>
    </w:p>
    <w:p>
      <w:pPr>
        <w:spacing w:after="0" w:line="248" w:lineRule="exact"/>
        <w:rPr>
          <w:rFonts w:ascii="Arial" w:cs="Arial" w:eastAsia="Arial" w:hAnsi="Arial"/>
          <w:sz w:val="16"/>
          <w:szCs w:val="16"/>
          <w:color w:val="auto"/>
        </w:rPr>
      </w:pPr>
    </w:p>
    <w:p>
      <w:pPr>
        <w:jc w:val="both"/>
        <w:ind w:firstLine="656"/>
        <w:spacing w:after="0" w:line="263" w:lineRule="auto"/>
        <w:tabs>
          <w:tab w:leader="none" w:pos="159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Unless a Responsible Officer of the Trustee has received notice from the Company that Additional Interest is owing on the Notes or that the Company has elected to pay Special Interest on the Notes, the Trustee may assume no Additional Interest or Special Interest, as applicable, is payable.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10.03. I</w:t>
      </w:r>
      <w:r>
        <w:rPr>
          <w:rFonts w:ascii="Arial" w:cs="Arial" w:eastAsia="Arial" w:hAnsi="Arial"/>
          <w:sz w:val="12"/>
          <w:szCs w:val="12"/>
          <w:b w:val="1"/>
          <w:bCs w:val="1"/>
          <w:color w:val="auto"/>
        </w:rPr>
        <w:t>NDIVIDUAL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 OF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Arial" w:cs="Arial" w:eastAsia="Arial" w:hAnsi="Arial"/>
          <w:sz w:val="18"/>
          <w:szCs w:val="18"/>
          <w:b w:val="1"/>
          <w:bCs w:val="1"/>
          <w:color w:val="auto"/>
        </w:rPr>
        <w:t>Section 10.03</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10.04.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ISCLAIMER</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Section 10.05. 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a Default or Event of Default occurs and is continuing of which a Responsible Officer of the Trustee has received written notice, then the Trustee will send Holders a notice of such Default or Event of Default within ninety (90) days after it occurs or, if it is not known to the Trustee at such time, promptly (and in any event within twenty (20) Business Days) after it becomes known to a Responsible Officer;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a Default or Event of Default in the payment of the principal of, or interest on, any Note, or a default in the payment or delivery of the Conversion Consideration, the Trustee may withhold such notice if and for so long as it in good faith determines that withholding such notice is in the interests of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10.06. C</w:t>
      </w:r>
      <w:r>
        <w:rPr>
          <w:rFonts w:ascii="Arial" w:cs="Arial" w:eastAsia="Arial" w:hAnsi="Arial"/>
          <w:sz w:val="12"/>
          <w:szCs w:val="12"/>
          <w:b w:val="1"/>
          <w:bCs w:val="1"/>
          <w:color w:val="auto"/>
        </w:rPr>
        <w:t>OMPENSATION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NDEMNITY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7" w:lineRule="auto"/>
        <w:tabs>
          <w:tab w:leader="none" w:pos="173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will, from time to time, pay the Trustee and the Note Agents reasonable compensation for its acceptance of this Indenture and services under this Indenture as the Company shall from time to time agree in writing.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187" w:lineRule="exact"/>
        <w:rPr>
          <w:rFonts w:ascii="Arial" w:cs="Arial" w:eastAsia="Arial" w:hAnsi="Arial"/>
          <w:sz w:val="18"/>
          <w:szCs w:val="18"/>
          <w:color w:val="auto"/>
        </w:rPr>
      </w:pPr>
    </w:p>
    <w:p>
      <w:pPr>
        <w:jc w:val="both"/>
        <w:ind w:firstLine="656"/>
        <w:spacing w:after="0" w:line="269" w:lineRule="auto"/>
        <w:tabs>
          <w:tab w:leader="none" w:pos="165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The Company will indemnify the Trustee (in each of its capacities)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Arial" w:cs="Arial" w:eastAsia="Arial" w:hAnsi="Arial"/>
          <w:sz w:val="17"/>
          <w:szCs w:val="17"/>
          <w:b w:val="1"/>
          <w:bCs w:val="1"/>
          <w:color w:val="auto"/>
        </w:rPr>
        <w:t>Section 10.06</w:t>
      </w:r>
      <w:r>
        <w:rPr>
          <w:rFonts w:ascii="Arial" w:cs="Arial" w:eastAsia="Arial" w:hAnsi="Arial"/>
          <w:sz w:val="17"/>
          <w:szCs w:val="17"/>
          <w:color w:val="auto"/>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may be attributable to its negligence or willful misconduct, as determined by a final, non-appealable order of a court of competent jurisdiction. The Trustee will promptly notify the Company of any claim for which it may seek indemnity, but the Trustee’s failure to so notify the Company will not relieve the Company of its obligations under this </w:t>
      </w:r>
      <w:r>
        <w:rPr>
          <w:rFonts w:ascii="Arial" w:cs="Arial" w:eastAsia="Arial" w:hAnsi="Arial"/>
          <w:sz w:val="17"/>
          <w:szCs w:val="17"/>
          <w:b w:val="1"/>
          <w:bCs w:val="1"/>
          <w:color w:val="auto"/>
        </w:rPr>
        <w:t>Section 10.06(B)</w:t>
      </w:r>
      <w:r>
        <w:rPr>
          <w:rFonts w:ascii="Arial" w:cs="Arial" w:eastAsia="Arial" w:hAnsi="Arial"/>
          <w:sz w:val="17"/>
          <w:szCs w:val="17"/>
          <w:color w:val="auto"/>
        </w:rPr>
        <w:t>,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spacing w:after="0" w:line="174" w:lineRule="exact"/>
        <w:rPr>
          <w:rFonts w:ascii="Arial" w:cs="Arial" w:eastAsia="Arial" w:hAnsi="Arial"/>
          <w:sz w:val="17"/>
          <w:szCs w:val="17"/>
          <w:color w:val="auto"/>
        </w:rPr>
      </w:pPr>
    </w:p>
    <w:p>
      <w:pPr>
        <w:ind w:left="1600" w:hanging="944"/>
        <w:spacing w:after="0"/>
        <w:tabs>
          <w:tab w:leader="none" w:pos="16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The obligations of the Company under this </w:t>
      </w:r>
      <w:r>
        <w:rPr>
          <w:rFonts w:ascii="Arial" w:cs="Arial" w:eastAsia="Arial" w:hAnsi="Arial"/>
          <w:sz w:val="16"/>
          <w:szCs w:val="16"/>
          <w:b w:val="1"/>
          <w:bCs w:val="1"/>
          <w:color w:val="auto"/>
        </w:rPr>
        <w:t>Section 10.06</w:t>
      </w:r>
      <w:r>
        <w:rPr>
          <w:rFonts w:ascii="Arial" w:cs="Arial" w:eastAsia="Arial" w:hAnsi="Arial"/>
          <w:sz w:val="16"/>
          <w:szCs w:val="16"/>
          <w:color w:val="auto"/>
        </w:rPr>
        <w:t xml:space="preserve"> will survive the resignation or removal of the Trustee and the discharge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Indenture.</w:t>
      </w:r>
    </w:p>
    <w:p>
      <w:pPr>
        <w:spacing w:after="0" w:line="206" w:lineRule="exact"/>
        <w:rPr>
          <w:rFonts w:ascii="Arial" w:cs="Arial" w:eastAsia="Arial" w:hAnsi="Arial"/>
          <w:sz w:val="16"/>
          <w:szCs w:val="16"/>
          <w:color w:val="auto"/>
        </w:rPr>
      </w:pPr>
    </w:p>
    <w:p>
      <w:pPr>
        <w:jc w:val="both"/>
        <w:ind w:firstLine="656"/>
        <w:spacing w:after="0" w:line="266" w:lineRule="auto"/>
        <w:tabs>
          <w:tab w:leader="none" w:pos="16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To secure the Company’s payment obligations in this </w:t>
      </w:r>
      <w:r>
        <w:rPr>
          <w:rFonts w:ascii="Arial" w:cs="Arial" w:eastAsia="Arial" w:hAnsi="Arial"/>
          <w:sz w:val="18"/>
          <w:szCs w:val="18"/>
          <w:b w:val="1"/>
          <w:bCs w:val="1"/>
          <w:color w:val="auto"/>
        </w:rPr>
        <w:t>Section 10.06</w:t>
      </w:r>
      <w:r>
        <w:rPr>
          <w:rFonts w:ascii="Arial" w:cs="Arial" w:eastAsia="Arial" w:hAnsi="Arial"/>
          <w:sz w:val="18"/>
          <w:szCs w:val="18"/>
          <w:color w:val="auto"/>
        </w:rPr>
        <w:t>, the Trustee will have a lien prior to the Notes on all money or property held or collected by the Trustee, except that held in trust to pay principal of, or interest on, particular Notes, which lien will survive the discharge of this Indenture.</w:t>
      </w:r>
    </w:p>
    <w:p>
      <w:pPr>
        <w:spacing w:after="0" w:line="175" w:lineRule="exact"/>
        <w:rPr>
          <w:rFonts w:ascii="Arial" w:cs="Arial" w:eastAsia="Arial" w:hAnsi="Arial"/>
          <w:sz w:val="18"/>
          <w:szCs w:val="18"/>
          <w:color w:val="auto"/>
        </w:rPr>
      </w:pPr>
    </w:p>
    <w:p>
      <w:pPr>
        <w:jc w:val="both"/>
        <w:ind w:right="20" w:firstLine="656"/>
        <w:spacing w:after="0" w:line="266" w:lineRule="auto"/>
        <w:tabs>
          <w:tab w:leader="none" w:pos="154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If the Trustee incurs expenses or renders services after an Event of Default pursuant to </w:t>
      </w:r>
      <w:r>
        <w:rPr>
          <w:rFonts w:ascii="Arial" w:cs="Arial" w:eastAsia="Arial" w:hAnsi="Arial"/>
          <w:sz w:val="18"/>
          <w:szCs w:val="18"/>
          <w:b w:val="1"/>
          <w:bCs w:val="1"/>
          <w:color w:val="auto"/>
        </w:rPr>
        <w:t>clause (viii)</w:t>
      </w:r>
      <w:r>
        <w:rPr>
          <w:rFonts w:ascii="Arial" w:cs="Arial" w:eastAsia="Arial" w:hAnsi="Arial"/>
          <w:sz w:val="18"/>
          <w:szCs w:val="18"/>
          <w:color w:val="auto"/>
        </w:rPr>
        <w:t xml:space="preserve"> or </w:t>
      </w:r>
      <w:r>
        <w:rPr>
          <w:rFonts w:ascii="Arial" w:cs="Arial" w:eastAsia="Arial" w:hAnsi="Arial"/>
          <w:sz w:val="18"/>
          <w:szCs w:val="18"/>
          <w:b w:val="1"/>
          <w:bCs w:val="1"/>
          <w:color w:val="auto"/>
        </w:rPr>
        <w:t>(ix)</w:t>
      </w:r>
      <w:r>
        <w:rPr>
          <w:rFonts w:ascii="Arial" w:cs="Arial" w:eastAsia="Arial" w:hAnsi="Arial"/>
          <w:sz w:val="18"/>
          <w:szCs w:val="18"/>
          <w:color w:val="auto"/>
        </w:rPr>
        <w:t xml:space="preserve"> of </w:t>
      </w:r>
      <w:r>
        <w:rPr>
          <w:rFonts w:ascii="Arial" w:cs="Arial" w:eastAsia="Arial" w:hAnsi="Arial"/>
          <w:sz w:val="18"/>
          <w:szCs w:val="18"/>
          <w:b w:val="1"/>
          <w:bCs w:val="1"/>
          <w:color w:val="auto"/>
        </w:rPr>
        <w:t>Section 7.01(A)</w:t>
      </w:r>
      <w:r>
        <w:rPr>
          <w:rFonts w:ascii="Arial" w:cs="Arial" w:eastAsia="Arial" w:hAnsi="Arial"/>
          <w:sz w:val="18"/>
          <w:szCs w:val="18"/>
          <w:color w:val="auto"/>
        </w:rPr>
        <w:t xml:space="preserve"> occurs, then such expenses and the compensation for such services (including the fees and expenses of its agents and counsel) are intended to constitute expenses of administration under any Bankruptcy Law.</w:t>
      </w:r>
    </w:p>
    <w:p>
      <w:pPr>
        <w:spacing w:after="0" w:line="395" w:lineRule="exact"/>
        <w:rPr>
          <w:rFonts w:ascii="Arial" w:cs="Arial" w:eastAsia="Arial" w:hAnsi="Arial"/>
          <w:sz w:val="18"/>
          <w:szCs w:val="18"/>
          <w:color w:val="auto"/>
        </w:rPr>
      </w:pPr>
    </w:p>
    <w:p>
      <w:pPr>
        <w:ind w:left="5520" w:hanging="113"/>
        <w:spacing w:after="0"/>
        <w:tabs>
          <w:tab w:leader="none" w:pos="55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Section 10.07. R</w:t>
      </w:r>
      <w:r>
        <w:rPr>
          <w:rFonts w:ascii="Arial" w:cs="Arial" w:eastAsia="Arial" w:hAnsi="Arial"/>
          <w:sz w:val="12"/>
          <w:szCs w:val="12"/>
          <w:b w:val="1"/>
          <w:bCs w:val="1"/>
          <w:color w:val="auto"/>
        </w:rPr>
        <w:t>EPLACEMENT OF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p>
      <w:pPr>
        <w:spacing w:after="0" w:line="225" w:lineRule="exact"/>
        <w:rPr>
          <w:sz w:val="20"/>
          <w:szCs w:val="20"/>
          <w:color w:val="auto"/>
        </w:rPr>
      </w:pPr>
    </w:p>
    <w:p>
      <w:pPr>
        <w:ind w:firstLine="656"/>
        <w:spacing w:after="0" w:line="312" w:lineRule="auto"/>
        <w:tabs>
          <w:tab w:leader="none" w:pos="165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b w:val="1"/>
          <w:bCs w:val="1"/>
          <w:color w:val="auto"/>
        </w:rPr>
        <w:t>Section 10.07</w:t>
      </w:r>
      <w:r>
        <w:rPr>
          <w:rFonts w:ascii="Arial" w:cs="Arial" w:eastAsia="Arial" w:hAnsi="Arial"/>
          <w:sz w:val="17"/>
          <w:szCs w:val="17"/>
          <w:color w:val="auto"/>
        </w:rPr>
        <w:t xml:space="preserve">, a resignation or removal of the Trustee, and the appointment of a successor Trustee, will become effective only upon such successor Trustee’s acceptance of appointment as provided in this </w:t>
      </w:r>
      <w:r>
        <w:rPr>
          <w:rFonts w:ascii="Arial" w:cs="Arial" w:eastAsia="Arial" w:hAnsi="Arial"/>
          <w:sz w:val="17"/>
          <w:szCs w:val="17"/>
          <w:b w:val="1"/>
          <w:bCs w:val="1"/>
          <w:color w:val="auto"/>
        </w:rPr>
        <w:t>Section 10.07</w:t>
      </w:r>
      <w:r>
        <w:rPr>
          <w:rFonts w:ascii="Arial" w:cs="Arial" w:eastAsia="Arial" w:hAnsi="Arial"/>
          <w:sz w:val="17"/>
          <w:szCs w:val="17"/>
          <w:color w:val="auto"/>
        </w:rPr>
        <w:t>.</w:t>
      </w:r>
    </w:p>
    <w:p>
      <w:pPr>
        <w:spacing w:after="0" w:line="143" w:lineRule="exact"/>
        <w:rPr>
          <w:rFonts w:ascii="Arial" w:cs="Arial" w:eastAsia="Arial" w:hAnsi="Arial"/>
          <w:sz w:val="17"/>
          <w:szCs w:val="17"/>
          <w:color w:val="auto"/>
        </w:rPr>
      </w:pPr>
    </w:p>
    <w:p>
      <w:pPr>
        <w:jc w:val="both"/>
        <w:ind w:firstLine="656"/>
        <w:spacing w:after="0" w:line="263" w:lineRule="auto"/>
        <w:tabs>
          <w:tab w:leader="none" w:pos="169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spacing w:after="0" w:line="179" w:lineRule="exact"/>
        <w:rPr>
          <w:rFonts w:ascii="Arial" w:cs="Arial" w:eastAsia="Arial" w:hAnsi="Arial"/>
          <w:sz w:val="18"/>
          <w:szCs w:val="18"/>
          <w:color w:val="auto"/>
        </w:rPr>
      </w:pPr>
    </w:p>
    <w:p>
      <w:pPr>
        <w:ind w:left="2240" w:hanging="936"/>
        <w:spacing w:after="0"/>
        <w:tabs>
          <w:tab w:leader="none" w:pos="22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the Trustee fails to comply with </w:t>
      </w:r>
      <w:r>
        <w:rPr>
          <w:rFonts w:ascii="Arial" w:cs="Arial" w:eastAsia="Arial" w:hAnsi="Arial"/>
          <w:sz w:val="18"/>
          <w:szCs w:val="18"/>
          <w:b w:val="1"/>
          <w:bCs w:val="1"/>
          <w:color w:val="auto"/>
        </w:rPr>
        <w:t>Section 10.09</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320" w:hanging="1016"/>
        <w:spacing w:after="0"/>
        <w:tabs>
          <w:tab w:leader="none" w:pos="23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Trustee is adjudged to be bankrupt or insolvent or an order for relief is entered with respect to the Trustee under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Bankruptcy Law;</w:t>
      </w:r>
    </w:p>
    <w:p>
      <w:pPr>
        <w:spacing w:after="0" w:line="210" w:lineRule="exact"/>
        <w:rPr>
          <w:rFonts w:ascii="Arial" w:cs="Arial" w:eastAsia="Arial" w:hAnsi="Arial"/>
          <w:sz w:val="16"/>
          <w:szCs w:val="16"/>
          <w:color w:val="auto"/>
        </w:rPr>
      </w:pPr>
    </w:p>
    <w:p>
      <w:pPr>
        <w:ind w:left="2120" w:hanging="816"/>
        <w:spacing w:after="0"/>
        <w:tabs>
          <w:tab w:leader="none" w:pos="21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2140" w:hanging="836"/>
        <w:spacing w:after="0"/>
        <w:tabs>
          <w:tab w:leader="none" w:pos="21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jc w:val="both"/>
        <w:ind w:firstLine="656"/>
        <w:spacing w:after="0" w:line="311" w:lineRule="auto"/>
        <w:tabs>
          <w:tab w:leader="none" w:pos="17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spacing w:after="0" w:line="148" w:lineRule="exact"/>
        <w:rPr>
          <w:rFonts w:ascii="Arial" w:cs="Arial" w:eastAsia="Arial" w:hAnsi="Arial"/>
          <w:sz w:val="16"/>
          <w:szCs w:val="16"/>
          <w:color w:val="auto"/>
        </w:rPr>
      </w:pPr>
    </w:p>
    <w:p>
      <w:pPr>
        <w:jc w:val="both"/>
        <w:ind w:firstLine="656"/>
        <w:spacing w:after="0" w:line="263" w:lineRule="auto"/>
        <w:tabs>
          <w:tab w:leader="none" w:pos="165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6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If the Trustee, after written request by a Holder of at least six (6) months (or, such lesser period since the Issue Date), fails to comply with </w:t>
      </w:r>
      <w:r>
        <w:rPr>
          <w:rFonts w:ascii="Arial" w:cs="Arial" w:eastAsia="Arial" w:hAnsi="Arial"/>
          <w:sz w:val="18"/>
          <w:szCs w:val="18"/>
          <w:b w:val="1"/>
          <w:bCs w:val="1"/>
          <w:color w:val="auto"/>
        </w:rPr>
        <w:t>Section 10.09</w:t>
      </w:r>
      <w:r>
        <w:rPr>
          <w:rFonts w:ascii="Arial" w:cs="Arial" w:eastAsia="Arial" w:hAnsi="Arial"/>
          <w:sz w:val="18"/>
          <w:szCs w:val="18"/>
          <w:color w:val="auto"/>
        </w:rPr>
        <w:t>, then such Holder may petition any court of competent jurisdiction for the removal of the Trustee and the appointment of a successor Trustee.</w:t>
      </w:r>
    </w:p>
    <w:p>
      <w:pPr>
        <w:spacing w:after="0" w:line="183" w:lineRule="exact"/>
        <w:rPr>
          <w:rFonts w:ascii="Arial" w:cs="Arial" w:eastAsia="Arial" w:hAnsi="Arial"/>
          <w:sz w:val="18"/>
          <w:szCs w:val="18"/>
          <w:color w:val="auto"/>
        </w:rPr>
      </w:pPr>
    </w:p>
    <w:p>
      <w:pPr>
        <w:jc w:val="both"/>
        <w:ind w:firstLine="656"/>
        <w:spacing w:after="0" w:line="257" w:lineRule="auto"/>
        <w:tabs>
          <w:tab w:leader="none" w:pos="151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Arial" w:cs="Arial" w:eastAsia="Arial" w:hAnsi="Arial"/>
          <w:sz w:val="18"/>
          <w:szCs w:val="18"/>
          <w:b w:val="1"/>
          <w:bCs w:val="1"/>
          <w:color w:val="auto"/>
        </w:rPr>
        <w:t>Section 10.06(D)</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10.08. S</w:t>
      </w:r>
      <w:r>
        <w:rPr>
          <w:rFonts w:ascii="Arial" w:cs="Arial" w:eastAsia="Arial" w:hAnsi="Arial"/>
          <w:sz w:val="12"/>
          <w:szCs w:val="12"/>
          <w:b w:val="1"/>
          <w:bCs w:val="1"/>
          <w:color w:val="auto"/>
        </w:rPr>
        <w:t>UCCESSOR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 BY</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organization or entity shall be otherwise qualified and eligible under this Article 10, without the execution or filing of any paper or any further act on the part of any of the parties hereto.</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Section 10.09. E</w:t>
      </w:r>
      <w:r>
        <w:rPr>
          <w:rFonts w:ascii="Arial" w:cs="Arial" w:eastAsia="Arial" w:hAnsi="Arial"/>
          <w:sz w:val="12"/>
          <w:szCs w:val="12"/>
          <w:b w:val="1"/>
          <w:bCs w:val="1"/>
          <w:color w:val="auto"/>
        </w:rPr>
        <w:t>LIGIBILITY</w:t>
      </w:r>
      <w:r>
        <w:rPr>
          <w:rFonts w:ascii="Arial" w:cs="Arial" w:eastAsia="Arial" w:hAnsi="Arial"/>
          <w:sz w:val="18"/>
          <w:szCs w:val="18"/>
          <w:b w:val="1"/>
          <w:bCs w:val="1"/>
          <w:color w:val="auto"/>
        </w:rPr>
        <w:t>; D</w:t>
      </w:r>
      <w:r>
        <w:rPr>
          <w:rFonts w:ascii="Arial" w:cs="Arial" w:eastAsia="Arial" w:hAnsi="Arial"/>
          <w:sz w:val="12"/>
          <w:szCs w:val="12"/>
          <w:b w:val="1"/>
          <w:bCs w:val="1"/>
          <w:color w:val="auto"/>
        </w:rPr>
        <w:t>ISQUALIFICATION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83" w:lineRule="exact"/>
        <w:rPr>
          <w:sz w:val="20"/>
          <w:szCs w:val="20"/>
          <w:color w:val="auto"/>
        </w:rPr>
      </w:pPr>
    </w:p>
    <w:p>
      <w:pPr>
        <w:ind w:left="4120"/>
        <w:spacing w:after="0"/>
        <w:tabs>
          <w:tab w:leader="none" w:pos="552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8"/>
          <w:szCs w:val="18"/>
          <w:b w:val="1"/>
          <w:bCs w:val="1"/>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11.01. N</w:t>
      </w:r>
      <w:r>
        <w:rPr>
          <w:rFonts w:ascii="Arial" w:cs="Arial" w:eastAsia="Arial" w:hAnsi="Arial"/>
          <w:sz w:val="12"/>
          <w:szCs w:val="12"/>
          <w:b w:val="1"/>
          <w:bCs w:val="1"/>
          <w:color w:val="auto"/>
        </w:rPr>
        <w:t>OTICES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Lucid Group,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7373 Gateway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Newark, CA 94560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will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Emily Roberts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ind w:left="1300"/>
        <w:spacing w:after="0" w:line="202" w:lineRule="auto"/>
        <w:rPr>
          <w:sz w:val="20"/>
          <w:szCs w:val="20"/>
          <w:color w:val="auto"/>
        </w:rPr>
      </w:pPr>
      <w:r>
        <w:rPr>
          <w:rFonts w:ascii="Arial" w:cs="Arial" w:eastAsia="Arial" w:hAnsi="Arial"/>
          <w:sz w:val="18"/>
          <w:szCs w:val="18"/>
          <w:color w:val="auto"/>
        </w:rPr>
        <w:t>633 W. Fifth Street, 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(213) 615-6197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 Scarbrough (Lucid Group)</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or the Trustee, by notice to the other, may designate additional or different addresses (including facsimile numbers and electronic addresses) for subsequent notices or communications.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96" w:lineRule="auto"/>
        <w:rPr>
          <w:sz w:val="20"/>
          <w:szCs w:val="20"/>
          <w:color w:val="auto"/>
        </w:rPr>
      </w:pPr>
      <w:r>
        <w:rPr>
          <w:rFonts w:ascii="Arial" w:cs="Arial" w:eastAsia="Arial" w:hAnsi="Arial"/>
          <w:sz w:val="16"/>
          <w:szCs w:val="16"/>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notice or communication is mailed or sent in the manner provided above within the time prescribed, it will be deemed to have been duly given, whether or not the addressee receives it.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(B) whenever any provision of this Indenture requires a party to send notice to more than one receiving party, and each receiving party is the same Person acting in different capacities, then only one such notice need be sent to such Person.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11.02. D</w:t>
      </w:r>
      <w:r>
        <w:rPr>
          <w:rFonts w:ascii="Arial" w:cs="Arial" w:eastAsia="Arial" w:hAnsi="Arial"/>
          <w:sz w:val="12"/>
          <w:szCs w:val="12"/>
          <w:b w:val="1"/>
          <w:bCs w:val="1"/>
          <w:color w:val="auto"/>
        </w:rPr>
        <w:t>ELIVERY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ERTIFICATE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PINION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OUNSEL AS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RECEDENT</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(other than the initial authentication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under this Indenture), the Company will furnish to the Trustee:</w:t>
      </w:r>
    </w:p>
    <w:p>
      <w:pPr>
        <w:spacing w:after="0" w:line="207" w:lineRule="exact"/>
        <w:rPr>
          <w:sz w:val="20"/>
          <w:szCs w:val="20"/>
          <w:color w:val="auto"/>
        </w:rPr>
      </w:pPr>
    </w:p>
    <w:p>
      <w:pPr>
        <w:ind w:firstLine="656"/>
        <w:spacing w:after="0" w:line="347" w:lineRule="auto"/>
        <w:tabs>
          <w:tab w:leader="none" w:pos="148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an Officer’s Certificate in form reasonably satisfactory to the Trustee that complies with </w:t>
      </w:r>
      <w:r>
        <w:rPr>
          <w:rFonts w:ascii="Arial" w:cs="Arial" w:eastAsia="Arial" w:hAnsi="Arial"/>
          <w:sz w:val="16"/>
          <w:szCs w:val="16"/>
          <w:b w:val="1"/>
          <w:bCs w:val="1"/>
          <w:color w:val="auto"/>
        </w:rPr>
        <w:t>Section 11.03</w:t>
      </w:r>
      <w:r>
        <w:rPr>
          <w:rFonts w:ascii="Arial" w:cs="Arial" w:eastAsia="Arial" w:hAnsi="Arial"/>
          <w:sz w:val="16"/>
          <w:szCs w:val="16"/>
          <w:color w:val="auto"/>
        </w:rPr>
        <w:t xml:space="preserve"> and states that, in the opinion of the signatory thereto, all conditions precedent and covenants, if any, provided for in this Indenture relating to such action have been satisfied; and</w:t>
      </w:r>
    </w:p>
    <w:p>
      <w:pPr>
        <w:spacing w:after="0" w:line="115" w:lineRule="exact"/>
        <w:rPr>
          <w:rFonts w:ascii="Arial" w:cs="Arial" w:eastAsia="Arial" w:hAnsi="Arial"/>
          <w:sz w:val="16"/>
          <w:szCs w:val="16"/>
          <w:color w:val="auto"/>
        </w:rPr>
      </w:pPr>
    </w:p>
    <w:p>
      <w:pPr>
        <w:ind w:firstLine="656"/>
        <w:spacing w:after="0" w:line="282" w:lineRule="auto"/>
        <w:tabs>
          <w:tab w:leader="none" w:pos="151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an Opinion of Counsel in form reasonably satisfactory to the Trustee that complies with </w:t>
      </w:r>
      <w:r>
        <w:rPr>
          <w:rFonts w:ascii="Arial" w:cs="Arial" w:eastAsia="Arial" w:hAnsi="Arial"/>
          <w:sz w:val="18"/>
          <w:szCs w:val="18"/>
          <w:b w:val="1"/>
          <w:bCs w:val="1"/>
          <w:color w:val="auto"/>
        </w:rPr>
        <w:t>Section 11.03</w:t>
      </w:r>
      <w:r>
        <w:rPr>
          <w:rFonts w:ascii="Arial" w:cs="Arial" w:eastAsia="Arial" w:hAnsi="Arial"/>
          <w:sz w:val="18"/>
          <w:szCs w:val="18"/>
          <w:color w:val="auto"/>
        </w:rPr>
        <w:t xml:space="preserve"> and states that, in the opinion of such counsel, all such conditions precedent and covenants, if any, have been satisfied.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11.03. S</w:t>
      </w:r>
      <w:r>
        <w:rPr>
          <w:rFonts w:ascii="Arial" w:cs="Arial" w:eastAsia="Arial" w:hAnsi="Arial"/>
          <w:sz w:val="12"/>
          <w:szCs w:val="12"/>
          <w:b w:val="1"/>
          <w:bCs w:val="1"/>
          <w:color w:val="auto"/>
        </w:rPr>
        <w:t>TATEMENTS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 IN</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ERTIFICATE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PINION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OUNSEL</w:t>
      </w:r>
      <w:r>
        <w:rPr>
          <w:rFonts w:ascii="Arial" w:cs="Arial" w:eastAsia="Arial" w:hAnsi="Arial"/>
          <w:sz w:val="18"/>
          <w:szCs w:val="18"/>
          <w:b w:val="1"/>
          <w:bCs w:val="1"/>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Each Officer’s Certificate (other than an Officer’s Certificate pursuant to </w:t>
      </w:r>
      <w:r>
        <w:rPr>
          <w:rFonts w:ascii="Arial" w:cs="Arial" w:eastAsia="Arial" w:hAnsi="Arial"/>
          <w:sz w:val="18"/>
          <w:szCs w:val="18"/>
          <w:b w:val="1"/>
          <w:bCs w:val="1"/>
          <w:color w:val="auto"/>
        </w:rPr>
        <w:t>Section 3.05</w:t>
      </w:r>
      <w:r>
        <w:rPr>
          <w:rFonts w:ascii="Arial" w:cs="Arial" w:eastAsia="Arial" w:hAnsi="Arial"/>
          <w:sz w:val="18"/>
          <w:szCs w:val="18"/>
          <w:color w:val="auto"/>
        </w:rPr>
        <w:t>) or Opinion of Counsel with respect to compliance with a covenant or condition provided for in this Indenture will include:</w:t>
      </w:r>
    </w:p>
    <w:p>
      <w:pPr>
        <w:spacing w:after="0" w:line="166" w:lineRule="exact"/>
        <w:rPr>
          <w:sz w:val="20"/>
          <w:szCs w:val="20"/>
          <w:color w:val="auto"/>
        </w:rPr>
      </w:pPr>
    </w:p>
    <w:p>
      <w:pPr>
        <w:ind w:left="1500" w:hanging="844"/>
        <w:spacing w:after="0"/>
        <w:tabs>
          <w:tab w:leader="none" w:pos="1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statement that the signatory thereto has read such covenant or condition;</w:t>
      </w:r>
    </w:p>
    <w:p>
      <w:pPr>
        <w:spacing w:after="0" w:line="225" w:lineRule="exact"/>
        <w:rPr>
          <w:rFonts w:ascii="Arial" w:cs="Arial" w:eastAsia="Arial" w:hAnsi="Arial"/>
          <w:sz w:val="18"/>
          <w:szCs w:val="18"/>
          <w:color w:val="auto"/>
        </w:rPr>
      </w:pPr>
    </w:p>
    <w:p>
      <w:pPr>
        <w:ind w:left="1720" w:hanging="1064"/>
        <w:spacing w:after="0"/>
        <w:tabs>
          <w:tab w:leader="none" w:pos="17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brief statement as to the nature and scope of the examination or investigation upon which the statements or opinions contained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therein are based;</w:t>
      </w:r>
    </w:p>
    <w:p>
      <w:pPr>
        <w:spacing w:after="0" w:line="210" w:lineRule="exact"/>
        <w:rPr>
          <w:rFonts w:ascii="Arial" w:cs="Arial" w:eastAsia="Arial" w:hAnsi="Arial"/>
          <w:sz w:val="16"/>
          <w:szCs w:val="16"/>
          <w:color w:val="auto"/>
        </w:rPr>
      </w:pPr>
    </w:p>
    <w:p>
      <w:pPr>
        <w:ind w:firstLine="656"/>
        <w:spacing w:after="0" w:line="277" w:lineRule="auto"/>
        <w:tabs>
          <w:tab w:leader="none" w:pos="162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statement as to whether, in the opinion of such signatory, such covenant or condition has been satisfied.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520" w:hanging="113"/>
        <w:spacing w:after="0"/>
        <w:tabs>
          <w:tab w:leader="none" w:pos="55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Section 11.04. R</w:t>
      </w:r>
      <w:r>
        <w:rPr>
          <w:rFonts w:ascii="Arial" w:cs="Arial" w:eastAsia="Arial" w:hAnsi="Arial"/>
          <w:sz w:val="12"/>
          <w:szCs w:val="12"/>
          <w:b w:val="1"/>
          <w:bCs w:val="1"/>
          <w:color w:val="auto"/>
        </w:rPr>
        <w:t>ULES BY THE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THE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 AND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Each of the Registrar, the Paying Agent and the Conversion Agent may make reasonable rules and set reasonable requirements for its functions.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11.05.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IABILITY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O</w:t>
      </w:r>
      <w:r>
        <w:rPr>
          <w:rFonts w:ascii="Arial" w:cs="Arial" w:eastAsia="Arial" w:hAnsi="Arial"/>
          <w:sz w:val="12"/>
          <w:szCs w:val="12"/>
          <w:b w:val="1"/>
          <w:bCs w:val="1"/>
          <w:color w:val="auto"/>
        </w:rPr>
        <w:t>FFICERS</w:t>
      </w:r>
      <w:r>
        <w:rPr>
          <w:rFonts w:ascii="Arial" w:cs="Arial" w:eastAsia="Arial" w:hAnsi="Arial"/>
          <w:sz w:val="18"/>
          <w:szCs w:val="18"/>
          <w:b w:val="1"/>
          <w:bCs w:val="1"/>
          <w:color w:val="auto"/>
        </w:rPr>
        <w:t>, E</w:t>
      </w:r>
      <w:r>
        <w:rPr>
          <w:rFonts w:ascii="Arial" w:cs="Arial" w:eastAsia="Arial" w:hAnsi="Arial"/>
          <w:sz w:val="12"/>
          <w:szCs w:val="12"/>
          <w:b w:val="1"/>
          <w:bCs w:val="1"/>
          <w:color w:val="auto"/>
        </w:rPr>
        <w:t>MPLOYEES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11.06. 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W</w:t>
      </w:r>
      <w:r>
        <w:rPr>
          <w:rFonts w:ascii="Arial" w:cs="Arial" w:eastAsia="Arial" w:hAnsi="Arial"/>
          <w:sz w:val="12"/>
          <w:szCs w:val="12"/>
          <w:b w:val="1"/>
          <w:bCs w:val="1"/>
          <w:color w:val="auto"/>
        </w:rPr>
        <w:t>AIVER OF</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URY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RIAL</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11.07. S</w:t>
      </w:r>
      <w:r>
        <w:rPr>
          <w:rFonts w:ascii="Arial" w:cs="Arial" w:eastAsia="Arial" w:hAnsi="Arial"/>
          <w:sz w:val="12"/>
          <w:szCs w:val="12"/>
          <w:b w:val="1"/>
          <w:bCs w:val="1"/>
          <w:color w:val="auto"/>
        </w:rPr>
        <w:t>UBMISSION TO</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URISDICTION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Arial" w:cs="Arial" w:eastAsia="Arial" w:hAnsi="Arial"/>
          <w:sz w:val="17"/>
          <w:szCs w:val="17"/>
          <w:b w:val="1"/>
          <w:bCs w:val="1"/>
          <w:color w:val="auto"/>
        </w:rPr>
        <w:t>Section 11.01</w:t>
      </w:r>
      <w:r>
        <w:rPr>
          <w:rFonts w:ascii="Arial" w:cs="Arial" w:eastAsia="Arial" w:hAnsi="Arial"/>
          <w:sz w:val="17"/>
          <w:szCs w:val="17"/>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11.08.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DVERSE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NTERPRETATION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11.09. S</w:t>
      </w:r>
      <w:r>
        <w:rPr>
          <w:rFonts w:ascii="Arial" w:cs="Arial" w:eastAsia="Arial" w:hAnsi="Arial"/>
          <w:sz w:val="12"/>
          <w:szCs w:val="12"/>
          <w:b w:val="1"/>
          <w:bCs w:val="1"/>
          <w:color w:val="auto"/>
        </w:rPr>
        <w:t>UCCESSORS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agreements of the Company in this Indenture and the Notes will bind its successors. All agreements of the Trustee in this Indenture will bind its successors.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Section 11.10. F</w:t>
      </w:r>
      <w:r>
        <w:rPr>
          <w:rFonts w:ascii="Arial" w:cs="Arial" w:eastAsia="Arial" w:hAnsi="Arial"/>
          <w:sz w:val="12"/>
          <w:szCs w:val="12"/>
          <w:b w:val="1"/>
          <w:bCs w:val="1"/>
          <w:color w:val="auto"/>
        </w:rPr>
        <w:t>ORCE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AJEURE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pandemic, act of God or war, civil unrest, local or national disturbance or disaster, act of terrorism or unavailability of the Federal Reserve Bank wire or facsimile or other wire or communication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11.11. U.S.A. PATRIOT A</w:t>
      </w:r>
      <w:r>
        <w:rPr>
          <w:rFonts w:ascii="Arial" w:cs="Arial" w:eastAsia="Arial" w:hAnsi="Arial"/>
          <w:sz w:val="12"/>
          <w:szCs w:val="12"/>
          <w:b w:val="1"/>
          <w:bCs w:val="1"/>
          <w:color w:val="auto"/>
        </w:rPr>
        <w:t>CT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11.12. C</w:t>
      </w:r>
      <w:r>
        <w:rPr>
          <w:rFonts w:ascii="Arial" w:cs="Arial" w:eastAsia="Arial" w:hAnsi="Arial"/>
          <w:sz w:val="12"/>
          <w:szCs w:val="12"/>
          <w:b w:val="1"/>
          <w:bCs w:val="1"/>
          <w:color w:val="auto"/>
        </w:rPr>
        <w:t>ALCULATIONS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Trading Price of the Notes, the Daily VWAPs, accrued interest on the Notes, the Conversion Rate (including any adjustments to the Conversion Rate) and the Redemption Price.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avoidance of doubt, neither the Trustee nor the Conversion Agent will have any responsibility to make or confirm any calculations under this Indenture, nor will the Trustee or the Conversion Agent be charged with knowledge of or have any duties to monitor the Stock Price or any Observation Period. The Trustee and the Conversion Agent may rely conclusively on the calculations and information provided to them by the Company as to the Daily VWAP, the Daily Conversion Values, the Trading Price and the Last Reported Sale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11.13. S</w:t>
      </w:r>
      <w:r>
        <w:rPr>
          <w:rFonts w:ascii="Arial" w:cs="Arial" w:eastAsia="Arial" w:hAnsi="Arial"/>
          <w:sz w:val="12"/>
          <w:szCs w:val="12"/>
          <w:b w:val="1"/>
          <w:bCs w:val="1"/>
          <w:color w:val="auto"/>
        </w:rPr>
        <w:t>EVERABILITY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Section 11.14. C</w:t>
      </w:r>
      <w:r>
        <w:rPr>
          <w:rFonts w:ascii="Arial" w:cs="Arial" w:eastAsia="Arial" w:hAnsi="Arial"/>
          <w:sz w:val="12"/>
          <w:szCs w:val="12"/>
          <w:b w:val="1"/>
          <w:bCs w:val="1"/>
          <w:color w:val="auto"/>
        </w:rPr>
        <w:t>OUNTERPARTS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or electronically executed counterpart. All notices, approvals, consents, requests and any communications hereunder must be in writing (provided that any communication sent to Trustee hereunder that is required to be signed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11.15. 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r>
        <w:rPr>
          <w:rFonts w:ascii="Arial" w:cs="Arial" w:eastAsia="Arial" w:hAnsi="Arial"/>
          <w:sz w:val="18"/>
          <w:szCs w:val="18"/>
          <w:b w:val="1"/>
          <w:bCs w:val="1"/>
          <w:color w:val="auto"/>
        </w:rPr>
        <w:t>, H</w:t>
      </w:r>
      <w:r>
        <w:rPr>
          <w:rFonts w:ascii="Arial" w:cs="Arial" w:eastAsia="Arial" w:hAnsi="Arial"/>
          <w:sz w:val="12"/>
          <w:szCs w:val="12"/>
          <w:b w:val="1"/>
          <w:bCs w:val="1"/>
          <w:color w:val="auto"/>
        </w:rPr>
        <w:t>EADINGS</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11.16. W</w:t>
      </w:r>
      <w:r>
        <w:rPr>
          <w:rFonts w:ascii="Arial" w:cs="Arial" w:eastAsia="Arial" w:hAnsi="Arial"/>
          <w:sz w:val="12"/>
          <w:szCs w:val="12"/>
          <w:b w:val="1"/>
          <w:bCs w:val="1"/>
          <w:color w:val="auto"/>
        </w:rPr>
        <w:t>ITHHOLDING</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Each Holder of a Note agrees, and each beneficial owner of an interest in a Global Note, by its acquisition of such interest, is deemed to agree, that if the Company or other applicable withholding agent pays withholding taxes or backup withholding on behalf of such Holder or beneficial owner as a result of an adjustment or the non-occurrence of an adjustment to the Conversion Rate, then the Company or such withholding agent, as applicable, may, at its option, withhold from or set off such payments against payments of cash or the delivery of other Conversion Consideration on such Note, any payments on the Common Stock or sales proceeds received by, or other funds or assets of, such Holder or the beneficial owner of such Note.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The Remainder of This Page Intentionally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to this Indenture have caused this Indenture to be duly executed as of the date first written above.</w:t>
      </w:r>
    </w:p>
    <w:p>
      <w:pPr>
        <w:spacing w:after="0" w:line="25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UCID</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Name:Sherry House</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U.S. B</w:t>
      </w:r>
      <w:r>
        <w:rPr>
          <w:rFonts w:ascii="Arial" w:cs="Arial" w:eastAsia="Arial" w:hAnsi="Arial"/>
          <w:sz w:val="12"/>
          <w:szCs w:val="12"/>
          <w:color w:val="auto"/>
        </w:rPr>
        <w:t>ANK</w:t>
      </w:r>
      <w:r>
        <w:rPr>
          <w:rFonts w:ascii="Arial" w:cs="Arial" w:eastAsia="Arial" w:hAnsi="Arial"/>
          <w:sz w:val="18"/>
          <w:szCs w:val="18"/>
          <w:color w:val="auto"/>
        </w:rPr>
        <w:t xml:space="preserve">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r>
        <w:rPr>
          <w:rFonts w:ascii="Arial" w:cs="Arial" w:eastAsia="Arial" w:hAnsi="Arial"/>
          <w:sz w:val="18"/>
          <w:szCs w:val="18"/>
          <w:color w:val="auto"/>
        </w:rPr>
        <w:t xml:space="preserve">, </w:t>
      </w:r>
      <w:r>
        <w:rPr>
          <w:rFonts w:ascii="Arial" w:cs="Arial" w:eastAsia="Arial" w:hAnsi="Arial"/>
          <w:sz w:val="12"/>
          <w:szCs w:val="12"/>
          <w:color w:val="auto"/>
        </w:rPr>
        <w:t>AS</w:t>
      </w:r>
      <w:r>
        <w:rPr>
          <w:rFonts w:ascii="Arial" w:cs="Arial" w:eastAsia="Arial" w:hAnsi="Arial"/>
          <w:sz w:val="18"/>
          <w:szCs w:val="18"/>
          <w:color w:val="auto"/>
        </w:rPr>
        <w:t xml:space="preserve"> T</w:t>
      </w:r>
      <w:r>
        <w:rPr>
          <w:rFonts w:ascii="Arial" w:cs="Arial" w:eastAsia="Arial" w:hAnsi="Arial"/>
          <w:sz w:val="12"/>
          <w:szCs w:val="12"/>
          <w:color w:val="auto"/>
        </w:rPr>
        <w:t>RUSTEE</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Name:Bradley E. Scarbrough</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20"/>
          </w:cols>
          <w:pgMar w:left="980" w:top="904" w:right="99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Global Note Legend, if applicable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Restricted Note Legend, if applicable</w:t>
      </w:r>
      <w:r>
        <w:rPr>
          <w:rFonts w:ascii="Arial" w:cs="Arial" w:eastAsia="Arial" w:hAnsi="Arial"/>
          <w:sz w:val="16"/>
          <w:szCs w:val="16"/>
          <w:color w:val="auto"/>
        </w:rPr>
        <w: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Non-Affiliate Legend</w:t>
      </w:r>
      <w:r>
        <w:rPr>
          <w:rFonts w:ascii="Arial" w:cs="Arial" w:eastAsia="Arial" w:hAnsi="Arial"/>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1.25% Convertible Senior Note due 2026</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CUSIP No.: [___]</w:t>
      </w:r>
    </w:p>
    <w:p>
      <w:pPr>
        <w:spacing w:after="0" w:line="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ISIN No.:</w:t>
      </w:r>
      <w:r>
        <w:rPr>
          <w:sz w:val="20"/>
          <w:szCs w:val="20"/>
          <w:color w:val="auto"/>
        </w:rPr>
        <w:tab/>
      </w:r>
      <w:r>
        <w:rPr>
          <w:rFonts w:ascii="Arial" w:cs="Arial" w:eastAsia="Arial" w:hAnsi="Arial"/>
          <w:sz w:val="17"/>
          <w:szCs w:val="17"/>
          <w:color w:val="auto"/>
        </w:rPr>
        <w:t>[___]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Certificate No. [___]</w:t>
      </w:r>
    </w:p>
    <w:p>
      <w:pPr>
        <w:spacing w:after="0" w:line="453" w:lineRule="exact"/>
        <w:rPr>
          <w:sz w:val="20"/>
          <w:szCs w:val="20"/>
          <w:color w:val="auto"/>
        </w:rPr>
      </w:pPr>
    </w:p>
    <w:p>
      <w:pPr>
        <w:sectPr>
          <w:pgSz w:w="11900" w:h="16838" w:orient="portrait"/>
          <w:cols w:equalWidth="0" w:num="2">
            <w:col w:w="9020" w:space="720"/>
            <w:col w:w="1500"/>
          </w:cols>
          <w:pgMar w:left="320" w:top="904" w:right="339" w:bottom="1440" w:gutter="0" w:footer="0" w:header="0"/>
          <w:type w:val="continuous"/>
        </w:sectPr>
      </w:pPr>
    </w:p>
    <w:p>
      <w:pPr>
        <w:spacing w:after="0" w:line="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Lucid Group, Inc., a Delaware corporation, for value received, promises to pay to [Cede &amp; Co.], or its registered assigns, the principal sum of [___] dollars ($[___]) [(as revised by the attached Schedule of Exchanges of Interests in the Global Note)]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on December 15, 2026 and to pay interest thereon, as provided in the Indenture referred to below, until the principal and all accrued and unpaid interest are paid or duly provided for.</w:t>
      </w:r>
    </w:p>
    <w:p>
      <w:pPr>
        <w:sectPr>
          <w:pgSz w:w="11900" w:h="16838" w:orient="portrait"/>
          <w:cols w:equalWidth="0" w:num="1">
            <w:col w:w="11240"/>
          </w:cols>
          <w:pgMar w:left="320" w:top="904" w:right="3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June 15 and December 15 of each year, commencing on [</w:t>
      </w:r>
      <w:r>
        <w:rPr>
          <w:rFonts w:ascii="Arial" w:cs="Arial" w:eastAsia="Arial" w:hAnsi="Arial"/>
          <w:sz w:val="16"/>
          <w:szCs w:val="16"/>
          <w:i w:val="1"/>
          <w:iCs w:val="1"/>
          <w:color w:val="auto"/>
        </w:rPr>
        <w:t>date</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1720" w:space="440"/>
            <w:col w:w="9080"/>
          </w:cols>
          <w:pgMar w:left="320" w:top="904"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Regular Record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June 1 and December 1.</w:t>
      </w:r>
    </w:p>
    <w:p>
      <w:pPr>
        <w:spacing w:after="0" w:line="211" w:lineRule="exact"/>
        <w:rPr>
          <w:sz w:val="20"/>
          <w:szCs w:val="20"/>
          <w:color w:val="auto"/>
        </w:rPr>
      </w:pPr>
    </w:p>
    <w:p>
      <w:pPr>
        <w:sectPr>
          <w:pgSz w:w="11900" w:h="16838" w:orient="portrait"/>
          <w:cols w:equalWidth="0" w:num="2">
            <w:col w:w="1640" w:space="520"/>
            <w:col w:w="9080"/>
          </w:cols>
          <w:pgMar w:left="320" w:top="904"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The Remainder of This Page Intentionally Left Blank; Signature Page Follows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1783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8" w:lineRule="exact"/>
        <w:rPr>
          <w:sz w:val="20"/>
          <w:szCs w:val="20"/>
          <w:color w:val="auto"/>
        </w:rPr>
      </w:pPr>
    </w:p>
    <w:p>
      <w:pPr>
        <w:ind w:left="160" w:hanging="152"/>
        <w:spacing w:after="0"/>
        <w:tabs>
          <w:tab w:leader="none" w:pos="160" w:val="left"/>
        </w:tabs>
        <w:numPr>
          <w:ilvl w:val="0"/>
          <w:numId w:val="125"/>
        </w:numPr>
        <w:rPr>
          <w:rFonts w:ascii="Arial" w:cs="Arial" w:eastAsia="Arial" w:hAnsi="Arial"/>
          <w:sz w:val="30"/>
          <w:szCs w:val="30"/>
          <w:color w:val="auto"/>
          <w:vertAlign w:val="superscript"/>
        </w:rPr>
      </w:pPr>
      <w:r>
        <w:rPr>
          <w:rFonts w:ascii="Arial" w:cs="Arial" w:eastAsia="Arial" w:hAnsi="Arial"/>
          <w:sz w:val="18"/>
          <w:szCs w:val="18"/>
          <w:color w:val="auto"/>
        </w:rPr>
        <w:t>Insert bracketed language for Global Notes only.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6" w:name="page97"/>
    <w:bookmarkEnd w:id="96"/>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Lucid Group, Inc. has caused this instrument to be duly executed as of the date set forth below.</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UCID</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408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7" w:name="page98"/>
    <w:bookmarkEnd w:id="97"/>
    <w:p>
      <w:pPr>
        <w:ind w:left="3620"/>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as Trustee, certifies that this is one of the Notes referred to in the within-mentioned Indenture.</w:t>
      </w:r>
    </w:p>
    <w:p>
      <w:pPr>
        <w:spacing w:after="0" w:line="248"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408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3" w:lineRule="exact"/>
        <w:rPr>
          <w:sz w:val="20"/>
          <w:szCs w:val="20"/>
          <w:color w:val="auto"/>
        </w:rPr>
      </w:pPr>
    </w:p>
    <w:p>
      <w:pPr>
        <w:jc w:val="right"/>
        <w:ind w:right="759"/>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 Convertible Senior Note due 2026</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Note is one of a duly authorized issue of notes of Lucid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designated as its 1.25% Convertible Senior Notes due 2026 (the “</w:t>
      </w:r>
      <w:r>
        <w:rPr>
          <w:rFonts w:ascii="Arial" w:cs="Arial" w:eastAsia="Arial" w:hAnsi="Arial"/>
          <w:sz w:val="18"/>
          <w:szCs w:val="18"/>
          <w:b w:val="1"/>
          <w:bCs w:val="1"/>
          <w:color w:val="auto"/>
        </w:rPr>
        <w:t>Notes</w:t>
      </w:r>
      <w:r>
        <w:rPr>
          <w:rFonts w:ascii="Arial" w:cs="Arial" w:eastAsia="Arial" w:hAnsi="Arial"/>
          <w:sz w:val="18"/>
          <w:szCs w:val="18"/>
          <w:color w:val="auto"/>
        </w:rPr>
        <w:t>”), all issued or to be issued pursuant to an indenture, dated as of December 14, 2021 (as the same may be amended from time to time,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U.S. Bank National Association, as trustee. Capitalized terms used in this Note without definition have the respective meanings ascribed to them in the Indenture.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80" w:lineRule="exact"/>
        <w:rPr>
          <w:sz w:val="20"/>
          <w:szCs w:val="20"/>
          <w:color w:val="auto"/>
        </w:rPr>
      </w:pPr>
    </w:p>
    <w:p>
      <w:pPr>
        <w:ind w:right="20" w:firstLine="656"/>
        <w:spacing w:after="0" w:line="282" w:lineRule="auto"/>
        <w:tabs>
          <w:tab w:leader="none" w:pos="170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Interest</w:t>
      </w:r>
      <w:r>
        <w:rPr>
          <w:rFonts w:ascii="Arial" w:cs="Arial" w:eastAsia="Arial" w:hAnsi="Arial"/>
          <w:sz w:val="18"/>
          <w:szCs w:val="18"/>
          <w:color w:val="auto"/>
        </w:rPr>
        <w:t>. This Note will accrue interest at a rate and in the manner set forth in Section 2.05 of the Indenture. Stated Interest on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will begin to accrue from, and including,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600" w:hanging="944"/>
        <w:spacing w:after="0"/>
        <w:tabs>
          <w:tab w:leader="none" w:pos="160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Maturity</w:t>
      </w:r>
      <w:r>
        <w:rPr>
          <w:rFonts w:ascii="Arial" w:cs="Arial" w:eastAsia="Arial" w:hAnsi="Arial"/>
          <w:sz w:val="18"/>
          <w:szCs w:val="18"/>
          <w:color w:val="auto"/>
        </w:rPr>
        <w:t>. This Note will mature on December 15, 2026, unless earlier repurchased, redeemed or converted.</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Method of Payment</w:t>
      </w:r>
      <w:r>
        <w:rPr>
          <w:rFonts w:ascii="Arial" w:cs="Arial" w:eastAsia="Arial" w:hAnsi="Arial"/>
          <w:sz w:val="17"/>
          <w:szCs w:val="17"/>
          <w:color w:val="auto"/>
        </w:rPr>
        <w:t>. Cash amounts due on this Note will be paid in the manner set forth in Section 2.04 of the Indenture.</w:t>
      </w:r>
    </w:p>
    <w:p>
      <w:pPr>
        <w:spacing w:after="0" w:line="236" w:lineRule="exact"/>
        <w:rPr>
          <w:rFonts w:ascii="Arial" w:cs="Arial" w:eastAsia="Arial" w:hAnsi="Arial"/>
          <w:sz w:val="17"/>
          <w:szCs w:val="17"/>
          <w:color w:val="auto"/>
        </w:rPr>
      </w:pPr>
    </w:p>
    <w:p>
      <w:pPr>
        <w:ind w:left="1600" w:hanging="944"/>
        <w:spacing w:after="0"/>
        <w:tabs>
          <w:tab w:leader="none" w:pos="160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Persons Deemed Owners</w:t>
      </w:r>
      <w:r>
        <w:rPr>
          <w:rFonts w:ascii="Arial" w:cs="Arial" w:eastAsia="Arial" w:hAnsi="Arial"/>
          <w:sz w:val="18"/>
          <w:szCs w:val="18"/>
          <w:color w:val="auto"/>
        </w:rPr>
        <w:t>. The Holder of this Note will be treated as the owner of this Note for all purposes.</w:t>
      </w:r>
    </w:p>
    <w:p>
      <w:pPr>
        <w:spacing w:after="0" w:line="225" w:lineRule="exact"/>
        <w:rPr>
          <w:rFonts w:ascii="Arial" w:cs="Arial" w:eastAsia="Arial" w:hAnsi="Arial"/>
          <w:sz w:val="18"/>
          <w:szCs w:val="18"/>
          <w:color w:val="auto"/>
        </w:rPr>
      </w:pPr>
    </w:p>
    <w:p>
      <w:pPr>
        <w:jc w:val="both"/>
        <w:ind w:firstLine="656"/>
        <w:spacing w:after="0" w:line="266" w:lineRule="auto"/>
        <w:tabs>
          <w:tab w:leader="none" w:pos="1592"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Denominations; Transfers and Exchanges</w:t>
      </w:r>
      <w:r>
        <w:rPr>
          <w:rFonts w:ascii="Arial" w:cs="Arial" w:eastAsia="Arial" w:hAnsi="Arial"/>
          <w:sz w:val="18"/>
          <w:szCs w:val="18"/>
          <w:color w:val="auto"/>
        </w:rPr>
        <w:t>. All Notes will be in registered form, without coupons, in principal amounts equal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Denominations. Subject to the terms of the Indenture, the Holder of this Note may transfer or exchange this Note by presenting it to the Registrar and delivering any required documentation or other materials.</w:t>
      </w:r>
    </w:p>
    <w:p>
      <w:pPr>
        <w:spacing w:after="0" w:line="175" w:lineRule="exact"/>
        <w:rPr>
          <w:rFonts w:ascii="Arial" w:cs="Arial" w:eastAsia="Arial" w:hAnsi="Arial"/>
          <w:sz w:val="18"/>
          <w:szCs w:val="18"/>
          <w:color w:val="auto"/>
        </w:rPr>
      </w:pPr>
    </w:p>
    <w:p>
      <w:pPr>
        <w:jc w:val="both"/>
        <w:ind w:right="20" w:firstLine="656"/>
        <w:spacing w:after="0" w:line="266" w:lineRule="auto"/>
        <w:tabs>
          <w:tab w:leader="none" w:pos="1606"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Right of Holders to Require the Company to Repurchase Notes upon a Fundamental Change</w:t>
      </w:r>
      <w:r>
        <w:rPr>
          <w:rFonts w:ascii="Arial" w:cs="Arial" w:eastAsia="Arial" w:hAnsi="Arial"/>
          <w:sz w:val="18"/>
          <w:szCs w:val="18"/>
          <w:color w:val="auto"/>
        </w:rPr>
        <w:t>. If a Fundamental Change occurs,</w:t>
      </w:r>
      <w:r>
        <w:rPr>
          <w:rFonts w:ascii="Arial" w:cs="Arial" w:eastAsia="Arial" w:hAnsi="Arial"/>
          <w:sz w:val="18"/>
          <w:szCs w:val="18"/>
          <w:b w:val="1"/>
          <w:bCs w:val="1"/>
          <w:color w:val="auto"/>
        </w:rPr>
        <w:t xml:space="preserve"> </w:t>
      </w:r>
      <w:r>
        <w:rPr>
          <w:rFonts w:ascii="Arial" w:cs="Arial" w:eastAsia="Arial" w:hAnsi="Arial"/>
          <w:sz w:val="18"/>
          <w:szCs w:val="18"/>
          <w:color w:val="auto"/>
        </w:rPr>
        <w:t>then each Holder will have the right to require the Company to repurchase such Holder’s Notes (or any portion thereof in an Authorized Denomination) for cash in the manner, and subject to the terms, set forth in Section 4.02 of the Indenture.</w:t>
      </w:r>
    </w:p>
    <w:p>
      <w:pPr>
        <w:spacing w:after="0" w:line="175" w:lineRule="exact"/>
        <w:rPr>
          <w:rFonts w:ascii="Arial" w:cs="Arial" w:eastAsia="Arial" w:hAnsi="Arial"/>
          <w:sz w:val="18"/>
          <w:szCs w:val="18"/>
          <w:color w:val="auto"/>
        </w:rPr>
      </w:pPr>
    </w:p>
    <w:p>
      <w:pPr>
        <w:ind w:firstLine="656"/>
        <w:spacing w:after="0" w:line="282" w:lineRule="auto"/>
        <w:tabs>
          <w:tab w:leader="none" w:pos="1741"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Right of the Company to Redeem the Notes</w:t>
      </w:r>
      <w:r>
        <w:rPr>
          <w:rFonts w:ascii="Arial" w:cs="Arial" w:eastAsia="Arial" w:hAnsi="Arial"/>
          <w:sz w:val="18"/>
          <w:szCs w:val="18"/>
          <w:color w:val="auto"/>
        </w:rPr>
        <w:t>. The Company will have the right to redeem the Notes for cash in the manner,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set forth in Section 4.03 of the Indenture.</w:t>
      </w:r>
    </w:p>
    <w:p>
      <w:pPr>
        <w:spacing w:after="0" w:line="161" w:lineRule="exact"/>
        <w:rPr>
          <w:rFonts w:ascii="Arial" w:cs="Arial" w:eastAsia="Arial" w:hAnsi="Arial"/>
          <w:sz w:val="18"/>
          <w:szCs w:val="18"/>
          <w:color w:val="auto"/>
        </w:rPr>
      </w:pPr>
    </w:p>
    <w:p>
      <w:pPr>
        <w:ind w:right="20" w:firstLine="656"/>
        <w:spacing w:after="0" w:line="282" w:lineRule="auto"/>
        <w:tabs>
          <w:tab w:leader="none" w:pos="1673"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Conversion</w:t>
      </w:r>
      <w:r>
        <w:rPr>
          <w:rFonts w:ascii="Arial" w:cs="Arial" w:eastAsia="Arial" w:hAnsi="Arial"/>
          <w:sz w:val="18"/>
          <w:szCs w:val="18"/>
          <w:color w:val="auto"/>
        </w:rPr>
        <w:t>. The Holder of this Note may convert this Note into Conversion Consideration in the manner, and subject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Article 5 of the Indenture.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firstLine="656"/>
        <w:spacing w:after="0" w:line="282" w:lineRule="auto"/>
        <w:tabs>
          <w:tab w:leader="none" w:pos="1592"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When the Company May Merge, Etc</w:t>
      </w:r>
      <w:r>
        <w:rPr>
          <w:rFonts w:ascii="Arial" w:cs="Arial" w:eastAsia="Arial" w:hAnsi="Arial"/>
          <w:sz w:val="18"/>
          <w:szCs w:val="18"/>
          <w:color w:val="auto"/>
        </w:rPr>
        <w:t>. Article 6 of the Indenture places limited restrictions on the Company’s ability to be a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a Business Combination Event.</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543"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Defaults and Remedies</w:t>
      </w:r>
      <w:r>
        <w:rPr>
          <w:rFonts w:ascii="Arial" w:cs="Arial" w:eastAsia="Arial" w:hAnsi="Arial"/>
          <w:sz w:val="18"/>
          <w:szCs w:val="18"/>
          <w:color w:val="auto"/>
        </w:rPr>
        <w:t>. If an Event of Default occurs, then the principal amount of, and all accrued and unpaid interest on,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Notes then outstanding may (and, in certain circumstances, will automatically) become due and payable in the manner, and subject to the terms, set forth in Article 7 of the Indenture.</w:t>
      </w:r>
    </w:p>
    <w:p>
      <w:pPr>
        <w:spacing w:after="0" w:line="175" w:lineRule="exact"/>
        <w:rPr>
          <w:rFonts w:ascii="Arial" w:cs="Arial" w:eastAsia="Arial" w:hAnsi="Arial"/>
          <w:sz w:val="18"/>
          <w:szCs w:val="18"/>
          <w:color w:val="auto"/>
        </w:rPr>
      </w:pPr>
    </w:p>
    <w:p>
      <w:pPr>
        <w:jc w:val="both"/>
        <w:ind w:firstLine="656"/>
        <w:spacing w:after="0" w:line="266" w:lineRule="auto"/>
        <w:tabs>
          <w:tab w:leader="none" w:pos="1617"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Amendments, Supplements and Waivers</w:t>
      </w:r>
      <w:r>
        <w:rPr>
          <w:rFonts w:ascii="Arial" w:cs="Arial" w:eastAsia="Arial" w:hAnsi="Arial"/>
          <w:sz w:val="18"/>
          <w:szCs w:val="18"/>
          <w:color w:val="auto"/>
        </w:rPr>
        <w:t>. The Company and the Trustee may amend or supplement the Indenture or the Notes or</w:t>
      </w:r>
      <w:r>
        <w:rPr>
          <w:rFonts w:ascii="Arial" w:cs="Arial" w:eastAsia="Arial" w:hAnsi="Arial"/>
          <w:sz w:val="18"/>
          <w:szCs w:val="18"/>
          <w:b w:val="1"/>
          <w:bCs w:val="1"/>
          <w:color w:val="auto"/>
        </w:rPr>
        <w:t xml:space="preserve"> </w:t>
      </w:r>
      <w:r>
        <w:rPr>
          <w:rFonts w:ascii="Arial" w:cs="Arial" w:eastAsia="Arial" w:hAnsi="Arial"/>
          <w:sz w:val="18"/>
          <w:szCs w:val="18"/>
          <w:color w:val="auto"/>
        </w:rPr>
        <w:t>waive compliance with any provision of the Indenture or the Notes in the manner, and subject to the terms, set forth in Section 7.05 and Article 8 of the Indenture.</w:t>
      </w:r>
    </w:p>
    <w:p>
      <w:pPr>
        <w:spacing w:after="0" w:line="175" w:lineRule="exact"/>
        <w:rPr>
          <w:rFonts w:ascii="Arial" w:cs="Arial" w:eastAsia="Arial" w:hAnsi="Arial"/>
          <w:sz w:val="18"/>
          <w:szCs w:val="18"/>
          <w:color w:val="auto"/>
        </w:rPr>
      </w:pPr>
    </w:p>
    <w:p>
      <w:pPr>
        <w:jc w:val="both"/>
        <w:ind w:firstLine="656"/>
        <w:spacing w:after="0" w:line="261" w:lineRule="auto"/>
        <w:tabs>
          <w:tab w:leader="none" w:pos="1597"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No Personal Liability of Directors, Officers, Employees and Stockholders</w:t>
      </w:r>
      <w:r>
        <w:rPr>
          <w:rFonts w:ascii="Arial" w:cs="Arial" w:eastAsia="Arial" w:hAnsi="Arial"/>
          <w:sz w:val="18"/>
          <w:szCs w:val="18"/>
          <w:color w:val="auto"/>
        </w:rPr>
        <w:t>. No past, present or future director, officer,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9" w:lineRule="exact"/>
        <w:rPr>
          <w:rFonts w:ascii="Arial" w:cs="Arial" w:eastAsia="Arial" w:hAnsi="Arial"/>
          <w:sz w:val="18"/>
          <w:szCs w:val="18"/>
          <w:color w:val="auto"/>
        </w:rPr>
      </w:pPr>
    </w:p>
    <w:p>
      <w:pPr>
        <w:ind w:right="20" w:firstLine="656"/>
        <w:spacing w:after="0" w:line="347" w:lineRule="auto"/>
        <w:tabs>
          <w:tab w:leader="none" w:pos="1611"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Authentication</w:t>
      </w:r>
      <w:r>
        <w:rPr>
          <w:rFonts w:ascii="Arial" w:cs="Arial" w:eastAsia="Arial" w:hAnsi="Arial"/>
          <w:sz w:val="16"/>
          <w:szCs w:val="16"/>
          <w:color w:val="auto"/>
        </w:rPr>
        <w:t>. No Note will be valid until it is authenticated by the Trustee. A Note will be deemed to be duly authenticated only</w:t>
      </w:r>
      <w:r>
        <w:rPr>
          <w:rFonts w:ascii="Arial" w:cs="Arial" w:eastAsia="Arial" w:hAnsi="Arial"/>
          <w:sz w:val="16"/>
          <w:szCs w:val="16"/>
          <w:b w:val="1"/>
          <w:bCs w:val="1"/>
          <w:color w:val="auto"/>
        </w:rPr>
        <w:t xml:space="preserve"> </w:t>
      </w:r>
      <w:r>
        <w:rPr>
          <w:rFonts w:ascii="Arial" w:cs="Arial" w:eastAsia="Arial" w:hAnsi="Arial"/>
          <w:sz w:val="16"/>
          <w:szCs w:val="16"/>
          <w:color w:val="auto"/>
        </w:rPr>
        <w:t>when an authorized signatory of the Trustee (or a duly appointed authenticating agent) manually signs the certificate of authentication of such Note.</w:t>
      </w:r>
    </w:p>
    <w:p>
      <w:pPr>
        <w:spacing w:after="0" w:line="115" w:lineRule="exact"/>
        <w:rPr>
          <w:rFonts w:ascii="Arial" w:cs="Arial" w:eastAsia="Arial" w:hAnsi="Arial"/>
          <w:sz w:val="16"/>
          <w:szCs w:val="16"/>
          <w:color w:val="auto"/>
        </w:rPr>
      </w:pPr>
    </w:p>
    <w:p>
      <w:pPr>
        <w:jc w:val="both"/>
        <w:ind w:firstLine="656"/>
        <w:spacing w:after="0" w:line="266" w:lineRule="auto"/>
        <w:tabs>
          <w:tab w:leader="none" w:pos="180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Abbreviations</w:t>
      </w:r>
      <w:r>
        <w:rPr>
          <w:rFonts w:ascii="Arial" w:cs="Arial" w:eastAsia="Arial" w:hAnsi="Arial"/>
          <w:sz w:val="18"/>
          <w:szCs w:val="18"/>
          <w:color w:val="auto"/>
        </w:rPr>
        <w:t>. Customary abbreviations may be used in the name of a Holder or its assignee, such as TEN COM (tenants in</w:t>
      </w:r>
      <w:r>
        <w:rPr>
          <w:rFonts w:ascii="Arial" w:cs="Arial" w:eastAsia="Arial" w:hAnsi="Arial"/>
          <w:sz w:val="18"/>
          <w:szCs w:val="18"/>
          <w:b w:val="1"/>
          <w:bCs w:val="1"/>
          <w:color w:val="auto"/>
        </w:rPr>
        <w:t xml:space="preserve"> </w:t>
      </w:r>
      <w:r>
        <w:rPr>
          <w:rFonts w:ascii="Arial" w:cs="Arial" w:eastAsia="Arial" w:hAnsi="Arial"/>
          <w:sz w:val="18"/>
          <w:szCs w:val="18"/>
          <w:color w:val="auto"/>
        </w:rPr>
        <w:t>common), TEN ENT (tenants by the entireties), JT TEN (joint tenants with right of survivorship and not as tenants in common), CUST (custodian), and U/G/M/A (Uniform Gift to Minors Act).</w:t>
      </w:r>
    </w:p>
    <w:p>
      <w:pPr>
        <w:spacing w:after="0" w:line="175" w:lineRule="exact"/>
        <w:rPr>
          <w:rFonts w:ascii="Arial" w:cs="Arial" w:eastAsia="Arial" w:hAnsi="Arial"/>
          <w:sz w:val="18"/>
          <w:szCs w:val="18"/>
          <w:color w:val="auto"/>
        </w:rPr>
      </w:pPr>
    </w:p>
    <w:p>
      <w:pPr>
        <w:ind w:firstLine="656"/>
        <w:spacing w:after="0" w:line="282" w:lineRule="auto"/>
        <w:tabs>
          <w:tab w:leader="none" w:pos="157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NOTE, AND ANY CLAIM, CONTROVERSY OR DISPUTE ARISING UNDER OR RELATED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WILL BE GOVERNED BY AND CONSTRUED IN ACCORDANCE WITH THE LAWS OF THE STATE OF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request a copy of the Indenture, which the Company will provide to any Holder at no charge, please send a written request to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Lucid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7373 Gateway Blvd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Newark, CA 94560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SCHEDULE OF EXCHANGES OF INTERESTS IN THE GLOBAL NOTE</w:t>
      </w:r>
      <w:r>
        <w:rPr>
          <w:rFonts w:ascii="Arial" w:cs="Arial" w:eastAsia="Arial" w:hAnsi="Arial"/>
          <w:sz w:val="29"/>
          <w:szCs w:val="29"/>
          <w:b w:val="1"/>
          <w:bCs w:val="1"/>
          <w:color w:val="auto"/>
          <w:vertAlign w:val="superscript"/>
        </w:rPr>
        <w:t>*</w:t>
      </w:r>
    </w:p>
    <w:p>
      <w:pPr>
        <w:spacing w:after="0" w:line="13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INITIAL PRINCIPAL AMOUNT OF THIS GLOBAL NOTE: $[___]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exchanges, transfers or cancellations of this Global Note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Amount of Increase (Decrease)</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Principal Amount of this Global</w:t>
            </w:r>
          </w:p>
        </w:tc>
        <w:tc>
          <w:tcPr>
            <w:tcW w:w="26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Principal Amount of this</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Note After Such Increase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 of Authorized</w:t>
            </w:r>
          </w:p>
        </w:tc>
      </w:tr>
      <w:tr>
        <w:trPr>
          <w:trHeight w:val="234"/>
        </w:trPr>
        <w:tc>
          <w:tcPr>
            <w:tcW w:w="2820" w:type="dxa"/>
            <w:vAlign w:val="bottom"/>
            <w:gridSpan w:val="2"/>
          </w:tcPr>
          <w:p>
            <w:pPr>
              <w:ind w:left="1180"/>
              <w:spacing w:after="0"/>
              <w:rPr>
                <w:sz w:val="20"/>
                <w:szCs w:val="20"/>
                <w:color w:val="auto"/>
              </w:rPr>
            </w:pPr>
            <w:r>
              <w:rPr>
                <w:rFonts w:ascii="Arial" w:cs="Arial" w:eastAsia="Arial" w:hAnsi="Arial"/>
                <w:sz w:val="18"/>
                <w:szCs w:val="18"/>
                <w:b w:val="1"/>
                <w:bCs w:val="1"/>
                <w:color w:val="auto"/>
              </w:rPr>
              <w:t>Date</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Global Note</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(Decrease)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9"/>
              </w:rPr>
              <w:t>Signatory of Trustee</w:t>
            </w:r>
          </w:p>
        </w:tc>
      </w:tr>
      <w:tr>
        <w:trPr>
          <w:trHeight w:val="209"/>
        </w:trPr>
        <w:tc>
          <w:tcPr>
            <w:tcW w:w="27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top w:val="single" w:sz="8" w:color="auto"/>
              <w:bottom w:val="single" w:sz="8" w:color="auto"/>
            </w:tcBorders>
          </w:tcPr>
          <w:p>
            <w:pPr>
              <w:spacing w:after="0"/>
              <w:rPr>
                <w:sz w:val="18"/>
                <w:szCs w:val="18"/>
                <w:color w:val="auto"/>
              </w:rPr>
            </w:pPr>
          </w:p>
        </w:tc>
      </w:tr>
      <w:tr>
        <w:trPr>
          <w:trHeight w:val="210"/>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10"/>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10"/>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10"/>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10"/>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10"/>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263"/>
        </w:trPr>
        <w:tc>
          <w:tcPr>
            <w:tcW w:w="2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80" w:type="dxa"/>
            <w:vAlign w:val="bottom"/>
          </w:tcPr>
          <w:p>
            <w:pPr>
              <w:spacing w:after="0"/>
              <w:rPr>
                <w:sz w:val="22"/>
                <w:szCs w:val="22"/>
                <w:color w:val="auto"/>
              </w:rPr>
            </w:pPr>
          </w:p>
        </w:tc>
      </w:tr>
    </w:tbl>
    <w:p>
      <w:pPr>
        <w:ind w:left="160" w:hanging="152"/>
        <w:spacing w:after="0" w:line="197" w:lineRule="auto"/>
        <w:tabs>
          <w:tab w:leader="none" w:pos="160" w:val="left"/>
        </w:tabs>
        <w:numPr>
          <w:ilvl w:val="0"/>
          <w:numId w:val="128"/>
        </w:numPr>
        <w:rPr>
          <w:rFonts w:ascii="Arial" w:cs="Arial" w:eastAsia="Arial" w:hAnsi="Arial"/>
          <w:sz w:val="30"/>
          <w:szCs w:val="30"/>
          <w:color w:val="auto"/>
          <w:vertAlign w:val="superscript"/>
        </w:rPr>
      </w:pPr>
      <w:r>
        <w:rPr>
          <w:rFonts w:ascii="Arial" w:cs="Arial" w:eastAsia="Arial" w:hAnsi="Arial"/>
          <w:sz w:val="18"/>
          <w:szCs w:val="18"/>
          <w:color w:val="auto"/>
        </w:rPr>
        <w:t>Insert for Global Notes only.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CONVERSION NOTICE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 Convertible Senior Notes due 2026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terms of the Indenture, by executing and delivering this Conversion Notice, the undersigned Holder of the Note identified below directs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to convert (check one):</w:t>
      </w:r>
    </w:p>
    <w:p>
      <w:pPr>
        <w:spacing w:after="0" w:line="211" w:lineRule="exact"/>
        <w:rPr>
          <w:sz w:val="20"/>
          <w:szCs w:val="20"/>
          <w:color w:val="auto"/>
        </w:rPr>
      </w:pPr>
    </w:p>
    <w:p>
      <w:pPr>
        <w:ind w:left="340" w:hanging="332"/>
        <w:spacing w:after="0"/>
        <w:tabs>
          <w:tab w:leader="none" w:pos="340" w:val="left"/>
        </w:tabs>
        <w:numPr>
          <w:ilvl w:val="0"/>
          <w:numId w:val="129"/>
        </w:numPr>
        <w:rPr>
          <w:rFonts w:ascii="MS PGothic" w:cs="MS PGothic" w:eastAsia="MS PGothic" w:hAnsi="MS PGothic"/>
          <w:sz w:val="18"/>
          <w:szCs w:val="18"/>
          <w:color w:val="auto"/>
        </w:rPr>
      </w:pPr>
      <w:r>
        <w:rPr>
          <w:rFonts w:ascii="Arial" w:cs="Arial" w:eastAsia="Arial" w:hAnsi="Arial"/>
          <w:sz w:val="18"/>
          <w:szCs w:val="18"/>
          <w:color w:val="auto"/>
        </w:rPr>
        <w:t>the entire principal amount of</w:t>
      </w:r>
    </w:p>
    <w:p>
      <w:pPr>
        <w:spacing w:after="0" w:line="192" w:lineRule="exact"/>
        <w:rPr>
          <w:sz w:val="20"/>
          <w:szCs w:val="20"/>
          <w:color w:val="auto"/>
        </w:rPr>
      </w:pPr>
    </w:p>
    <w:p>
      <w:pPr>
        <w:spacing w:after="0" w:line="403" w:lineRule="exact"/>
        <w:tabs>
          <w:tab w:leader="none" w:pos="320" w:val="left"/>
          <w:tab w:leader="none" w:pos="1340" w:val="left"/>
          <w:tab w:leader="none" w:pos="7100" w:val="left"/>
          <w:tab w:leader="none" w:pos="9420" w:val="left"/>
        </w:tabs>
        <w:rPr>
          <w:sz w:val="20"/>
          <w:szCs w:val="20"/>
          <w:color w:val="auto"/>
        </w:rPr>
      </w:pPr>
      <w:r>
        <w:rPr>
          <w:rFonts w:ascii="MS PGothic" w:cs="MS PGothic" w:eastAsia="MS PGothic" w:hAnsi="MS PGothic"/>
          <w:sz w:val="35"/>
          <w:szCs w:val="35"/>
          <w:color w:val="auto"/>
          <w:vertAlign w:val="superscript"/>
        </w:rPr>
        <w:t>☐</w:t>
      </w:r>
      <w:r>
        <w:rPr>
          <w:rFonts w:ascii="Arial" w:cs="Arial" w:eastAsia="Arial" w:hAnsi="Arial"/>
          <w:sz w:val="18"/>
          <w:szCs w:val="18"/>
          <w:color w:val="auto"/>
        </w:rPr>
        <w:tab/>
        <w:t>$</w:t>
      </w:r>
      <w:r>
        <w:rPr>
          <w:sz w:val="20"/>
          <w:szCs w:val="20"/>
          <w:color w:val="auto"/>
        </w:rPr>
        <w:tab/>
      </w:r>
      <w:r>
        <w:rPr>
          <w:rFonts w:ascii="Arial" w:cs="Arial" w:eastAsia="Arial" w:hAnsi="Arial"/>
          <w:sz w:val="30"/>
          <w:szCs w:val="30"/>
          <w:color w:val="auto"/>
          <w:vertAlign w:val="superscript"/>
        </w:rPr>
        <w:t xml:space="preserve">* </w:t>
      </w:r>
      <w:r>
        <w:rPr>
          <w:rFonts w:ascii="Arial" w:cs="Arial" w:eastAsia="Arial" w:hAnsi="Arial"/>
          <w:sz w:val="17"/>
          <w:szCs w:val="17"/>
          <w:color w:val="auto"/>
        </w:rPr>
        <w:t>aggregate principal amount of the Note identified by CUSIP No.</w:t>
      </w:r>
      <w:r>
        <w:rPr>
          <w:sz w:val="20"/>
          <w:szCs w:val="20"/>
          <w:color w:val="auto"/>
        </w:rPr>
        <w:tab/>
      </w:r>
      <w:r>
        <w:rPr>
          <w:rFonts w:ascii="Arial" w:cs="Arial" w:eastAsia="Arial" w:hAnsi="Arial"/>
          <w:sz w:val="18"/>
          <w:szCs w:val="18"/>
          <w:color w:val="auto"/>
        </w:rPr>
        <w:t>and Certificate No.</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-87630</wp:posOffset>
            </wp:positionV>
            <wp:extent cx="6000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-87630</wp:posOffset>
            </wp:positionV>
            <wp:extent cx="571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-87630</wp:posOffset>
            </wp:positionV>
            <wp:extent cx="571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408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(Legal Name of Holder)</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Guaranteed:</w:t>
      </w:r>
    </w:p>
    <w:p>
      <w:pPr>
        <w:spacing w:after="0" w:line="239"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1" w:lineRule="exact"/>
        <w:rPr>
          <w:sz w:val="20"/>
          <w:szCs w:val="20"/>
          <w:color w:val="auto"/>
        </w:rPr>
      </w:pPr>
    </w:p>
    <w:p>
      <w:pPr>
        <w:ind w:left="160" w:hanging="152"/>
        <w:spacing w:after="0"/>
        <w:tabs>
          <w:tab w:leader="none" w:pos="160" w:val="left"/>
        </w:tabs>
        <w:numPr>
          <w:ilvl w:val="0"/>
          <w:numId w:val="130"/>
        </w:numPr>
        <w:rPr>
          <w:rFonts w:ascii="Arial" w:cs="Arial" w:eastAsia="Arial" w:hAnsi="Arial"/>
          <w:sz w:val="30"/>
          <w:szCs w:val="30"/>
          <w:color w:val="auto"/>
          <w:vertAlign w:val="superscript"/>
        </w:rPr>
      </w:pPr>
      <w:r>
        <w:rPr>
          <w:rFonts w:ascii="Arial" w:cs="Arial" w:eastAsia="Arial" w:hAnsi="Arial"/>
          <w:sz w:val="18"/>
          <w:szCs w:val="18"/>
          <w:color w:val="auto"/>
        </w:rPr>
        <w:t>Must be an Authorized Denomination.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FUNDAMENTAL CHANGE REPURCHASE NOTICE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 Convertible Senior Notes due 2026</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the terms of the Indenture, by executing and delivering this Fundamental Change Repurchase Notice, the undersigned Holder of the Note identified below is exercising its Fundamental Change Repurchase Right with respect to (check one):</w:t>
      </w:r>
    </w:p>
    <w:p>
      <w:pPr>
        <w:spacing w:after="0" w:line="170" w:lineRule="exact"/>
        <w:rPr>
          <w:sz w:val="20"/>
          <w:szCs w:val="20"/>
          <w:color w:val="auto"/>
        </w:rPr>
      </w:pPr>
    </w:p>
    <w:p>
      <w:pPr>
        <w:ind w:left="340" w:hanging="332"/>
        <w:spacing w:after="0"/>
        <w:tabs>
          <w:tab w:leader="none" w:pos="340" w:val="left"/>
        </w:tabs>
        <w:numPr>
          <w:ilvl w:val="0"/>
          <w:numId w:val="131"/>
        </w:numPr>
        <w:rPr>
          <w:rFonts w:ascii="MS PGothic" w:cs="MS PGothic" w:eastAsia="MS PGothic" w:hAnsi="MS PGothic"/>
          <w:sz w:val="18"/>
          <w:szCs w:val="18"/>
          <w:color w:val="auto"/>
        </w:rPr>
      </w:pPr>
      <w:r>
        <w:rPr>
          <w:rFonts w:ascii="Arial" w:cs="Arial" w:eastAsia="Arial" w:hAnsi="Arial"/>
          <w:sz w:val="18"/>
          <w:szCs w:val="18"/>
          <w:color w:val="auto"/>
        </w:rPr>
        <w:t>the entire principal amount of</w:t>
      </w:r>
    </w:p>
    <w:p>
      <w:pPr>
        <w:spacing w:after="0" w:line="192" w:lineRule="exact"/>
        <w:rPr>
          <w:sz w:val="20"/>
          <w:szCs w:val="20"/>
          <w:color w:val="auto"/>
        </w:rPr>
      </w:pPr>
    </w:p>
    <w:p>
      <w:pPr>
        <w:spacing w:after="0" w:line="403" w:lineRule="exact"/>
        <w:tabs>
          <w:tab w:leader="none" w:pos="320" w:val="left"/>
          <w:tab w:leader="none" w:pos="1340" w:val="left"/>
          <w:tab w:leader="none" w:pos="7100" w:val="left"/>
          <w:tab w:leader="none" w:pos="9420" w:val="left"/>
        </w:tabs>
        <w:rPr>
          <w:sz w:val="20"/>
          <w:szCs w:val="20"/>
          <w:color w:val="auto"/>
        </w:rPr>
      </w:pPr>
      <w:r>
        <w:rPr>
          <w:rFonts w:ascii="MS PGothic" w:cs="MS PGothic" w:eastAsia="MS PGothic" w:hAnsi="MS PGothic"/>
          <w:sz w:val="35"/>
          <w:szCs w:val="35"/>
          <w:color w:val="auto"/>
          <w:vertAlign w:val="superscript"/>
        </w:rPr>
        <w:t>☐</w:t>
      </w:r>
      <w:r>
        <w:rPr>
          <w:rFonts w:ascii="Arial" w:cs="Arial" w:eastAsia="Arial" w:hAnsi="Arial"/>
          <w:sz w:val="18"/>
          <w:szCs w:val="18"/>
          <w:color w:val="auto"/>
        </w:rPr>
        <w:tab/>
        <w:t>$</w:t>
      </w:r>
      <w:r>
        <w:rPr>
          <w:sz w:val="20"/>
          <w:szCs w:val="20"/>
          <w:color w:val="auto"/>
        </w:rPr>
        <w:tab/>
      </w:r>
      <w:r>
        <w:rPr>
          <w:rFonts w:ascii="Arial" w:cs="Arial" w:eastAsia="Arial" w:hAnsi="Arial"/>
          <w:sz w:val="30"/>
          <w:szCs w:val="30"/>
          <w:color w:val="auto"/>
          <w:vertAlign w:val="superscript"/>
        </w:rPr>
        <w:t xml:space="preserve">* </w:t>
      </w:r>
      <w:r>
        <w:rPr>
          <w:rFonts w:ascii="Arial" w:cs="Arial" w:eastAsia="Arial" w:hAnsi="Arial"/>
          <w:sz w:val="17"/>
          <w:szCs w:val="17"/>
          <w:color w:val="auto"/>
        </w:rPr>
        <w:t>aggregate principal amount of the Note identified by CUSIP No.</w:t>
      </w:r>
      <w:r>
        <w:rPr>
          <w:sz w:val="20"/>
          <w:szCs w:val="20"/>
          <w:color w:val="auto"/>
        </w:rPr>
        <w:tab/>
      </w:r>
      <w:r>
        <w:rPr>
          <w:rFonts w:ascii="Arial" w:cs="Arial" w:eastAsia="Arial" w:hAnsi="Arial"/>
          <w:sz w:val="18"/>
          <w:szCs w:val="18"/>
          <w:color w:val="auto"/>
        </w:rPr>
        <w:t>and Certificate No.</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-87630</wp:posOffset>
            </wp:positionV>
            <wp:extent cx="6000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-87630</wp:posOffset>
            </wp:positionV>
            <wp:extent cx="571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-87630</wp:posOffset>
            </wp:positionV>
            <wp:extent cx="571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undersigned acknowledges that this Note, duly endorsed for transfer, must be delivered to the Paying Agent before the Fundamental Change Repurchase Price will be paid.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408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(Legal Name of Holder)</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Guaranteed:</w:t>
      </w:r>
    </w:p>
    <w:p>
      <w:pPr>
        <w:spacing w:after="0" w:line="23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1" w:lineRule="exact"/>
        <w:rPr>
          <w:sz w:val="20"/>
          <w:szCs w:val="20"/>
          <w:color w:val="auto"/>
        </w:rPr>
      </w:pPr>
    </w:p>
    <w:p>
      <w:pPr>
        <w:ind w:left="160" w:hanging="152"/>
        <w:spacing w:after="0"/>
        <w:tabs>
          <w:tab w:leader="none" w:pos="160" w:val="left"/>
        </w:tabs>
        <w:numPr>
          <w:ilvl w:val="0"/>
          <w:numId w:val="132"/>
        </w:numPr>
        <w:rPr>
          <w:rFonts w:ascii="Arial" w:cs="Arial" w:eastAsia="Arial" w:hAnsi="Arial"/>
          <w:sz w:val="30"/>
          <w:szCs w:val="30"/>
          <w:color w:val="auto"/>
          <w:vertAlign w:val="superscript"/>
        </w:rPr>
      </w:pPr>
      <w:r>
        <w:rPr>
          <w:rFonts w:ascii="Arial" w:cs="Arial" w:eastAsia="Arial" w:hAnsi="Arial"/>
          <w:sz w:val="18"/>
          <w:szCs w:val="18"/>
          <w:color w:val="auto"/>
        </w:rPr>
        <w:t>Must be an Authorized Denomination.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center"/>
        <w:ind w:right="-1100"/>
        <w:spacing w:after="0"/>
        <w:rPr>
          <w:sz w:val="20"/>
          <w:szCs w:val="20"/>
          <w:color w:val="auto"/>
        </w:rPr>
      </w:pPr>
      <w:r>
        <w:rPr>
          <w:rFonts w:ascii="Arial" w:cs="Arial" w:eastAsia="Arial" w:hAnsi="Arial"/>
          <w:sz w:val="18"/>
          <w:szCs w:val="18"/>
          <w:b w:val="1"/>
          <w:bCs w:val="1"/>
          <w:color w:val="auto"/>
        </w:rPr>
        <w:t>ASSIGNMENT FORM</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1.25% Convertible Senior Notes due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the Indenture, the undersigned Holder of the within Note assigns . .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6350</wp:posOffset>
            </wp:positionV>
            <wp:extent cx="55632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6350</wp:posOffset>
            </wp:positionV>
            <wp:extent cx="55632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-1905</wp:posOffset>
            </wp:positionV>
            <wp:extent cx="55632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6323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irrevocably appoints: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agent to transfer the within Note on the books of the Company. The agent may substitute another to act for him/her.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408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(Legal Name of Holder)</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Guaranteed:</w:t>
      </w:r>
    </w:p>
    <w:p>
      <w:pPr>
        <w:spacing w:after="0" w:line="239" w:lineRule="exact"/>
        <w:rPr>
          <w:sz w:val="20"/>
          <w:szCs w:val="20"/>
          <w:color w:val="auto"/>
        </w:rPr>
      </w:pPr>
    </w:p>
    <w:p>
      <w:pPr>
        <w:jc w:val="right"/>
        <w:ind w:right="379"/>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TRANSFEROR ACKNOWLEDGMENT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within Note bears a Restricted Note Legend, the undersigned further certifies that (check one):</w:t>
      </w:r>
    </w:p>
    <w:p>
      <w:pPr>
        <w:spacing w:after="0" w:line="192" w:lineRule="exact"/>
        <w:rPr>
          <w:sz w:val="20"/>
          <w:szCs w:val="20"/>
          <w:color w:val="auto"/>
        </w:rPr>
      </w:pPr>
    </w:p>
    <w:p>
      <w:pPr>
        <w:ind w:left="340" w:hanging="332"/>
        <w:spacing w:after="0" w:line="207" w:lineRule="exact"/>
        <w:tabs>
          <w:tab w:leader="none" w:pos="340" w:val="left"/>
        </w:tabs>
        <w:numPr>
          <w:ilvl w:val="0"/>
          <w:numId w:val="13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made to the Company or a Subsidiary of the Company.</w:t>
      </w:r>
    </w:p>
    <w:p>
      <w:pPr>
        <w:spacing w:after="0" w:line="225" w:lineRule="exact"/>
        <w:rPr>
          <w:rFonts w:ascii="Arial" w:cs="Arial" w:eastAsia="Arial" w:hAnsi="Arial"/>
          <w:sz w:val="18"/>
          <w:szCs w:val="18"/>
          <w:color w:val="auto"/>
        </w:rPr>
      </w:pPr>
    </w:p>
    <w:p>
      <w:pPr>
        <w:ind w:left="800" w:hanging="792"/>
        <w:spacing w:after="0" w:line="239" w:lineRule="exact"/>
        <w:tabs>
          <w:tab w:leader="none" w:pos="341" w:val="left"/>
        </w:tabs>
        <w:numPr>
          <w:ilvl w:val="0"/>
          <w:numId w:val="13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made pursuant to, and in accordance with, a registration statement that is effective under the Securities Act at the time of the Transfer.</w:t>
      </w:r>
    </w:p>
    <w:p>
      <w:pPr>
        <w:spacing w:after="0" w:line="170" w:lineRule="exact"/>
        <w:rPr>
          <w:rFonts w:ascii="Arial" w:cs="Arial" w:eastAsia="Arial" w:hAnsi="Arial"/>
          <w:sz w:val="18"/>
          <w:szCs w:val="18"/>
          <w:color w:val="auto"/>
        </w:rPr>
      </w:pPr>
    </w:p>
    <w:p>
      <w:pPr>
        <w:ind w:left="800" w:hanging="792"/>
        <w:spacing w:after="0" w:line="226" w:lineRule="exact"/>
        <w:tabs>
          <w:tab w:leader="none" w:pos="341" w:val="left"/>
        </w:tabs>
        <w:numPr>
          <w:ilvl w:val="0"/>
          <w:numId w:val="13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 Rule 144A. </w:t>
      </w:r>
      <w:r>
        <w:rPr>
          <w:rFonts w:ascii="Arial" w:cs="Arial" w:eastAsia="Arial" w:hAnsi="Arial"/>
          <w:sz w:val="16"/>
          <w:szCs w:val="16"/>
          <w:b w:val="1"/>
          <w:bCs w:val="1"/>
          <w:color w:val="auto"/>
        </w:rPr>
        <w:t>If this item is checked, then the transferee must complete and execute the acknowledgment contained on the next page</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800" w:right="20" w:hanging="792"/>
        <w:spacing w:after="0" w:line="239" w:lineRule="exact"/>
        <w:tabs>
          <w:tab w:leader="none" w:pos="341" w:val="left"/>
        </w:tabs>
        <w:numPr>
          <w:ilvl w:val="0"/>
          <w:numId w:val="13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made pursuant to, and in accordance with, any other available exemption from the registration requirements of the Securities Act (including, if available, the exemption provided by Rule 144 under the Securities Act).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0" w:lineRule="exact"/>
        <w:rPr>
          <w:sz w:val="20"/>
          <w:szCs w:val="20"/>
          <w:color w:val="auto"/>
        </w:rPr>
      </w:pPr>
    </w:p>
    <w:p>
      <w:pPr>
        <w:spacing w:after="0" w:line="255"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Guarantee Medallion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TRANSFEREE ACKNOWLEDGMENT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B-1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RESTRICTED NOTE LEGEND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 AND SALE OF THIS NOTE AND THE SHARES OF COMMON STOCK, IF ANY, ISSUABLE UPON CONVERSION OF THIS NOTE HAVE NOT BEEN REGISTERED UNDER THE SECURITIES ACT OF 1933, AS AMENDED (THE “SECURITIES ACT”), AND THIS NOTE MAY NOT BE OFFERED, SOLD, PLEDGED OR OTHERWISE TRANSFERRED EXCEPT IN ACCORDANCE WITH THE FOLLOWING SENTENCE. BY ITS ACQUISITION HEREOF OR OF A BENEFICIAL INTEREST HEREIN, THE ACQUIRER:</w:t>
      </w:r>
    </w:p>
    <w:p>
      <w:pPr>
        <w:spacing w:after="0" w:line="187" w:lineRule="exact"/>
        <w:rPr>
          <w:sz w:val="20"/>
          <w:szCs w:val="20"/>
          <w:color w:val="auto"/>
        </w:rPr>
      </w:pPr>
    </w:p>
    <w:p>
      <w:pPr>
        <w:jc w:val="both"/>
        <w:ind w:left="660" w:hanging="652"/>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AGREES FOR THE BENEFIT OF THE COMPANY THAT IT WILL NOT OFFER, SELL, PLEDGE OR OTHERWISE TRANSFER THIS NOTE OR ANY BENEFICIAL INTEREST HEREIN, EXCEPT ONLY: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THE COMPANY OR ANY SUBSIDIARY THEREOF;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PURSUANT TO A REGISTRATION STATEMENT THAT IS EFFECTIVE UNDER THE SECURITIES 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PURSUANT TO RULE 144 UNDER THE SECURITIES ACT;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PURSUANT TO ANY OTHER EXEMPTION FROM, OR IN A TRANSACTION NOT SUBJECT TO, THE REGISTRATION REQUIREMENTS OF THE SECURITIES ACT.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BEFORE THE REGISTRATION OF ANY SALE OR TRANSFER IN ACCORDANCE WITH (2)(C), (D) OR (E) ABOVE, THE COMPANY, THE TRUSTEE AND THE REGISTRAR RESERVE THE RIGHT TO REQUIRE THE DELIVERY OF SUCH CERTIFICATES OR OTHER DOCUMENTATION OR EVIDENCE AS THEY MAY REASONABLY REQUIRE IN ORDER FOR THE COMPANY TO DETERMINE THAT THE PROPOSED SALE OR TRANSFER IS BEING MADE IN COMPLIANCE WITH THE SECURITIES ACT AND APPLICABLE STATE SECURITIES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B-2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GLOBAL NOTE LEGEND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B-3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NON-AFFILIATE LEGEND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AFFILIATE (AS DEFINED IN RULE 144 UNDER THE SECURITIES ACT OF 1933, AS AMENDED) OF THE COMPANY, OR ANY PERSON OR ENTITY THAT WAS AN AFFILIATE (AS DEFINED UNDER RULE 144 UNDER THE SECURITIES ACT OF 1933, AS AMENDED) OF THE COMPANY WITHIN THE THREE MONTHS IMMEDIATELY PRECEDING MAY PURCHASE OR OTHERWISE ACQUIRE THIS NOTE OR ANY BENEFICIAL INTEREST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 Prices $1,750,000,000 Convertible Senior Notes Offering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NEWARK, CALIFORNIA—(PRNewswire)—December 9, 2021—Lucid Group, Inc. (“Lucid”)(Nasdaq: LCID) today announced the pricing of its offering of $1,750,000,000 aggregate principal amount of 1.25% convertible senior notes due 2026 (the “notes”) in a private offering to persons reasonably believed to be qualified institutional buyers pursuant to Rule 144A under the Securities Act of 1933, as amended (the “Securities Act”). The issuance and sale of the notes are scheduled to settle on or about December 14, 2021, subject to the satisfaction of customary closing conditions. Lucid also granted the initial purchasers of the notes an option, for settlement within a period of 13 days from, and including, the date the notes are first issued, to purchase up to an additional $262,500,000 principal amount of notes.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notes will be senior, unsecured obligations of Lucid and will accrue interest at a rate of 1.25% per annum, payable semi-annually in arrears on June 15 and December 15 of each year, beginning on June 15, 2022. The notes will mature on December 15, 2026, unless earlier repurchased, redeemed or converted. Before September 15, 2026, noteholders will have the right to convert their notes only upon the occurrence of certain events and during specified periods. From and after September 15, 2026, noteholders may convert their notes at any time at their election until the close of business on the second scheduled trading day immediately before the maturity date. Lucid will settle conversions of notes by paying or delivering, as applicable, cash, shares of its Class A common stock (the “common stock”) or a combination thereof, at Lucid’s election. The initial conversion rate is 18.2548 shares of common stock per $1,000 principal amount of notes, which represents an initial conversion price of approximately $54.78 per share of common stock. The initial conversion price represents a premium of approximately 50.00% over the last reported sale price on The Nasdaq Global Select Market of $36.52 per share of Lucid’s common stock on December 9, 2021. The conversion rate and conversion price will be subject to adjustment upon the occurrence of certain events. If a “make-whole fundamental change” (as defined in the indenture for the notes) occurs, Lucid will, in certain circumstances, increase the conversion rate for a specified time for holders who convert their notes in connection with that make-whole fundamental change.</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notes will be redeemable, in whole or in part (subject to certain limitations), for cash at Lucid’s option at any time, and from time to time, on or after December 20, 2024 and on or before the 31st scheduled trading day immediately before the maturity date, but only if the last reported sale price per share of Lucid’s common stock exceeds 130% of the conversion price for a specified period of time and certain liquidity conditions are satisfied. The redemption price will be equal to the principal amount of the notes to be redeemed, plus accrued and unpaid interest, if any, to, but excluding, the redemption date. If Lucid calls any or all notes for redemption, holders of notes called for redemption may convert their notes during the related redemption conversion period, and any such conversion will also constitute a “make-whole fundamental change” with respect to the notes so converted.</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 “fundamental change” (as defined in the indenture for the notes) occurs, then, subject to limited exceptions, holders may require Lucid to repurchase their notes for cash. The repurchase price will be equal to the principal amount of the notes to be repurchased, plus accrued and unpaid interest, if any, to, but excluding, the applicable repurchase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10" w:name="page111"/>
    <w:bookmarkEnd w:id="110"/>
    <w:p>
      <w:pPr>
        <w:jc w:val="both"/>
        <w:spacing w:after="0" w:line="271" w:lineRule="auto"/>
        <w:rPr>
          <w:sz w:val="20"/>
          <w:szCs w:val="20"/>
          <w:color w:val="auto"/>
        </w:rPr>
      </w:pPr>
      <w:r>
        <w:rPr>
          <w:rFonts w:ascii="Arial" w:cs="Arial" w:eastAsia="Arial" w:hAnsi="Arial"/>
          <w:sz w:val="17"/>
          <w:szCs w:val="17"/>
          <w:color w:val="auto"/>
        </w:rPr>
        <w:t>Lucid estimates that the net proceeds from the offering will be approximately $1,727 million (or approximately $1,987 million if the initial purchasers fully exercise their option to purchase additional notes), after deducting the initial purchasers’ discounts and commissions and estimated offering expenses. Lucid intends to allocate an amount equal to the net proceeds from the notes to finance or refinance, in whole or in part, one or more new or existing “Eligible Green Investments,” including the development, manufacture, or distribution of products, key components, and machinery related to electric vehicles or energy storage systems, as well as investments and expenditures related to renewable energy, energy efficiency, and sustainable water and waste management. Pending such allocation, Lucid intends to use the net proceeds of the offering for business expansion and general corporate purposes, which may include investing in our manufacturing capabilities, expanding and improving operations such as our retail and service network, investing in research and development, and supporting other potential growth opportunities.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offer and sale of the notes and any shares of common stock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 This press release does not constitute an offer to sell, or the solicitation of an offer to buy, the notes or any shares of common stock issuable upon conversion of the notes, nor will there be any sale of the notes or any such shares, in any state or other jurisdiction in which such offer, sale or solicitation would be unlawful.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Group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Lucid’s mission is to inspire the adoption of sustainable energy by creating advanced technologies and the most captivating electric vehicles centered around the human experience. The company’s first car, Lucid Air, is a state-of-the-art luxury sedan with a California-inspired design underpinned by race-proven technology. The Lucid Air was recently named the 2022 MotorTrend Car of the year and the Lucid Air has achieved EPA certification for 450+ miles of range on a single charge from the EPA, including up to 520 miles in the Lucid Air Dream Edition Range. The vehicle features a luxurious full-size interior space in a mid-sized exterior footprint. Customer deliveries of Lucid Air, which is produced at Lucid’s new factory in Casa Grande, Arizona, are underway.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press release includes forward-looking statements, including statements regarding the completion of the offering and the expected amount and intended use of the net proceeds. Forward-looking statements represent Lucid’s current expectations regarding future events and are subject to known and unknown risks and uncertainties that could cause actual results to differ materially from those implied by the forward-looking statements. Among those risks and uncertainties are market conditions, the satisfaction of the closing conditions related to the offering and risks relating to Lucid’s business, including those described in periodic reports that Lucid files from time to time with the SEC. Lucid may not consummate the offering described in this press release and, if the offering is consummated, cannot provide any assurances regarding its ability to effectively apply the net proceeds as described above. The forward-looking statements included in this press release speak only as of the date of this press release, and Lucid does not undertake to update the statements included in this press release for subsequent developments, except as may be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media@lucidmotors.com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1)"/>
      <w:numFmt w:val="lowerRoman"/>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1)"/>
      <w:numFmt w:val="decimal"/>
      <w:start w:val="1"/>
    </w:lvl>
  </w:abstractNum>
  <w:abstractNum w:abstractNumId="3">
    <w:nsid w:val="6590700B"/>
    <w:multiLevelType w:val="hybridMultilevel"/>
    <w:lvl w:ilvl="0">
      <w:lvlJc w:val="left"/>
      <w:lvlText w:val="%1"/>
      <w:numFmt w:val="lowerRoman"/>
      <w:start w:val="1"/>
    </w:lvl>
    <w:lvl w:ilvl="1">
      <w:lvlJc w:val="left"/>
      <w:lvlText w:val="(%2)"/>
      <w:numFmt w:val="upperLetter"/>
      <w:start w:val="1"/>
    </w:lvl>
  </w:abstractNum>
  <w:abstractNum w:abstractNumId="4">
    <w:nsid w:val="15014ACB"/>
    <w:multiLevelType w:val="hybridMultilevel"/>
    <w:lvl w:ilvl="0">
      <w:lvlJc w:val="left"/>
      <w:lvlText w:val="(%1)"/>
      <w:numFmt w:val="lowerRoman"/>
      <w:start w:val="2"/>
    </w:lvl>
    <w:lvl w:ilvl="1">
      <w:lvlJc w:val="left"/>
      <w:lvlText w:val="(%2)"/>
      <w:numFmt w:val="upperLetter"/>
      <w:start w:val="3"/>
    </w:lvl>
  </w:abstractNum>
  <w:abstractNum w:abstractNumId="5">
    <w:nsid w:val="5F5E7FD0"/>
    <w:multiLevelType w:val="hybridMultilevel"/>
    <w:lvl w:ilvl="0">
      <w:lvlJc w:val="left"/>
      <w:lvlText w:val="(%1)"/>
      <w:numFmt w:val="lowerLetter"/>
      <w:start w:val="25"/>
    </w:lvl>
    <w:lvl w:ilvl="1">
      <w:lvlJc w:val="left"/>
      <w:lvlText w:val="-"/>
      <w:numFmt w:val="bullet"/>
      <w:start w:val="1"/>
    </w:lvl>
  </w:abstractNum>
  <w:abstractNum w:abstractNumId="6">
    <w:nsid w:val="98A3148"/>
    <w:multiLevelType w:val="hybridMultilevel"/>
    <w:lvl w:ilvl="0">
      <w:lvlJc w:val="left"/>
      <w:lvlText w:val="(%1)"/>
      <w:numFmt w:val="upperLetter"/>
      <w:start w:val="4"/>
    </w:lvl>
  </w:abstractNum>
  <w:abstractNum w:abstractNumId="7">
    <w:nsid w:val="799D0247"/>
    <w:multiLevelType w:val="hybridMultilevel"/>
    <w:lvl w:ilvl="0">
      <w:lvlJc w:val="left"/>
      <w:lvlText w:val="(%1)"/>
      <w:numFmt w:val="upperLetter"/>
      <w:start w:val="1"/>
    </w:lvl>
    <w:lvl w:ilvl="1">
      <w:lvlJc w:val="left"/>
      <w:lvlText w:val="-"/>
      <w:numFmt w:val="bullet"/>
      <w:start w:val="1"/>
    </w:lvl>
  </w:abstractNum>
  <w:abstractNum w:abstractNumId="8">
    <w:nsid w:val="6B94764"/>
    <w:multiLevelType w:val="hybridMultilevel"/>
    <w:lvl w:ilvl="0">
      <w:lvlJc w:val="left"/>
      <w:lvlText w:val="(%1)"/>
      <w:numFmt w:val="upperLetter"/>
      <w:start w:val="1"/>
    </w:lvl>
  </w:abstractNum>
  <w:abstractNum w:abstractNumId="9">
    <w:nsid w:val="42C296BD"/>
    <w:multiLevelType w:val="hybridMultilevel"/>
    <w:lvl w:ilvl="0">
      <w:lvlJc w:val="left"/>
      <w:lvlText w:val="(%1)"/>
      <w:numFmt w:val="upperLetter"/>
      <w:start w:val="1"/>
    </w:lvl>
    <w:lvl w:ilvl="1">
      <w:lvlJc w:val="left"/>
      <w:lvlText w:val="-"/>
      <w:numFmt w:val="bullet"/>
      <w:start w:val="1"/>
    </w:lvl>
  </w:abstractNum>
  <w:abstractNum w:abstractNumId="10">
    <w:nsid w:val="168E121F"/>
    <w:multiLevelType w:val="hybridMultilevel"/>
    <w:lvl w:ilvl="0">
      <w:lvlJc w:val="left"/>
      <w:lvlText w:val="(%1)"/>
      <w:numFmt w:val="upperLetter"/>
      <w:start w:val="5"/>
    </w:lvl>
  </w:abstractNum>
  <w:abstractNum w:abstractNumId="11">
    <w:nsid w:val="1EBA5D23"/>
    <w:multiLevelType w:val="hybridMultilevel"/>
    <w:lvl w:ilvl="0">
      <w:lvlJc w:val="left"/>
      <w:lvlText w:val="(%1)"/>
      <w:numFmt w:val="upperLetter"/>
      <w:start w:val="1"/>
    </w:lvl>
    <w:lvl w:ilvl="1">
      <w:lvlJc w:val="left"/>
      <w:lvlText w:val="(%2)"/>
      <w:numFmt w:val="lowerRoman"/>
      <w:start w:val="1"/>
    </w:lvl>
  </w:abstractNum>
  <w:abstractNum w:abstractNumId="12">
    <w:nsid w:val="661E3F1E"/>
    <w:multiLevelType w:val="hybridMultilevel"/>
    <w:lvl w:ilvl="0">
      <w:lvlJc w:val="left"/>
      <w:lvlText w:val="(%1)"/>
      <w:numFmt w:val="upperLetter"/>
      <w:start w:val="1"/>
    </w:lvl>
    <w:lvl w:ilvl="1">
      <w:lvlJc w:val="left"/>
      <w:lvlText w:val="-"/>
      <w:numFmt w:val="bullet"/>
      <w:start w:val="1"/>
    </w:lvl>
  </w:abstractNum>
  <w:abstractNum w:abstractNumId="13">
    <w:nsid w:val="5DC79EA8"/>
    <w:multiLevelType w:val="hybridMultilevel"/>
    <w:lvl w:ilvl="0">
      <w:lvlJc w:val="left"/>
      <w:lvlText w:val="(%1)"/>
      <w:numFmt w:val="upperLetter"/>
      <w:start w:val="1"/>
    </w:lvl>
  </w:abstractNum>
  <w:abstractNum w:abstractNumId="14">
    <w:nsid w:val="540A471C"/>
    <w:multiLevelType w:val="hybridMultilevel"/>
    <w:lvl w:ilvl="0">
      <w:lvlJc w:val="left"/>
      <w:lvlText w:val="(%1)"/>
      <w:numFmt w:val="upperLetter"/>
      <w:start w:val="1"/>
    </w:lvl>
    <w:lvl w:ilvl="1">
      <w:lvlJc w:val="left"/>
      <w:lvlText w:val="-"/>
      <w:numFmt w:val="bullet"/>
      <w:start w:val="1"/>
    </w:lvl>
  </w:abstractNum>
  <w:abstractNum w:abstractNumId="15">
    <w:nsid w:val="7BD3EE7B"/>
    <w:multiLevelType w:val="hybridMultilevel"/>
    <w:lvl w:ilvl="0">
      <w:lvlJc w:val="left"/>
      <w:lvlText w:val="(%1)"/>
      <w:numFmt w:val="upperLetter"/>
      <w:start w:val="2"/>
    </w:lvl>
  </w:abstractNum>
  <w:abstractNum w:abstractNumId="16">
    <w:nsid w:val="51D9C564"/>
    <w:multiLevelType w:val="hybridMultilevel"/>
    <w:lvl w:ilvl="0">
      <w:lvlJc w:val="left"/>
      <w:lvlText w:val="(%1)"/>
      <w:numFmt w:val="upperLetter"/>
      <w:start w:val="1"/>
    </w:lvl>
    <w:lvl w:ilvl="1">
      <w:lvlJc w:val="left"/>
      <w:lvlText w:val="-"/>
      <w:numFmt w:val="bullet"/>
      <w:start w:val="1"/>
    </w:lvl>
  </w:abstractNum>
  <w:abstractNum w:abstractNumId="17">
    <w:nsid w:val="613EFDC5"/>
    <w:multiLevelType w:val="hybridMultilevel"/>
    <w:lvl w:ilvl="0">
      <w:lvlJc w:val="left"/>
      <w:lvlText w:val="(%1)"/>
      <w:numFmt w:val="upperLetter"/>
      <w:start w:val="3"/>
    </w:lvl>
  </w:abstractNum>
  <w:abstractNum w:abstractNumId="18">
    <w:nsid w:val="BF72B1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9">
    <w:nsid w:val="11447B73"/>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20">
    <w:nsid w:val="42963E5A"/>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1">
    <w:nsid w:val="A0382C5"/>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3"/>
    </w:lvl>
    <w:lvl w:ilvl="3">
      <w:lvlJc w:val="left"/>
      <w:lvlText w:val="-"/>
      <w:numFmt w:val="bullet"/>
      <w:start w:val="1"/>
    </w:lvl>
  </w:abstractNum>
  <w:abstractNum w:abstractNumId="22">
    <w:nsid w:val="8F2B15E"/>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lvl w:ilvl="3">
      <w:lvlJc w:val="left"/>
      <w:lvlText w:val="-"/>
      <w:numFmt w:val="bullet"/>
      <w:start w:val="1"/>
    </w:lvl>
  </w:abstractNum>
  <w:abstractNum w:abstractNumId="23">
    <w:nsid w:val="1A32234B"/>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4">
    <w:nsid w:val="3B0FD379"/>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5">
    <w:nsid w:val="68EB2F63"/>
    <w:multiLevelType w:val="hybridMultilevel"/>
    <w:lvl w:ilvl="0">
      <w:lvlJc w:val="left"/>
      <w:lvlText w:val="(%1)"/>
      <w:numFmt w:val="upperLetter"/>
      <w:start w:val="4"/>
    </w:lvl>
    <w:lvl w:ilvl="1">
      <w:lvlJc w:val="left"/>
      <w:lvlText w:val="(%2)"/>
      <w:numFmt w:val="lowerRoman"/>
      <w:start w:val="1"/>
    </w:lvl>
  </w:abstractNum>
  <w:abstractNum w:abstractNumId="26">
    <w:nsid w:val="4962813B"/>
    <w:multiLevelType w:val="hybridMultilevel"/>
    <w:lvl w:ilvl="0">
      <w:lvlJc w:val="left"/>
      <w:lvlText w:val="(%1)"/>
      <w:numFmt w:val="upperLetter"/>
      <w:start w:val="5"/>
    </w:lvl>
    <w:lvl w:ilvl="1">
      <w:lvlJc w:val="left"/>
      <w:lvlText w:val="-"/>
      <w:numFmt w:val="bullet"/>
      <w:start w:val="1"/>
    </w:lvl>
  </w:abstractNum>
  <w:abstractNum w:abstractNumId="27">
    <w:nsid w:val="60B6DF70"/>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28">
    <w:nsid w:val="6A5EE64"/>
    <w:multiLevelType w:val="hybridMultilevel"/>
    <w:lvl w:ilvl="0">
      <w:lvlJc w:val="left"/>
      <w:lvlText w:val="(%1)"/>
      <w:numFmt w:val="upperLetter"/>
      <w:start w:val="1"/>
    </w:lvl>
    <w:lvl w:ilvl="1">
      <w:lvlJc w:val="left"/>
      <w:lvlText w:val="-"/>
      <w:numFmt w:val="bullet"/>
      <w:start w:val="1"/>
    </w:lvl>
  </w:abstractNum>
  <w:abstractNum w:abstractNumId="29">
    <w:nsid w:val="14330624"/>
    <w:multiLevelType w:val="hybridMultilevel"/>
    <w:lvl w:ilvl="0">
      <w:lvlJc w:val="left"/>
      <w:lvlText w:val="(%1)"/>
      <w:numFmt w:val="upperLetter"/>
      <w:start w:val="5"/>
    </w:lvl>
  </w:abstractNum>
  <w:abstractNum w:abstractNumId="30">
    <w:nsid w:val="7FFFCA11"/>
    <w:multiLevelType w:val="hybridMultilevel"/>
    <w:lvl w:ilvl="0">
      <w:lvlJc w:val="left"/>
      <w:lvlText w:val="(%1)"/>
      <w:numFmt w:val="upperLetter"/>
      <w:start w:val="1"/>
    </w:lvl>
  </w:abstractNum>
  <w:abstractNum w:abstractNumId="31">
    <w:nsid w:val="1A27709E"/>
    <w:multiLevelType w:val="hybridMultilevel"/>
    <w:lvl w:ilvl="0">
      <w:lvlJc w:val="left"/>
      <w:lvlText w:val="(%1)"/>
      <w:numFmt w:val="upperLetter"/>
      <w:start w:val="1"/>
    </w:lvl>
    <w:lvl w:ilvl="1">
      <w:lvlJc w:val="left"/>
      <w:lvlText w:val="-"/>
      <w:numFmt w:val="bullet"/>
      <w:start w:val="1"/>
    </w:lvl>
  </w:abstractNum>
  <w:abstractNum w:abstractNumId="32">
    <w:nsid w:val="71EA1109"/>
    <w:multiLevelType w:val="hybridMultilevel"/>
    <w:lvl w:ilvl="0">
      <w:lvlJc w:val="left"/>
      <w:lvlText w:val="(%1)"/>
      <w:numFmt w:val="upperLetter"/>
      <w:start w:val="2"/>
    </w:lvl>
  </w:abstractNum>
  <w:abstractNum w:abstractNumId="33">
    <w:nsid w:val="100F59DC"/>
    <w:multiLevelType w:val="hybridMultilevel"/>
    <w:lvl w:ilvl="0">
      <w:lvlJc w:val="left"/>
      <w:lvlText w:val="(%1)"/>
      <w:numFmt w:val="upperLetter"/>
      <w:start w:val="1"/>
    </w:lvl>
    <w:lvl w:ilvl="1">
      <w:lvlJc w:val="left"/>
      <w:lvlText w:val="(%2)"/>
      <w:numFmt w:val="lowerRoman"/>
      <w:start w:val="1"/>
    </w:lvl>
  </w:abstractNum>
  <w:abstractNum w:abstractNumId="34">
    <w:nsid w:val="7FB7E0AA"/>
    <w:multiLevelType w:val="hybridMultilevel"/>
    <w:lvl w:ilvl="0">
      <w:lvlJc w:val="left"/>
      <w:lvlText w:val="(%1)"/>
      <w:numFmt w:val="upperLetter"/>
      <w:start w:val="2"/>
    </w:lvl>
  </w:abstractNum>
  <w:abstractNum w:abstractNumId="35">
    <w:nsid w:val="6EB5BD4"/>
    <w:multiLevelType w:val="hybridMultilevel"/>
    <w:lvl w:ilvl="0">
      <w:lvlJc w:val="left"/>
      <w:lvlText w:val="(%1)"/>
      <w:numFmt w:val="upperLetter"/>
      <w:start w:val="1"/>
    </w:lvl>
  </w:abstractNum>
  <w:abstractNum w:abstractNumId="36">
    <w:nsid w:val="6F6DD9AC"/>
    <w:multiLevelType w:val="hybridMultilevel"/>
    <w:lvl w:ilvl="0">
      <w:lvlJc w:val="left"/>
      <w:lvlText w:val="(%1)"/>
      <w:numFmt w:val="upperLetter"/>
      <w:start w:val="1"/>
    </w:lvl>
    <w:lvl w:ilvl="1">
      <w:lvlJc w:val="left"/>
      <w:lvlText w:val="-"/>
      <w:numFmt w:val="bullet"/>
      <w:start w:val="1"/>
    </w:lvl>
  </w:abstractNum>
  <w:abstractNum w:abstractNumId="37">
    <w:nsid w:val="94211F2"/>
    <w:multiLevelType w:val="hybridMultilevel"/>
    <w:lvl w:ilvl="0">
      <w:lvlJc w:val="left"/>
      <w:lvlText w:val="(%1)"/>
      <w:numFmt w:val="upperLetter"/>
      <w:start w:val="4"/>
    </w:lvl>
  </w:abstractNum>
  <w:abstractNum w:abstractNumId="38">
    <w:nsid w:val="885E1B"/>
    <w:multiLevelType w:val="hybridMultilevel"/>
    <w:lvl w:ilvl="0">
      <w:lvlJc w:val="left"/>
      <w:lvlText w:val="(%1)"/>
      <w:numFmt w:val="lowerRoman"/>
      <w:start w:val="1"/>
    </w:lvl>
    <w:lvl w:ilvl="1">
      <w:lvlJc w:val="left"/>
      <w:lvlText w:val="-"/>
      <w:numFmt w:val="bullet"/>
      <w:start w:val="1"/>
    </w:lvl>
  </w:abstractNum>
  <w:abstractNum w:abstractNumId="39">
    <w:nsid w:val="76272110"/>
    <w:multiLevelType w:val="hybridMultilevel"/>
    <w:lvl w:ilvl="0">
      <w:lvlJc w:val="left"/>
      <w:lvlText w:val="(%1)"/>
      <w:numFmt w:val="lowerRoman"/>
      <w:start w:val="8"/>
    </w:lvl>
  </w:abstractNum>
  <w:abstractNum w:abstractNumId="40">
    <w:nsid w:val="4C04A8AF"/>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41">
    <w:nsid w:val="1716703B"/>
    <w:multiLevelType w:val="hybridMultilevel"/>
    <w:lvl w:ilvl="0">
      <w:lvlJc w:val="left"/>
      <w:lvlText w:val="(%1)"/>
      <w:numFmt w:val="lowerRoman"/>
      <w:start w:val="2"/>
    </w:lvl>
    <w:lvl w:ilvl="1">
      <w:lvlJc w:val="left"/>
      <w:lvlText w:val="(%2)"/>
      <w:numFmt w:val="decimal"/>
      <w:start w:val="1"/>
    </w:lvl>
  </w:abstractNum>
  <w:abstractNum w:abstractNumId="42">
    <w:nsid w:val="14E17E33"/>
    <w:multiLevelType w:val="hybridMultilevel"/>
    <w:lvl w:ilvl="0">
      <w:lvlJc w:val="left"/>
      <w:lvlText w:val="(%1)"/>
      <w:numFmt w:val="lowerRoman"/>
      <w:start w:val="3"/>
    </w:lvl>
    <w:lvl w:ilvl="1">
      <w:lvlJc w:val="left"/>
      <w:lvlText w:val="(%2)"/>
      <w:numFmt w:val="decimal"/>
      <w:start w:val="1"/>
    </w:lvl>
  </w:abstractNum>
  <w:abstractNum w:abstractNumId="43">
    <w:nsid w:val="3222E7CD"/>
    <w:multiLevelType w:val="hybridMultilevel"/>
    <w:lvl w:ilvl="0">
      <w:lvlJc w:val="left"/>
      <w:lvlText w:val="(%1)"/>
      <w:numFmt w:val="upperLetter"/>
      <w:start w:val="7"/>
    </w:lvl>
    <w:lvl w:ilvl="1">
      <w:lvlJc w:val="left"/>
      <w:lvlText w:val="-"/>
      <w:numFmt w:val="bullet"/>
      <w:start w:val="1"/>
    </w:lvl>
  </w:abstractNum>
  <w:abstractNum w:abstractNumId="44">
    <w:nsid w:val="74DE0EE3"/>
    <w:multiLevelType w:val="hybridMultilevel"/>
    <w:lvl w:ilvl="0">
      <w:lvlJc w:val="left"/>
      <w:lvlText w:val="(%1)"/>
      <w:numFmt w:val="upperLetter"/>
      <w:start w:val="8"/>
    </w:lvl>
    <w:lvl w:ilvl="1">
      <w:lvlJc w:val="left"/>
      <w:lvlText w:val="-"/>
      <w:numFmt w:val="bullet"/>
      <w:start w:val="1"/>
    </w:lvl>
  </w:abstractNum>
  <w:abstractNum w:abstractNumId="45">
    <w:nsid w:val="68EBC550"/>
    <w:multiLevelType w:val="hybridMultilevel"/>
    <w:lvl w:ilvl="0">
      <w:lvlJc w:val="left"/>
      <w:lvlText w:val="(%1)"/>
      <w:numFmt w:val="upperLetter"/>
      <w:start w:val="11"/>
    </w:lvl>
  </w:abstractNum>
  <w:abstractNum w:abstractNumId="46">
    <w:nsid w:val="2DF6D648"/>
    <w:multiLevelType w:val="hybridMultilevel"/>
    <w:lvl w:ilvl="0">
      <w:lvlJc w:val="left"/>
      <w:lvlText w:val="(%1)"/>
      <w:numFmt w:val="upperLetter"/>
      <w:start w:val="1"/>
    </w:lvl>
    <w:lvl w:ilvl="1">
      <w:lvlJc w:val="left"/>
      <w:lvlText w:val="-"/>
      <w:numFmt w:val="bullet"/>
      <w:start w:val="1"/>
    </w:lvl>
  </w:abstractNum>
  <w:abstractNum w:abstractNumId="47">
    <w:nsid w:val="46B7D447"/>
    <w:multiLevelType w:val="hybridMultilevel"/>
    <w:lvl w:ilvl="0">
      <w:lvlJc w:val="left"/>
      <w:lvlText w:val="(%1)"/>
      <w:numFmt w:val="upperLetter"/>
      <w:start w:val="6"/>
    </w:lvl>
  </w:abstractNum>
  <w:abstractNum w:abstractNumId="48">
    <w:nsid w:val="4A2AC315"/>
    <w:multiLevelType w:val="hybridMultilevel"/>
    <w:lvl w:ilvl="0">
      <w:lvlJc w:val="left"/>
      <w:lvlText w:val="(%1)"/>
      <w:numFmt w:val="lowerRoman"/>
      <w:start w:val="1"/>
    </w:lvl>
    <w:lvl w:ilvl="1">
      <w:lvlJc w:val="left"/>
      <w:lvlText w:val="-"/>
      <w:numFmt w:val="bullet"/>
      <w:start w:val="1"/>
    </w:lvl>
  </w:abstractNum>
  <w:abstractNum w:abstractNumId="49">
    <w:nsid w:val="39EE015C"/>
    <w:multiLevelType w:val="hybridMultilevel"/>
    <w:lvl w:ilvl="0">
      <w:lvlJc w:val="left"/>
      <w:lvlText w:val="(%1)"/>
      <w:numFmt w:val="lowerRoman"/>
      <w:start w:val="6"/>
    </w:lvl>
  </w:abstractNum>
  <w:abstractNum w:abstractNumId="50">
    <w:nsid w:val="57FC4FBB"/>
    <w:multiLevelType w:val="hybridMultilevel"/>
    <w:lvl w:ilvl="0">
      <w:lvlJc w:val="left"/>
      <w:lvlText w:val="(%1)"/>
      <w:numFmt w:val="upperLetter"/>
      <w:start w:val="8"/>
    </w:lvl>
  </w:abstractNum>
  <w:abstractNum w:abstractNumId="51">
    <w:nsid w:val="CC1016F"/>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52">
    <w:nsid w:val="43F18422"/>
    <w:multiLevelType w:val="hybridMultilevel"/>
    <w:lvl w:ilvl="0">
      <w:lvlJc w:val="left"/>
      <w:lvlText w:val="(%1)"/>
      <w:numFmt w:val="upperLetter"/>
      <w:start w:val="9"/>
    </w:lvl>
    <w:lvl w:ilvl="1">
      <w:lvlJc w:val="left"/>
      <w:lvlText w:val="%2"/>
      <w:numFmt w:val="lowerRoman"/>
      <w:start w:val="1"/>
    </w:lvl>
    <w:lvl w:ilvl="2">
      <w:lvlJc w:val="left"/>
      <w:lvlText w:val="-"/>
      <w:numFmt w:val="bullet"/>
      <w:start w:val="1"/>
    </w:lvl>
  </w:abstractNum>
  <w:abstractNum w:abstractNumId="53">
    <w:nsid w:val="60EF0119"/>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54">
    <w:nsid w:val="26F324BA"/>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9"/>
    </w:lvl>
    <w:lvl w:ilvl="3">
      <w:lvlJc w:val="left"/>
      <w:lvlText w:val="-"/>
      <w:numFmt w:val="bullet"/>
      <w:start w:val="1"/>
    </w:lvl>
  </w:abstractNum>
  <w:abstractNum w:abstractNumId="55">
    <w:nsid w:val="7F01579B"/>
    <w:multiLevelType w:val="hybridMultilevel"/>
    <w:lvl w:ilvl="0">
      <w:lvlJc w:val="left"/>
      <w:lvlText w:val="(%1)"/>
      <w:numFmt w:val="upperLetter"/>
      <w:start w:val="35"/>
    </w:lvl>
  </w:abstractNum>
  <w:abstractNum w:abstractNumId="56">
    <w:nsid w:val="49DA307D"/>
    <w:multiLevelType w:val="hybridMultilevel"/>
    <w:lvl w:ilvl="0">
      <w:lvlJc w:val="left"/>
      <w:lvlText w:val="%1"/>
      <w:numFmt w:val="decimal"/>
      <w:start w:val="1"/>
    </w:lvl>
    <w:lvl w:ilvl="1">
      <w:lvlJc w:val="left"/>
      <w:lvlText w:val="(%2)"/>
      <w:numFmt w:val="lowerLetter"/>
      <w:start w:val="2"/>
    </w:lvl>
  </w:abstractNum>
  <w:abstractNum w:abstractNumId="57">
    <w:nsid w:val="7055A5F5"/>
    <w:multiLevelType w:val="hybridMultilevel"/>
    <w:lvl w:ilvl="0">
      <w:lvlJc w:val="left"/>
      <w:lvlText w:val="(%1)"/>
      <w:numFmt w:val="decimal"/>
      <w:start w:val="4"/>
    </w:lvl>
    <w:lvl w:ilvl="1">
      <w:lvlJc w:val="left"/>
      <w:lvlText w:val="%2"/>
      <w:numFmt w:val="lowerLetter"/>
      <w:start w:val="1"/>
    </w:lvl>
  </w:abstractNum>
  <w:abstractNum w:abstractNumId="58">
    <w:nsid w:val="5FB8370B"/>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59">
    <w:nsid w:val="50801EE1"/>
    <w:multiLevelType w:val="hybridMultilevel"/>
    <w:lvl w:ilvl="0">
      <w:lvlJc w:val="left"/>
      <w:lvlText w:val="(%1)"/>
      <w:numFmt w:val="decimal"/>
      <w:start w:val="3"/>
    </w:lvl>
  </w:abstractNum>
  <w:abstractNum w:abstractNumId="60">
    <w:nsid w:val="488AC1A"/>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61">
    <w:nsid w:val="5FB8011C"/>
    <w:multiLevelType w:val="hybridMultilevel"/>
    <w:lvl w:ilvl="0">
      <w:lvlJc w:val="left"/>
      <w:lvlText w:val="(%1)"/>
      <w:numFmt w:val="upperLetter"/>
      <w:start w:val="4"/>
    </w:lvl>
    <w:lvl w:ilvl="1">
      <w:lvlJc w:val="left"/>
      <w:lvlText w:val="-"/>
      <w:numFmt w:val="bullet"/>
      <w:start w:val="1"/>
    </w:lvl>
  </w:abstractNum>
  <w:abstractNum w:abstractNumId="62">
    <w:nsid w:val="6AA78F7F"/>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63">
    <w:nsid w:val="7672BD23"/>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7"/>
    </w:lvl>
    <w:lvl w:ilvl="3">
      <w:lvlJc w:val="left"/>
      <w:lvlText w:val="-"/>
      <w:numFmt w:val="bullet"/>
      <w:start w:val="1"/>
    </w:lvl>
  </w:abstractNum>
  <w:abstractNum w:abstractNumId="64">
    <w:nsid w:val="6FC75AF8"/>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65">
    <w:nsid w:val="6A5F7029"/>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66">
    <w:nsid w:val="7D5E18F8"/>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lvl w:ilvl="3">
      <w:lvlJc w:val="left"/>
      <w:lvlText w:val="-"/>
      <w:numFmt w:val="bullet"/>
      <w:start w:val="1"/>
    </w:lvl>
  </w:abstractNum>
  <w:abstractNum w:abstractNumId="67">
    <w:nsid w:val="5F3534A4"/>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68">
    <w:nsid w:val="73A1821B"/>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69">
    <w:nsid w:val="7DE67713"/>
    <w:multiLevelType w:val="hybridMultilevel"/>
    <w:lvl w:ilvl="0">
      <w:lvlJc w:val="left"/>
      <w:lvlText w:val="(%1)"/>
      <w:numFmt w:val="upperLetter"/>
      <w:start w:val="4"/>
    </w:lvl>
  </w:abstractNum>
  <w:abstractNum w:abstractNumId="70">
    <w:nsid w:val="555C55B5"/>
    <w:multiLevelType w:val="hybridMultilevel"/>
    <w:lvl w:ilvl="0">
      <w:lvlJc w:val="left"/>
      <w:lvlText w:val="(%1)"/>
      <w:numFmt w:val="upperLetter"/>
      <w:start w:val="1"/>
    </w:lvl>
    <w:lvl w:ilvl="1">
      <w:lvlJc w:val="left"/>
      <w:lvlText w:val="-"/>
      <w:numFmt w:val="bullet"/>
      <w:start w:val="1"/>
    </w:lvl>
  </w:abstractNum>
  <w:abstractNum w:abstractNumId="71">
    <w:nsid w:val="3FA62ACA"/>
    <w:multiLevelType w:val="hybridMultilevel"/>
    <w:lvl w:ilvl="0">
      <w:lvlJc w:val="left"/>
      <w:lvlText w:val="(%1)"/>
      <w:numFmt w:val="upperLetter"/>
      <w:start w:val="1"/>
    </w:lvl>
    <w:lvl w:ilvl="1">
      <w:lvlJc w:val="left"/>
      <w:lvlText w:val="(%2)"/>
      <w:numFmt w:val="lowerRoman"/>
      <w:start w:val="1"/>
    </w:lvl>
  </w:abstractNum>
  <w:abstractNum w:abstractNumId="72">
    <w:nsid w:val="14FCE74E"/>
    <w:multiLevelType w:val="hybridMultilevel"/>
    <w:lvl w:ilvl="0">
      <w:lvlJc w:val="left"/>
      <w:lvlText w:val="(%1)"/>
      <w:numFmt w:val="lowerRoman"/>
      <w:start w:val="2"/>
    </w:lvl>
    <w:lvl w:ilvl="1">
      <w:lvlJc w:val="left"/>
      <w:lvlText w:val="-"/>
      <w:numFmt w:val="bullet"/>
      <w:start w:val="1"/>
    </w:lvl>
  </w:abstractNum>
  <w:abstractNum w:abstractNumId="73">
    <w:nsid w:val="6A3DD3E8"/>
    <w:multiLevelType w:val="hybridMultilevel"/>
    <w:lvl w:ilvl="0">
      <w:lvlJc w:val="left"/>
      <w:lvlText w:val="X"/>
      <w:numFmt w:val="bullet"/>
      <w:start w:val="1"/>
    </w:lvl>
  </w:abstractNum>
  <w:abstractNum w:abstractNumId="74">
    <w:nsid w:val="71C91298"/>
    <w:multiLevelType w:val="hybridMultilevel"/>
    <w:lvl w:ilvl="0">
      <w:lvlJc w:val="left"/>
      <w:lvlText w:val="Y"/>
      <w:numFmt w:val="bullet"/>
      <w:start w:val="1"/>
    </w:lvl>
  </w:abstractNum>
  <w:abstractNum w:abstractNumId="75">
    <w:nsid w:val="9DAF63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1"/>
    </w:lvl>
  </w:abstractNum>
  <w:abstractNum w:abstractNumId="76">
    <w:nsid w:val="53299938"/>
    <w:multiLevelType w:val="hybridMultilevel"/>
    <w:lvl w:ilvl="0">
      <w:lvlJc w:val="left"/>
      <w:lvlText w:val="(%1)"/>
      <w:numFmt w:val="decimal"/>
      <w:start w:val="2"/>
    </w:lvl>
  </w:abstractNum>
  <w:abstractNum w:abstractNumId="77">
    <w:nsid w:val="1FBFE8E0"/>
    <w:multiLevelType w:val="hybridMultilevel"/>
    <w:lvl w:ilvl="0">
      <w:lvlJc w:val="left"/>
      <w:lvlText w:val="(%1)"/>
      <w:numFmt w:val="lowerRoman"/>
      <w:start w:val="4"/>
    </w:lvl>
  </w:abstractNum>
  <w:abstractNum w:abstractNumId="78">
    <w:nsid w:val="5092CA79"/>
    <w:multiLevelType w:val="hybridMultilevel"/>
    <w:lvl w:ilvl="0">
      <w:lvlJc w:val="left"/>
      <w:lvlText w:val="D"/>
      <w:numFmt w:val="bullet"/>
      <w:start w:val="1"/>
    </w:lvl>
  </w:abstractNum>
  <w:abstractNum w:abstractNumId="79">
    <w:nsid w:val="1D545C4D"/>
    <w:multiLevelType w:val="hybridMultilevel"/>
    <w:lvl w:ilvl="0">
      <w:lvlJc w:val="left"/>
      <w:lvlText w:val="(%1)"/>
      <w:numFmt w:val="lowerRoman"/>
      <w:start w:val="5"/>
    </w:lvl>
  </w:abstractNum>
  <w:abstractNum w:abstractNumId="80">
    <w:nsid w:val="59ADEA3D"/>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81">
    <w:nsid w:val="288F1A34"/>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82">
    <w:nsid w:val="2A155DBC"/>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83">
    <w:nsid w:val="1D9F6E5F"/>
    <w:multiLevelType w:val="hybridMultilevel"/>
    <w:lvl w:ilvl="0">
      <w:lvlJc w:val="left"/>
      <w:lvlText w:val="(%1)"/>
      <w:numFmt w:val="upperLetter"/>
      <w:start w:val="4"/>
    </w:lvl>
    <w:lvl w:ilvl="1">
      <w:lvlJc w:val="left"/>
      <w:lvlText w:val="(%2)"/>
      <w:numFmt w:val="lowerRoman"/>
      <w:start w:val="1"/>
    </w:lvl>
  </w:abstractNum>
  <w:abstractNum w:abstractNumId="84">
    <w:nsid w:val="97E1B4E"/>
    <w:multiLevelType w:val="hybridMultilevel"/>
    <w:lvl w:ilvl="0">
      <w:lvlJc w:val="left"/>
      <w:lvlText w:val="(%1)"/>
      <w:numFmt w:val="upperLetter"/>
      <w:start w:val="5"/>
    </w:lvl>
    <w:lvl w:ilvl="1">
      <w:lvlJc w:val="left"/>
      <w:lvlText w:val="(%2)"/>
      <w:numFmt w:val="lowerRoman"/>
      <w:start w:val="1"/>
    </w:lvl>
    <w:lvl w:ilvl="2">
      <w:lvlJc w:val="left"/>
      <w:lvlText w:val="-"/>
      <w:numFmt w:val="bullet"/>
      <w:start w:val="1"/>
    </w:lvl>
  </w:abstractNum>
  <w:abstractNum w:abstractNumId="85">
    <w:nsid w:val="51088277"/>
    <w:multiLevelType w:val="hybridMultilevel"/>
    <w:lvl w:ilvl="0">
      <w:lvlJc w:val="left"/>
      <w:lvlText w:val="(%1)"/>
      <w:numFmt w:val="lowerRoman"/>
      <w:start w:val="5"/>
    </w:lvl>
  </w:abstractNum>
  <w:abstractNum w:abstractNumId="86">
    <w:nsid w:val="1CA0C5FA"/>
    <w:multiLevelType w:val="hybridMultilevel"/>
    <w:lvl w:ilvl="0">
      <w:lvlJc w:val="left"/>
      <w:lvlText w:val="(%1)"/>
      <w:numFmt w:val="upperLetter"/>
      <w:start w:val="6"/>
    </w:lvl>
    <w:lvl w:ilvl="1">
      <w:lvlJc w:val="left"/>
      <w:lvlText w:val="-"/>
      <w:numFmt w:val="bullet"/>
      <w:start w:val="1"/>
    </w:lvl>
  </w:abstractNum>
  <w:abstractNum w:abstractNumId="87">
    <w:nsid w:val="53584BCB"/>
    <w:multiLevelType w:val="hybridMultilevel"/>
    <w:lvl w:ilvl="0">
      <w:lvlJc w:val="left"/>
      <w:lvlText w:val="(%1)"/>
      <w:numFmt w:val="upperLetter"/>
      <w:start w:val="10"/>
    </w:lvl>
  </w:abstractNum>
  <w:abstractNum w:abstractNumId="88">
    <w:nsid w:val="415E286C"/>
    <w:multiLevelType w:val="hybridMultilevel"/>
    <w:lvl w:ilvl="0">
      <w:lvlJc w:val="left"/>
      <w:lvlText w:val="(%1)"/>
      <w:numFmt w:val="upperLetter"/>
      <w:start w:val="1"/>
    </w:lvl>
  </w:abstractNum>
  <w:abstractNum w:abstractNumId="89">
    <w:nsid w:val="7C58FD05"/>
    <w:multiLevelType w:val="hybridMultilevel"/>
    <w:lvl w:ilvl="0">
      <w:lvlJc w:val="left"/>
      <w:lvlText w:val="(%1)"/>
      <w:numFmt w:val="upperLetter"/>
      <w:start w:val="1"/>
    </w:lvl>
    <w:lvl w:ilvl="1">
      <w:lvlJc w:val="left"/>
      <w:lvlText w:val="-"/>
      <w:numFmt w:val="bullet"/>
      <w:start w:val="1"/>
    </w:lvl>
  </w:abstractNum>
  <w:abstractNum w:abstractNumId="90">
    <w:nsid w:val="23D86AAC"/>
    <w:multiLevelType w:val="hybridMultilevel"/>
    <w:lvl w:ilvl="0">
      <w:lvlJc w:val="left"/>
      <w:lvlText w:val="(%1)"/>
      <w:numFmt w:val="lowerRoman"/>
      <w:start w:val="1"/>
    </w:lvl>
  </w:abstractNum>
  <w:abstractNum w:abstractNumId="91">
    <w:nsid w:val="45E6D486"/>
    <w:multiLevelType w:val="hybridMultilevel"/>
    <w:lvl w:ilvl="0">
      <w:lvlJc w:val="left"/>
      <w:lvlText w:val="(%1)"/>
      <w:numFmt w:val="upperLetter"/>
      <w:start w:val="2"/>
    </w:lvl>
    <w:lvl w:ilvl="1">
      <w:lvlJc w:val="left"/>
      <w:lvlText w:val="-"/>
      <w:numFmt w:val="bullet"/>
      <w:start w:val="1"/>
    </w:lvl>
  </w:abstractNum>
  <w:abstractNum w:abstractNumId="92">
    <w:nsid w:val="5C10FE21"/>
    <w:multiLevelType w:val="hybridMultilevel"/>
    <w:lvl w:ilvl="0">
      <w:lvlJc w:val="left"/>
      <w:lvlText w:val="(%1)"/>
      <w:numFmt w:val="upperLetter"/>
      <w:start w:val="3"/>
    </w:lvl>
  </w:abstractNum>
  <w:abstractNum w:abstractNumId="93">
    <w:nsid w:val="E7FFA2B"/>
    <w:multiLevelType w:val="hybridMultilevel"/>
    <w:lvl w:ilvl="0">
      <w:lvlJc w:val="left"/>
      <w:lvlText w:val="(%1)"/>
      <w:numFmt w:val="upperLetter"/>
      <w:start w:val="1"/>
    </w:lvl>
  </w:abstractNum>
  <w:abstractNum w:abstractNumId="94">
    <w:nsid w:val="3C5991AA"/>
    <w:multiLevelType w:val="hybridMultilevel"/>
    <w:lvl w:ilvl="0">
      <w:lvlJc w:val="left"/>
      <w:lvlText w:val="(%1)"/>
      <w:numFmt w:val="upperLetter"/>
      <w:start w:val="1"/>
    </w:lvl>
    <w:lvl w:ilvl="1">
      <w:lvlJc w:val="left"/>
      <w:lvlText w:val="(%2)"/>
      <w:numFmt w:val="lowerRoman"/>
      <w:start w:val="1"/>
    </w:lvl>
  </w:abstractNum>
  <w:abstractNum w:abstractNumId="95">
    <w:nsid w:val="4BD8591A"/>
    <w:multiLevelType w:val="hybridMultilevel"/>
    <w:lvl w:ilvl="0">
      <w:lvlJc w:val="left"/>
      <w:lvlText w:val="(%1)"/>
      <w:numFmt w:val="decimal"/>
      <w:start w:val="1"/>
    </w:lvl>
  </w:abstractNum>
  <w:abstractNum w:abstractNumId="96">
    <w:nsid w:val="78DF6A55"/>
    <w:multiLevelType w:val="hybridMultilevel"/>
    <w:lvl w:ilvl="0">
      <w:lvlJc w:val="left"/>
      <w:lvlText w:val="(%1)"/>
      <w:numFmt w:val="decimal"/>
      <w:start w:val="2"/>
    </w:lvl>
    <w:lvl w:ilvl="1">
      <w:lvlJc w:val="left"/>
      <w:lvlText w:val="-"/>
      <w:numFmt w:val="bullet"/>
      <w:start w:val="1"/>
    </w:lvl>
  </w:abstractNum>
  <w:abstractNum w:abstractNumId="97">
    <w:nsid w:val="39B7AAA2"/>
    <w:multiLevelType w:val="hybridMultilevel"/>
    <w:lvl w:ilvl="0">
      <w:lvlJc w:val="left"/>
      <w:lvlText w:val="(%1)"/>
      <w:numFmt w:val="decimal"/>
      <w:start w:val="3"/>
    </w:lvl>
  </w:abstractNum>
  <w:abstractNum w:abstractNumId="98">
    <w:nsid w:val="2B0D8DBE"/>
    <w:multiLevelType w:val="hybridMultilevel"/>
    <w:lvl w:ilvl="0">
      <w:lvlJc w:val="left"/>
      <w:lvlText w:val="(%1)"/>
      <w:numFmt w:val="upperLetter"/>
      <w:start w:val="2"/>
    </w:lvl>
    <w:lvl w:ilvl="1">
      <w:lvlJc w:val="left"/>
      <w:lvlText w:val="-"/>
      <w:numFmt w:val="bullet"/>
      <w:start w:val="1"/>
    </w:lvl>
  </w:abstractNum>
  <w:abstractNum w:abstractNumId="99">
    <w:nsid w:val="6C80EC70"/>
    <w:multiLevelType w:val="hybridMultilevel"/>
    <w:lvl w:ilvl="0">
      <w:lvlJc w:val="left"/>
      <w:lvlText w:val="(%1)"/>
      <w:numFmt w:val="upperLetter"/>
      <w:start w:val="1"/>
    </w:lvl>
    <w:lvl w:ilvl="1">
      <w:lvlJc w:val="left"/>
      <w:lvlText w:val="(%2)"/>
      <w:numFmt w:val="lowerRoman"/>
      <w:start w:val="1"/>
    </w:lvl>
  </w:abstractNum>
  <w:abstractNum w:abstractNumId="100">
    <w:nsid w:val="379E21B5"/>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01">
    <w:nsid w:val="69E373"/>
    <w:multiLevelType w:val="hybridMultilevel"/>
    <w:lvl w:ilvl="0">
      <w:lvlJc w:val="left"/>
      <w:lvlText w:val="(%1)"/>
      <w:numFmt w:val="lowerRoman"/>
      <w:start w:val="8"/>
    </w:lvl>
    <w:lvl w:ilvl="1">
      <w:lvlJc w:val="left"/>
      <w:lvlText w:val="(%2)"/>
      <w:numFmt w:val="decimal"/>
      <w:start w:val="1"/>
    </w:lvl>
  </w:abstractNum>
  <w:abstractNum w:abstractNumId="102">
    <w:nsid w:val="2C27173B"/>
    <w:multiLevelType w:val="hybridMultilevel"/>
    <w:lvl w:ilvl="0">
      <w:lvlJc w:val="left"/>
      <w:lvlText w:val="(%1)"/>
      <w:numFmt w:val="upperLetter"/>
      <w:start w:val="2"/>
    </w:lvl>
    <w:lvl w:ilvl="1">
      <w:lvlJc w:val="left"/>
      <w:lvlText w:val="-"/>
      <w:numFmt w:val="bullet"/>
      <w:start w:val="1"/>
    </w:lvl>
  </w:abstractNum>
  <w:abstractNum w:abstractNumId="103">
    <w:nsid w:val="4C9B0904"/>
    <w:multiLevelType w:val="hybridMultilevel"/>
    <w:lvl w:ilvl="0">
      <w:lvlJc w:val="left"/>
      <w:lvlText w:val="%1"/>
      <w:numFmt w:val="lowerRoman"/>
      <w:start w:val="1"/>
    </w:lvl>
    <w:lvl w:ilvl="1">
      <w:lvlJc w:val="left"/>
      <w:lvlText w:val="(%2)"/>
      <w:numFmt w:val="upperLetter"/>
      <w:start w:val="1"/>
    </w:lvl>
  </w:abstractNum>
  <w:abstractNum w:abstractNumId="104">
    <w:nsid w:val="6AA7B75C"/>
    <w:multiLevelType w:val="hybridMultilevel"/>
    <w:lvl w:ilvl="0">
      <w:lvlJc w:val="left"/>
      <w:lvlText w:val="(%1)"/>
      <w:numFmt w:val="lowerRoman"/>
      <w:start w:val="8"/>
    </w:lvl>
    <w:lvl w:ilvl="1">
      <w:lvlJc w:val="left"/>
      <w:lvlText w:val="(%2)"/>
      <w:numFmt w:val="upperLetter"/>
      <w:start w:val="3"/>
    </w:lvl>
  </w:abstractNum>
  <w:abstractNum w:abstractNumId="105">
    <w:nsid w:val="1DF029D3"/>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06">
    <w:nsid w:val="5675FF36"/>
    <w:multiLevelType w:val="hybridMultilevel"/>
    <w:lvl w:ilvl="0">
      <w:lvlJc w:val="left"/>
      <w:lvlText w:val="(%1)"/>
      <w:numFmt w:val="lowerRoman"/>
      <w:start w:val="2"/>
    </w:lvl>
    <w:lvl w:ilvl="1">
      <w:lvlJc w:val="left"/>
      <w:lvlText w:val="(%2)"/>
      <w:numFmt w:val="upperLetter"/>
      <w:start w:val="2"/>
    </w:lvl>
    <w:lvl w:ilvl="2">
      <w:lvlJc w:val="left"/>
      <w:lvlText w:val="-"/>
      <w:numFmt w:val="bullet"/>
      <w:start w:val="1"/>
    </w:lvl>
  </w:abstractNum>
  <w:abstractNum w:abstractNumId="107">
    <w:nsid w:val="3DD15094"/>
    <w:multiLevelType w:val="hybridMultilevel"/>
    <w:lvl w:ilvl="0">
      <w:lvlJc w:val="left"/>
      <w:lvlText w:val="(%1)"/>
      <w:numFmt w:val="upperLetter"/>
      <w:start w:val="3"/>
    </w:lvl>
  </w:abstractNum>
  <w:abstractNum w:abstractNumId="108">
    <w:nsid w:val="3DB012B3"/>
    <w:multiLevelType w:val="hybridMultilevel"/>
    <w:lvl w:ilvl="0">
      <w:lvlJc w:val="left"/>
      <w:lvlText w:val="(%1)"/>
      <w:numFmt w:val="upperLetter"/>
      <w:start w:val="1"/>
    </w:lvl>
  </w:abstractNum>
  <w:abstractNum w:abstractNumId="109">
    <w:nsid w:val="2708C9AF"/>
    <w:multiLevelType w:val="hybridMultilevel"/>
    <w:lvl w:ilvl="0">
      <w:lvlJc w:val="left"/>
      <w:lvlText w:val="(%1)"/>
      <w:numFmt w:val="upperLetter"/>
      <w:start w:val="1"/>
    </w:lvl>
  </w:abstractNum>
  <w:abstractNum w:abstractNumId="110">
    <w:nsid w:val="5B25ACE2"/>
    <w:multiLevelType w:val="hybridMultilevel"/>
    <w:lvl w:ilvl="0">
      <w:lvlJc w:val="left"/>
      <w:lvlText w:val="(%1)"/>
      <w:numFmt w:val="upperLetter"/>
      <w:start w:val="1"/>
    </w:lvl>
    <w:lvl w:ilvl="1">
      <w:lvlJc w:val="left"/>
      <w:lvlText w:val="-"/>
      <w:numFmt w:val="bullet"/>
      <w:start w:val="1"/>
    </w:lvl>
  </w:abstractNum>
  <w:abstractNum w:abstractNumId="111">
    <w:nsid w:val="175DFCF0"/>
    <w:multiLevelType w:val="hybridMultilevel"/>
    <w:lvl w:ilvl="0">
      <w:lvlJc w:val="left"/>
      <w:lvlText w:val="(%1)"/>
      <w:numFmt w:val="upperLetter"/>
      <w:start w:val="4"/>
    </w:lvl>
  </w:abstractNum>
  <w:abstractNum w:abstractNumId="112">
    <w:nsid w:val="4F97E3E4"/>
    <w:multiLevelType w:val="hybridMultilevel"/>
    <w:lvl w:ilvl="0">
      <w:lvlJc w:val="left"/>
      <w:lvlText w:val="(%1)"/>
      <w:numFmt w:val="upperLetter"/>
      <w:start w:val="1"/>
    </w:lvl>
    <w:lvl w:ilvl="1">
      <w:lvlJc w:val="left"/>
      <w:lvlText w:val="(%2)"/>
      <w:numFmt w:val="lowerRoman"/>
      <w:start w:val="1"/>
    </w:lvl>
  </w:abstractNum>
  <w:abstractNum w:abstractNumId="113">
    <w:nsid w:val="53B0A9E"/>
    <w:multiLevelType w:val="hybridMultilevel"/>
    <w:lvl w:ilvl="0">
      <w:lvlJc w:val="left"/>
      <w:lvlText w:val="(%1)"/>
      <w:numFmt w:val="upperLetter"/>
      <w:start w:val="2"/>
    </w:lvl>
  </w:abstractNum>
  <w:abstractNum w:abstractNumId="114">
    <w:nsid w:val="34FD6B4F"/>
    <w:multiLevelType w:val="hybridMultilevel"/>
    <w:lvl w:ilvl="0">
      <w:lvlJc w:val="left"/>
      <w:lvlText w:val="(%1)"/>
      <w:numFmt w:val="upperLetter"/>
      <w:start w:val="1"/>
    </w:lvl>
  </w:abstractNum>
  <w:abstractNum w:abstractNumId="115">
    <w:nsid w:val="5915FF32"/>
    <w:multiLevelType w:val="hybridMultilevel"/>
    <w:lvl w:ilvl="0">
      <w:lvlJc w:val="left"/>
      <w:lvlText w:val="(%1)"/>
      <w:numFmt w:val="upperLetter"/>
      <w:start w:val="1"/>
    </w:lvl>
  </w:abstractNum>
  <w:abstractNum w:abstractNumId="116">
    <w:nsid w:val="56438D15"/>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17">
    <w:nsid w:val="519E3149"/>
    <w:multiLevelType w:val="hybridMultilevel"/>
    <w:lvl w:ilvl="0">
      <w:lvlJc w:val="left"/>
      <w:lvlText w:val="(%1)"/>
      <w:numFmt w:val="upperLetter"/>
      <w:start w:val="6"/>
    </w:lvl>
  </w:abstractNum>
  <w:abstractNum w:abstractNumId="118">
    <w:nsid w:val="2C6E4AFD"/>
    <w:multiLevelType w:val="hybridMultilevel"/>
    <w:lvl w:ilvl="0">
      <w:lvlJc w:val="left"/>
      <w:lvlText w:val="(%1)"/>
      <w:numFmt w:val="upperLetter"/>
      <w:start w:val="1"/>
    </w:lvl>
    <w:lvl w:ilvl="1">
      <w:lvlJc w:val="left"/>
      <w:lvlText w:val="-"/>
      <w:numFmt w:val="bullet"/>
      <w:start w:val="1"/>
    </w:lvl>
  </w:abstractNum>
  <w:abstractNum w:abstractNumId="119">
    <w:nsid w:val="17A1B582"/>
    <w:multiLevelType w:val="hybridMultilevel"/>
    <w:lvl w:ilvl="0">
      <w:lvlJc w:val="left"/>
      <w:lvlText w:val="(%1)"/>
      <w:numFmt w:val="upperLetter"/>
      <w:start w:val="8"/>
    </w:lvl>
  </w:abstractNum>
  <w:abstractNum w:abstractNumId="120">
    <w:nsid w:val="4DF72E4E"/>
    <w:multiLevelType w:val="hybridMultilevel"/>
    <w:lvl w:ilvl="0">
      <w:lvlJc w:val="left"/>
      <w:lvlText w:val="(%1)"/>
      <w:numFmt w:val="upperLetter"/>
      <w:start w:val="1"/>
    </w:lvl>
    <w:lvl w:ilvl="1">
      <w:lvlJc w:val="left"/>
      <w:lvlText w:val="-"/>
      <w:numFmt w:val="bullet"/>
      <w:start w:val="1"/>
    </w:lvl>
  </w:abstractNum>
  <w:abstractNum w:abstractNumId="121">
    <w:nsid w:val="5046B5A9"/>
    <w:multiLevelType w:val="hybridMultilevel"/>
    <w:lvl w:ilvl="0">
      <w:lvlJc w:val="left"/>
      <w:lvlText w:val="(%1)"/>
      <w:numFmt w:val="upperLetter"/>
      <w:start w:val="1"/>
    </w:lvl>
    <w:lvl w:ilvl="1">
      <w:lvlJc w:val="left"/>
      <w:lvlText w:val="(%2)"/>
      <w:numFmt w:val="lowerRoman"/>
      <w:start w:val="1"/>
    </w:lvl>
  </w:abstractNum>
  <w:abstractNum w:abstractNumId="122">
    <w:nsid w:val="5D888A08"/>
    <w:multiLevelType w:val="hybridMultilevel"/>
    <w:lvl w:ilvl="0">
      <w:lvlJc w:val="left"/>
      <w:lvlText w:val="(%1)"/>
      <w:numFmt w:val="upperLetter"/>
      <w:start w:val="1"/>
    </w:lvl>
  </w:abstractNum>
  <w:abstractNum w:abstractNumId="123">
    <w:nsid w:val="2A082C70"/>
    <w:multiLevelType w:val="hybridMultilevel"/>
    <w:lvl w:ilvl="0">
      <w:lvlJc w:val="left"/>
      <w:lvlText w:val="(%1)"/>
      <w:numFmt w:val="upperLetter"/>
      <w:start w:val="1"/>
    </w:lvl>
    <w:lvl w:ilvl="1">
      <w:lvlJc w:val="left"/>
      <w:lvlText w:val="-"/>
      <w:numFmt w:val="bullet"/>
      <w:start w:val="1"/>
    </w:lvl>
  </w:abstractNum>
  <w:abstractNum w:abstractNumId="124">
    <w:nsid w:val="5EC6AFD4"/>
    <w:multiLevelType w:val="hybridMultilevel"/>
    <w:lvl w:ilvl="0">
      <w:lvlJc w:val="left"/>
      <w:lvlText w:val="*"/>
      <w:numFmt w:val="bullet"/>
      <w:start w:val="1"/>
    </w:lvl>
  </w:abstractNum>
  <w:abstractNum w:abstractNumId="125">
    <w:nsid w:val="19E21BB2"/>
    <w:multiLevelType w:val="hybridMultilevel"/>
    <w:lvl w:ilvl="0">
      <w:lvlJc w:val="left"/>
      <w:lvlText w:val="%1."/>
      <w:numFmt w:val="decimal"/>
      <w:start w:val="1"/>
    </w:lvl>
  </w:abstractNum>
  <w:abstractNum w:abstractNumId="126">
    <w:nsid w:val="75E0858A"/>
    <w:multiLevelType w:val="hybridMultilevel"/>
    <w:lvl w:ilvl="0">
      <w:lvlJc w:val="left"/>
      <w:lvlText w:val="%1."/>
      <w:numFmt w:val="decimal"/>
      <w:start w:val="9"/>
    </w:lvl>
  </w:abstractNum>
  <w:abstractNum w:abstractNumId="127">
    <w:nsid w:val="57A61A29"/>
    <w:multiLevelType w:val="hybridMultilevel"/>
    <w:lvl w:ilvl="0">
      <w:lvlJc w:val="left"/>
      <w:lvlText w:val="*"/>
      <w:numFmt w:val="bullet"/>
      <w:start w:val="1"/>
    </w:lvl>
  </w:abstractNum>
  <w:abstractNum w:abstractNumId="128">
    <w:nsid w:val="5399C654"/>
    <w:multiLevelType w:val="hybridMultilevel"/>
    <w:lvl w:ilvl="0">
      <w:lvlJc w:val="left"/>
      <w:lvlText w:val="☐"/>
      <w:numFmt w:val="bullet"/>
      <w:start w:val="1"/>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
      <w:numFmt w:val="bullet"/>
      <w:start w:val="1"/>
    </w:lvl>
  </w:abstractNum>
  <w:abstractNum w:abstractNumId="131">
    <w:nsid w:val="B37E80A"/>
    <w:multiLevelType w:val="hybridMultilevel"/>
    <w:lvl w:ilvl="0">
      <w:lvlJc w:val="left"/>
      <w:lvlText w:val="*"/>
      <w:numFmt w:val="bullet"/>
      <w:start w:val="1"/>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2021-12-14T16:13:19Z</dcterms:created>
  <dcterms:modified xsi:type="dcterms:W3CDTF">2021-12-14T16:13:19Z</dcterms:modified>
</cp:coreProperties>
</file>