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150495</wp:posOffset>
            </wp:positionV>
            <wp:extent cx="21945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174625</wp:posOffset>
            </wp:positionV>
            <wp:extent cx="21945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00" w:lineRule="exact"/>
        <w:rPr>
          <w:sz w:val="24"/>
          <w:szCs w:val="24"/>
          <w:color w:val="auto"/>
        </w:rPr>
      </w:pPr>
    </w:p>
    <w:p>
      <w:pPr>
        <w:spacing w:after="0" w:line="29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October 8,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163195</wp:posOffset>
            </wp:positionV>
            <wp:extent cx="21945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Lucid Group,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150495</wp:posOffset>
            </wp:positionV>
            <wp:extent cx="21945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ectPr>
          <w:pgSz w:w="11900" w:h="16838" w:orient="portrait"/>
          <w:cols w:equalWidth="0" w:num="1">
            <w:col w:w="11240"/>
          </w:cols>
          <w:pgMar w:left="320" w:top="697" w:right="339" w:bottom="1440" w:gutter="0" w:footer="0" w:header="0"/>
        </w:sectPr>
      </w:pPr>
    </w:p>
    <w:p>
      <w:pPr>
        <w:spacing w:after="0" w:line="200" w:lineRule="exact"/>
        <w:rPr>
          <w:sz w:val="24"/>
          <w:szCs w:val="24"/>
          <w:color w:val="auto"/>
        </w:rPr>
      </w:pPr>
    </w:p>
    <w:p>
      <w:pPr>
        <w:spacing w:after="0" w:line="302" w:lineRule="exact"/>
        <w:rPr>
          <w:sz w:val="24"/>
          <w:szCs w:val="24"/>
          <w:color w:val="auto"/>
        </w:rPr>
      </w:pPr>
    </w:p>
    <w:p>
      <w:pPr>
        <w:ind w:left="15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400"/>
        <w:spacing w:after="0"/>
        <w:rPr>
          <w:sz w:val="20"/>
          <w:szCs w:val="20"/>
          <w:color w:val="auto"/>
        </w:rPr>
      </w:pPr>
      <w:r>
        <w:rPr>
          <w:rFonts w:ascii="Arial" w:cs="Arial" w:eastAsia="Arial" w:hAnsi="Arial"/>
          <w:sz w:val="16"/>
          <w:szCs w:val="16"/>
          <w:color w:val="auto"/>
        </w:rPr>
        <w:t>(State or other</w:t>
      </w:r>
    </w:p>
    <w:p>
      <w:pPr>
        <w:spacing w:after="0" w:line="32" w:lineRule="exact"/>
        <w:rPr>
          <w:sz w:val="24"/>
          <w:szCs w:val="24"/>
          <w:color w:val="auto"/>
        </w:rPr>
      </w:pPr>
    </w:p>
    <w:p>
      <w:pPr>
        <w:ind w:left="1420"/>
        <w:spacing w:after="0"/>
        <w:rPr>
          <w:sz w:val="20"/>
          <w:szCs w:val="20"/>
          <w:color w:val="auto"/>
        </w:rPr>
      </w:pPr>
      <w:r>
        <w:rPr>
          <w:rFonts w:ascii="Arial" w:cs="Arial" w:eastAsia="Arial" w:hAnsi="Arial"/>
          <w:sz w:val="17"/>
          <w:szCs w:val="17"/>
          <w:color w:val="auto"/>
        </w:rPr>
        <w:t>jurisdiction of</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2" w:lineRule="exact"/>
        <w:rPr>
          <w:sz w:val="24"/>
          <w:szCs w:val="24"/>
          <w:color w:val="auto"/>
        </w:rPr>
      </w:pPr>
    </w:p>
    <w:p>
      <w:pPr>
        <w:jc w:val="center"/>
        <w:ind w:right="1600"/>
        <w:spacing w:after="0"/>
        <w:rPr>
          <w:sz w:val="20"/>
          <w:szCs w:val="20"/>
          <w:color w:val="auto"/>
        </w:rPr>
      </w:pPr>
      <w:r>
        <w:rPr>
          <w:rFonts w:ascii="Arial" w:cs="Arial" w:eastAsia="Arial" w:hAnsi="Arial"/>
          <w:sz w:val="18"/>
          <w:szCs w:val="18"/>
          <w:b w:val="1"/>
          <w:bCs w:val="1"/>
          <w:color w:val="auto"/>
        </w:rPr>
        <w:t>001-39408</w:t>
      </w:r>
    </w:p>
    <w:p>
      <w:pPr>
        <w:spacing w:after="0" w:line="27" w:lineRule="exact"/>
        <w:rPr>
          <w:sz w:val="24"/>
          <w:szCs w:val="24"/>
          <w:color w:val="auto"/>
        </w:rPr>
      </w:pPr>
    </w:p>
    <w:p>
      <w:pPr>
        <w:jc w:val="center"/>
        <w:ind w:right="1600"/>
        <w:spacing w:after="0"/>
        <w:rPr>
          <w:sz w:val="20"/>
          <w:szCs w:val="20"/>
          <w:color w:val="auto"/>
        </w:rPr>
      </w:pPr>
      <w:r>
        <w:rPr>
          <w:rFonts w:ascii="Arial" w:cs="Arial" w:eastAsia="Arial" w:hAnsi="Arial"/>
          <w:sz w:val="16"/>
          <w:szCs w:val="16"/>
          <w:color w:val="auto"/>
        </w:rPr>
        <w:t>(Commission File</w:t>
      </w:r>
    </w:p>
    <w:p>
      <w:pPr>
        <w:spacing w:after="0" w:line="32" w:lineRule="exact"/>
        <w:rPr>
          <w:sz w:val="24"/>
          <w:szCs w:val="24"/>
          <w:color w:val="auto"/>
        </w:rPr>
      </w:pPr>
    </w:p>
    <w:p>
      <w:pPr>
        <w:jc w:val="center"/>
        <w:ind w:right="1600"/>
        <w:spacing w:after="0"/>
        <w:rPr>
          <w:sz w:val="20"/>
          <w:szCs w:val="20"/>
          <w:color w:val="auto"/>
        </w:rPr>
      </w:pPr>
      <w:r>
        <w:rPr>
          <w:rFonts w:ascii="Arial" w:cs="Arial" w:eastAsia="Arial" w:hAnsi="Arial"/>
          <w:sz w:val="18"/>
          <w:szCs w:val="18"/>
          <w:color w:val="auto"/>
        </w:rPr>
        <w:t>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2" w:lineRule="exact"/>
        <w:rPr>
          <w:sz w:val="24"/>
          <w:szCs w:val="24"/>
          <w:color w:val="auto"/>
        </w:rPr>
      </w:pPr>
    </w:p>
    <w:p>
      <w:pPr>
        <w:jc w:val="center"/>
        <w:ind w:right="1240"/>
        <w:spacing w:after="0"/>
        <w:rPr>
          <w:sz w:val="20"/>
          <w:szCs w:val="20"/>
          <w:color w:val="auto"/>
        </w:rPr>
      </w:pPr>
      <w:r>
        <w:rPr>
          <w:rFonts w:ascii="Arial" w:cs="Arial" w:eastAsia="Arial" w:hAnsi="Arial"/>
          <w:sz w:val="18"/>
          <w:szCs w:val="18"/>
          <w:b w:val="1"/>
          <w:bCs w:val="1"/>
          <w:color w:val="auto"/>
        </w:rPr>
        <w:t>85-0891392</w:t>
      </w:r>
    </w:p>
    <w:p>
      <w:pPr>
        <w:spacing w:after="0" w:line="27" w:lineRule="exact"/>
        <w:rPr>
          <w:sz w:val="24"/>
          <w:szCs w:val="24"/>
          <w:color w:val="auto"/>
        </w:rPr>
      </w:pPr>
    </w:p>
    <w:p>
      <w:pPr>
        <w:jc w:val="center"/>
        <w:ind w:right="124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240"/>
        <w:spacing w:after="0"/>
        <w:rPr>
          <w:sz w:val="20"/>
          <w:szCs w:val="20"/>
          <w:color w:val="auto"/>
        </w:rPr>
      </w:pPr>
      <w:r>
        <w:rPr>
          <w:rFonts w:ascii="Arial" w:cs="Arial" w:eastAsia="Arial" w:hAnsi="Arial"/>
          <w:sz w:val="17"/>
          <w:szCs w:val="17"/>
          <w:color w:val="auto"/>
        </w:rPr>
        <w:t>Identification No.)</w:t>
      </w:r>
    </w:p>
    <w:p>
      <w:pPr>
        <w:spacing w:after="0" w:line="20" w:lineRule="exact"/>
        <w:rPr>
          <w:sz w:val="24"/>
          <w:szCs w:val="24"/>
          <w:color w:val="auto"/>
        </w:rPr>
      </w:pPr>
    </w:p>
    <w:p>
      <w:pPr>
        <w:sectPr>
          <w:pgSz w:w="11900" w:h="16838" w:orient="portrait"/>
          <w:cols w:equalWidth="0" w:num="3">
            <w:col w:w="4320" w:space="720"/>
            <w:col w:w="2900" w:space="720"/>
            <w:col w:w="2580"/>
          </w:cols>
          <w:pgMar w:left="320" w:top="697" w:right="339" w:bottom="1440" w:gutter="0" w:footer="0" w:header="0"/>
          <w:type w:val="continuous"/>
        </w:sectPr>
      </w:pPr>
    </w:p>
    <w:p>
      <w:pPr>
        <w:ind w:left="1420"/>
        <w:spacing w:after="0"/>
        <w:rPr>
          <w:sz w:val="20"/>
          <w:szCs w:val="20"/>
          <w:color w:val="auto"/>
        </w:rPr>
      </w:pPr>
      <w:r>
        <w:rPr>
          <w:rFonts w:ascii="Arial" w:cs="Arial" w:eastAsia="Arial" w:hAnsi="Arial"/>
          <w:sz w:val="16"/>
          <w:szCs w:val="16"/>
          <w:color w:val="auto"/>
        </w:rPr>
        <w:t>incorporation)</w:t>
      </w:r>
    </w:p>
    <w:p>
      <w:pPr>
        <w:sectPr>
          <w:pgSz w:w="11900" w:h="16838" w:orient="portrait"/>
          <w:cols w:equalWidth="0" w:num="1">
            <w:col w:w="11240"/>
          </w:cols>
          <w:pgMar w:left="320" w:top="697" w:right="339" w:bottom="1440" w:gutter="0" w:footer="0" w:header="0"/>
          <w:type w:val="continuous"/>
        </w:sectPr>
      </w:pPr>
    </w:p>
    <w:p>
      <w:pPr>
        <w:spacing w:after="0" w:line="189" w:lineRule="exact"/>
        <w:rPr>
          <w:sz w:val="24"/>
          <w:szCs w:val="24"/>
          <w:color w:val="auto"/>
        </w:rPr>
      </w:pPr>
    </w:p>
    <w:p>
      <w:pPr>
        <w:jc w:val="center"/>
        <w:ind w:right="1660"/>
        <w:spacing w:after="0"/>
        <w:rPr>
          <w:sz w:val="20"/>
          <w:szCs w:val="20"/>
          <w:color w:val="auto"/>
        </w:rPr>
      </w:pPr>
      <w:r>
        <w:rPr>
          <w:rFonts w:ascii="Arial" w:cs="Arial" w:eastAsia="Arial" w:hAnsi="Arial"/>
          <w:sz w:val="18"/>
          <w:szCs w:val="18"/>
          <w:b w:val="1"/>
          <w:bCs w:val="1"/>
          <w:color w:val="auto"/>
        </w:rPr>
        <w:t>7373 Gateway Blvd</w:t>
      </w:r>
    </w:p>
    <w:p>
      <w:pPr>
        <w:spacing w:after="0" w:line="27" w:lineRule="exact"/>
        <w:rPr>
          <w:sz w:val="24"/>
          <w:szCs w:val="24"/>
          <w:color w:val="auto"/>
        </w:rPr>
      </w:pPr>
    </w:p>
    <w:p>
      <w:pPr>
        <w:jc w:val="center"/>
        <w:ind w:right="1660"/>
        <w:spacing w:after="0"/>
        <w:rPr>
          <w:sz w:val="20"/>
          <w:szCs w:val="20"/>
          <w:color w:val="auto"/>
        </w:rPr>
      </w:pPr>
      <w:r>
        <w:rPr>
          <w:rFonts w:ascii="Arial" w:cs="Arial" w:eastAsia="Arial" w:hAnsi="Arial"/>
          <w:sz w:val="18"/>
          <w:szCs w:val="18"/>
          <w:b w:val="1"/>
          <w:bCs w:val="1"/>
          <w:color w:val="auto"/>
        </w:rPr>
        <w:t>Newark, CA</w:t>
      </w:r>
    </w:p>
    <w:p>
      <w:pPr>
        <w:spacing w:after="0" w:line="9" w:lineRule="exact"/>
        <w:rPr>
          <w:sz w:val="24"/>
          <w:szCs w:val="24"/>
          <w:color w:val="auto"/>
        </w:rPr>
      </w:pPr>
    </w:p>
    <w:p>
      <w:pPr>
        <w:jc w:val="center"/>
        <w:ind w:right="16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85" w:lineRule="exact"/>
        <w:rPr>
          <w:sz w:val="24"/>
          <w:szCs w:val="24"/>
          <w:color w:val="auto"/>
        </w:rPr>
      </w:pPr>
    </w:p>
    <w:p>
      <w:pPr>
        <w:jc w:val="center"/>
        <w:ind w:right="2400"/>
        <w:spacing w:after="0"/>
        <w:rPr>
          <w:sz w:val="20"/>
          <w:szCs w:val="20"/>
          <w:color w:val="auto"/>
        </w:rPr>
      </w:pPr>
      <w:r>
        <w:rPr>
          <w:rFonts w:ascii="Arial" w:cs="Arial" w:eastAsia="Arial" w:hAnsi="Arial"/>
          <w:sz w:val="18"/>
          <w:szCs w:val="18"/>
          <w:b w:val="1"/>
          <w:bCs w:val="1"/>
          <w:color w:val="auto"/>
        </w:rPr>
        <w:t>94560</w:t>
      </w:r>
    </w:p>
    <w:p>
      <w:pPr>
        <w:spacing w:after="0" w:line="27" w:lineRule="exact"/>
        <w:rPr>
          <w:sz w:val="24"/>
          <w:szCs w:val="24"/>
          <w:color w:val="auto"/>
        </w:rPr>
      </w:pPr>
    </w:p>
    <w:p>
      <w:pPr>
        <w:jc w:val="center"/>
        <w:ind w:right="2400"/>
        <w:spacing w:after="0"/>
        <w:rPr>
          <w:sz w:val="20"/>
          <w:szCs w:val="20"/>
          <w:color w:val="auto"/>
        </w:rPr>
      </w:pPr>
      <w:r>
        <w:rPr>
          <w:rFonts w:ascii="Arial" w:cs="Arial" w:eastAsia="Arial" w:hAnsi="Arial"/>
          <w:sz w:val="16"/>
          <w:szCs w:val="16"/>
          <w:color w:val="auto"/>
        </w:rPr>
        <w:t>(Zip Code)</w:t>
      </w:r>
    </w:p>
    <w:p>
      <w:pPr>
        <w:spacing w:after="0" w:line="193" w:lineRule="exact"/>
        <w:rPr>
          <w:sz w:val="24"/>
          <w:szCs w:val="24"/>
          <w:color w:val="auto"/>
        </w:rPr>
      </w:pPr>
    </w:p>
    <w:p>
      <w:pPr>
        <w:sectPr>
          <w:pgSz w:w="11900" w:h="16838" w:orient="portrait"/>
          <w:cols w:equalWidth="0" w:num="2">
            <w:col w:w="7320" w:space="720"/>
            <w:col w:w="3200"/>
          </w:cols>
          <w:pgMar w:left="320" w:top="697" w:right="339" w:bottom="1440" w:gutter="0" w:footer="0" w:header="0"/>
          <w:type w:val="continuous"/>
        </w:sectPr>
      </w:pPr>
    </w:p>
    <w:p>
      <w:pPr>
        <w:jc w:val="center"/>
        <w:ind w:right="100"/>
        <w:spacing w:after="0"/>
        <w:rPr>
          <w:sz w:val="20"/>
          <w:szCs w:val="20"/>
          <w:color w:val="auto"/>
        </w:rPr>
      </w:pPr>
      <w:r>
        <w:rPr>
          <w:rFonts w:ascii="Arial" w:cs="Arial" w:eastAsia="Arial" w:hAnsi="Arial"/>
          <w:sz w:val="18"/>
          <w:szCs w:val="18"/>
          <w:color w:val="auto"/>
        </w:rPr>
        <w:t>Registrant’s telephone number, including area code: (510) 648-3553</w:t>
      </w:r>
    </w:p>
    <w:p>
      <w:pPr>
        <w:spacing w:after="0" w:line="225"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168910</wp:posOffset>
            </wp:positionV>
            <wp:extent cx="21945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3"/>
              </w:rPr>
              <w:t>Trading</w:t>
            </w:r>
          </w:p>
        </w:tc>
        <w:tc>
          <w:tcPr>
            <w:tcW w:w="3600" w:type="dxa"/>
            <w:vAlign w:val="bottom"/>
          </w:tcPr>
          <w:p>
            <w:pPr>
              <w:spacing w:after="0"/>
              <w:rPr>
                <w:sz w:val="18"/>
                <w:szCs w:val="18"/>
                <w:color w:val="auto"/>
              </w:rPr>
            </w:pPr>
          </w:p>
        </w:tc>
      </w:tr>
      <w:tr>
        <w:trPr>
          <w:trHeight w:val="234"/>
        </w:trPr>
        <w:tc>
          <w:tcPr>
            <w:tcW w:w="38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6"/>
              </w:rPr>
              <w:t>Title of each class</w:t>
            </w:r>
          </w:p>
        </w:tc>
        <w:tc>
          <w:tcPr>
            <w:tcW w:w="38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9"/>
              </w:rPr>
              <w:t>Symbol</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195"/>
        </w:trPr>
        <w:tc>
          <w:tcPr>
            <w:tcW w:w="37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Class A Common Stock, $0.0001 par value per</w:t>
            </w:r>
          </w:p>
        </w:tc>
        <w:tc>
          <w:tcPr>
            <w:tcW w:w="120" w:type="dxa"/>
            <w:vAlign w:val="bottom"/>
          </w:tcPr>
          <w:p>
            <w:pPr>
              <w:spacing w:after="0"/>
              <w:rPr>
                <w:sz w:val="16"/>
                <w:szCs w:val="16"/>
                <w:color w:val="auto"/>
              </w:rPr>
            </w:pPr>
          </w:p>
        </w:tc>
        <w:tc>
          <w:tcPr>
            <w:tcW w:w="37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LCID</w:t>
            </w:r>
          </w:p>
        </w:tc>
        <w:tc>
          <w:tcPr>
            <w:tcW w:w="1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The Nasdaq Stock Market LLC</w:t>
            </w:r>
          </w:p>
        </w:tc>
      </w:tr>
      <w:tr>
        <w:trPr>
          <w:trHeight w:val="230"/>
        </w:trPr>
        <w:tc>
          <w:tcPr>
            <w:tcW w:w="3840" w:type="dxa"/>
            <w:vAlign w:val="bottom"/>
            <w:gridSpan w:val="2"/>
          </w:tcPr>
          <w:p>
            <w:pPr>
              <w:jc w:val="center"/>
              <w:ind w:right="60"/>
              <w:spacing w:after="0"/>
              <w:rPr>
                <w:sz w:val="20"/>
                <w:szCs w:val="20"/>
                <w:color w:val="auto"/>
              </w:rPr>
            </w:pPr>
            <w:r>
              <w:rPr>
                <w:rFonts w:ascii="Arial" w:cs="Arial" w:eastAsia="Arial" w:hAnsi="Arial"/>
                <w:sz w:val="18"/>
                <w:szCs w:val="18"/>
                <w:color w:val="auto"/>
                <w:w w:val="84"/>
              </w:rPr>
              <w:t>share</w:t>
            </w:r>
          </w:p>
        </w:tc>
        <w:tc>
          <w:tcPr>
            <w:tcW w:w="3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18"/>
        </w:trPr>
        <w:tc>
          <w:tcPr>
            <w:tcW w:w="3840" w:type="dxa"/>
            <w:vAlign w:val="bottom"/>
            <w:gridSpan w:val="2"/>
          </w:tcPr>
          <w:p>
            <w:pPr>
              <w:jc w:val="center"/>
              <w:ind w:right="60"/>
              <w:spacing w:after="0"/>
              <w:rPr>
                <w:sz w:val="20"/>
                <w:szCs w:val="20"/>
                <w:color w:val="auto"/>
              </w:rPr>
            </w:pPr>
            <w:r>
              <w:rPr>
                <w:rFonts w:ascii="Arial" w:cs="Arial" w:eastAsia="Arial" w:hAnsi="Arial"/>
                <w:sz w:val="18"/>
                <w:szCs w:val="18"/>
                <w:color w:val="auto"/>
                <w:w w:val="88"/>
              </w:rPr>
              <w:t>Warrants, each exercisable for one share of Class</w:t>
            </w:r>
          </w:p>
        </w:tc>
        <w:tc>
          <w:tcPr>
            <w:tcW w:w="3800" w:type="dxa"/>
            <w:vAlign w:val="bottom"/>
            <w:gridSpan w:val="2"/>
          </w:tcPr>
          <w:p>
            <w:pPr>
              <w:jc w:val="center"/>
              <w:ind w:right="40"/>
              <w:spacing w:after="0"/>
              <w:rPr>
                <w:sz w:val="20"/>
                <w:szCs w:val="20"/>
                <w:color w:val="auto"/>
              </w:rPr>
            </w:pPr>
            <w:r>
              <w:rPr>
                <w:rFonts w:ascii="Arial" w:cs="Arial" w:eastAsia="Arial" w:hAnsi="Arial"/>
                <w:sz w:val="18"/>
                <w:szCs w:val="18"/>
                <w:color w:val="auto"/>
              </w:rPr>
              <w:t>LCIDW</w:t>
            </w:r>
          </w:p>
        </w:tc>
        <w:tc>
          <w:tcPr>
            <w:tcW w:w="360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16"/>
        </w:trPr>
        <w:tc>
          <w:tcPr>
            <w:tcW w:w="3840" w:type="dxa"/>
            <w:vAlign w:val="bottom"/>
            <w:gridSpan w:val="2"/>
          </w:tcPr>
          <w:p>
            <w:pPr>
              <w:jc w:val="center"/>
              <w:ind w:right="60"/>
              <w:spacing w:after="0"/>
              <w:rPr>
                <w:sz w:val="20"/>
                <w:szCs w:val="20"/>
                <w:color w:val="auto"/>
              </w:rPr>
            </w:pPr>
            <w:r>
              <w:rPr>
                <w:rFonts w:ascii="Arial" w:cs="Arial" w:eastAsia="Arial" w:hAnsi="Arial"/>
                <w:sz w:val="18"/>
                <w:szCs w:val="18"/>
                <w:color w:val="auto"/>
                <w:w w:val="90"/>
              </w:rPr>
              <w:t>A Common Stock at an exercise price of $11.50</w:t>
            </w:r>
          </w:p>
        </w:tc>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30"/>
        </w:trPr>
        <w:tc>
          <w:tcPr>
            <w:tcW w:w="3840" w:type="dxa"/>
            <w:vAlign w:val="bottom"/>
            <w:gridSpan w:val="2"/>
          </w:tcPr>
          <w:p>
            <w:pPr>
              <w:jc w:val="center"/>
              <w:ind w:right="60"/>
              <w:spacing w:after="0"/>
              <w:rPr>
                <w:sz w:val="20"/>
                <w:szCs w:val="20"/>
                <w:color w:val="auto"/>
              </w:rPr>
            </w:pPr>
            <w:r>
              <w:rPr>
                <w:rFonts w:ascii="Arial" w:cs="Arial" w:eastAsia="Arial" w:hAnsi="Arial"/>
                <w:sz w:val="18"/>
                <w:szCs w:val="18"/>
                <w:color w:val="auto"/>
                <w:w w:val="86"/>
              </w:rPr>
              <w:t>per share</w:t>
            </w:r>
          </w:p>
        </w:tc>
        <w:tc>
          <w:tcPr>
            <w:tcW w:w="3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202" w:lineRule="exact"/>
        <w:rPr>
          <w:sz w:val="24"/>
          <w:szCs w:val="24"/>
          <w:color w:val="auto"/>
        </w:rPr>
      </w:pPr>
    </w:p>
    <w:p>
      <w:pPr>
        <w:ind w:right="56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1933(§230.405 of this chapter) or Rule 12b-2 of the Securities Exchange Act of 1934 (§240.12b-2 of this chapter).</w:t>
      </w:r>
    </w:p>
    <w:p>
      <w:pPr>
        <w:spacing w:after="0" w:line="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6"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493395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7"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5" w:lineRule="exact"/>
        <w:rPr>
          <w:sz w:val="20"/>
          <w:szCs w:val="20"/>
          <w:color w:val="auto"/>
        </w:rPr>
      </w:pPr>
    </w:p>
    <w:p>
      <w:pPr>
        <w:jc w:val="both"/>
        <w:ind w:firstLine="441"/>
        <w:spacing w:after="0" w:line="256" w:lineRule="auto"/>
        <w:rPr>
          <w:sz w:val="20"/>
          <w:szCs w:val="20"/>
          <w:color w:val="auto"/>
        </w:rPr>
      </w:pPr>
      <w:r>
        <w:rPr>
          <w:rFonts w:ascii="Arial" w:cs="Arial" w:eastAsia="Arial" w:hAnsi="Arial"/>
          <w:sz w:val="18"/>
          <w:szCs w:val="18"/>
          <w:color w:val="auto"/>
        </w:rPr>
        <w:t>On October 8, 2021, Lucid Group, Inc. (the “</w:t>
      </w:r>
      <w:r>
        <w:rPr>
          <w:rFonts w:ascii="Arial" w:cs="Arial" w:eastAsia="Arial" w:hAnsi="Arial"/>
          <w:sz w:val="18"/>
          <w:szCs w:val="18"/>
          <w:b w:val="1"/>
          <w:bCs w:val="1"/>
          <w:color w:val="auto"/>
        </w:rPr>
        <w:t>Company</w:t>
      </w:r>
      <w:r>
        <w:rPr>
          <w:rFonts w:ascii="Arial" w:cs="Arial" w:eastAsia="Arial" w:hAnsi="Arial"/>
          <w:sz w:val="18"/>
          <w:szCs w:val="18"/>
          <w:color w:val="auto"/>
        </w:rPr>
        <w:t>”) repurchased an aggregate of 857,825 shares of its Class A Common Stock from certain individuals (the “</w:t>
      </w:r>
      <w:r>
        <w:rPr>
          <w:rFonts w:ascii="Arial" w:cs="Arial" w:eastAsia="Arial" w:hAnsi="Arial"/>
          <w:sz w:val="18"/>
          <w:szCs w:val="18"/>
          <w:b w:val="1"/>
          <w:bCs w:val="1"/>
          <w:color w:val="auto"/>
        </w:rPr>
        <w:t>Individual Sellers</w:t>
      </w:r>
      <w:r>
        <w:rPr>
          <w:rFonts w:ascii="Arial" w:cs="Arial" w:eastAsia="Arial" w:hAnsi="Arial"/>
          <w:sz w:val="18"/>
          <w:szCs w:val="18"/>
          <w:color w:val="auto"/>
        </w:rPr>
        <w:t>”) who were directors and employees of the Company’s predecessor, Atieva, Inc. (“</w:t>
      </w:r>
      <w:r>
        <w:rPr>
          <w:rFonts w:ascii="Arial" w:cs="Arial" w:eastAsia="Arial" w:hAnsi="Arial"/>
          <w:sz w:val="18"/>
          <w:szCs w:val="18"/>
          <w:b w:val="1"/>
          <w:bCs w:val="1"/>
          <w:color w:val="auto"/>
        </w:rPr>
        <w:t>Atieva</w:t>
      </w:r>
      <w:r>
        <w:rPr>
          <w:rFonts w:ascii="Arial" w:cs="Arial" w:eastAsia="Arial" w:hAnsi="Arial"/>
          <w:sz w:val="18"/>
          <w:szCs w:val="18"/>
          <w:color w:val="auto"/>
        </w:rPr>
        <w:t>”) (such transactions, the “</w:t>
      </w:r>
      <w:r>
        <w:rPr>
          <w:rFonts w:ascii="Arial" w:cs="Arial" w:eastAsia="Arial" w:hAnsi="Arial"/>
          <w:sz w:val="18"/>
          <w:szCs w:val="18"/>
          <w:b w:val="1"/>
          <w:bCs w:val="1"/>
          <w:color w:val="auto"/>
        </w:rPr>
        <w:t>Repurchases</w:t>
      </w:r>
      <w:r>
        <w:rPr>
          <w:rFonts w:ascii="Arial" w:cs="Arial" w:eastAsia="Arial" w:hAnsi="Arial"/>
          <w:sz w:val="18"/>
          <w:szCs w:val="18"/>
          <w:color w:val="auto"/>
        </w:rPr>
        <w:t>”). The repurchase price was $24.15 per share, which is equal to the average closing price of the Company’s Class A Common Stock on the Nasdaq Global Select Market for the three trading day period ending on and including October 6, 2021, the second trading day prior to the date of the Repurchases. The Repurchases were effected pursuant to voluntary individual agreements (the “</w:t>
      </w:r>
      <w:r>
        <w:rPr>
          <w:rFonts w:ascii="Arial" w:cs="Arial" w:eastAsia="Arial" w:hAnsi="Arial"/>
          <w:sz w:val="18"/>
          <w:szCs w:val="18"/>
          <w:b w:val="1"/>
          <w:bCs w:val="1"/>
          <w:color w:val="auto"/>
        </w:rPr>
        <w:t>Repurchase Agreements</w:t>
      </w:r>
      <w:r>
        <w:rPr>
          <w:rFonts w:ascii="Arial" w:cs="Arial" w:eastAsia="Arial" w:hAnsi="Arial"/>
          <w:sz w:val="18"/>
          <w:szCs w:val="18"/>
          <w:color w:val="auto"/>
        </w:rPr>
        <w:t>”) with each of the Individual Sellers.</w:t>
      </w:r>
    </w:p>
    <w:p>
      <w:pPr>
        <w:spacing w:after="0" w:line="191" w:lineRule="exact"/>
        <w:rPr>
          <w:sz w:val="20"/>
          <w:szCs w:val="20"/>
          <w:color w:val="auto"/>
        </w:rPr>
      </w:pPr>
    </w:p>
    <w:p>
      <w:pPr>
        <w:jc w:val="both"/>
        <w:ind w:firstLine="441"/>
        <w:spacing w:after="0" w:line="286" w:lineRule="auto"/>
        <w:rPr>
          <w:sz w:val="20"/>
          <w:szCs w:val="20"/>
          <w:color w:val="auto"/>
        </w:rPr>
      </w:pPr>
      <w:r>
        <w:rPr>
          <w:rFonts w:ascii="Arial" w:cs="Arial" w:eastAsia="Arial" w:hAnsi="Arial"/>
          <w:sz w:val="17"/>
          <w:szCs w:val="17"/>
          <w:color w:val="auto"/>
        </w:rPr>
        <w:t>The Repurchases were effected solely to allow the Individual Sellers to satisfy certain tax obligations (including tax withholding obligations of the Company) incurred in connection with such Individual Sellers’ purchase of shares of Series E Preferred Stock from Atieva on April 2, 2021. At the closing of the Repurchases, the Company applied the proceeds to remitting required tax withholding to the applicable U.S. tax authorities.</w:t>
      </w:r>
    </w:p>
    <w:p>
      <w:pPr>
        <w:spacing w:after="0" w:line="165" w:lineRule="exact"/>
        <w:rPr>
          <w:sz w:val="20"/>
          <w:szCs w:val="20"/>
          <w:color w:val="auto"/>
        </w:rPr>
      </w:pPr>
    </w:p>
    <w:p>
      <w:pPr>
        <w:jc w:val="both"/>
        <w:ind w:firstLine="441"/>
        <w:spacing w:after="0" w:line="279" w:lineRule="auto"/>
        <w:rPr>
          <w:sz w:val="20"/>
          <w:szCs w:val="20"/>
          <w:color w:val="auto"/>
        </w:rPr>
      </w:pPr>
      <w:r>
        <w:rPr>
          <w:rFonts w:ascii="Arial" w:cs="Arial" w:eastAsia="Arial" w:hAnsi="Arial"/>
          <w:sz w:val="17"/>
          <w:szCs w:val="17"/>
          <w:color w:val="auto"/>
        </w:rPr>
        <w:t>The Individual Sellers included Peter Rawlinson, a director of the Company and the Company’s Chief Executive Officer and Chief Technology Officer, from whom the Company repurchased 178,796 shares; Eric Bach, the Company’s Senior Vice President, Product and Chief Engineer, from whom the Company repurchased 195,557 shares; Michael Bell, the Company’s Senior Vice President, Digital, from whom the Company repurchased 33,526 shares; and Tony Posawatz, a director of the Company, from whom the Company repurchased 14,511 shares.</w:t>
      </w:r>
    </w:p>
    <w:p>
      <w:pPr>
        <w:spacing w:after="0" w:line="171"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The Repurchases and the Repurchase Agreements were approved by the Audit Committee and by the Board of Directors. In addition, the Board of Directors exempted the Repurchases from the application of Article 5, Section 5.04 of the Company’s Amended and Restated Bylaws, which otherwise restricts holders of shares of the Company’s Class A Common Stock that were acquired in exchange for shares of Atieva from transferring such shares until January 19,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Current Report on Form 8-K to be signed on its behalf by the undersigned hereunto duly authorized.</w:t>
      </w:r>
    </w:p>
    <w:p>
      <w:pPr>
        <w:spacing w:after="0" w:line="170"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Dated: October 8, 2021</w:t>
      </w:r>
      <w:r>
        <w:rPr>
          <w:sz w:val="20"/>
          <w:szCs w:val="20"/>
          <w:color w:val="auto"/>
        </w:rPr>
        <w:tab/>
      </w:r>
      <w:r>
        <w:rPr>
          <w:rFonts w:ascii="Arial" w:cs="Arial" w:eastAsia="Arial" w:hAnsi="Arial"/>
          <w:sz w:val="17"/>
          <w:szCs w:val="17"/>
          <w:color w:val="auto"/>
        </w:rPr>
        <w:t>LUCID GROUP, INC.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Sherry 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Sherry House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2021-10-08T16:24:29Z</dcterms:created>
  <dcterms:modified xsi:type="dcterms:W3CDTF">2021-10-08T16:24:29Z</dcterms:modified>
</cp:coreProperties>
</file>