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333-258348</w:t>
      </w:r>
    </w:p>
    <w:p>
      <w:pPr>
        <w:spacing w:after="0" w:line="197"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Prospectus Supplement No. 5</w:t>
      </w:r>
    </w:p>
    <w:p>
      <w:pPr>
        <w:spacing w:after="0" w:line="29"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1610995</wp:posOffset>
            </wp:positionH>
            <wp:positionV relativeFrom="paragraph">
              <wp:posOffset>135890</wp:posOffset>
            </wp:positionV>
            <wp:extent cx="3921760" cy="251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21760" cy="251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Up to 44,350,000 Shares of Class A Common Stock</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Up to 1,195,006,622 Shares of Class A 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Up to 44,350,000 Warrants to Purchase Class A 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Offered by the Selling Securityholders</w:t>
      </w:r>
    </w:p>
    <w:p>
      <w:pPr>
        <w:spacing w:after="0" w:line="201" w:lineRule="exact"/>
        <w:rPr>
          <w:sz w:val="24"/>
          <w:szCs w:val="24"/>
          <w:color w:val="auto"/>
        </w:rPr>
      </w:pPr>
    </w:p>
    <w:p>
      <w:pPr>
        <w:jc w:val="both"/>
        <w:ind w:left="1" w:firstLine="297"/>
        <w:spacing w:after="0" w:line="269"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April 28, 2022 (the “</w:t>
      </w:r>
      <w:r>
        <w:rPr>
          <w:rFonts w:ascii="Arial" w:cs="Arial" w:eastAsia="Arial" w:hAnsi="Arial"/>
          <w:sz w:val="16"/>
          <w:szCs w:val="16"/>
          <w:i w:val="1"/>
          <w:iCs w:val="1"/>
          <w:color w:val="auto"/>
        </w:rPr>
        <w:t>Prospectus</w:t>
      </w:r>
      <w:r>
        <w:rPr>
          <w:rFonts w:ascii="Arial" w:cs="Arial" w:eastAsia="Arial" w:hAnsi="Arial"/>
          <w:sz w:val="16"/>
          <w:szCs w:val="16"/>
          <w:color w:val="auto"/>
        </w:rPr>
        <w:t>”), which forms part of our registration statement on Form S-1 (No. 333-258348), as amended, with the information contained in our Quarterly Report on Form 10-Q,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August 3, 2022 (the “</w:t>
      </w:r>
      <w:r>
        <w:rPr>
          <w:rFonts w:ascii="Arial" w:cs="Arial" w:eastAsia="Arial" w:hAnsi="Arial"/>
          <w:sz w:val="16"/>
          <w:szCs w:val="16"/>
          <w:i w:val="1"/>
          <w:iCs w:val="1"/>
          <w:color w:val="auto"/>
        </w:rPr>
        <w:t>Quarterly Report</w:t>
      </w:r>
      <w:r>
        <w:rPr>
          <w:rFonts w:ascii="Arial" w:cs="Arial" w:eastAsia="Arial" w:hAnsi="Arial"/>
          <w:sz w:val="16"/>
          <w:szCs w:val="16"/>
          <w:color w:val="auto"/>
        </w:rPr>
        <w:t>”). Accordingly, we have attached the Quarterly Report to this prospectus supplement.</w:t>
      </w:r>
    </w:p>
    <w:p>
      <w:pPr>
        <w:spacing w:after="0" w:line="165" w:lineRule="exact"/>
        <w:rPr>
          <w:sz w:val="24"/>
          <w:szCs w:val="24"/>
          <w:color w:val="auto"/>
        </w:rPr>
      </w:pPr>
    </w:p>
    <w:p>
      <w:pPr>
        <w:jc w:val="both"/>
        <w:ind w:left="1" w:firstLine="297"/>
        <w:spacing w:after="0" w:line="303" w:lineRule="auto"/>
        <w:rPr>
          <w:sz w:val="20"/>
          <w:szCs w:val="20"/>
          <w:color w:val="auto"/>
        </w:rPr>
      </w:pPr>
      <w:r>
        <w:rPr>
          <w:rFonts w:ascii="Arial" w:cs="Arial" w:eastAsia="Arial" w:hAnsi="Arial"/>
          <w:sz w:val="14"/>
          <w:szCs w:val="14"/>
          <w:color w:val="auto"/>
        </w:rPr>
        <w:t>The Prospectus and this prospectus supplement relate to: (1) the issuance by us of an aggregate of up to 44,350,000 shares of our common stock, par value $0.0001 per share (“</w:t>
      </w:r>
      <w:r>
        <w:rPr>
          <w:rFonts w:ascii="Arial" w:cs="Arial" w:eastAsia="Arial" w:hAnsi="Arial"/>
          <w:sz w:val="14"/>
          <w:szCs w:val="14"/>
          <w:i w:val="1"/>
          <w:iCs w:val="1"/>
          <w:color w:val="auto"/>
        </w:rPr>
        <w:t>Class A common stock</w:t>
      </w:r>
      <w:r>
        <w:rPr>
          <w:rFonts w:ascii="Arial" w:cs="Arial" w:eastAsia="Arial" w:hAnsi="Arial"/>
          <w:sz w:val="14"/>
          <w:szCs w:val="14"/>
          <w:color w:val="auto"/>
        </w:rPr>
        <w:t>”), consisting of (a) 42,850,000 shares of Class A common stock issuable upon exercise of the Private Placement Warrants and</w:t>
      </w:r>
    </w:p>
    <w:p>
      <w:pPr>
        <w:spacing w:after="0" w:line="1" w:lineRule="exact"/>
        <w:rPr>
          <w:sz w:val="24"/>
          <w:szCs w:val="24"/>
          <w:color w:val="auto"/>
        </w:rPr>
      </w:pPr>
    </w:p>
    <w:p>
      <w:pPr>
        <w:jc w:val="both"/>
        <w:ind w:left="1" w:hanging="1"/>
        <w:spacing w:after="0" w:line="284" w:lineRule="auto"/>
        <w:tabs>
          <w:tab w:leader="none" w:pos="256" w:val="left"/>
        </w:tabs>
        <w:numPr>
          <w:ilvl w:val="0"/>
          <w:numId w:val="1"/>
        </w:numPr>
        <w:rPr>
          <w:rFonts w:ascii="Arial" w:cs="Arial" w:eastAsia="Arial" w:hAnsi="Arial"/>
          <w:sz w:val="15"/>
          <w:szCs w:val="15"/>
          <w:color w:val="auto"/>
        </w:rPr>
      </w:pPr>
      <w:r>
        <w:rPr>
          <w:rFonts w:ascii="Arial" w:cs="Arial" w:eastAsia="Arial" w:hAnsi="Arial"/>
          <w:sz w:val="15"/>
          <w:szCs w:val="15"/>
          <w:color w:val="auto"/>
        </w:rPr>
        <w:t>1,500,000 shares of Class A common stock issuable upon exercise of the Working Capital Warrants, and (2) the offer and sale from time to time by the selling securityholders named in the Prospectus (the “</w:t>
      </w:r>
      <w:r>
        <w:rPr>
          <w:rFonts w:ascii="Arial" w:cs="Arial" w:eastAsia="Arial" w:hAnsi="Arial"/>
          <w:sz w:val="15"/>
          <w:szCs w:val="15"/>
          <w:i w:val="1"/>
          <w:iCs w:val="1"/>
          <w:color w:val="auto"/>
        </w:rPr>
        <w:t>Selling Securityholders</w:t>
      </w:r>
      <w:r>
        <w:rPr>
          <w:rFonts w:ascii="Arial" w:cs="Arial" w:eastAsia="Arial" w:hAnsi="Arial"/>
          <w:sz w:val="15"/>
          <w:szCs w:val="15"/>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7" w:lineRule="exact"/>
        <w:rPr>
          <w:sz w:val="24"/>
          <w:szCs w:val="24"/>
          <w:color w:val="auto"/>
        </w:rPr>
      </w:pPr>
    </w:p>
    <w:p>
      <w:pPr>
        <w:jc w:val="both"/>
        <w:ind w:left="1" w:firstLine="297"/>
        <w:spacing w:after="0" w:line="292" w:lineRule="auto"/>
        <w:rPr>
          <w:sz w:val="20"/>
          <w:szCs w:val="20"/>
          <w:color w:val="auto"/>
        </w:rPr>
      </w:pPr>
      <w:r>
        <w:rPr>
          <w:rFonts w:ascii="Arial" w:cs="Arial" w:eastAsia="Arial" w:hAnsi="Arial"/>
          <w:sz w:val="15"/>
          <w:szCs w:val="15"/>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51" w:lineRule="exact"/>
        <w:rPr>
          <w:sz w:val="24"/>
          <w:szCs w:val="24"/>
          <w:color w:val="auto"/>
        </w:rPr>
      </w:pPr>
    </w:p>
    <w:p>
      <w:pPr>
        <w:jc w:val="both"/>
        <w:ind w:left="1" w:firstLine="297"/>
        <w:spacing w:after="0" w:line="290" w:lineRule="auto"/>
        <w:rPr>
          <w:sz w:val="20"/>
          <w:szCs w:val="20"/>
          <w:color w:val="auto"/>
        </w:rPr>
      </w:pPr>
      <w:r>
        <w:rPr>
          <w:rFonts w:ascii="Arial" w:cs="Arial" w:eastAsia="Arial" w:hAnsi="Arial"/>
          <w:sz w:val="16"/>
          <w:szCs w:val="16"/>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49" w:lineRule="exact"/>
        <w:rPr>
          <w:sz w:val="24"/>
          <w:szCs w:val="24"/>
          <w:color w:val="auto"/>
        </w:rPr>
      </w:pPr>
    </w:p>
    <w:p>
      <w:pPr>
        <w:jc w:val="both"/>
        <w:ind w:left="1" w:firstLine="297"/>
        <w:spacing w:after="0" w:line="274" w:lineRule="auto"/>
        <w:rPr>
          <w:sz w:val="20"/>
          <w:szCs w:val="20"/>
          <w:color w:val="auto"/>
        </w:rPr>
      </w:pPr>
      <w:r>
        <w:rPr>
          <w:rFonts w:ascii="Arial" w:cs="Arial" w:eastAsia="Arial" w:hAnsi="Arial"/>
          <w:sz w:val="16"/>
          <w:szCs w:val="16"/>
          <w:color w:val="auto"/>
        </w:rPr>
        <w:t>You should read the Prospectus, this prospectus supplement and any additional prospectus supplement or amendment carefully before you invest in our securities. Our Class A common stock is listed on The Nasdaq Stock Market LLC under the symbol “LCID”. On August 3, 2022, the closing price of our Class A common stock was $20.56 per share.</w:t>
      </w:r>
    </w:p>
    <w:p>
      <w:pPr>
        <w:spacing w:after="0" w:line="158" w:lineRule="exact"/>
        <w:rPr>
          <w:sz w:val="24"/>
          <w:szCs w:val="24"/>
          <w:color w:val="auto"/>
        </w:rPr>
      </w:pPr>
    </w:p>
    <w:p>
      <w:pPr>
        <w:jc w:val="both"/>
        <w:ind w:left="1" w:firstLine="297"/>
        <w:spacing w:after="0" w:line="296" w:lineRule="auto"/>
        <w:rPr>
          <w:sz w:val="20"/>
          <w:szCs w:val="20"/>
          <w:color w:val="auto"/>
        </w:rPr>
      </w:pPr>
      <w:r>
        <w:rPr>
          <w:rFonts w:ascii="Arial" w:cs="Arial" w:eastAsia="Arial" w:hAnsi="Arial"/>
          <w:sz w:val="16"/>
          <w:szCs w:val="16"/>
          <w:b w:val="1"/>
          <w:bCs w:val="1"/>
          <w:color w:val="auto"/>
        </w:rPr>
        <w:t>Investing in our Class A common stock involves a high degree of risk. See the section titled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beginning on page 7 of the Prospectus and in our other documents subsequently filed with the SEC.</w:t>
      </w:r>
    </w:p>
    <w:p>
      <w:pPr>
        <w:spacing w:after="0" w:line="140" w:lineRule="exact"/>
        <w:rPr>
          <w:sz w:val="24"/>
          <w:szCs w:val="24"/>
          <w:color w:val="auto"/>
        </w:rPr>
      </w:pPr>
    </w:p>
    <w:p>
      <w:pPr>
        <w:jc w:val="both"/>
        <w:ind w:left="1" w:firstLine="297"/>
        <w:spacing w:after="0" w:line="296" w:lineRule="auto"/>
        <w:rPr>
          <w:sz w:val="20"/>
          <w:szCs w:val="20"/>
          <w:color w:val="auto"/>
        </w:rPr>
      </w:pPr>
      <w:r>
        <w:rPr>
          <w:rFonts w:ascii="Arial" w:cs="Arial" w:eastAsia="Arial" w:hAnsi="Arial"/>
          <w:sz w:val="16"/>
          <w:szCs w:val="16"/>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44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544830</wp:posOffset>
            </wp:positionV>
            <wp:extent cx="714375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2349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575945</wp:posOffset>
            </wp:positionV>
            <wp:extent cx="71437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 SECURITIES AND EXCHANGE COMMISSION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FORM 10-Q</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0"/>
          <w:szCs w:val="20"/>
          <w:color w:val="auto"/>
        </w:rPr>
      </w:pPr>
    </w:p>
    <w:p>
      <w:pPr>
        <w:ind w:left="341" w:right="2520" w:hanging="341"/>
        <w:spacing w:after="0" w:line="508" w:lineRule="auto"/>
        <w:tabs>
          <w:tab w:leader="none" w:pos="34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12" w:lineRule="exact"/>
        <w:rPr>
          <w:sz w:val="20"/>
          <w:szCs w:val="20"/>
          <w:color w:val="auto"/>
        </w:rPr>
      </w:pPr>
    </w:p>
    <w:p>
      <w:pPr>
        <w:ind w:left="341" w:hanging="341"/>
        <w:spacing w:after="0"/>
        <w:tabs>
          <w:tab w:leader="none" w:pos="341"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1"/>
          </w:cols>
          <w:pgMar w:left="319" w:top="1121" w:right="339" w:bottom="1440" w:gutter="0" w:footer="0" w:header="0"/>
        </w:sectPr>
      </w:pPr>
    </w:p>
    <w:p>
      <w:pPr>
        <w:spacing w:after="0" w:line="212" w:lineRule="exact"/>
        <w:rPr>
          <w:sz w:val="20"/>
          <w:szCs w:val="20"/>
          <w:color w:val="auto"/>
        </w:rPr>
      </w:pPr>
    </w:p>
    <w:p>
      <w:pPr>
        <w:ind w:left="341"/>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1" w:lineRule="exact"/>
        <w:rPr>
          <w:sz w:val="20"/>
          <w:szCs w:val="20"/>
          <w:color w:val="auto"/>
        </w:rPr>
      </w:pPr>
    </w:p>
    <w:p>
      <w:pPr>
        <w:sectPr>
          <w:pgSz w:w="11900" w:h="16838" w:orient="portrait"/>
          <w:cols w:equalWidth="0" w:num="2">
            <w:col w:w="2481" w:space="580"/>
            <w:col w:w="8180"/>
          </w:cols>
          <w:pgMar w:left="319" w:top="1121" w:right="3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001-39408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1"/>
          </w:cols>
          <w:pgMar w:left="319" w:top="1121" w:right="339" w:bottom="1440" w:gutter="0" w:footer="0" w:header="0"/>
          <w:type w:val="continuous"/>
        </w:sectPr>
      </w:pPr>
    </w:p>
    <w:p>
      <w:pPr>
        <w:spacing w:after="0" w:line="217"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Delaware</w:t>
      </w:r>
    </w:p>
    <w:p>
      <w:pPr>
        <w:spacing w:after="0" w:line="29" w:lineRule="exact"/>
        <w:rPr>
          <w:sz w:val="20"/>
          <w:szCs w:val="20"/>
          <w:color w:val="auto"/>
        </w:rPr>
      </w:pPr>
    </w:p>
    <w:p>
      <w:pPr>
        <w:jc w:val="center"/>
        <w:ind w:right="879"/>
        <w:spacing w:after="0"/>
        <w:rPr>
          <w:sz w:val="20"/>
          <w:szCs w:val="20"/>
          <w:color w:val="auto"/>
        </w:rPr>
      </w:pPr>
      <w:r>
        <w:rPr>
          <w:rFonts w:ascii="Arial" w:cs="Arial" w:eastAsia="Arial" w:hAnsi="Arial"/>
          <w:sz w:val="14"/>
          <w:szCs w:val="14"/>
          <w:b w:val="1"/>
          <w:bCs w:val="1"/>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580"/>
        <w:spacing w:after="0"/>
        <w:rPr>
          <w:sz w:val="20"/>
          <w:szCs w:val="20"/>
          <w:color w:val="auto"/>
        </w:rPr>
      </w:pPr>
      <w:r>
        <w:rPr>
          <w:rFonts w:ascii="Arial" w:cs="Arial" w:eastAsia="Arial" w:hAnsi="Arial"/>
          <w:sz w:val="16"/>
          <w:szCs w:val="16"/>
          <w:b w:val="1"/>
          <w:bCs w:val="1"/>
          <w:color w:val="auto"/>
        </w:rPr>
        <w:t>85-0891392</w:t>
      </w:r>
    </w:p>
    <w:p>
      <w:pPr>
        <w:spacing w:after="0" w:line="29"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i w:val="1"/>
          <w:iCs w:val="1"/>
          <w:color w:val="auto"/>
        </w:rPr>
        <w:t>(I.R.S. Employer Identification No.)</w:t>
      </w:r>
    </w:p>
    <w:p>
      <w:pPr>
        <w:spacing w:after="0" w:line="200" w:lineRule="exact"/>
        <w:rPr>
          <w:sz w:val="20"/>
          <w:szCs w:val="20"/>
          <w:color w:val="auto"/>
        </w:rPr>
      </w:pPr>
    </w:p>
    <w:p>
      <w:pPr>
        <w:sectPr>
          <w:pgSz w:w="11900" w:h="16838" w:orient="portrait"/>
          <w:cols w:equalWidth="0" w:num="2">
            <w:col w:w="6501" w:space="720"/>
            <w:col w:w="4020"/>
          </w:cols>
          <w:pgMar w:left="319" w:top="1121" w:right="339" w:bottom="1440" w:gutter="0" w:footer="0" w:header="0"/>
          <w:type w:val="continuous"/>
        </w:sectPr>
      </w:pP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7373 Gateway Boulevard, Newark, CA 94560</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(Address of principal executive offices) (Zip code)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(510) 648-3553</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1"/>
          </w:cols>
          <w:pgMar w:left="319" w:top="1121" w:right="339" w:bottom="1440" w:gutter="0" w:footer="0" w:header="0"/>
          <w:type w:val="continuous"/>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Title of each class</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Class A Common Stock, $0.0001 par value per share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Trading symbol(s)</w:t>
      </w:r>
    </w:p>
    <w:p>
      <w:pPr>
        <w:spacing w:after="0" w:line="52"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LCID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0"/>
          <w:szCs w:val="20"/>
          <w:color w:val="auto"/>
        </w:rPr>
      </w:pPr>
    </w:p>
    <w:p>
      <w:pPr>
        <w:sectPr>
          <w:pgSz w:w="11900" w:h="16838" w:orient="portrait"/>
          <w:cols w:equalWidth="0" w:num="3">
            <w:col w:w="4721" w:space="720"/>
            <w:col w:w="1700" w:space="720"/>
            <w:col w:w="3380"/>
          </w:cols>
          <w:pgMar w:left="319" w:top="1121" w:right="339" w:bottom="1440" w:gutter="0" w:footer="0" w:header="0"/>
          <w:type w:val="continuous"/>
        </w:sectPr>
      </w:pPr>
    </w:p>
    <w:p>
      <w:pPr>
        <w:spacing w:after="0" w:line="1" w:lineRule="exact"/>
        <w:rPr>
          <w:sz w:val="20"/>
          <w:szCs w:val="20"/>
          <w:color w:val="auto"/>
        </w:rPr>
      </w:pPr>
    </w:p>
    <w:p>
      <w:pPr>
        <w:jc w:val="both"/>
        <w:ind w:left="1"/>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69" w:lineRule="exact"/>
        <w:rPr>
          <w:sz w:val="20"/>
          <w:szCs w:val="20"/>
          <w:color w:val="auto"/>
        </w:rPr>
      </w:pPr>
    </w:p>
    <w:p>
      <w:pPr>
        <w:jc w:val="both"/>
        <w:ind w:left="1"/>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67" w:lineRule="exact"/>
        <w:rPr>
          <w:sz w:val="20"/>
          <w:szCs w:val="20"/>
          <w:color w:val="auto"/>
        </w:rPr>
      </w:pPr>
    </w:p>
    <w:p>
      <w:pPr>
        <w:jc w:val="both"/>
        <w:ind w:left="1"/>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1381" w:type="dxa"/>
        <w:tblCellMar>
          <w:top w:w="0" w:type="dxa"/>
          <w:left w:w="0" w:type="dxa"/>
          <w:bottom w:w="0" w:type="dxa"/>
          <w:right w:w="0" w:type="dxa"/>
        </w:tblCellMar>
      </w:tblPr>
      <w:tr>
        <w:trPr>
          <w:trHeight w:val="198"/>
        </w:trPr>
        <w:tc>
          <w:tcPr>
            <w:tcW w:w="238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200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0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04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80" w:type="dxa"/>
            <w:vAlign w:val="bottom"/>
          </w:tcPr>
          <w:p>
            <w:pPr>
              <w:ind w:left="104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0"/>
          <w:szCs w:val="20"/>
          <w:color w:val="auto"/>
        </w:rPr>
      </w:pPr>
    </w:p>
    <w:p>
      <w:pPr>
        <w:ind w:left="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0"/>
          <w:szCs w:val="20"/>
          <w:color w:val="auto"/>
        </w:rPr>
      </w:pPr>
    </w:p>
    <w:p>
      <w:pPr>
        <w:ind w:left="1"/>
        <w:spacing w:after="0" w:line="184" w:lineRule="exact"/>
        <w:tabs>
          <w:tab w:leader="none" w:pos="8141"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6"/>
          <w:szCs w:val="16"/>
          <w:color w:val="auto"/>
        </w:rPr>
        <w:t>Number of shares of the registrant’s common stock outstanding at July 28, 2022: 1,672,806,695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7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558800</wp:posOffset>
            </wp:positionV>
            <wp:extent cx="7143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1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20" w:type="dxa"/>
            <w:vAlign w:val="bottom"/>
            <w:gridSpan w:val="10"/>
          </w:tcPr>
          <w:p>
            <w:pPr>
              <w:ind w:left="1320"/>
              <w:spacing w:after="0"/>
              <w:rPr>
                <w:sz w:val="20"/>
                <w:szCs w:val="20"/>
                <w:color w:val="auto"/>
              </w:rPr>
            </w:pPr>
            <w:r>
              <w:rPr>
                <w:rFonts w:ascii="Arial" w:cs="Arial" w:eastAsia="Arial" w:hAnsi="Arial"/>
                <w:sz w:val="16"/>
                <w:szCs w:val="16"/>
                <w:b w:val="1"/>
                <w:bCs w:val="1"/>
                <w:color w:val="auto"/>
              </w:rPr>
              <w:t>INDEX TO FORM 10-Q</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40" w:type="dxa"/>
            <w:vAlign w:val="bottom"/>
            <w:tcBorders>
              <w:top w:val="single" w:sz="8" w:color="CCEEFF"/>
            </w:tcBorders>
            <w:gridSpan w:val="21"/>
            <w:shd w:val="clear" w:color="auto" w:fill="CCEEFF"/>
          </w:tcPr>
          <w:p>
            <w:pPr>
              <w:spacing w:after="0" w:line="155" w:lineRule="exact"/>
              <w:rPr>
                <w:rFonts w:ascii="Arial" w:cs="Arial" w:eastAsia="Arial" w:hAnsi="Arial"/>
                <w:sz w:val="16"/>
                <w:szCs w:val="16"/>
                <w:color w:val="0000EE"/>
              </w:rPr>
            </w:pPr>
            <w:hyperlink w:anchor="page8">
              <w:r>
                <w:rPr>
                  <w:rFonts w:ascii="Arial" w:cs="Arial" w:eastAsia="Arial" w:hAnsi="Arial"/>
                  <w:sz w:val="16"/>
                  <w:szCs w:val="16"/>
                  <w:color w:val="0000EE"/>
                </w:rPr>
                <w:t>PART I. FINANCIAL INFORMATION</w:t>
              </w:r>
            </w:hyperlink>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9440" w:type="dxa"/>
            <w:vAlign w:val="bottom"/>
            <w:gridSpan w:val="18"/>
            <w:shd w:val="clear" w:color="auto" w:fill="CCEEFF"/>
          </w:tcPr>
          <w:p>
            <w:pPr>
              <w:spacing w:after="0" w:line="161" w:lineRule="exact"/>
              <w:rPr>
                <w:rFonts w:ascii="Arial" w:cs="Arial" w:eastAsia="Arial" w:hAnsi="Arial"/>
                <w:sz w:val="16"/>
                <w:szCs w:val="16"/>
                <w:color w:val="0000EE"/>
              </w:rPr>
            </w:pPr>
            <w:hyperlink w:anchor="page4">
              <w:r>
                <w:rPr>
                  <w:rFonts w:ascii="Arial" w:cs="Arial" w:eastAsia="Arial" w:hAnsi="Arial"/>
                  <w:sz w:val="16"/>
                  <w:szCs w:val="16"/>
                  <w:color w:val="0000EE"/>
                </w:rPr>
                <w:t>Cautionary Note Regarding Forward-Looking Statements</w:t>
              </w:r>
            </w:hyperlink>
          </w:p>
        </w:tc>
        <w:tc>
          <w:tcPr>
            <w:tcW w:w="780" w:type="dxa"/>
            <w:vAlign w:val="bottom"/>
            <w:gridSpan w:val="2"/>
            <w:shd w:val="clear" w:color="auto" w:fill="CCEEFF"/>
          </w:tcPr>
          <w:p>
            <w:pPr>
              <w:jc w:val="right"/>
              <w:spacing w:after="0" w:line="161"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3800" w:type="dxa"/>
            <w:vAlign w:val="bottom"/>
            <w:tcBorders>
              <w:top w:val="single" w:sz="8" w:color="0000EE"/>
            </w:tcBorders>
            <w:gridSpan w:val="9"/>
          </w:tcPr>
          <w:p>
            <w:pPr>
              <w:spacing w:after="0" w:line="161" w:lineRule="exact"/>
              <w:rPr>
                <w:rFonts w:ascii="Arial" w:cs="Arial" w:eastAsia="Arial" w:hAnsi="Arial"/>
                <w:sz w:val="16"/>
                <w:szCs w:val="16"/>
                <w:color w:val="0000EE"/>
              </w:rPr>
            </w:pPr>
            <w:hyperlink w:anchor="page5">
              <w:r>
                <w:rPr>
                  <w:rFonts w:ascii="Arial" w:cs="Arial" w:eastAsia="Arial" w:hAnsi="Arial"/>
                  <w:sz w:val="16"/>
                  <w:szCs w:val="16"/>
                  <w:color w:val="0000EE"/>
                </w:rPr>
                <w:t>Frequently Used Terms</w:t>
              </w:r>
            </w:hyperlink>
          </w:p>
        </w:tc>
        <w:tc>
          <w:tcPr>
            <w:tcW w:w="5640" w:type="dxa"/>
            <w:vAlign w:val="bottom"/>
            <w:tcBorders>
              <w:top w:val="single" w:sz="8" w:color="CCEEFF"/>
            </w:tcBorders>
            <w:gridSpan w:val="9"/>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jc w:val="right"/>
              <w:spacing w:after="0" w:line="161" w:lineRule="exact"/>
              <w:rPr>
                <w:rFonts w:ascii="Arial" w:cs="Arial" w:eastAsia="Arial" w:hAnsi="Arial"/>
                <w:sz w:val="15"/>
                <w:szCs w:val="15"/>
                <w:color w:val="0000EE"/>
                <w:w w:val="71"/>
              </w:rPr>
            </w:pPr>
            <w:hyperlink w:anchor="page5">
              <w:r>
                <w:rPr>
                  <w:rFonts w:ascii="Arial" w:cs="Arial" w:eastAsia="Arial" w:hAnsi="Arial"/>
                  <w:sz w:val="15"/>
                  <w:szCs w:val="15"/>
                  <w:color w:val="0000EE"/>
                  <w:w w:val="71"/>
                </w:rPr>
                <w:t>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1000" w:type="dxa"/>
            <w:vAlign w:val="bottom"/>
            <w:gridSpan w:val="3"/>
          </w:tcPr>
          <w:p>
            <w:pPr>
              <w:spacing w:after="0" w:line="161" w:lineRule="exact"/>
              <w:rPr>
                <w:rFonts w:ascii="Arial" w:cs="Arial" w:eastAsia="Arial" w:hAnsi="Arial"/>
                <w:sz w:val="16"/>
                <w:szCs w:val="16"/>
                <w:color w:val="0000EE"/>
              </w:rPr>
            </w:pPr>
            <w:hyperlink w:anchor="page8">
              <w:r>
                <w:rPr>
                  <w:rFonts w:ascii="Arial" w:cs="Arial" w:eastAsia="Arial" w:hAnsi="Arial"/>
                  <w:sz w:val="16"/>
                  <w:szCs w:val="16"/>
                  <w:color w:val="0000EE"/>
                </w:rPr>
                <w:t>Item 1.</w:t>
              </w:r>
            </w:hyperlink>
          </w:p>
        </w:tc>
        <w:tc>
          <w:tcPr>
            <w:tcW w:w="9440" w:type="dxa"/>
            <w:vAlign w:val="bottom"/>
            <w:gridSpan w:val="18"/>
          </w:tcPr>
          <w:p>
            <w:pPr>
              <w:spacing w:after="0" w:line="161" w:lineRule="exact"/>
              <w:rPr>
                <w:rFonts w:ascii="Arial" w:cs="Arial" w:eastAsia="Arial" w:hAnsi="Arial"/>
                <w:sz w:val="16"/>
                <w:szCs w:val="16"/>
                <w:color w:val="0000EE"/>
              </w:rPr>
            </w:pPr>
            <w:hyperlink w:anchor="page8">
              <w:r>
                <w:rPr>
                  <w:rFonts w:ascii="Arial" w:cs="Arial" w:eastAsia="Arial" w:hAnsi="Arial"/>
                  <w:sz w:val="16"/>
                  <w:szCs w:val="16"/>
                  <w:color w:val="0000EE"/>
                </w:rPr>
                <w:t>Condensed Consolidated Financial Statements (Unaudited)</w:t>
              </w:r>
            </w:hyperlink>
          </w:p>
        </w:tc>
        <w:tc>
          <w:tcPr>
            <w:tcW w:w="780" w:type="dxa"/>
            <w:vAlign w:val="bottom"/>
            <w:gridSpan w:val="2"/>
          </w:tcPr>
          <w:p>
            <w:pPr>
              <w:jc w:val="right"/>
              <w:spacing w:after="0" w:line="161" w:lineRule="exact"/>
              <w:rPr>
                <w:rFonts w:ascii="Arial" w:cs="Arial" w:eastAsia="Arial" w:hAnsi="Arial"/>
                <w:sz w:val="16"/>
                <w:szCs w:val="16"/>
                <w:color w:val="0000EE"/>
              </w:rPr>
            </w:pPr>
            <w:hyperlink w:anchor="page8">
              <w:r>
                <w:rPr>
                  <w:rFonts w:ascii="Arial" w:cs="Arial" w:eastAsia="Arial" w:hAnsi="Arial"/>
                  <w:sz w:val="16"/>
                  <w:szCs w:val="16"/>
                  <w:color w:val="0000EE"/>
                </w:rPr>
                <w:t>7</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9440" w:type="dxa"/>
            <w:vAlign w:val="bottom"/>
            <w:gridSpan w:val="18"/>
            <w:shd w:val="clear" w:color="auto" w:fill="CCEEFF"/>
          </w:tcPr>
          <w:p>
            <w:pPr>
              <w:spacing w:after="0" w:line="178" w:lineRule="exact"/>
              <w:rPr>
                <w:rFonts w:ascii="Arial" w:cs="Arial" w:eastAsia="Arial" w:hAnsi="Arial"/>
                <w:sz w:val="16"/>
                <w:szCs w:val="16"/>
                <w:color w:val="0000EE"/>
              </w:rPr>
            </w:pPr>
            <w:hyperlink w:anchor="page8">
              <w:r>
                <w:rPr>
                  <w:rFonts w:ascii="Arial" w:cs="Arial" w:eastAsia="Arial" w:hAnsi="Arial"/>
                  <w:sz w:val="16"/>
                  <w:szCs w:val="16"/>
                  <w:color w:val="0000EE"/>
                </w:rPr>
                <w:t>Condensed Consolidated Balance Sheets as of June 30, 2022 and December 31, 2021 (Unaudited)</w:t>
              </w:r>
            </w:hyperlink>
          </w:p>
        </w:tc>
        <w:tc>
          <w:tcPr>
            <w:tcW w:w="780" w:type="dxa"/>
            <w:vAlign w:val="bottom"/>
            <w:gridSpan w:val="2"/>
            <w:shd w:val="clear" w:color="auto" w:fill="CCEEFF"/>
          </w:tcPr>
          <w:p>
            <w:pPr>
              <w:jc w:val="right"/>
              <w:spacing w:after="0" w:line="178" w:lineRule="exact"/>
              <w:rPr>
                <w:rFonts w:ascii="Arial" w:cs="Arial" w:eastAsia="Arial" w:hAnsi="Arial"/>
                <w:sz w:val="16"/>
                <w:szCs w:val="16"/>
                <w:color w:val="0000EE"/>
              </w:rPr>
            </w:pPr>
            <w:hyperlink w:anchor="page8">
              <w:r>
                <w:rPr>
                  <w:rFonts w:ascii="Arial" w:cs="Arial" w:eastAsia="Arial" w:hAnsi="Arial"/>
                  <w:sz w:val="16"/>
                  <w:szCs w:val="16"/>
                  <w:color w:val="0000EE"/>
                </w:rPr>
                <w:t>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40" w:type="dxa"/>
            <w:vAlign w:val="bottom"/>
            <w:tcBorders>
              <w:bottom w:val="single" w:sz="8" w:color="0000EE"/>
            </w:tcBorders>
            <w:gridSpan w:val="16"/>
          </w:tcPr>
          <w:p>
            <w:pPr>
              <w:spacing w:after="0" w:line="161" w:lineRule="exact"/>
              <w:rPr>
                <w:rFonts w:ascii="Arial" w:cs="Arial" w:eastAsia="Arial" w:hAnsi="Arial"/>
                <w:sz w:val="16"/>
                <w:szCs w:val="16"/>
                <w:color w:val="0000EE"/>
                <w:w w:val="92"/>
              </w:rPr>
            </w:pPr>
            <w:hyperlink w:anchor="page9">
              <w:r>
                <w:rPr>
                  <w:rFonts w:ascii="Arial" w:cs="Arial" w:eastAsia="Arial" w:hAnsi="Arial"/>
                  <w:sz w:val="16"/>
                  <w:szCs w:val="16"/>
                  <w:color w:val="0000EE"/>
                  <w:w w:val="92"/>
                </w:rPr>
                <w:t>Condensed Consolidated Statements of Operations and Comprehensive Loss for the Three and Six Months Ended June 30, 2022 and 2021</w:t>
              </w:r>
            </w:hyperlink>
          </w:p>
        </w:tc>
        <w:tc>
          <w:tcPr>
            <w:tcW w:w="3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18"/>
          </w:tcPr>
          <w:p>
            <w:pPr>
              <w:spacing w:after="0" w:line="178" w:lineRule="exact"/>
              <w:rPr>
                <w:rFonts w:ascii="Arial" w:cs="Arial" w:eastAsia="Arial" w:hAnsi="Arial"/>
                <w:sz w:val="16"/>
                <w:szCs w:val="16"/>
                <w:color w:val="0000EE"/>
              </w:rPr>
            </w:pPr>
            <w:hyperlink w:anchor="page9">
              <w:r>
                <w:rPr>
                  <w:rFonts w:ascii="Arial" w:cs="Arial" w:eastAsia="Arial" w:hAnsi="Arial"/>
                  <w:sz w:val="16"/>
                  <w:szCs w:val="16"/>
                  <w:color w:val="0000EE"/>
                </w:rPr>
                <w:t>(Unaudited)</w:t>
              </w:r>
            </w:hyperlink>
          </w:p>
        </w:tc>
        <w:tc>
          <w:tcPr>
            <w:tcW w:w="800" w:type="dxa"/>
            <w:vAlign w:val="bottom"/>
            <w:gridSpan w:val="3"/>
          </w:tcPr>
          <w:p>
            <w:pPr>
              <w:jc w:val="right"/>
              <w:ind w:right="20"/>
              <w:spacing w:after="0" w:line="178" w:lineRule="exact"/>
              <w:rPr>
                <w:rFonts w:ascii="Arial" w:cs="Arial" w:eastAsia="Arial" w:hAnsi="Arial"/>
                <w:sz w:val="16"/>
                <w:szCs w:val="16"/>
                <w:color w:val="0000EE"/>
              </w:rPr>
            </w:pPr>
            <w:hyperlink w:anchor="page9">
              <w:r>
                <w:rPr>
                  <w:rFonts w:ascii="Arial" w:cs="Arial" w:eastAsia="Arial" w:hAnsi="Arial"/>
                  <w:sz w:val="16"/>
                  <w:szCs w:val="16"/>
                  <w:color w:val="0000EE"/>
                </w:rPr>
                <w:t>8</w:t>
              </w:r>
            </w:hyperlink>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9440" w:type="dxa"/>
            <w:vAlign w:val="bottom"/>
            <w:gridSpan w:val="18"/>
            <w:shd w:val="clear" w:color="auto" w:fill="CCEEFF"/>
          </w:tcPr>
          <w:p>
            <w:pPr>
              <w:spacing w:after="0" w:line="170" w:lineRule="exact"/>
              <w:rPr>
                <w:rFonts w:ascii="Arial" w:cs="Arial" w:eastAsia="Arial" w:hAnsi="Arial"/>
                <w:sz w:val="16"/>
                <w:szCs w:val="16"/>
                <w:color w:val="0000EE"/>
                <w:w w:val="95"/>
              </w:rPr>
            </w:pPr>
            <w:hyperlink w:anchor="page10">
              <w:r>
                <w:rPr>
                  <w:rFonts w:ascii="Arial" w:cs="Arial" w:eastAsia="Arial" w:hAnsi="Arial"/>
                  <w:sz w:val="16"/>
                  <w:szCs w:val="16"/>
                  <w:color w:val="0000EE"/>
                  <w:w w:val="95"/>
                </w:rPr>
                <w:t>Condensed Consolidated Statements of Convertible Preferred Stock and Stockholders’ Equity (Deficit) for the Three and Six Months Ended</w:t>
              </w:r>
            </w:hyperlink>
          </w:p>
        </w:tc>
        <w:tc>
          <w:tcPr>
            <w:tcW w:w="7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20" w:type="dxa"/>
            <w:vAlign w:val="bottom"/>
            <w:tcBorders>
              <w:top w:val="single" w:sz="8" w:color="0000EE"/>
              <w:bottom w:val="single" w:sz="8" w:color="0000EE"/>
            </w:tcBorders>
            <w:gridSpan w:val="8"/>
            <w:shd w:val="clear" w:color="auto" w:fill="CCEEFF"/>
          </w:tcPr>
          <w:p>
            <w:pPr>
              <w:spacing w:after="0" w:line="178" w:lineRule="exact"/>
              <w:rPr>
                <w:rFonts w:ascii="Arial" w:cs="Arial" w:eastAsia="Arial" w:hAnsi="Arial"/>
                <w:sz w:val="16"/>
                <w:szCs w:val="16"/>
                <w:color w:val="0000EE"/>
                <w:w w:val="92"/>
              </w:rPr>
            </w:pPr>
            <w:hyperlink w:anchor="page10">
              <w:r>
                <w:rPr>
                  <w:rFonts w:ascii="Arial" w:cs="Arial" w:eastAsia="Arial" w:hAnsi="Arial"/>
                  <w:sz w:val="16"/>
                  <w:szCs w:val="16"/>
                  <w:color w:val="0000EE"/>
                  <w:w w:val="92"/>
                </w:rPr>
                <w:t>June 30, 2022 and 2021 (Unaudited)</w:t>
              </w:r>
            </w:hyperlink>
          </w:p>
        </w:tc>
        <w:tc>
          <w:tcPr>
            <w:tcW w:w="684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0000EE"/>
            </w:tcBorders>
            <w:shd w:val="clear" w:color="auto" w:fill="CCEEFF"/>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40" w:type="dxa"/>
            <w:vAlign w:val="bottom"/>
            <w:gridSpan w:val="18"/>
          </w:tcPr>
          <w:p>
            <w:pPr>
              <w:spacing w:after="0" w:line="161" w:lineRule="exact"/>
              <w:rPr>
                <w:rFonts w:ascii="Arial" w:cs="Arial" w:eastAsia="Arial" w:hAnsi="Arial"/>
                <w:sz w:val="16"/>
                <w:szCs w:val="16"/>
                <w:color w:val="0000EE"/>
              </w:rPr>
            </w:pPr>
            <w:hyperlink w:anchor="page12">
              <w:r>
                <w:rPr>
                  <w:rFonts w:ascii="Arial" w:cs="Arial" w:eastAsia="Arial" w:hAnsi="Arial"/>
                  <w:sz w:val="16"/>
                  <w:szCs w:val="16"/>
                  <w:color w:val="0000EE"/>
                </w:rPr>
                <w:t>Condensed Consolidated Statements of Cash Flows for the Six Months Ended June 30, 2022 and 2021 (Unaudited)</w:t>
              </w:r>
            </w:hyperlink>
          </w:p>
        </w:tc>
        <w:tc>
          <w:tcPr>
            <w:tcW w:w="780" w:type="dxa"/>
            <w:vAlign w:val="bottom"/>
            <w:gridSpan w:val="2"/>
          </w:tcPr>
          <w:p>
            <w:pPr>
              <w:jc w:val="right"/>
              <w:spacing w:after="0" w:line="161" w:lineRule="exact"/>
              <w:rPr>
                <w:rFonts w:ascii="Arial" w:cs="Arial" w:eastAsia="Arial" w:hAnsi="Arial"/>
                <w:sz w:val="16"/>
                <w:szCs w:val="16"/>
                <w:color w:val="0000EE"/>
              </w:rPr>
            </w:pPr>
            <w:hyperlink w:anchor="page12">
              <w:r>
                <w:rPr>
                  <w:rFonts w:ascii="Arial" w:cs="Arial" w:eastAsia="Arial" w:hAnsi="Arial"/>
                  <w:sz w:val="16"/>
                  <w:szCs w:val="16"/>
                  <w:color w:val="0000EE"/>
                </w:rPr>
                <w:t>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7600" w:type="dxa"/>
            <w:vAlign w:val="bottom"/>
            <w:gridSpan w:val="15"/>
            <w:shd w:val="clear" w:color="auto" w:fill="CCEEFF"/>
          </w:tcPr>
          <w:p>
            <w:pPr>
              <w:spacing w:after="0" w:line="178" w:lineRule="exact"/>
              <w:rPr>
                <w:rFonts w:ascii="Arial" w:cs="Arial" w:eastAsia="Arial" w:hAnsi="Arial"/>
                <w:sz w:val="16"/>
                <w:szCs w:val="16"/>
                <w:color w:val="0000EE"/>
              </w:rPr>
            </w:pPr>
            <w:hyperlink w:anchor="page14">
              <w:r>
                <w:rPr>
                  <w:rFonts w:ascii="Arial" w:cs="Arial" w:eastAsia="Arial" w:hAnsi="Arial"/>
                  <w:sz w:val="16"/>
                  <w:szCs w:val="16"/>
                  <w:color w:val="0000EE"/>
                </w:rPr>
                <w:t>Notes to Condensed Consolidated Financial Statements (Unaudited)</w:t>
              </w:r>
            </w:hyperlink>
          </w:p>
        </w:tc>
        <w:tc>
          <w:tcPr>
            <w:tcW w:w="1840" w:type="dxa"/>
            <w:vAlign w:val="bottom"/>
            <w:gridSpan w:val="3"/>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78" w:lineRule="exact"/>
              <w:rPr>
                <w:rFonts w:ascii="Arial" w:cs="Arial" w:eastAsia="Arial" w:hAnsi="Arial"/>
                <w:sz w:val="16"/>
                <w:szCs w:val="16"/>
                <w:color w:val="0000EE"/>
              </w:rPr>
            </w:pPr>
            <w:hyperlink w:anchor="page14">
              <w:r>
                <w:rPr>
                  <w:rFonts w:ascii="Arial" w:cs="Arial" w:eastAsia="Arial" w:hAnsi="Arial"/>
                  <w:sz w:val="16"/>
                  <w:szCs w:val="16"/>
                  <w:color w:val="0000EE"/>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0" w:type="dxa"/>
            <w:vAlign w:val="bottom"/>
            <w:gridSpan w:val="3"/>
          </w:tcPr>
          <w:p>
            <w:pPr>
              <w:spacing w:after="0" w:line="161" w:lineRule="exact"/>
              <w:rPr>
                <w:rFonts w:ascii="Arial" w:cs="Arial" w:eastAsia="Arial" w:hAnsi="Arial"/>
                <w:sz w:val="16"/>
                <w:szCs w:val="16"/>
                <w:color w:val="0000EE"/>
              </w:rPr>
            </w:pPr>
            <w:hyperlink w:anchor="page37">
              <w:r>
                <w:rPr>
                  <w:rFonts w:ascii="Arial" w:cs="Arial" w:eastAsia="Arial" w:hAnsi="Arial"/>
                  <w:sz w:val="16"/>
                  <w:szCs w:val="16"/>
                  <w:color w:val="0000EE"/>
                </w:rPr>
                <w:t>Item 2.</w:t>
              </w:r>
            </w:hyperlink>
          </w:p>
        </w:tc>
        <w:tc>
          <w:tcPr>
            <w:tcW w:w="9440" w:type="dxa"/>
            <w:vAlign w:val="bottom"/>
            <w:gridSpan w:val="18"/>
          </w:tcPr>
          <w:p>
            <w:pPr>
              <w:spacing w:after="0" w:line="161" w:lineRule="exact"/>
              <w:rPr>
                <w:rFonts w:ascii="Arial" w:cs="Arial" w:eastAsia="Arial" w:hAnsi="Arial"/>
                <w:sz w:val="16"/>
                <w:szCs w:val="16"/>
                <w:color w:val="0000EE"/>
              </w:rPr>
            </w:pPr>
            <w:hyperlink w:anchor="page37">
              <w:r>
                <w:rPr>
                  <w:rFonts w:ascii="Arial" w:cs="Arial" w:eastAsia="Arial" w:hAnsi="Arial"/>
                  <w:sz w:val="16"/>
                  <w:szCs w:val="16"/>
                  <w:color w:val="0000EE"/>
                </w:rPr>
                <w:t>Management’s Discussion and Analysis of Financial Condition and Results of Operations</w:t>
              </w:r>
            </w:hyperlink>
          </w:p>
        </w:tc>
        <w:tc>
          <w:tcPr>
            <w:tcW w:w="780" w:type="dxa"/>
            <w:vAlign w:val="bottom"/>
            <w:gridSpan w:val="2"/>
          </w:tcPr>
          <w:p>
            <w:pPr>
              <w:jc w:val="right"/>
              <w:spacing w:after="0" w:line="161" w:lineRule="exact"/>
              <w:rPr>
                <w:rFonts w:ascii="Arial" w:cs="Arial" w:eastAsia="Arial" w:hAnsi="Arial"/>
                <w:sz w:val="16"/>
                <w:szCs w:val="16"/>
                <w:color w:val="0000EE"/>
              </w:rPr>
            </w:pPr>
            <w:hyperlink w:anchor="page37">
              <w:r>
                <w:rPr>
                  <w:rFonts w:ascii="Arial" w:cs="Arial" w:eastAsia="Arial" w:hAnsi="Arial"/>
                  <w:sz w:val="16"/>
                  <w:szCs w:val="16"/>
                  <w:color w:val="0000EE"/>
                </w:rPr>
                <w:t>36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0" w:type="dxa"/>
            <w:vAlign w:val="bottom"/>
            <w:tcBorders>
              <w:right w:val="single" w:sz="8" w:color="CCEEFF"/>
            </w:tcBorders>
            <w:gridSpan w:val="3"/>
            <w:shd w:val="clear" w:color="auto" w:fill="CCEEFF"/>
          </w:tcPr>
          <w:p>
            <w:pPr>
              <w:spacing w:after="0" w:line="178" w:lineRule="exact"/>
              <w:rPr>
                <w:rFonts w:ascii="Arial" w:cs="Arial" w:eastAsia="Arial" w:hAnsi="Arial"/>
                <w:sz w:val="16"/>
                <w:szCs w:val="16"/>
                <w:color w:val="0000EE"/>
              </w:rPr>
            </w:pPr>
            <w:hyperlink w:anchor="page46">
              <w:r>
                <w:rPr>
                  <w:rFonts w:ascii="Arial" w:cs="Arial" w:eastAsia="Arial" w:hAnsi="Arial"/>
                  <w:sz w:val="16"/>
                  <w:szCs w:val="16"/>
                  <w:color w:val="0000EE"/>
                </w:rPr>
                <w:t>Item 3.</w:t>
              </w:r>
            </w:hyperlink>
          </w:p>
        </w:tc>
        <w:tc>
          <w:tcPr>
            <w:tcW w:w="9440" w:type="dxa"/>
            <w:vAlign w:val="bottom"/>
            <w:gridSpan w:val="18"/>
            <w:shd w:val="clear" w:color="auto" w:fill="CCEEFF"/>
          </w:tcPr>
          <w:p>
            <w:pPr>
              <w:spacing w:after="0" w:line="178" w:lineRule="exact"/>
              <w:rPr>
                <w:rFonts w:ascii="Arial" w:cs="Arial" w:eastAsia="Arial" w:hAnsi="Arial"/>
                <w:sz w:val="16"/>
                <w:szCs w:val="16"/>
                <w:color w:val="0000EE"/>
              </w:rPr>
            </w:pPr>
            <w:hyperlink w:anchor="page46">
              <w:r>
                <w:rPr>
                  <w:rFonts w:ascii="Arial" w:cs="Arial" w:eastAsia="Arial" w:hAnsi="Arial"/>
                  <w:sz w:val="16"/>
                  <w:szCs w:val="16"/>
                  <w:color w:val="0000EE"/>
                </w:rPr>
                <w:t>Quantitative and Qualitative Disclosures About Market Risk</w:t>
              </w:r>
            </w:hyperlink>
          </w:p>
        </w:tc>
        <w:tc>
          <w:tcPr>
            <w:tcW w:w="780" w:type="dxa"/>
            <w:vAlign w:val="bottom"/>
            <w:gridSpan w:val="2"/>
            <w:shd w:val="clear" w:color="auto" w:fill="CCEEFF"/>
          </w:tcPr>
          <w:p>
            <w:pPr>
              <w:jc w:val="right"/>
              <w:spacing w:after="0" w:line="178" w:lineRule="exact"/>
              <w:rPr>
                <w:rFonts w:ascii="Arial" w:cs="Arial" w:eastAsia="Arial" w:hAnsi="Arial"/>
                <w:sz w:val="16"/>
                <w:szCs w:val="16"/>
                <w:color w:val="0000EE"/>
              </w:rPr>
            </w:pPr>
            <w:hyperlink w:anchor="page46">
              <w:r>
                <w:rPr>
                  <w:rFonts w:ascii="Arial" w:cs="Arial" w:eastAsia="Arial" w:hAnsi="Arial"/>
                  <w:sz w:val="16"/>
                  <w:szCs w:val="16"/>
                  <w:color w:val="0000EE"/>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gridSpan w:val="3"/>
          </w:tcPr>
          <w:p>
            <w:pPr>
              <w:spacing w:after="0" w:line="161" w:lineRule="exact"/>
              <w:rPr>
                <w:rFonts w:ascii="Arial" w:cs="Arial" w:eastAsia="Arial" w:hAnsi="Arial"/>
                <w:sz w:val="16"/>
                <w:szCs w:val="16"/>
                <w:color w:val="0000EE"/>
              </w:rPr>
            </w:pPr>
            <w:hyperlink w:anchor="page46">
              <w:r>
                <w:rPr>
                  <w:rFonts w:ascii="Arial" w:cs="Arial" w:eastAsia="Arial" w:hAnsi="Arial"/>
                  <w:sz w:val="16"/>
                  <w:szCs w:val="16"/>
                  <w:color w:val="0000EE"/>
                </w:rPr>
                <w:t>Item 4.</w:t>
              </w:r>
            </w:hyperlink>
          </w:p>
        </w:tc>
        <w:tc>
          <w:tcPr>
            <w:tcW w:w="9440" w:type="dxa"/>
            <w:vAlign w:val="bottom"/>
            <w:gridSpan w:val="18"/>
          </w:tcPr>
          <w:p>
            <w:pPr>
              <w:spacing w:after="0" w:line="161" w:lineRule="exact"/>
              <w:rPr>
                <w:rFonts w:ascii="Arial" w:cs="Arial" w:eastAsia="Arial" w:hAnsi="Arial"/>
                <w:sz w:val="16"/>
                <w:szCs w:val="16"/>
                <w:color w:val="0000EE"/>
              </w:rPr>
            </w:pPr>
            <w:hyperlink w:anchor="page46">
              <w:r>
                <w:rPr>
                  <w:rFonts w:ascii="Arial" w:cs="Arial" w:eastAsia="Arial" w:hAnsi="Arial"/>
                  <w:sz w:val="16"/>
                  <w:szCs w:val="16"/>
                  <w:color w:val="0000EE"/>
                </w:rPr>
                <w:t>Control and Procedures</w:t>
              </w:r>
            </w:hyperlink>
          </w:p>
        </w:tc>
        <w:tc>
          <w:tcPr>
            <w:tcW w:w="780" w:type="dxa"/>
            <w:vAlign w:val="bottom"/>
            <w:gridSpan w:val="2"/>
          </w:tcPr>
          <w:p>
            <w:pPr>
              <w:jc w:val="right"/>
              <w:spacing w:after="0" w:line="161" w:lineRule="exact"/>
              <w:rPr>
                <w:rFonts w:ascii="Arial" w:cs="Arial" w:eastAsia="Arial" w:hAnsi="Arial"/>
                <w:sz w:val="16"/>
                <w:szCs w:val="16"/>
                <w:color w:val="0000EE"/>
              </w:rPr>
            </w:pPr>
            <w:hyperlink w:anchor="page46">
              <w:r>
                <w:rPr>
                  <w:rFonts w:ascii="Arial" w:cs="Arial" w:eastAsia="Arial" w:hAnsi="Arial"/>
                  <w:sz w:val="16"/>
                  <w:szCs w:val="16"/>
                  <w:color w:val="0000EE"/>
                </w:rPr>
                <w:t>45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440" w:type="dxa"/>
            <w:vAlign w:val="bottom"/>
            <w:gridSpan w:val="21"/>
          </w:tcPr>
          <w:p>
            <w:pPr>
              <w:spacing w:after="0" w:line="161" w:lineRule="exact"/>
              <w:rPr>
                <w:rFonts w:ascii="Arial" w:cs="Arial" w:eastAsia="Arial" w:hAnsi="Arial"/>
                <w:sz w:val="16"/>
                <w:szCs w:val="16"/>
                <w:color w:val="0000EE"/>
              </w:rPr>
            </w:pPr>
            <w:hyperlink w:anchor="page47">
              <w:r>
                <w:rPr>
                  <w:rFonts w:ascii="Arial" w:cs="Arial" w:eastAsia="Arial" w:hAnsi="Arial"/>
                  <w:sz w:val="16"/>
                  <w:szCs w:val="16"/>
                  <w:color w:val="0000EE"/>
                </w:rPr>
                <w:t>PART II. OTHER INFORMATION</w:t>
              </w:r>
            </w:hyperlink>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1000" w:type="dxa"/>
            <w:vAlign w:val="bottom"/>
            <w:gridSpan w:val="3"/>
          </w:tcPr>
          <w:p>
            <w:pPr>
              <w:spacing w:after="0" w:line="161" w:lineRule="exact"/>
              <w:rPr>
                <w:rFonts w:ascii="Arial" w:cs="Arial" w:eastAsia="Arial" w:hAnsi="Arial"/>
                <w:sz w:val="16"/>
                <w:szCs w:val="16"/>
                <w:color w:val="0000EE"/>
              </w:rPr>
            </w:pPr>
            <w:hyperlink w:anchor="page47">
              <w:r>
                <w:rPr>
                  <w:rFonts w:ascii="Arial" w:cs="Arial" w:eastAsia="Arial" w:hAnsi="Arial"/>
                  <w:sz w:val="16"/>
                  <w:szCs w:val="16"/>
                  <w:color w:val="0000EE"/>
                </w:rPr>
                <w:t>Item 1.</w:t>
              </w:r>
            </w:hyperlink>
          </w:p>
        </w:tc>
        <w:tc>
          <w:tcPr>
            <w:tcW w:w="9440" w:type="dxa"/>
            <w:vAlign w:val="bottom"/>
            <w:gridSpan w:val="18"/>
          </w:tcPr>
          <w:p>
            <w:pPr>
              <w:spacing w:after="0" w:line="161" w:lineRule="exact"/>
              <w:rPr>
                <w:rFonts w:ascii="Arial" w:cs="Arial" w:eastAsia="Arial" w:hAnsi="Arial"/>
                <w:sz w:val="16"/>
                <w:szCs w:val="16"/>
                <w:color w:val="0000EE"/>
              </w:rPr>
            </w:pPr>
            <w:hyperlink w:anchor="page47">
              <w:r>
                <w:rPr>
                  <w:rFonts w:ascii="Arial" w:cs="Arial" w:eastAsia="Arial" w:hAnsi="Arial"/>
                  <w:sz w:val="16"/>
                  <w:szCs w:val="16"/>
                  <w:color w:val="0000EE"/>
                </w:rPr>
                <w:t>Legal Proceedings</w:t>
              </w:r>
            </w:hyperlink>
          </w:p>
        </w:tc>
        <w:tc>
          <w:tcPr>
            <w:tcW w:w="780" w:type="dxa"/>
            <w:vAlign w:val="bottom"/>
            <w:gridSpan w:val="2"/>
          </w:tcPr>
          <w:p>
            <w:pPr>
              <w:jc w:val="right"/>
              <w:spacing w:after="0" w:line="161" w:lineRule="exact"/>
              <w:rPr>
                <w:rFonts w:ascii="Arial" w:cs="Arial" w:eastAsia="Arial" w:hAnsi="Arial"/>
                <w:sz w:val="16"/>
                <w:szCs w:val="16"/>
                <w:color w:val="0000EE"/>
              </w:rPr>
            </w:pPr>
            <w:hyperlink w:anchor="page47">
              <w:r>
                <w:rPr>
                  <w:rFonts w:ascii="Arial" w:cs="Arial" w:eastAsia="Arial" w:hAnsi="Arial"/>
                  <w:sz w:val="16"/>
                  <w:szCs w:val="16"/>
                  <w:color w:val="0000EE"/>
                </w:rPr>
                <w:t>46</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right w:val="single" w:sz="8" w:color="CCEEFF"/>
            </w:tcBorders>
            <w:gridSpan w:val="3"/>
            <w:shd w:val="clear" w:color="auto" w:fill="CCEEFF"/>
          </w:tcPr>
          <w:p>
            <w:pPr>
              <w:spacing w:after="0" w:line="178" w:lineRule="exact"/>
              <w:rPr>
                <w:rFonts w:ascii="Arial" w:cs="Arial" w:eastAsia="Arial" w:hAnsi="Arial"/>
                <w:sz w:val="16"/>
                <w:szCs w:val="16"/>
                <w:color w:val="0000EE"/>
              </w:rPr>
            </w:pPr>
            <w:hyperlink w:anchor="page47">
              <w:r>
                <w:rPr>
                  <w:rFonts w:ascii="Arial" w:cs="Arial" w:eastAsia="Arial" w:hAnsi="Arial"/>
                  <w:sz w:val="16"/>
                  <w:szCs w:val="16"/>
                  <w:color w:val="0000EE"/>
                </w:rPr>
                <w:t>Item 1A.</w:t>
              </w:r>
            </w:hyperlink>
          </w:p>
        </w:tc>
        <w:tc>
          <w:tcPr>
            <w:tcW w:w="9440" w:type="dxa"/>
            <w:vAlign w:val="bottom"/>
            <w:gridSpan w:val="18"/>
            <w:shd w:val="clear" w:color="auto" w:fill="CCEEFF"/>
          </w:tcPr>
          <w:p>
            <w:pPr>
              <w:spacing w:after="0" w:line="178" w:lineRule="exact"/>
              <w:rPr>
                <w:rFonts w:ascii="Arial" w:cs="Arial" w:eastAsia="Arial" w:hAnsi="Arial"/>
                <w:sz w:val="16"/>
                <w:szCs w:val="16"/>
                <w:color w:val="0000EE"/>
              </w:rPr>
            </w:pPr>
            <w:hyperlink w:anchor="page47">
              <w:r>
                <w:rPr>
                  <w:rFonts w:ascii="Arial" w:cs="Arial" w:eastAsia="Arial" w:hAnsi="Arial"/>
                  <w:sz w:val="16"/>
                  <w:szCs w:val="16"/>
                  <w:color w:val="0000EE"/>
                </w:rPr>
                <w:t>Risk Factors</w:t>
              </w:r>
            </w:hyperlink>
          </w:p>
        </w:tc>
        <w:tc>
          <w:tcPr>
            <w:tcW w:w="780" w:type="dxa"/>
            <w:vAlign w:val="bottom"/>
            <w:gridSpan w:val="2"/>
            <w:shd w:val="clear" w:color="auto" w:fill="CCEEFF"/>
          </w:tcPr>
          <w:p>
            <w:pPr>
              <w:jc w:val="right"/>
              <w:spacing w:after="0" w:line="178" w:lineRule="exact"/>
              <w:rPr>
                <w:rFonts w:ascii="Arial" w:cs="Arial" w:eastAsia="Arial" w:hAnsi="Arial"/>
                <w:sz w:val="16"/>
                <w:szCs w:val="16"/>
                <w:color w:val="0000EE"/>
              </w:rPr>
            </w:pPr>
            <w:hyperlink w:anchor="page47">
              <w:r>
                <w:rPr>
                  <w:rFonts w:ascii="Arial" w:cs="Arial" w:eastAsia="Arial" w:hAnsi="Arial"/>
                  <w:sz w:val="16"/>
                  <w:szCs w:val="16"/>
                  <w:color w:val="0000EE"/>
                </w:rPr>
                <w:t>46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0000EE"/>
            </w:tcBorders>
            <w:gridSpan w:val="2"/>
          </w:tcPr>
          <w:p>
            <w:pPr>
              <w:spacing w:after="0" w:line="161" w:lineRule="exact"/>
              <w:rPr>
                <w:rFonts w:ascii="Arial" w:cs="Arial" w:eastAsia="Arial" w:hAnsi="Arial"/>
                <w:sz w:val="16"/>
                <w:szCs w:val="16"/>
                <w:color w:val="0000EE"/>
              </w:rPr>
            </w:pPr>
            <w:hyperlink w:anchor="page91">
              <w:r>
                <w:rPr>
                  <w:rFonts w:ascii="Arial" w:cs="Arial" w:eastAsia="Arial" w:hAnsi="Arial"/>
                  <w:sz w:val="16"/>
                  <w:szCs w:val="16"/>
                  <w:color w:val="0000EE"/>
                </w:rPr>
                <w:t>Item 6.</w:t>
              </w:r>
            </w:hyperlink>
          </w:p>
        </w:tc>
        <w:tc>
          <w:tcPr>
            <w:tcW w:w="440" w:type="dxa"/>
            <w:vAlign w:val="bottom"/>
            <w:tcBorders>
              <w:top w:val="single" w:sz="8" w:color="CCEEFF"/>
            </w:tcBorders>
          </w:tcPr>
          <w:p>
            <w:pPr>
              <w:spacing w:after="0"/>
              <w:rPr>
                <w:sz w:val="14"/>
                <w:szCs w:val="14"/>
                <w:color w:val="auto"/>
              </w:rPr>
            </w:pPr>
          </w:p>
        </w:tc>
        <w:tc>
          <w:tcPr>
            <w:tcW w:w="840" w:type="dxa"/>
            <w:vAlign w:val="bottom"/>
            <w:tcBorders>
              <w:top w:val="single" w:sz="8" w:color="0000EE"/>
            </w:tcBorders>
            <w:gridSpan w:val="3"/>
          </w:tcPr>
          <w:p>
            <w:pPr>
              <w:spacing w:after="0" w:line="161" w:lineRule="exact"/>
              <w:rPr>
                <w:rFonts w:ascii="Arial" w:cs="Arial" w:eastAsia="Arial" w:hAnsi="Arial"/>
                <w:sz w:val="16"/>
                <w:szCs w:val="16"/>
                <w:color w:val="0000EE"/>
              </w:rPr>
            </w:pPr>
            <w:hyperlink w:anchor="page91">
              <w:r>
                <w:rPr>
                  <w:rFonts w:ascii="Arial" w:cs="Arial" w:eastAsia="Arial" w:hAnsi="Arial"/>
                  <w:sz w:val="16"/>
                  <w:szCs w:val="16"/>
                  <w:color w:val="0000EE"/>
                </w:rPr>
                <w:t>Exhibits</w:t>
              </w:r>
            </w:hyperlink>
          </w:p>
        </w:tc>
        <w:tc>
          <w:tcPr>
            <w:tcW w:w="8600" w:type="dxa"/>
            <w:vAlign w:val="bottom"/>
            <w:tcBorders>
              <w:top w:val="single" w:sz="8" w:color="CCEEFF"/>
            </w:tcBorders>
            <w:gridSpan w:val="15"/>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jc w:val="right"/>
              <w:spacing w:after="0"/>
              <w:rPr>
                <w:rFonts w:ascii="Arial" w:cs="Arial" w:eastAsia="Arial" w:hAnsi="Arial"/>
                <w:sz w:val="7"/>
                <w:szCs w:val="7"/>
                <w:color w:val="0000EE"/>
                <w:w w:val="76"/>
              </w:rPr>
            </w:pPr>
            <w:hyperlink w:anchor="page91">
              <w:r>
                <w:rPr>
                  <w:rFonts w:ascii="Arial" w:cs="Arial" w:eastAsia="Arial" w:hAnsi="Arial"/>
                  <w:sz w:val="7"/>
                  <w:szCs w:val="7"/>
                  <w:color w:val="0000EE"/>
                  <w:w w:val="76"/>
                </w:rPr>
                <w:t>90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1000" w:type="dxa"/>
            <w:vAlign w:val="bottom"/>
            <w:gridSpan w:val="3"/>
          </w:tcPr>
          <w:p>
            <w:pPr>
              <w:spacing w:after="0" w:line="161" w:lineRule="exact"/>
              <w:rPr>
                <w:rFonts w:ascii="Arial" w:cs="Arial" w:eastAsia="Arial" w:hAnsi="Arial"/>
                <w:sz w:val="16"/>
                <w:szCs w:val="16"/>
                <w:color w:val="0000EE"/>
                <w:w w:val="92"/>
              </w:rPr>
            </w:pPr>
            <w:hyperlink w:anchor="page92">
              <w:r>
                <w:rPr>
                  <w:rFonts w:ascii="Arial" w:cs="Arial" w:eastAsia="Arial" w:hAnsi="Arial"/>
                  <w:sz w:val="16"/>
                  <w:szCs w:val="16"/>
                  <w:color w:val="0000EE"/>
                  <w:w w:val="92"/>
                </w:rPr>
                <w:t>SIGNATURES</w:t>
              </w:r>
            </w:hyperlink>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61" w:lineRule="exact"/>
              <w:rPr>
                <w:rFonts w:ascii="Arial" w:cs="Arial" w:eastAsia="Arial" w:hAnsi="Arial"/>
                <w:sz w:val="16"/>
                <w:szCs w:val="16"/>
                <w:color w:val="0000EE"/>
              </w:rPr>
            </w:pPr>
            <w:hyperlink w:anchor="page92">
              <w:r>
                <w:rPr>
                  <w:rFonts w:ascii="Arial" w:cs="Arial" w:eastAsia="Arial" w:hAnsi="Arial"/>
                  <w:sz w:val="16"/>
                  <w:szCs w:val="16"/>
                  <w:color w:val="0000EE"/>
                </w:rPr>
                <w:t>91</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5920" w:type="dxa"/>
            <w:vAlign w:val="bottom"/>
            <w:tcBorders>
              <w:bottom w:val="single" w:sz="8" w:color="auto"/>
            </w:tcBorders>
            <w:gridSpan w:val="13"/>
          </w:tcPr>
          <w:p>
            <w:pPr>
              <w:ind w:left="4560"/>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color w:val="auto"/>
        </w:rPr>
        <w:t>CAUTIONARY NOTE REGARDING FORWARD-LOOKING STATEMENTS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Quarterly Report on Form 10-Q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166" w:lineRule="exact"/>
        <w:rPr>
          <w:sz w:val="20"/>
          <w:szCs w:val="20"/>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domestic and foreign business, market, financial, political and legal conditions, including the ongoing conflict between Russia and Ukraine;</w:t>
      </w:r>
    </w:p>
    <w:p>
      <w:pPr>
        <w:spacing w:after="0" w:line="212" w:lineRule="exact"/>
        <w:rPr>
          <w:rFonts w:ascii="Arial" w:cs="Arial" w:eastAsia="Arial" w:hAnsi="Arial"/>
          <w:sz w:val="16"/>
          <w:szCs w:val="16"/>
          <w:color w:val="auto"/>
        </w:rPr>
      </w:pPr>
    </w:p>
    <w:p>
      <w:pPr>
        <w:ind w:left="600" w:right="300" w:hanging="304"/>
        <w:spacing w:after="0" w:line="290"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uncertainty of our projected financial information;</w:t>
      </w:r>
    </w:p>
    <w:p>
      <w:pPr>
        <w:spacing w:after="0" w:line="212" w:lineRule="exact"/>
        <w:rPr>
          <w:rFonts w:ascii="Arial" w:cs="Arial" w:eastAsia="Arial" w:hAnsi="Arial"/>
          <w:sz w:val="16"/>
          <w:szCs w:val="16"/>
          <w:color w:val="auto"/>
        </w:rPr>
      </w:pPr>
    </w:p>
    <w:p>
      <w:pPr>
        <w:ind w:left="600" w:right="140" w:hanging="304"/>
        <w:spacing w:after="0" w:line="290" w:lineRule="auto"/>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risks related to the timing of expected business milestones and commercial product launches, including our ability to mass produce the Lucid Air and complete the tooling of our manufacturing facility;</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risks related to the expansion of our manufacturing facility, the construction of new manufacturing facilities and the increase of our production capacity;</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our ability to manage expenses;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risks related to future market adoption of our offerings;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competition and the pace and depth of electric vehicle adoption generally on our future business;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regulatory requirements, governmental incentives and fuel and energy prices;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our ability to rapidly innovate;</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our ability to enter into or maintain partnerships with original equipment manufacturers, vendors and technology providers;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our ability to effectively manage our growth and recruit and retain key employees, including our chief executive officer and executive team;</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risks related to potential vehicle recalls;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establish and expand our brand, and capture additional market share, and the risks associated with negative press or reputational harm;</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utilize zero emission vehicle credits and obtain and utilize certain tax and other incentives;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issue equity or equity-linked securities in the future;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pay interest and principal on our indebtedness;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changes to vehicle specifications which may impact performance, pricing, and other expectations;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of any potential litigation, government and regulatory proceedings, investigations and inquiries;</w:t>
      </w:r>
    </w:p>
    <w:p>
      <w:pPr>
        <w:spacing w:after="0" w:line="212" w:lineRule="exact"/>
        <w:rPr>
          <w:rFonts w:ascii="Arial" w:cs="Arial" w:eastAsia="Arial" w:hAnsi="Arial"/>
          <w:sz w:val="16"/>
          <w:szCs w:val="16"/>
          <w:color w:val="auto"/>
        </w:rPr>
      </w:pPr>
    </w:p>
    <w:p>
      <w:pPr>
        <w:ind w:left="600" w:right="60" w:hanging="304"/>
        <w:spacing w:after="0" w:line="290"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the global COVID-19 pandemic on our supply chain, including COVID-related shutdowns of our suppliers’ facilities in China, projected results of operations, financial performance or other financial metrics, or on any of the foregoing risks;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disclosed in this Quarterly Report on Form 10-Q or our other filings with the Securities and Exchange Commission (the “SEC”).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 w:name="page5"/>
    <w:bookmarkEnd w:id="4"/>
    <w:p>
      <w:pPr>
        <w:spacing w:after="0" w:line="280" w:lineRule="auto"/>
        <w:rPr>
          <w:sz w:val="20"/>
          <w:szCs w:val="20"/>
          <w:color w:val="auto"/>
        </w:rPr>
      </w:pPr>
      <w:r>
        <w:rPr>
          <w:rFonts w:ascii="Arial" w:cs="Arial" w:eastAsia="Arial" w:hAnsi="Arial"/>
          <w:sz w:val="15"/>
          <w:szCs w:val="15"/>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Frequently Used Terms</w:t>
      </w:r>
    </w:p>
    <w:p>
      <w:pPr>
        <w:spacing w:after="0" w:line="2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Unless otherwise stated in Item I. Financial Statements and accompanying footnotes, or the context otherwise requires, references in this Quarterly Report on Form 10-Q to:</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2009 Plan</w:t>
      </w:r>
      <w:r>
        <w:rPr>
          <w:rFonts w:ascii="Arial" w:cs="Arial" w:eastAsia="Arial" w:hAnsi="Arial"/>
          <w:sz w:val="16"/>
          <w:szCs w:val="16"/>
          <w:color w:val="auto"/>
        </w:rPr>
        <w:t>” are to the Atieva, Inc. 2009 Share Plan duly adopted by the board of directors of Legacy Lucid on December 17, 2009;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2014 Plan</w:t>
      </w:r>
      <w:r>
        <w:rPr>
          <w:rFonts w:ascii="Arial" w:cs="Arial" w:eastAsia="Arial" w:hAnsi="Arial"/>
          <w:sz w:val="16"/>
          <w:szCs w:val="16"/>
          <w:color w:val="auto"/>
        </w:rPr>
        <w:t>” are to the Atieva, Inc. 2014 Share Plan duly adopted by the board of directors of Legacy Lucid on May 14, 2014;</w:t>
      </w:r>
    </w:p>
    <w:p>
      <w:pPr>
        <w:spacing w:after="0" w:line="212"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2021 Plan</w:t>
      </w:r>
      <w:r>
        <w:rPr>
          <w:rFonts w:ascii="Arial" w:cs="Arial" w:eastAsia="Arial" w:hAnsi="Arial"/>
          <w:sz w:val="16"/>
          <w:szCs w:val="16"/>
          <w:color w:val="auto"/>
        </w:rPr>
        <w:t>” are to the Atieva, Inc. 2021 Stock Incentive Plan duly adopted by the compensation committee of the board of directors of Legacy Lucid on January 13, 2021 and approved by Legacy Lucid’s shareholders on January 21, 2021;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2026 Notes</w:t>
      </w:r>
      <w:r>
        <w:rPr>
          <w:rFonts w:ascii="Arial" w:cs="Arial" w:eastAsia="Arial" w:hAnsi="Arial"/>
          <w:sz w:val="16"/>
          <w:szCs w:val="16"/>
          <w:color w:val="auto"/>
        </w:rPr>
        <w:t>” are to the 1.25% Convertible Senior Notes due 2026;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AMP-1”</w:t>
      </w:r>
      <w:r>
        <w:rPr>
          <w:rFonts w:ascii="Arial" w:cs="Arial" w:eastAsia="Arial" w:hAnsi="Arial"/>
          <w:sz w:val="16"/>
          <w:szCs w:val="16"/>
          <w:color w:val="auto"/>
        </w:rPr>
        <w:t xml:space="preserve"> are to our Advanced Manufacturing Plant 1 in Casa Grande, Arizona;</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Ayar</w:t>
      </w:r>
      <w:r>
        <w:rPr>
          <w:rFonts w:ascii="Arial" w:cs="Arial" w:eastAsia="Arial" w:hAnsi="Arial"/>
          <w:sz w:val="16"/>
          <w:szCs w:val="16"/>
          <w:color w:val="auto"/>
        </w:rPr>
        <w:t>” are to Ayar Third Investment Company, an affiliate of PIF;</w:t>
      </w:r>
    </w:p>
    <w:p>
      <w:pPr>
        <w:spacing w:after="0" w:line="212" w:lineRule="exact"/>
        <w:rPr>
          <w:sz w:val="20"/>
          <w:szCs w:val="20"/>
          <w:color w:val="auto"/>
        </w:rPr>
      </w:pPr>
    </w:p>
    <w:p>
      <w:pPr>
        <w:ind w:right="6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or “Board of Directors” are, prior to consummation of the Transactions, to the board of directors of Legacy Lucid, and, following consummation of the Transactions, to the board of directors of Lucid Group Inc., a Delaware corporation;</w:t>
      </w:r>
    </w:p>
    <w:p>
      <w:pPr>
        <w:spacing w:after="0" w:line="149"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w:t>
      </w:r>
      <w:r>
        <w:rPr>
          <w:rFonts w:ascii="Arial" w:cs="Arial" w:eastAsia="Arial" w:hAnsi="Arial"/>
          <w:sz w:val="16"/>
          <w:szCs w:val="16"/>
          <w:color w:val="auto"/>
        </w:rPr>
        <w:t xml:space="preserve">” or </w:t>
      </w:r>
      <w:r>
        <w:rPr>
          <w:rFonts w:ascii="Arial" w:cs="Arial" w:eastAsia="Arial" w:hAnsi="Arial"/>
          <w:sz w:val="16"/>
          <w:szCs w:val="16"/>
          <w:i w:val="1"/>
          <w:iCs w:val="1"/>
          <w:color w:val="auto"/>
        </w:rPr>
        <w:t>“CCIV”</w:t>
      </w:r>
      <w:r>
        <w:rPr>
          <w:rFonts w:ascii="Arial" w:cs="Arial" w:eastAsia="Arial" w:hAnsi="Arial"/>
          <w:sz w:val="16"/>
          <w:szCs w:val="16"/>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Churchill’s Class A common stock</w:t>
      </w:r>
      <w:r>
        <w:rPr>
          <w:rFonts w:ascii="Arial" w:cs="Arial" w:eastAsia="Arial" w:hAnsi="Arial"/>
          <w:sz w:val="16"/>
          <w:szCs w:val="16"/>
          <w:color w:val="auto"/>
        </w:rPr>
        <w:t>” are to Churchill’s Class A common stock, par value $0.0001 per share;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Churchill’s Class B common stock</w:t>
      </w:r>
      <w:r>
        <w:rPr>
          <w:rFonts w:ascii="Arial" w:cs="Arial" w:eastAsia="Arial" w:hAnsi="Arial"/>
          <w:sz w:val="16"/>
          <w:szCs w:val="16"/>
          <w:color w:val="auto"/>
        </w:rPr>
        <w:t>” are to Churchill’s Class B common stock, par value $0.0001 per share;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 IPO</w:t>
      </w:r>
      <w:r>
        <w:rPr>
          <w:rFonts w:ascii="Arial" w:cs="Arial" w:eastAsia="Arial" w:hAnsi="Arial"/>
          <w:sz w:val="16"/>
          <w:szCs w:val="16"/>
          <w:color w:val="auto"/>
        </w:rPr>
        <w:t>” are to the initial public offering by Churchill which closed on August 3, 2020;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w:t>
      </w:r>
      <w:r>
        <w:rPr>
          <w:rFonts w:ascii="Arial" w:cs="Arial" w:eastAsia="Arial" w:hAnsi="Arial"/>
          <w:sz w:val="16"/>
          <w:szCs w:val="16"/>
          <w:color w:val="auto"/>
        </w:rPr>
        <w:t>” are to the consummation of the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are to July 23, 2021, the date on which the Transactions were consummated;</w:t>
      </w:r>
    </w:p>
    <w:p>
      <w:pPr>
        <w:spacing w:after="0" w:line="212"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are, prior to the consummation of the Transactions, to Churchill’s Class A common stock and Churchill’s Class B common stock and, following the consummation of the Transactions, to the common stock of Lucid Group, Inc., par value $0.0001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ESG</w:t>
      </w:r>
      <w:r>
        <w:rPr>
          <w:rFonts w:ascii="Arial" w:cs="Arial" w:eastAsia="Arial" w:hAnsi="Arial"/>
          <w:sz w:val="16"/>
          <w:szCs w:val="16"/>
          <w:color w:val="auto"/>
        </w:rPr>
        <w:t>” are to the Environmental, Social and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w:t>
      </w:r>
      <w:r>
        <w:rPr>
          <w:rFonts w:ascii="Arial" w:cs="Arial" w:eastAsia="Arial" w:hAnsi="Arial"/>
          <w:sz w:val="16"/>
          <w:szCs w:val="16"/>
          <w:color w:val="auto"/>
        </w:rPr>
        <w:t>” are to electric vehicle;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Ratio</w:t>
      </w:r>
      <w:r>
        <w:rPr>
          <w:rFonts w:ascii="Arial" w:cs="Arial" w:eastAsia="Arial" w:hAnsi="Arial"/>
          <w:sz w:val="16"/>
          <w:szCs w:val="16"/>
          <w:color w:val="auto"/>
        </w:rPr>
        <w:t>” are to the quotient as defined in, and calculated in accordance with, the Merger Agreement, which is 2.644;</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 w:name="page6"/>
    <w:bookmarkEnd w:id="5"/>
    <w:p>
      <w:pPr>
        <w:ind w:right="4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 Rights Agreement</w:t>
      </w:r>
      <w:r>
        <w:rPr>
          <w:rFonts w:ascii="Arial" w:cs="Arial" w:eastAsia="Arial" w:hAnsi="Arial"/>
          <w:sz w:val="16"/>
          <w:szCs w:val="16"/>
          <w:color w:val="auto"/>
        </w:rPr>
        <w:t>” are to the Investor Rights Agreement, dated as of February 22, 2021, by and among the Company, the Sponsor, Ayar and certain other parties thereto;</w:t>
      </w:r>
    </w:p>
    <w:p>
      <w:pPr>
        <w:spacing w:after="0" w:line="149" w:lineRule="exact"/>
        <w:rPr>
          <w:sz w:val="20"/>
          <w:szCs w:val="20"/>
          <w:color w:val="auto"/>
        </w:rPr>
      </w:pPr>
    </w:p>
    <w:p>
      <w:pPr>
        <w:ind w:right="7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w:t>
      </w:r>
      <w:r>
        <w:rPr>
          <w:rFonts w:ascii="Arial" w:cs="Arial" w:eastAsia="Arial" w:hAnsi="Arial"/>
          <w:sz w:val="16"/>
          <w:szCs w:val="16"/>
          <w:color w:val="auto"/>
        </w:rPr>
        <w:t>” are to Atieva, Inc., d/b/a Lucid Motors, an exempted company incorporated with limited liability under the laws of the Cayman Islands, and its consolidated subsidiaries before the Closing Date;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Common Shares</w:t>
      </w:r>
      <w:r>
        <w:rPr>
          <w:rFonts w:ascii="Arial" w:cs="Arial" w:eastAsia="Arial" w:hAnsi="Arial"/>
          <w:sz w:val="16"/>
          <w:szCs w:val="16"/>
          <w:color w:val="auto"/>
        </w:rPr>
        <w:t>” are to the common shares, par value $0.0001 per share, of Legacy Lucid;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Share Plans</w:t>
      </w:r>
      <w:r>
        <w:rPr>
          <w:rFonts w:ascii="Arial" w:cs="Arial" w:eastAsia="Arial" w:hAnsi="Arial"/>
          <w:sz w:val="16"/>
          <w:szCs w:val="16"/>
          <w:color w:val="auto"/>
        </w:rPr>
        <w:t>” are to the 2009 Plan, the 2014 Plan, the 2021 Plan, in each case as amended from time to time in accordance with their terms;</w:t>
      </w:r>
    </w:p>
    <w:p>
      <w:pPr>
        <w:spacing w:after="0" w:line="212"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Options</w:t>
      </w:r>
      <w:r>
        <w:rPr>
          <w:rFonts w:ascii="Arial" w:cs="Arial" w:eastAsia="Arial" w:hAnsi="Arial"/>
          <w:sz w:val="16"/>
          <w:szCs w:val="16"/>
          <w:color w:val="auto"/>
        </w:rPr>
        <w:t>” are to all issued and outstanding options to purchase or otherwise acquire Legacy Lucid Common Shares (whether or not vested) held by any person, including share options granted under any Legacy Lucid Share Plan;</w:t>
      </w:r>
    </w:p>
    <w:p>
      <w:pPr>
        <w:spacing w:after="0" w:line="14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Preferred Shares</w:t>
      </w:r>
      <w:r>
        <w:rPr>
          <w:rFonts w:ascii="Arial" w:cs="Arial" w:eastAsia="Arial" w:hAnsi="Arial"/>
          <w:sz w:val="16"/>
          <w:szCs w:val="16"/>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49" w:lineRule="exact"/>
        <w:rPr>
          <w:sz w:val="20"/>
          <w:szCs w:val="20"/>
          <w:color w:val="auto"/>
        </w:rPr>
      </w:pPr>
    </w:p>
    <w:p>
      <w:pPr>
        <w:jc w:val="both"/>
        <w:ind w:right="2960"/>
        <w:spacing w:after="0" w:line="59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Legacy Lucid Series A Preferred Shares</w:t>
      </w:r>
      <w:r>
        <w:rPr>
          <w:rFonts w:ascii="Arial" w:cs="Arial" w:eastAsia="Arial" w:hAnsi="Arial"/>
          <w:sz w:val="14"/>
          <w:szCs w:val="14"/>
          <w:color w:val="auto"/>
        </w:rPr>
        <w:t>” are to the Series A preferred shares, par value $0.0001 per share, of Legacy Lucid; “</w:t>
      </w:r>
      <w:r>
        <w:rPr>
          <w:rFonts w:ascii="Arial" w:cs="Arial" w:eastAsia="Arial" w:hAnsi="Arial"/>
          <w:sz w:val="14"/>
          <w:szCs w:val="14"/>
          <w:i w:val="1"/>
          <w:iCs w:val="1"/>
          <w:color w:val="auto"/>
        </w:rPr>
        <w:t>Legacy Lucid Series B Preferred Shares</w:t>
      </w:r>
      <w:r>
        <w:rPr>
          <w:rFonts w:ascii="Arial" w:cs="Arial" w:eastAsia="Arial" w:hAnsi="Arial"/>
          <w:sz w:val="14"/>
          <w:szCs w:val="14"/>
          <w:color w:val="auto"/>
        </w:rPr>
        <w:t>” are to the Series B preferred shares, par value $0.0001 per share, of Legacy Lucid; “</w:t>
      </w:r>
      <w:r>
        <w:rPr>
          <w:rFonts w:ascii="Arial" w:cs="Arial" w:eastAsia="Arial" w:hAnsi="Arial"/>
          <w:sz w:val="14"/>
          <w:szCs w:val="14"/>
          <w:i w:val="1"/>
          <w:iCs w:val="1"/>
          <w:color w:val="auto"/>
        </w:rPr>
        <w:t>Legacy Lucid Series C Preferred Shares</w:t>
      </w:r>
      <w:r>
        <w:rPr>
          <w:rFonts w:ascii="Arial" w:cs="Arial" w:eastAsia="Arial" w:hAnsi="Arial"/>
          <w:sz w:val="14"/>
          <w:szCs w:val="14"/>
          <w:color w:val="auto"/>
        </w:rPr>
        <w:t>” are to the Series C preferred shares, par value $0.0001 per share, of Legacy Lucid; “</w:t>
      </w:r>
      <w:r>
        <w:rPr>
          <w:rFonts w:ascii="Arial" w:cs="Arial" w:eastAsia="Arial" w:hAnsi="Arial"/>
          <w:sz w:val="14"/>
          <w:szCs w:val="14"/>
          <w:i w:val="1"/>
          <w:iCs w:val="1"/>
          <w:color w:val="auto"/>
        </w:rPr>
        <w:t>Legacy Lucid Series D Preferred Shares</w:t>
      </w:r>
      <w:r>
        <w:rPr>
          <w:rFonts w:ascii="Arial" w:cs="Arial" w:eastAsia="Arial" w:hAnsi="Arial"/>
          <w:sz w:val="14"/>
          <w:szCs w:val="14"/>
          <w:color w:val="auto"/>
        </w:rPr>
        <w:t>” are to the Series D preferred shares, par value $0.0001 per share, of Legacy Lucid; “</w:t>
      </w:r>
      <w:r>
        <w:rPr>
          <w:rFonts w:ascii="Arial" w:cs="Arial" w:eastAsia="Arial" w:hAnsi="Arial"/>
          <w:sz w:val="14"/>
          <w:szCs w:val="14"/>
          <w:i w:val="1"/>
          <w:iCs w:val="1"/>
          <w:color w:val="auto"/>
        </w:rPr>
        <w:t>Legacy Lucid Series E Preferred Shares</w:t>
      </w:r>
      <w:r>
        <w:rPr>
          <w:rFonts w:ascii="Arial" w:cs="Arial" w:eastAsia="Arial" w:hAnsi="Arial"/>
          <w:sz w:val="14"/>
          <w:szCs w:val="14"/>
          <w:color w:val="auto"/>
        </w:rPr>
        <w:t>” are to the Series E preferred shares, par value $0.0001 per share, of Legacy Lucid; “</w:t>
      </w:r>
      <w:r>
        <w:rPr>
          <w:rFonts w:ascii="Arial" w:cs="Arial" w:eastAsia="Arial" w:hAnsi="Arial"/>
          <w:sz w:val="14"/>
          <w:szCs w:val="14"/>
          <w:i w:val="1"/>
          <w:iCs w:val="1"/>
          <w:color w:val="auto"/>
        </w:rPr>
        <w:t>Legacy Lucid Share</w:t>
      </w:r>
      <w:r>
        <w:rPr>
          <w:rFonts w:ascii="Arial" w:cs="Arial" w:eastAsia="Arial" w:hAnsi="Arial"/>
          <w:sz w:val="14"/>
          <w:szCs w:val="14"/>
          <w:color w:val="auto"/>
        </w:rPr>
        <w:t>s” are to the Legacy Lucid Common Shares and Legacy Lucid Preferred Shares;</w:t>
      </w:r>
    </w:p>
    <w:p>
      <w:pPr>
        <w:spacing w:after="0" w:line="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RSUs</w:t>
      </w:r>
      <w:r>
        <w:rPr>
          <w:rFonts w:ascii="Arial" w:cs="Arial" w:eastAsia="Arial" w:hAnsi="Arial"/>
          <w:sz w:val="16"/>
          <w:szCs w:val="16"/>
          <w:color w:val="auto"/>
        </w:rPr>
        <w:t>” are to all issued and outstanding restricted stock unit awards with respect to Legacy Lucid Common Shares outstanding under any Legacy Lucid Share Plan;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Options</w:t>
      </w:r>
      <w:r>
        <w:rPr>
          <w:rFonts w:ascii="Arial" w:cs="Arial" w:eastAsia="Arial" w:hAnsi="Arial"/>
          <w:sz w:val="16"/>
          <w:szCs w:val="16"/>
          <w:color w:val="auto"/>
        </w:rPr>
        <w:t>” are to all issued and outstanding options to purchase shares of common stock immediately following the closing of the Merger;</w:t>
      </w:r>
    </w:p>
    <w:p>
      <w:pPr>
        <w:spacing w:after="0" w:line="212" w:lineRule="exact"/>
        <w:rPr>
          <w:sz w:val="20"/>
          <w:szCs w:val="20"/>
          <w:color w:val="auto"/>
        </w:rPr>
      </w:pPr>
    </w:p>
    <w:p>
      <w:pPr>
        <w:ind w:right="340"/>
        <w:spacing w:after="0" w:line="55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Lucid RSUs</w:t>
      </w:r>
      <w:r>
        <w:rPr>
          <w:rFonts w:ascii="Arial" w:cs="Arial" w:eastAsia="Arial" w:hAnsi="Arial"/>
          <w:sz w:val="15"/>
          <w:szCs w:val="15"/>
          <w:color w:val="auto"/>
        </w:rPr>
        <w:t>” are to all issued and outstanding restricted stock unit awards with respect to shares of common stock immediately following the closing of the Merger; “</w:t>
      </w:r>
      <w:r>
        <w:rPr>
          <w:rFonts w:ascii="Arial" w:cs="Arial" w:eastAsia="Arial" w:hAnsi="Arial"/>
          <w:sz w:val="15"/>
          <w:szCs w:val="15"/>
          <w:i w:val="1"/>
          <w:iCs w:val="1"/>
          <w:color w:val="auto"/>
        </w:rPr>
        <w:t>Merger</w:t>
      </w:r>
      <w:r>
        <w:rPr>
          <w:rFonts w:ascii="Arial" w:cs="Arial" w:eastAsia="Arial" w:hAnsi="Arial"/>
          <w:sz w:val="15"/>
          <w:szCs w:val="15"/>
          <w:color w:val="auto"/>
        </w:rPr>
        <w:t>” are to the merger of a merger subsidiary of Churchill and Atieva, Inc., with Atieva, Inc. surviving such merger as a wholly owned subsidiary of Churchill;</w:t>
      </w:r>
    </w:p>
    <w:p>
      <w:pPr>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PIF</w:t>
      </w:r>
      <w:r>
        <w:rPr>
          <w:rFonts w:ascii="Arial" w:cs="Arial" w:eastAsia="Arial" w:hAnsi="Arial"/>
          <w:sz w:val="16"/>
          <w:szCs w:val="16"/>
          <w:color w:val="auto"/>
        </w:rPr>
        <w:t>” are to the Public Investment Fund;</w:t>
      </w:r>
    </w:p>
    <w:p>
      <w:pPr>
        <w:spacing w:after="0" w:line="212"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Investment</w:t>
      </w:r>
      <w:r>
        <w:rPr>
          <w:rFonts w:ascii="Arial" w:cs="Arial" w:eastAsia="Arial" w:hAnsi="Arial"/>
          <w:sz w:val="16"/>
          <w:szCs w:val="16"/>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Investors</w:t>
      </w:r>
      <w:r>
        <w:rPr>
          <w:rFonts w:ascii="Arial" w:cs="Arial" w:eastAsia="Arial" w:hAnsi="Arial"/>
          <w:sz w:val="16"/>
          <w:szCs w:val="16"/>
          <w:color w:val="auto"/>
        </w:rPr>
        <w:t>” are to the investors participating in the PIPE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are to Churchill’s warrants issued to the Sponsor in a private placement simultaneously with the closing of the Churchill IPO;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 w:name="page7"/>
    <w:bookmarkEnd w:id="6"/>
    <w:p>
      <w:pPr>
        <w:ind w:right="1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Promissory Note</w:t>
      </w:r>
      <w:r>
        <w:rPr>
          <w:rFonts w:ascii="Arial" w:cs="Arial" w:eastAsia="Arial" w:hAnsi="Arial"/>
          <w:sz w:val="16"/>
          <w:szCs w:val="16"/>
          <w:color w:val="auto"/>
        </w:rPr>
        <w:t>”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4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Warrants</w:t>
      </w:r>
      <w:r>
        <w:rPr>
          <w:rFonts w:ascii="Arial" w:cs="Arial" w:eastAsia="Arial" w:hAnsi="Arial"/>
          <w:sz w:val="16"/>
          <w:szCs w:val="16"/>
          <w:color w:val="auto"/>
        </w:rPr>
        <w:t>” are to Churchill’s warrants sold as part of the units in the Churchill IPO (whether they were purchased in the Churchill IPO or thereafter in the open market);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Sponsor</w:t>
      </w:r>
      <w:r>
        <w:rPr>
          <w:rFonts w:ascii="Arial" w:cs="Arial" w:eastAsia="Arial" w:hAnsi="Arial"/>
          <w:sz w:val="16"/>
          <w:szCs w:val="16"/>
          <w:color w:val="auto"/>
        </w:rPr>
        <w:t>” are to Churchill Sponsor IV LLC, a Delaware limited liability company and an affiliate of M. Klein and Company;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are to the Merger, together with the other transactions consummated under the Merger Agreement and the related agreements;</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Warrant Agreement</w:t>
      </w:r>
      <w:r>
        <w:rPr>
          <w:rFonts w:ascii="Arial" w:cs="Arial" w:eastAsia="Arial" w:hAnsi="Arial"/>
          <w:sz w:val="16"/>
          <w:szCs w:val="16"/>
          <w:color w:val="auto"/>
        </w:rPr>
        <w:t>” are to the Warrant Agreement, dated July 29, 2020, entered into in connection with the Churchill IPO by and between Continental Stock Transfer &amp; Trust Company and Churchill; and</w:t>
      </w:r>
    </w:p>
    <w:p>
      <w:pPr>
        <w:spacing w:after="0" w:line="149"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Warrants</w:t>
      </w:r>
      <w:r>
        <w:rPr>
          <w:rFonts w:ascii="Arial" w:cs="Arial" w:eastAsia="Arial" w:hAnsi="Arial"/>
          <w:sz w:val="16"/>
          <w:szCs w:val="16"/>
          <w:color w:val="auto"/>
        </w:rPr>
        <w:t>” are to the warrants to purchase Churchill’s Class A common stock pursuant to the terms of the Promissory Note, on terms identical to the terms of the Private Placement Warrants.</w:t>
      </w:r>
    </w:p>
    <w:p>
      <w:pPr>
        <w:spacing w:after="0" w:line="14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ectPr>
          <w:pgSz w:w="11900" w:h="16838" w:orient="portrait"/>
          <w:cols w:equalWidth="0" w:num="1">
            <w:col w:w="11240"/>
          </w:cols>
          <w:pgMar w:left="320" w:top="8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Short-term investments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 net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Inventory</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current assets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current assets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net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97" w:lineRule="exact"/>
        <w:rPr>
          <w:sz w:val="20"/>
          <w:szCs w:val="20"/>
          <w:color w:val="auto"/>
        </w:rPr>
      </w:pPr>
    </w:p>
    <w:tbl>
      <w:tblPr>
        <w:tblLayout w:type="fixed"/>
        <w:tblInd w:w="4800" w:type="dxa"/>
        <w:tblCellMar>
          <w:top w:w="0" w:type="dxa"/>
          <w:left w:w="0" w:type="dxa"/>
          <w:bottom w:w="0" w:type="dxa"/>
          <w:right w:w="0" w:type="dxa"/>
        </w:tblCellMar>
      </w:tblPr>
      <w:tr>
        <w:trPr>
          <w:trHeight w:val="198"/>
        </w:trPr>
        <w:tc>
          <w:tcPr>
            <w:tcW w:w="2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b w:val="1"/>
                <w:bCs w:val="1"/>
                <w:color w:val="auto"/>
                <w:w w:val="92"/>
              </w:rPr>
              <w:t>December 31,</w:t>
            </w:r>
          </w:p>
        </w:tc>
      </w:tr>
      <w:tr>
        <w:trPr>
          <w:trHeight w:val="214"/>
        </w:trPr>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r>
      <w:tr>
        <w:trPr>
          <w:trHeight w:val="575"/>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3,157,449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6,262,905</w:t>
            </w:r>
          </w:p>
        </w:tc>
      </w:tr>
      <w:tr>
        <w:trPr>
          <w:trHeight w:val="198"/>
        </w:trPr>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1,136,633</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3,148</w:t>
            </w:r>
          </w:p>
        </w:tc>
      </w:tr>
      <w:tr>
        <w:trPr>
          <w:trHeight w:val="198"/>
        </w:trPr>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553,045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127,250</w:t>
            </w:r>
          </w:p>
        </w:tc>
      </w:tr>
      <w:tr>
        <w:trPr>
          <w:trHeight w:val="209"/>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48,963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70,346</w:t>
            </w:r>
          </w:p>
        </w:tc>
      </w:tr>
      <w:tr>
        <w:trPr>
          <w:trHeight w:val="210"/>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69,105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43,328</w:t>
            </w:r>
          </w:p>
        </w:tc>
      </w:tr>
      <w:tr>
        <w:trPr>
          <w:trHeight w:val="192"/>
        </w:trPr>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4,966,489</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6,506,977</w:t>
            </w:r>
          </w:p>
        </w:tc>
      </w:tr>
      <w:tr>
        <w:trPr>
          <w:trHeight w:val="178"/>
        </w:trPr>
        <w:tc>
          <w:tcPr>
            <w:tcW w:w="2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1,615,435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1,182,153</w:t>
            </w:r>
          </w:p>
        </w:tc>
      </w:tr>
      <w:tr>
        <w:trPr>
          <w:trHeight w:val="198"/>
        </w:trPr>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198,207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161,974</w:t>
            </w:r>
          </w:p>
        </w:tc>
      </w:tr>
      <w:tr>
        <w:trPr>
          <w:trHeight w:val="209"/>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278,055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71,233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30,609</w:t>
            </w:r>
          </w:p>
        </w:tc>
      </w:tr>
      <w:tr>
        <w:trPr>
          <w:trHeight w:val="204"/>
        </w:trPr>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7,129,419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7,881,713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-2324100</wp:posOffset>
            </wp:positionH>
            <wp:positionV relativeFrom="paragraph">
              <wp:posOffset>-1838325</wp:posOffset>
            </wp:positionV>
            <wp:extent cx="7143750"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3335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-1579245</wp:posOffset>
            </wp:positionV>
            <wp:extent cx="7143750" cy="125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-1327785</wp:posOffset>
            </wp:positionV>
            <wp:extent cx="7143750" cy="125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-1076325</wp:posOffset>
            </wp:positionV>
            <wp:extent cx="7143750" cy="125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-816610</wp:posOffset>
            </wp:positionV>
            <wp:extent cx="714375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3335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-549275</wp:posOffset>
            </wp:positionV>
            <wp:extent cx="7143750" cy="125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-297815</wp:posOffset>
            </wp:positionV>
            <wp:extent cx="7143750"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720"/>
            <w:col w:w="7580"/>
          </w:cols>
          <w:pgMar w:left="320" w:top="841"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129,070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41,342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55,550</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Finance lease liabilities, current portion</w:t>
            </w:r>
          </w:p>
        </w:tc>
        <w:tc>
          <w:tcPr>
            <w:tcW w:w="2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4,657</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464,819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4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654,096</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396,101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net of current portion</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Common stock warrant liability</w:t>
            </w:r>
          </w:p>
        </w:tc>
        <w:tc>
          <w:tcPr>
            <w:tcW w:w="2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536,635</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1,394,808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1,989,200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233,725</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3,419,033</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3,972,358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w w:val="97"/>
              </w:rPr>
              <w:t>Preferred stock, par value $0.0001; 10,000,000 shares authorized as of June 30, 2022 and December 31, 2021; no shares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issued and outstanding as of June 30, 2022 and December 31, 2021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Common stock, par value $0.0001; 15,000,000,000 shares authorized as of June 30, 2022 and December 31, 2021;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w w:val="96"/>
              </w:rPr>
              <w:t>1,673,401,436 and 1,648,413,415 shares issued and 1,672,543,611 and 1,647,555,590 shares outstanding as of June 30,</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2022 and December 31, 2021, respectively</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10,099,209</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9,995,778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Treasury stock, at cost, 857,825 shares at June 30, 2022 and December 31, 2021</w:t>
            </w: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(20,716)</w:t>
            </w:r>
          </w:p>
        </w:tc>
        <w:tc>
          <w:tcPr>
            <w:tcW w:w="2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(20,716)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(6,367,583)</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(6,065,872)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3,710,386</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3,909,355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7,129,419</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7,881,713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5"/>
          </w:tcPr>
          <w:p>
            <w:pPr>
              <w:jc w:val="right"/>
              <w:ind w:right="438"/>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155,011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292,342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538,312</w:t>
            </w:r>
          </w:p>
        </w:tc>
        <w:tc>
          <w:tcPr>
            <w:tcW w:w="200" w:type="dxa"/>
            <w:vAlign w:val="bottom"/>
          </w:tcPr>
          <w:p>
            <w:pPr>
              <w:spacing w:after="0"/>
              <w:rPr>
                <w:sz w:val="17"/>
                <w:szCs w:val="17"/>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200,381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386,457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163,812</w:t>
            </w:r>
          </w:p>
        </w:tc>
        <w:tc>
          <w:tcPr>
            <w:tcW w:w="2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72,272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386,971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cost and expenses</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656,535</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249,093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1,311,740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548,199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(559,199)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(248,919)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(1,156,729)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(547,712)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ind w:left="120"/>
              <w:spacing w:after="0"/>
              <w:rPr>
                <w:sz w:val="20"/>
                <w:szCs w:val="20"/>
                <w:color w:val="auto"/>
              </w:rPr>
            </w:pPr>
            <w:r>
              <w:rPr>
                <w:rFonts w:ascii="Arial" w:cs="Arial" w:eastAsia="Arial" w:hAnsi="Arial"/>
                <w:sz w:val="16"/>
                <w:szCs w:val="16"/>
                <w:color w:val="auto"/>
              </w:rPr>
              <w:t>Change in fair value of forward contracts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(12,382)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(454,546)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convertible preferred stock warrant liability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ind w:left="120"/>
              <w:spacing w:after="0"/>
              <w:rPr>
                <w:sz w:val="20"/>
                <w:szCs w:val="20"/>
                <w:color w:val="auto"/>
              </w:rPr>
            </w:pPr>
            <w:r>
              <w:rPr>
                <w:rFonts w:ascii="Arial" w:cs="Arial" w:eastAsia="Arial" w:hAnsi="Arial"/>
                <w:sz w:val="16"/>
                <w:szCs w:val="16"/>
                <w:color w:val="auto"/>
              </w:rPr>
              <w:t>Change in fair value of common stock warrant liability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334,843</w:t>
            </w:r>
          </w:p>
        </w:tc>
        <w:tc>
          <w:tcPr>
            <w:tcW w:w="200" w:type="dxa"/>
            <w:vAlign w:val="bottom"/>
          </w:tcPr>
          <w:p>
            <w:pPr>
              <w:spacing w:after="0"/>
              <w:rPr>
                <w:sz w:val="17"/>
                <w:szCs w:val="17"/>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858,173</w:t>
            </w:r>
          </w:p>
        </w:tc>
        <w:tc>
          <w:tcPr>
            <w:tcW w:w="200" w:type="dxa"/>
            <w:vAlign w:val="bottom"/>
          </w:tcPr>
          <w:p>
            <w:pPr>
              <w:spacing w:after="0"/>
              <w:rPr>
                <w:sz w:val="17"/>
                <w:szCs w:val="17"/>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(7,189)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(14,908)</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11,188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12,144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income (expense), net</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338,842</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855,409</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(220,357)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(261,721)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(301,320)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(1,009,669)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391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(220,425)</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(301,711)</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(1,009,678)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Deemed dividend related to the issuance of Series E convertible preferred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(2,167,332)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 attributable to common stockholders, basic</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(220,425</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(301,711</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(3,177,010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Change in fair value of dilutive warrants</w:t>
            </w: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(334,843</w:t>
            </w:r>
          </w:p>
        </w:tc>
        <w:tc>
          <w:tcPr>
            <w:tcW w:w="220" w:type="dxa"/>
            <w:vAlign w:val="bottom"/>
            <w:shd w:val="clear" w:color="auto" w:fill="CCEEFF"/>
          </w:tcPr>
          <w:p>
            <w:pPr>
              <w:jc w:val="right"/>
              <w:ind w:right="78"/>
              <w:spacing w:after="0" w:line="169" w:lineRule="exact"/>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(858,173</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loss attributable to common stockholders, diluted</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(555,268</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(1,159,884</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(3,177,010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080" w:type="dxa"/>
            <w:vAlign w:val="bottom"/>
          </w:tcPr>
          <w:p>
            <w:pPr>
              <w:spacing w:after="0"/>
              <w:rPr>
                <w:sz w:val="20"/>
                <w:szCs w:val="20"/>
                <w:color w:val="auto"/>
              </w:rPr>
            </w:pPr>
            <w:r>
              <w:rPr>
                <w:rFonts w:ascii="Arial" w:cs="Arial" w:eastAsia="Arial" w:hAnsi="Arial"/>
                <w:sz w:val="16"/>
                <w:szCs w:val="16"/>
                <w:color w:val="auto"/>
                <w:w w:val="95"/>
              </w:rPr>
              <w:t>Weighted average shares outstanding used in computing net loss per share attributable to</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gridSpan w:val="2"/>
          </w:tcPr>
          <w:p>
            <w:pPr>
              <w:spacing w:after="0"/>
              <w:rPr>
                <w:sz w:val="20"/>
                <w:szCs w:val="20"/>
                <w:color w:val="auto"/>
              </w:rPr>
            </w:pPr>
            <w:r>
              <w:rPr>
                <w:rFonts w:ascii="Arial" w:cs="Arial" w:eastAsia="Arial" w:hAnsi="Arial"/>
                <w:sz w:val="16"/>
                <w:szCs w:val="16"/>
                <w:color w:val="auto"/>
              </w:rPr>
              <w:t>common stockholders, basic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w w:val="91"/>
              </w:rPr>
              <w:t>1,669,303,813</w:t>
            </w:r>
          </w:p>
        </w:tc>
        <w:tc>
          <w:tcPr>
            <w:tcW w:w="2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w w:val="97"/>
              </w:rPr>
              <w:t>36,298,508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w w:val="93"/>
              </w:rPr>
              <w:t>1,661,960,471</w:t>
            </w:r>
          </w:p>
        </w:tc>
        <w:tc>
          <w:tcPr>
            <w:tcW w:w="20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6"/>
                <w:szCs w:val="16"/>
                <w:color w:val="auto"/>
                <w:w w:val="97"/>
              </w:rPr>
              <w:t>34,484,767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w w:val="95"/>
              </w:rPr>
              <w:t>Weighted average shares outstanding used in computing net loss per share attributable to</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common stockholders, diluted</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w w:val="91"/>
              </w:rPr>
              <w:t>1,686,815,404</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w w:val="97"/>
              </w:rPr>
              <w:t>36,298,508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93"/>
              </w:rPr>
              <w:t>1,684,328,007</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w w:val="97"/>
              </w:rPr>
              <w:t>34,484,767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per share attributable to common stockholders, basic</w:t>
            </w: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per share attributable to common stockholders, diluted</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Arial" w:cs="Arial" w:eastAsia="Arial" w:hAnsi="Arial"/>
                <w:sz w:val="16"/>
                <w:szCs w:val="16"/>
                <w:color w:val="auto"/>
              </w:rPr>
              <w:t>Net unrealized losses on investments, net of tax</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(691)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(691)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loss</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(221,116)</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(302,402)</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(1,009,678)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ind w:left="120"/>
              <w:spacing w:after="0"/>
              <w:rPr>
                <w:sz w:val="20"/>
                <w:szCs w:val="20"/>
                <w:color w:val="auto"/>
              </w:rPr>
            </w:pPr>
            <w:r>
              <w:rPr>
                <w:rFonts w:ascii="Arial" w:cs="Arial" w:eastAsia="Arial" w:hAnsi="Arial"/>
                <w:sz w:val="16"/>
                <w:szCs w:val="16"/>
                <w:color w:val="auto"/>
              </w:rPr>
              <w:t>Deemed dividend related to the issuance of Series E convertible preferred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(2,167,332)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loss attributable to common stockholders</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(221,116</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(302,402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CONVERTIBLE PREFERRED STOCK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8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14"/>
              <w:spacing w:after="0" w:line="136"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2"/>
              <w:spacing w:after="0" w:line="136"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90"/>
              </w:rPr>
              <w:t>Treasury</w:t>
            </w: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3"/>
              </w:rPr>
              <w:t>Accumulated</w:t>
            </w:r>
          </w:p>
        </w:tc>
        <w:tc>
          <w:tcPr>
            <w:tcW w:w="1000" w:type="dxa"/>
            <w:vAlign w:val="bottom"/>
            <w:gridSpan w:val="3"/>
          </w:tcPr>
          <w:p>
            <w:pPr>
              <w:jc w:val="center"/>
              <w:ind w:right="62"/>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 June 30, 2022</w:t>
            </w:r>
          </w:p>
        </w:tc>
        <w:tc>
          <w:tcPr>
            <w:tcW w:w="1160" w:type="dxa"/>
            <w:vAlign w:val="bottom"/>
            <w:gridSpan w:val="2"/>
          </w:tcPr>
          <w:p>
            <w:pPr>
              <w:ind w:left="200"/>
              <w:spacing w:after="0" w:line="16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4"/>
                <w:szCs w:val="14"/>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85"/>
              </w:rPr>
              <w:t>Loss</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6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March 31, 2022</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1,666,739,708</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4"/>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167</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9,997,176</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(20,716)</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(6,147,158)</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3,829,469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0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42"/>
              <w:spacing w:after="0" w:line="136" w:lineRule="exact"/>
              <w:rPr>
                <w:sz w:val="20"/>
                <w:szCs w:val="20"/>
                <w:color w:val="auto"/>
              </w:rPr>
            </w:pPr>
            <w:r>
              <w:rPr>
                <w:rFonts w:ascii="Arial" w:cs="Arial" w:eastAsia="Arial" w:hAnsi="Arial"/>
                <w:sz w:val="13"/>
                <w:szCs w:val="13"/>
                <w:color w:val="auto"/>
              </w:rPr>
              <w:t>(220,425)</w:t>
            </w:r>
          </w:p>
        </w:tc>
        <w:tc>
          <w:tcPr>
            <w:tcW w:w="140" w:type="dxa"/>
            <w:vAlign w:val="bottom"/>
          </w:tcPr>
          <w:p>
            <w:pPr>
              <w:spacing w:after="0"/>
              <w:rPr>
                <w:sz w:val="11"/>
                <w:szCs w:val="11"/>
                <w:color w:val="auto"/>
              </w:rPr>
            </w:pPr>
          </w:p>
        </w:tc>
        <w:tc>
          <w:tcPr>
            <w:tcW w:w="860" w:type="dxa"/>
            <w:vAlign w:val="bottom"/>
            <w:gridSpan w:val="2"/>
          </w:tcPr>
          <w:p>
            <w:pPr>
              <w:jc w:val="right"/>
              <w:ind w:right="22"/>
              <w:spacing w:after="0" w:line="136" w:lineRule="exact"/>
              <w:rPr>
                <w:sz w:val="20"/>
                <w:szCs w:val="20"/>
                <w:color w:val="auto"/>
              </w:rPr>
            </w:pPr>
            <w:r>
              <w:rPr>
                <w:rFonts w:ascii="Arial" w:cs="Arial" w:eastAsia="Arial" w:hAnsi="Arial"/>
                <w:sz w:val="13"/>
                <w:szCs w:val="13"/>
                <w:color w:val="auto"/>
              </w:rPr>
              <w:t>(220,425)</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Net unrealized losses on investments, net of tax</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(691)</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
              <w:spacing w:after="0" w:line="136" w:lineRule="exact"/>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w w:val="99"/>
              </w:rPr>
              <w:t>Issuance and sale of common stock for tax withholdings of</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employee RSUs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(8,976)</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(8,976)</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w w:val="97"/>
              </w:rPr>
              <w:t>Issuance of common stock upon vesting of employee RSUs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960,651</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w w:val="97"/>
              </w:rPr>
              <w:t>Issuance of common stock under employee stock purchase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plan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751,036</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12,882</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12,882</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common stock upon exercise of stock options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4,092,216</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3,735</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3,735</w:t>
            </w:r>
          </w:p>
        </w:tc>
        <w:tc>
          <w:tcPr>
            <w:tcW w:w="0" w:type="dxa"/>
            <w:vAlign w:val="bottom"/>
          </w:tcPr>
          <w:p>
            <w:pPr>
              <w:spacing w:after="0"/>
              <w:rPr>
                <w:sz w:val="1"/>
                <w:szCs w:val="1"/>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94,392</w:t>
            </w:r>
          </w:p>
        </w:tc>
        <w:tc>
          <w:tcPr>
            <w:tcW w:w="140" w:type="dxa"/>
            <w:vAlign w:val="bottom"/>
          </w:tcPr>
          <w:p>
            <w:pPr>
              <w:spacing w:after="0"/>
              <w:rPr>
                <w:sz w:val="12"/>
                <w:szCs w:val="12"/>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94,392</w:t>
            </w:r>
          </w:p>
        </w:tc>
        <w:tc>
          <w:tcPr>
            <w:tcW w:w="0" w:type="dxa"/>
            <w:vAlign w:val="bottom"/>
          </w:tcPr>
          <w:p>
            <w:pPr>
              <w:spacing w:after="0"/>
              <w:rPr>
                <w:sz w:val="1"/>
                <w:szCs w:val="1"/>
                <w:color w:val="auto"/>
              </w:rPr>
            </w:pPr>
          </w:p>
        </w:tc>
      </w:tr>
      <w:tr>
        <w:trPr>
          <w:trHeight w:val="141"/>
        </w:trPr>
        <w:tc>
          <w:tcPr>
            <w:tcW w:w="3500" w:type="dxa"/>
            <w:vAlign w:val="bottom"/>
            <w:tcBorders>
              <w:top w:val="single" w:sz="8" w:color="CCEEFF"/>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Balance as of June 30, 2022</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1,672,543,611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4"/>
              <w:spacing w:after="0" w:line="141"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167</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10,099,209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(20,716</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(691</w:t>
            </w:r>
          </w:p>
        </w:tc>
        <w:tc>
          <w:tcPr>
            <w:tcW w:w="240" w:type="dxa"/>
            <w:vAlign w:val="bottom"/>
            <w:tcBorders>
              <w:top w:val="single" w:sz="8" w:color="CCEEFF"/>
              <w:bottom w:val="single" w:sz="8" w:color="CCEEFF"/>
            </w:tcBorders>
            <w:shd w:val="clear" w:color="auto" w:fill="CCEEFF"/>
          </w:tcPr>
          <w:p>
            <w:pPr>
              <w:jc w:val="right"/>
              <w:ind w:right="114"/>
              <w:spacing w:after="0" w:line="141" w:lineRule="exact"/>
              <w:rPr>
                <w:sz w:val="20"/>
                <w:szCs w:val="20"/>
                <w:color w:val="auto"/>
              </w:rPr>
            </w:pPr>
            <w:r>
              <w:rPr>
                <w:rFonts w:ascii="Arial" w:cs="Arial" w:eastAsia="Arial" w:hAnsi="Arial"/>
                <w:sz w:val="13"/>
                <w:szCs w:val="13"/>
                <w:b w:val="1"/>
                <w:bCs w:val="1"/>
                <w:color w:val="auto"/>
                <w:w w:val="9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(6,367,583</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3,710,386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20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615"/>
              <w:spacing w:after="0" w:line="144" w:lineRule="exact"/>
              <w:rPr>
                <w:sz w:val="20"/>
                <w:szCs w:val="20"/>
                <w:color w:val="auto"/>
              </w:rPr>
            </w:pPr>
            <w:r>
              <w:rPr>
                <w:rFonts w:ascii="Arial" w:cs="Arial" w:eastAsia="Arial" w:hAnsi="Arial"/>
                <w:sz w:val="13"/>
                <w:szCs w:val="13"/>
                <w:b w:val="1"/>
                <w:bCs w:val="1"/>
                <w:color w:val="auto"/>
                <w:w w:val="92"/>
              </w:rPr>
              <w:t>Convertible</w:t>
            </w: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34"/>
              <w:spacing w:after="0" w:line="144" w:lineRule="exact"/>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2"/>
              <w:spacing w:after="0" w:line="144"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86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 June 30, 2021</w:t>
            </w:r>
          </w:p>
        </w:tc>
        <w:tc>
          <w:tcPr>
            <w:tcW w:w="1160" w:type="dxa"/>
            <w:vAlign w:val="bottom"/>
            <w:gridSpan w:val="2"/>
          </w:tcPr>
          <w:p>
            <w:pPr>
              <w:ind w:left="200"/>
              <w:spacing w:after="0" w:line="16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65" w:lineRule="exact"/>
              <w:rPr>
                <w:sz w:val="20"/>
                <w:szCs w:val="20"/>
                <w:color w:val="auto"/>
              </w:rPr>
            </w:pPr>
            <w:r>
              <w:rPr>
                <w:rFonts w:ascii="Arial" w:cs="Arial" w:eastAsia="Arial" w:hAnsi="Arial"/>
                <w:sz w:val="12"/>
                <w:szCs w:val="12"/>
                <w:b w:val="1"/>
                <w:bCs w:val="1"/>
                <w:color w:val="auto"/>
                <w:w w:val="93"/>
              </w:rPr>
              <w:t>Shares</w:t>
            </w:r>
            <w:r>
              <w:rPr>
                <w:rFonts w:ascii="Arial" w:cs="Arial" w:eastAsia="Arial" w:hAnsi="Arial"/>
                <w:sz w:val="19"/>
                <w:szCs w:val="19"/>
                <w:b w:val="1"/>
                <w:bCs w:val="1"/>
                <w:color w:val="auto"/>
                <w:w w:val="93"/>
                <w:vertAlign w:val="superscript"/>
              </w:rPr>
              <w:t>(1)</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4"/>
                <w:szCs w:val="14"/>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6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29"/>
        </w:trPr>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March 31, 2021</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1,088,999,959</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4"/>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4,454,811</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35,689,218</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6,196</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(4,234,062)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(4,227,863)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0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42"/>
              <w:spacing w:after="0" w:line="136" w:lineRule="exact"/>
              <w:rPr>
                <w:sz w:val="20"/>
                <w:szCs w:val="20"/>
                <w:color w:val="auto"/>
              </w:rPr>
            </w:pPr>
            <w:r>
              <w:rPr>
                <w:rFonts w:ascii="Arial" w:cs="Arial" w:eastAsia="Arial" w:hAnsi="Arial"/>
                <w:sz w:val="13"/>
                <w:szCs w:val="13"/>
                <w:color w:val="auto"/>
              </w:rPr>
              <w:t>(261,726)</w:t>
            </w:r>
          </w:p>
        </w:tc>
        <w:tc>
          <w:tcPr>
            <w:tcW w:w="140" w:type="dxa"/>
            <w:vAlign w:val="bottom"/>
          </w:tcPr>
          <w:p>
            <w:pPr>
              <w:spacing w:after="0"/>
              <w:rPr>
                <w:sz w:val="11"/>
                <w:szCs w:val="11"/>
                <w:color w:val="auto"/>
              </w:rPr>
            </w:pPr>
          </w:p>
        </w:tc>
        <w:tc>
          <w:tcPr>
            <w:tcW w:w="860" w:type="dxa"/>
            <w:vAlign w:val="bottom"/>
            <w:gridSpan w:val="2"/>
          </w:tcPr>
          <w:p>
            <w:pPr>
              <w:jc w:val="right"/>
              <w:ind w:right="22"/>
              <w:spacing w:after="0" w:line="136" w:lineRule="exact"/>
              <w:rPr>
                <w:sz w:val="20"/>
                <w:szCs w:val="20"/>
                <w:color w:val="auto"/>
              </w:rPr>
            </w:pPr>
            <w:r>
              <w:rPr>
                <w:rFonts w:ascii="Arial" w:cs="Arial" w:eastAsia="Arial" w:hAnsi="Arial"/>
                <w:sz w:val="13"/>
                <w:szCs w:val="13"/>
                <w:color w:val="auto"/>
              </w:rPr>
              <w:t>(261,726)</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Series E convertible preferred stock</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66,909,408</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1,361,273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15,719</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15,719</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rPr>
              <w:t>Stock-based compensation related to Series E convertible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preferred stock</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20,701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common stock upon exercise of stock options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1,109,932</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950</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3,748</w:t>
            </w:r>
          </w:p>
        </w:tc>
        <w:tc>
          <w:tcPr>
            <w:tcW w:w="60" w:type="dxa"/>
            <w:vAlign w:val="bottom"/>
          </w:tcPr>
          <w:p>
            <w:pPr>
              <w:spacing w:after="0"/>
              <w:rPr>
                <w:sz w:val="12"/>
                <w:szCs w:val="12"/>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3,748</w:t>
            </w:r>
          </w:p>
        </w:tc>
        <w:tc>
          <w:tcPr>
            <w:tcW w:w="0" w:type="dxa"/>
            <w:vAlign w:val="bottom"/>
          </w:tcPr>
          <w:p>
            <w:pPr>
              <w:spacing w:after="0"/>
              <w:rPr>
                <w:sz w:val="1"/>
                <w:szCs w:val="1"/>
                <w:color w:val="auto"/>
              </w:rPr>
            </w:pPr>
          </w:p>
        </w:tc>
      </w:tr>
      <w:tr>
        <w:trPr>
          <w:trHeight w:val="141"/>
        </w:trPr>
        <w:tc>
          <w:tcPr>
            <w:tcW w:w="3500" w:type="dxa"/>
            <w:vAlign w:val="bottom"/>
            <w:tcBorders>
              <w:top w:val="single" w:sz="8" w:color="CCEEFF"/>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Balance as of June 30, 2021</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1,155,909,367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4"/>
              <w:spacing w:after="0" w:line="141"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5,836,785</w:t>
            </w:r>
          </w:p>
        </w:tc>
        <w:tc>
          <w:tcPr>
            <w:tcW w:w="1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36,799,150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26,613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(4,495,788</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(4,469,172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37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77" w:lineRule="exact"/>
        <w:rPr>
          <w:sz w:val="20"/>
          <w:szCs w:val="20"/>
          <w:color w:val="auto"/>
        </w:rPr>
      </w:pPr>
    </w:p>
    <w:p>
      <w:pPr>
        <w:ind w:left="1" w:right="180" w:hanging="1"/>
        <w:spacing w:after="0" w:line="233" w:lineRule="auto"/>
        <w:tabs>
          <w:tab w:leader="none" w:pos="196"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The number of shares of convertible preferred stock and common stock issued and outstanding prior to the Merger have been retroactively adjusted by the Exchange Ratio to give effect to the reverse recapitalization treatment of the Merger. See Note 1 “Description of Business” and Note 3 “Reverse Capitalization” for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37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CONVERTIBLE PREFERRED STOCK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STOCKHOLDERS’ EQUITY (DEFICIT) -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8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14"/>
              <w:spacing w:after="0" w:line="136"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2"/>
              <w:spacing w:after="0" w:line="136"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90"/>
              </w:rPr>
              <w:t>Treasury</w:t>
            </w: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3"/>
              </w:rPr>
              <w:t>Accumulated</w:t>
            </w:r>
          </w:p>
        </w:tc>
        <w:tc>
          <w:tcPr>
            <w:tcW w:w="1000" w:type="dxa"/>
            <w:vAlign w:val="bottom"/>
            <w:gridSpan w:val="3"/>
          </w:tcPr>
          <w:p>
            <w:pPr>
              <w:jc w:val="center"/>
              <w:ind w:right="62"/>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Six Months Ended June 30, 2022</w:t>
            </w:r>
          </w:p>
        </w:tc>
        <w:tc>
          <w:tcPr>
            <w:tcW w:w="1160" w:type="dxa"/>
            <w:vAlign w:val="bottom"/>
            <w:gridSpan w:val="2"/>
          </w:tcPr>
          <w:p>
            <w:pPr>
              <w:jc w:val="right"/>
              <w:ind w:right="440"/>
              <w:spacing w:after="0" w:line="16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4"/>
                <w:szCs w:val="14"/>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85"/>
              </w:rPr>
              <w:t>Loss</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6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January 1, 2022</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1,647,555,590</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4"/>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165</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9,995,778</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(20,716)</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(6,065,872)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3,909,355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0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42"/>
              <w:spacing w:after="0" w:line="136" w:lineRule="exact"/>
              <w:rPr>
                <w:sz w:val="20"/>
                <w:szCs w:val="20"/>
                <w:color w:val="auto"/>
              </w:rPr>
            </w:pPr>
            <w:r>
              <w:rPr>
                <w:rFonts w:ascii="Arial" w:cs="Arial" w:eastAsia="Arial" w:hAnsi="Arial"/>
                <w:sz w:val="13"/>
                <w:szCs w:val="13"/>
                <w:color w:val="auto"/>
              </w:rPr>
              <w:t>(301,711)</w:t>
            </w:r>
          </w:p>
        </w:tc>
        <w:tc>
          <w:tcPr>
            <w:tcW w:w="140" w:type="dxa"/>
            <w:vAlign w:val="bottom"/>
          </w:tcPr>
          <w:p>
            <w:pPr>
              <w:spacing w:after="0"/>
              <w:rPr>
                <w:sz w:val="11"/>
                <w:szCs w:val="11"/>
                <w:color w:val="auto"/>
              </w:rPr>
            </w:pPr>
          </w:p>
        </w:tc>
        <w:tc>
          <w:tcPr>
            <w:tcW w:w="860" w:type="dxa"/>
            <w:vAlign w:val="bottom"/>
            <w:gridSpan w:val="2"/>
          </w:tcPr>
          <w:p>
            <w:pPr>
              <w:jc w:val="right"/>
              <w:ind w:right="22"/>
              <w:spacing w:after="0" w:line="136" w:lineRule="exact"/>
              <w:rPr>
                <w:sz w:val="20"/>
                <w:szCs w:val="20"/>
                <w:color w:val="auto"/>
              </w:rPr>
            </w:pPr>
            <w:r>
              <w:rPr>
                <w:rFonts w:ascii="Arial" w:cs="Arial" w:eastAsia="Arial" w:hAnsi="Arial"/>
                <w:sz w:val="13"/>
                <w:szCs w:val="13"/>
                <w:color w:val="auto"/>
              </w:rPr>
              <w:t>(301,711)</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Net unrealized losses on investments, net of tax</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(691)</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
              <w:spacing w:after="0" w:line="136" w:lineRule="exact"/>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w w:val="99"/>
              </w:rPr>
              <w:t>Issuance and sale of common stock for tax withholdings of</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employee RSUs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(191,241)</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2"/>
              <w:spacing w:after="0"/>
              <w:rPr>
                <w:sz w:val="20"/>
                <w:szCs w:val="20"/>
                <w:color w:val="auto"/>
              </w:rPr>
            </w:pPr>
            <w:r>
              <w:rPr>
                <w:rFonts w:ascii="Arial" w:cs="Arial" w:eastAsia="Arial" w:hAnsi="Arial"/>
                <w:sz w:val="13"/>
                <w:szCs w:val="13"/>
                <w:color w:val="auto"/>
              </w:rPr>
              <w:t>(191,241)</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w w:val="97"/>
              </w:rPr>
              <w:t>Issuance of common stock upon vesting of employee RSUs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8,041,659</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w w:val="97"/>
              </w:rPr>
              <w:t>Issuance of common stock under employee stock purchase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plan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751,036</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12,882</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12,882</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common stock upon exercise of stock options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16,195,326</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12,848</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12,849</w:t>
            </w:r>
          </w:p>
        </w:tc>
        <w:tc>
          <w:tcPr>
            <w:tcW w:w="0" w:type="dxa"/>
            <w:vAlign w:val="bottom"/>
          </w:tcPr>
          <w:p>
            <w:pPr>
              <w:spacing w:after="0"/>
              <w:rPr>
                <w:sz w:val="1"/>
                <w:szCs w:val="1"/>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268,943</w:t>
            </w:r>
          </w:p>
        </w:tc>
        <w:tc>
          <w:tcPr>
            <w:tcW w:w="140" w:type="dxa"/>
            <w:vAlign w:val="bottom"/>
          </w:tcPr>
          <w:p>
            <w:pPr>
              <w:spacing w:after="0"/>
              <w:rPr>
                <w:sz w:val="12"/>
                <w:szCs w:val="12"/>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268,943</w:t>
            </w:r>
          </w:p>
        </w:tc>
        <w:tc>
          <w:tcPr>
            <w:tcW w:w="0" w:type="dxa"/>
            <w:vAlign w:val="bottom"/>
          </w:tcPr>
          <w:p>
            <w:pPr>
              <w:spacing w:after="0"/>
              <w:rPr>
                <w:sz w:val="1"/>
                <w:szCs w:val="1"/>
                <w:color w:val="auto"/>
              </w:rPr>
            </w:pPr>
          </w:p>
        </w:tc>
      </w:tr>
      <w:tr>
        <w:trPr>
          <w:trHeight w:val="141"/>
        </w:trPr>
        <w:tc>
          <w:tcPr>
            <w:tcW w:w="3500" w:type="dxa"/>
            <w:vAlign w:val="bottom"/>
            <w:tcBorders>
              <w:top w:val="single" w:sz="8" w:color="CCEEFF"/>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Balance as of June 30, 2022</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1,672,543,611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4"/>
              <w:spacing w:after="0" w:line="141"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167</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10,099,209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(20,716</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(691</w:t>
            </w:r>
          </w:p>
        </w:tc>
        <w:tc>
          <w:tcPr>
            <w:tcW w:w="240" w:type="dxa"/>
            <w:vAlign w:val="bottom"/>
            <w:tcBorders>
              <w:top w:val="single" w:sz="8" w:color="CCEEFF"/>
              <w:bottom w:val="single" w:sz="8" w:color="CCEEFF"/>
            </w:tcBorders>
            <w:shd w:val="clear" w:color="auto" w:fill="CCEEFF"/>
          </w:tcPr>
          <w:p>
            <w:pPr>
              <w:jc w:val="right"/>
              <w:ind w:right="114"/>
              <w:spacing w:after="0" w:line="141" w:lineRule="exact"/>
              <w:rPr>
                <w:sz w:val="20"/>
                <w:szCs w:val="20"/>
                <w:color w:val="auto"/>
              </w:rPr>
            </w:pPr>
            <w:r>
              <w:rPr>
                <w:rFonts w:ascii="Arial" w:cs="Arial" w:eastAsia="Arial" w:hAnsi="Arial"/>
                <w:sz w:val="13"/>
                <w:szCs w:val="13"/>
                <w:b w:val="1"/>
                <w:bCs w:val="1"/>
                <w:color w:val="auto"/>
                <w:w w:val="9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(6,367,583</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3,710,386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20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614"/>
              <w:spacing w:after="0" w:line="144" w:lineRule="exact"/>
              <w:rPr>
                <w:sz w:val="20"/>
                <w:szCs w:val="20"/>
                <w:color w:val="auto"/>
              </w:rPr>
            </w:pPr>
            <w:r>
              <w:rPr>
                <w:rFonts w:ascii="Arial" w:cs="Arial" w:eastAsia="Arial" w:hAnsi="Arial"/>
                <w:sz w:val="13"/>
                <w:szCs w:val="13"/>
                <w:b w:val="1"/>
                <w:bCs w:val="1"/>
                <w:color w:val="auto"/>
                <w:w w:val="92"/>
              </w:rPr>
              <w:t>Convertible</w:t>
            </w: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34"/>
              <w:spacing w:after="0" w:line="144" w:lineRule="exact"/>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2"/>
              <w:spacing w:after="0" w:line="144"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86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Six Months Ended June 30, 2021</w:t>
            </w:r>
          </w:p>
        </w:tc>
        <w:tc>
          <w:tcPr>
            <w:tcW w:w="1160" w:type="dxa"/>
            <w:vAlign w:val="bottom"/>
            <w:gridSpan w:val="2"/>
          </w:tcPr>
          <w:p>
            <w:pPr>
              <w:jc w:val="right"/>
              <w:ind w:right="440"/>
              <w:spacing w:after="0" w:line="16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line="165" w:lineRule="exact"/>
              <w:rPr>
                <w:sz w:val="20"/>
                <w:szCs w:val="20"/>
                <w:color w:val="auto"/>
              </w:rPr>
            </w:pPr>
            <w:r>
              <w:rPr>
                <w:rFonts w:ascii="Arial" w:cs="Arial" w:eastAsia="Arial" w:hAnsi="Arial"/>
                <w:sz w:val="12"/>
                <w:szCs w:val="12"/>
                <w:b w:val="1"/>
                <w:bCs w:val="1"/>
                <w:color w:val="auto"/>
                <w:w w:val="93"/>
              </w:rPr>
              <w:t>Shares</w:t>
            </w:r>
            <w:r>
              <w:rPr>
                <w:rFonts w:ascii="Arial" w:cs="Arial" w:eastAsia="Arial" w:hAnsi="Arial"/>
                <w:sz w:val="19"/>
                <w:szCs w:val="19"/>
                <w:b w:val="1"/>
                <w:bCs w:val="1"/>
                <w:color w:val="auto"/>
                <w:w w:val="93"/>
                <w:vertAlign w:val="superscript"/>
              </w:rPr>
              <w:t>(1)</w:t>
            </w:r>
          </w:p>
        </w:tc>
        <w:tc>
          <w:tcPr>
            <w:tcW w:w="140" w:type="dxa"/>
            <w:vAlign w:val="bottom"/>
          </w:tcPr>
          <w:p>
            <w:pPr>
              <w:spacing w:after="0"/>
              <w:rPr>
                <w:sz w:val="14"/>
                <w:szCs w:val="14"/>
                <w:color w:val="auto"/>
              </w:rPr>
            </w:pPr>
          </w:p>
        </w:tc>
        <w:tc>
          <w:tcPr>
            <w:tcW w:w="98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4"/>
                <w:szCs w:val="14"/>
                <w:color w:val="auto"/>
              </w:rPr>
            </w:pPr>
          </w:p>
        </w:tc>
        <w:tc>
          <w:tcPr>
            <w:tcW w:w="1060" w:type="dxa"/>
            <w:vAlign w:val="bottom"/>
            <w:gridSpan w:val="2"/>
          </w:tcPr>
          <w:p>
            <w:pPr>
              <w:jc w:val="center"/>
              <w:ind w:right="214"/>
              <w:spacing w:after="0"/>
              <w:rPr>
                <w:sz w:val="20"/>
                <w:szCs w:val="20"/>
                <w:color w:val="auto"/>
              </w:rPr>
            </w:pPr>
            <w:r>
              <w:rPr>
                <w:rFonts w:ascii="Arial" w:cs="Arial" w:eastAsia="Arial" w:hAnsi="Arial"/>
                <w:sz w:val="13"/>
                <w:szCs w:val="13"/>
                <w:b w:val="1"/>
                <w:bCs w:val="1"/>
                <w:color w:val="auto"/>
                <w:w w:val="96"/>
              </w:rPr>
              <w:t>Capital</w:t>
            </w:r>
          </w:p>
        </w:tc>
        <w:tc>
          <w:tcPr>
            <w:tcW w:w="60" w:type="dxa"/>
            <w:vAlign w:val="bottom"/>
          </w:tcPr>
          <w:p>
            <w:pPr>
              <w:spacing w:after="0"/>
              <w:rPr>
                <w:sz w:val="14"/>
                <w:szCs w:val="14"/>
                <w:color w:val="auto"/>
              </w:rPr>
            </w:pPr>
          </w:p>
        </w:tc>
        <w:tc>
          <w:tcPr>
            <w:tcW w:w="1040" w:type="dxa"/>
            <w:vAlign w:val="bottom"/>
            <w:gridSpan w:val="2"/>
          </w:tcPr>
          <w:p>
            <w:pPr>
              <w:jc w:val="center"/>
              <w:ind w:right="242"/>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6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29"/>
        </w:trPr>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January 1, 2021</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957,159,704</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4"/>
              <w:spacing w:after="0" w:line="129"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2,494,076</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28,791,702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38,113</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(1,356,893)</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(1,318,777)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0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60" w:type="dxa"/>
            <w:vAlign w:val="bottom"/>
            <w:gridSpan w:val="2"/>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42"/>
              <w:spacing w:after="0" w:line="136" w:lineRule="exact"/>
              <w:rPr>
                <w:sz w:val="20"/>
                <w:szCs w:val="20"/>
                <w:color w:val="auto"/>
              </w:rPr>
            </w:pPr>
            <w:r>
              <w:rPr>
                <w:rFonts w:ascii="Arial" w:cs="Arial" w:eastAsia="Arial" w:hAnsi="Arial"/>
                <w:sz w:val="13"/>
                <w:szCs w:val="13"/>
                <w:color w:val="auto"/>
              </w:rPr>
              <w:t>(1,009,678)</w:t>
            </w:r>
          </w:p>
        </w:tc>
        <w:tc>
          <w:tcPr>
            <w:tcW w:w="140" w:type="dxa"/>
            <w:vAlign w:val="bottom"/>
          </w:tcPr>
          <w:p>
            <w:pPr>
              <w:spacing w:after="0"/>
              <w:rPr>
                <w:sz w:val="11"/>
                <w:szCs w:val="11"/>
                <w:color w:val="auto"/>
              </w:rPr>
            </w:pPr>
          </w:p>
        </w:tc>
        <w:tc>
          <w:tcPr>
            <w:tcW w:w="860" w:type="dxa"/>
            <w:vAlign w:val="bottom"/>
            <w:gridSpan w:val="2"/>
          </w:tcPr>
          <w:p>
            <w:pPr>
              <w:jc w:val="right"/>
              <w:ind w:right="22"/>
              <w:spacing w:after="0" w:line="136" w:lineRule="exact"/>
              <w:rPr>
                <w:sz w:val="20"/>
                <w:szCs w:val="20"/>
                <w:color w:val="auto"/>
              </w:rPr>
            </w:pPr>
            <w:r>
              <w:rPr>
                <w:rFonts w:ascii="Arial" w:cs="Arial" w:eastAsia="Arial" w:hAnsi="Arial"/>
                <w:sz w:val="13"/>
                <w:szCs w:val="13"/>
                <w:color w:val="auto"/>
              </w:rPr>
              <w:t>(1,009,678)</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Repurchase of Series B convertible preferred stock</w:t>
            </w:r>
          </w:p>
        </w:tc>
        <w:tc>
          <w:tcPr>
            <w:tcW w:w="11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rPr>
              <w:t>(3,525,365)</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rPr>
              <w:t>Issuance of Series D convertible preferred stock upon</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exercise of warrants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1,546,799</w:t>
            </w:r>
          </w:p>
        </w:tc>
        <w:tc>
          <w:tcPr>
            <w:tcW w:w="22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12,936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Series E convertible preferred stock</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200,728,229</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3,206,159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(22,396)</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2"/>
              <w:spacing w:after="0" w:line="136" w:lineRule="exact"/>
              <w:rPr>
                <w:sz w:val="20"/>
                <w:szCs w:val="20"/>
                <w:color w:val="auto"/>
              </w:rPr>
            </w:pPr>
            <w:r>
              <w:rPr>
                <w:rFonts w:ascii="Arial" w:cs="Arial" w:eastAsia="Arial" w:hAnsi="Arial"/>
                <w:sz w:val="13"/>
                <w:szCs w:val="13"/>
                <w:color w:val="auto"/>
              </w:rPr>
              <w:t>(2,129,217)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
              <w:spacing w:after="0" w:line="136" w:lineRule="exact"/>
              <w:rPr>
                <w:sz w:val="20"/>
                <w:szCs w:val="20"/>
                <w:color w:val="auto"/>
              </w:rPr>
            </w:pPr>
            <w:r>
              <w:rPr>
                <w:rFonts w:ascii="Arial" w:cs="Arial" w:eastAsia="Arial" w:hAnsi="Arial"/>
                <w:sz w:val="13"/>
                <w:szCs w:val="13"/>
                <w:color w:val="auto"/>
              </w:rPr>
              <w:t>(2,151,613)</w:t>
            </w:r>
          </w:p>
        </w:tc>
        <w:tc>
          <w:tcPr>
            <w:tcW w:w="0" w:type="dxa"/>
            <w:vAlign w:val="bottom"/>
          </w:tcPr>
          <w:p>
            <w:pPr>
              <w:spacing w:after="0"/>
              <w:rPr>
                <w:sz w:val="1"/>
                <w:szCs w:val="1"/>
                <w:color w:val="auto"/>
              </w:rPr>
            </w:pPr>
          </w:p>
        </w:tc>
      </w:tr>
      <w:tr>
        <w:trPr>
          <w:trHeight w:val="120"/>
        </w:trPr>
        <w:tc>
          <w:tcPr>
            <w:tcW w:w="3500" w:type="dxa"/>
            <w:vAlign w:val="bottom"/>
            <w:gridSpan w:val="2"/>
          </w:tcPr>
          <w:p>
            <w:pPr>
              <w:ind w:left="140"/>
              <w:spacing w:after="0" w:line="120" w:lineRule="exact"/>
              <w:rPr>
                <w:sz w:val="20"/>
                <w:szCs w:val="20"/>
                <w:color w:val="auto"/>
              </w:rPr>
            </w:pPr>
            <w:r>
              <w:rPr>
                <w:rFonts w:ascii="Arial" w:cs="Arial" w:eastAsia="Arial" w:hAnsi="Arial"/>
                <w:sz w:val="13"/>
                <w:szCs w:val="13"/>
                <w:color w:val="auto"/>
              </w:rPr>
              <w:t>Stock-based compensation related to Series E convertible</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preferred stock</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123,614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3"/>
                <w:szCs w:val="13"/>
                <w:color w:val="auto"/>
              </w:rPr>
              <w:t>Issuance of common stock upon exercise of stock options</w:t>
            </w:r>
          </w:p>
        </w:tc>
        <w:tc>
          <w:tcPr>
            <w:tcW w:w="11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8,007,448</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54"/>
              <w:spacing w:after="0" w:line="136" w:lineRule="exact"/>
              <w:rPr>
                <w:sz w:val="20"/>
                <w:szCs w:val="20"/>
                <w:color w:val="auto"/>
              </w:rPr>
            </w:pPr>
            <w:r>
              <w:rPr>
                <w:rFonts w:ascii="Arial" w:cs="Arial" w:eastAsia="Arial" w:hAnsi="Arial"/>
                <w:sz w:val="13"/>
                <w:szCs w:val="13"/>
                <w:color w:val="auto"/>
              </w:rPr>
              <w:t>5,266</w:t>
            </w: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2"/>
              <w:spacing w:after="0" w:line="136" w:lineRule="exact"/>
              <w:rPr>
                <w:sz w:val="20"/>
                <w:szCs w:val="20"/>
                <w:color w:val="auto"/>
              </w:rPr>
            </w:pPr>
            <w:r>
              <w:rPr>
                <w:rFonts w:ascii="Arial" w:cs="Arial" w:eastAsia="Arial" w:hAnsi="Arial"/>
                <w:sz w:val="13"/>
                <w:szCs w:val="13"/>
                <w:color w:val="auto"/>
              </w:rPr>
              <w:t>5,266</w:t>
            </w:r>
          </w:p>
        </w:tc>
        <w:tc>
          <w:tcPr>
            <w:tcW w:w="0" w:type="dxa"/>
            <w:vAlign w:val="bottom"/>
          </w:tcPr>
          <w:p>
            <w:pPr>
              <w:spacing w:after="0"/>
              <w:rPr>
                <w:sz w:val="1"/>
                <w:szCs w:val="1"/>
                <w:color w:val="auto"/>
              </w:rPr>
            </w:pPr>
          </w:p>
        </w:tc>
      </w:tr>
      <w:tr>
        <w:trPr>
          <w:trHeight w:val="149"/>
        </w:trPr>
        <w:tc>
          <w:tcPr>
            <w:tcW w:w="3500" w:type="dxa"/>
            <w:vAlign w:val="bottom"/>
            <w:gridSpan w:val="2"/>
          </w:tcPr>
          <w:p>
            <w:pPr>
              <w:ind w:left="140"/>
              <w:spacing w:after="0"/>
              <w:rPr>
                <w:sz w:val="20"/>
                <w:szCs w:val="20"/>
                <w:color w:val="auto"/>
              </w:rPr>
            </w:pPr>
            <w:r>
              <w:rPr>
                <w:rFonts w:ascii="Arial" w:cs="Arial" w:eastAsia="Arial" w:hAnsi="Arial"/>
                <w:sz w:val="13"/>
                <w:szCs w:val="13"/>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54"/>
              <w:spacing w:after="0"/>
              <w:rPr>
                <w:sz w:val="20"/>
                <w:szCs w:val="20"/>
                <w:color w:val="auto"/>
              </w:rPr>
            </w:pPr>
            <w:r>
              <w:rPr>
                <w:rFonts w:ascii="Arial" w:cs="Arial" w:eastAsia="Arial" w:hAnsi="Arial"/>
                <w:sz w:val="13"/>
                <w:szCs w:val="13"/>
                <w:color w:val="auto"/>
              </w:rPr>
              <w:t>5,630</w:t>
            </w:r>
          </w:p>
        </w:tc>
        <w:tc>
          <w:tcPr>
            <w:tcW w:w="60" w:type="dxa"/>
            <w:vAlign w:val="bottom"/>
          </w:tcPr>
          <w:p>
            <w:pPr>
              <w:spacing w:after="0"/>
              <w:rPr>
                <w:sz w:val="12"/>
                <w:szCs w:val="12"/>
                <w:color w:val="auto"/>
              </w:rPr>
            </w:pPr>
          </w:p>
        </w:tc>
        <w:tc>
          <w:tcPr>
            <w:tcW w:w="104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3"/>
                <w:szCs w:val="13"/>
                <w:color w:val="auto"/>
              </w:rPr>
              <w:t>5,630</w:t>
            </w:r>
          </w:p>
        </w:tc>
        <w:tc>
          <w:tcPr>
            <w:tcW w:w="0" w:type="dxa"/>
            <w:vAlign w:val="bottom"/>
          </w:tcPr>
          <w:p>
            <w:pPr>
              <w:spacing w:after="0"/>
              <w:rPr>
                <w:sz w:val="1"/>
                <w:szCs w:val="1"/>
                <w:color w:val="auto"/>
              </w:rPr>
            </w:pPr>
          </w:p>
        </w:tc>
      </w:tr>
      <w:tr>
        <w:trPr>
          <w:trHeight w:val="141"/>
        </w:trPr>
        <w:tc>
          <w:tcPr>
            <w:tcW w:w="3500" w:type="dxa"/>
            <w:vAlign w:val="bottom"/>
            <w:tcBorders>
              <w:top w:val="single" w:sz="8" w:color="CCEEFF"/>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Balance as of June 30, 2021</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1,155,909,367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74"/>
              <w:spacing w:after="0" w:line="141"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5,836,785</w:t>
            </w:r>
          </w:p>
        </w:tc>
        <w:tc>
          <w:tcPr>
            <w:tcW w:w="1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36,799,150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26,613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(4,495,788</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(4,469,172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837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77" w:lineRule="exact"/>
        <w:rPr>
          <w:sz w:val="20"/>
          <w:szCs w:val="20"/>
          <w:color w:val="auto"/>
        </w:rPr>
      </w:pPr>
    </w:p>
    <w:p>
      <w:pPr>
        <w:jc w:val="center"/>
        <w:ind w:left="1" w:hanging="1"/>
        <w:spacing w:after="0" w:line="217" w:lineRule="auto"/>
        <w:tabs>
          <w:tab w:leader="none" w:pos="196"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37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right"/>
              <w:ind w:right="718"/>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8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4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r>
      <w:tr>
        <w:trPr>
          <w:trHeight w:val="190"/>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(301,711)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(1,009,678)</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80,690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11,738</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insurance premium</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14,924</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Non-cash operating lease cost</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8,952</w:t>
            </w:r>
          </w:p>
        </w:tc>
        <w:tc>
          <w:tcPr>
            <w:tcW w:w="3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13,502</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268,943</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Amortization of debt discounts and issuance costs</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2,409</w:t>
            </w:r>
          </w:p>
        </w:tc>
        <w:tc>
          <w:tcPr>
            <w:tcW w:w="3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 write-downs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178,057</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Change in fair value of contingent forward contract liability</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454,546</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preferred stock warrant liability</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Change in fair value of common stock warrant liability</w:t>
            </w:r>
          </w:p>
        </w:tc>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(858,173)</w:t>
            </w:r>
          </w:p>
        </w:tc>
        <w:tc>
          <w:tcPr>
            <w:tcW w:w="3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items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1,608</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(603,852)</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(27,181)</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6,459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(22,183)</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(32,199)</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(2,380)</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(27,556)</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(3,870)</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49,596</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(11,871)</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23,186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Operating lease liability</w:t>
            </w:r>
          </w:p>
        </w:tc>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(6,944)</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(7,742)</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179,544</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633</w:t>
            </w:r>
          </w:p>
        </w:tc>
      </w:tr>
      <w:tr>
        <w:trPr>
          <w:trHeight w:val="210"/>
        </w:trPr>
        <w:tc>
          <w:tcPr>
            <w:tcW w:w="846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8"/>
                <w:szCs w:val="18"/>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7,795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3,889</w:t>
            </w:r>
          </w:p>
        </w:tc>
        <w:tc>
          <w:tcPr>
            <w:tcW w:w="100" w:type="dxa"/>
            <w:vAlign w:val="bottom"/>
          </w:tcPr>
          <w:p>
            <w:pPr>
              <w:spacing w:after="0"/>
              <w:rPr>
                <w:sz w:val="18"/>
                <w:szCs w:val="18"/>
                <w:color w:val="auto"/>
              </w:rPr>
            </w:pPr>
          </w:p>
        </w:tc>
      </w:tr>
      <w:tr>
        <w:trPr>
          <w:trHeight w:val="191"/>
        </w:trPr>
        <w:tc>
          <w:tcPr>
            <w:tcW w:w="84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(1,008,277</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0"/>
        </w:trPr>
        <w:tc>
          <w:tcPr>
            <w:tcW w:w="84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(494,900)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(206,533)</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Proceed from sale of property, plant and equipment</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r>
      <w:tr>
        <w:trPr>
          <w:trHeight w:val="210"/>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(1,419,223)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0"/>
        </w:trPr>
        <w:tc>
          <w:tcPr>
            <w:tcW w:w="84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(1,914,123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(206,514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0"/>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Payment for short-term insurance financing note</w:t>
            </w:r>
          </w:p>
        </w:tc>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(15,330)</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(2,747)</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finance lease liabilities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(2,401)</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(1,364)</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Proceeds from short-term insurance financing note</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10,950</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6,663</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Repurchase of Series B convertible preferred stock</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Series D convertible preferred stock</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Proceeds from issuance of Series E convertible preferred stock</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12,849</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17"/>
                <w:szCs w:val="17"/>
                <w:color w:val="auto"/>
              </w:rPr>
            </w:pPr>
          </w:p>
        </w:tc>
        <w:tc>
          <w:tcPr>
            <w:tcW w:w="1200" w:type="dxa"/>
            <w:vAlign w:val="bottom"/>
            <w:gridSpan w:val="2"/>
          </w:tcPr>
          <w:p>
            <w:pPr>
              <w:jc w:val="right"/>
              <w:ind w:right="158"/>
              <w:spacing w:after="0"/>
              <w:rPr>
                <w:sz w:val="20"/>
                <w:szCs w:val="20"/>
                <w:color w:val="auto"/>
              </w:rPr>
            </w:pPr>
            <w:r>
              <w:rPr>
                <w:rFonts w:ascii="Arial" w:cs="Arial" w:eastAsia="Arial" w:hAnsi="Arial"/>
                <w:sz w:val="16"/>
                <w:szCs w:val="16"/>
                <w:color w:val="auto"/>
              </w:rPr>
              <w:t>12,882</w:t>
            </w:r>
          </w:p>
        </w:tc>
        <w:tc>
          <w:tcPr>
            <w:tcW w:w="30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 from employees for tax withholdings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(191,241)</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10"/>
        </w:trPr>
        <w:tc>
          <w:tcPr>
            <w:tcW w:w="8460" w:type="dxa"/>
            <w:vAlign w:val="bottom"/>
          </w:tcPr>
          <w:p>
            <w:pPr>
              <w:ind w:left="140"/>
              <w:spacing w:after="0"/>
              <w:rPr>
                <w:sz w:val="20"/>
                <w:szCs w:val="20"/>
                <w:color w:val="auto"/>
              </w:rPr>
            </w:pPr>
            <w:r>
              <w:rPr>
                <w:rFonts w:ascii="Arial" w:cs="Arial" w:eastAsia="Arial" w:hAnsi="Arial"/>
                <w:sz w:val="16"/>
                <w:szCs w:val="16"/>
                <w:color w:val="auto"/>
              </w:rPr>
              <w:t>Payment for credit facility issuance costs</w:t>
            </w:r>
          </w:p>
        </w:tc>
        <w:tc>
          <w:tcPr>
            <w:tcW w:w="260" w:type="dxa"/>
            <w:vAlign w:val="bottom"/>
          </w:tcPr>
          <w:p>
            <w:pPr>
              <w:spacing w:after="0"/>
              <w:rPr>
                <w:sz w:val="18"/>
                <w:szCs w:val="18"/>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(6,631)</w:t>
            </w:r>
          </w:p>
        </w:tc>
        <w:tc>
          <w:tcPr>
            <w:tcW w:w="30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1"/>
        </w:trPr>
        <w:tc>
          <w:tcPr>
            <w:tcW w:w="84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(183,209</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612,105</w:t>
            </w:r>
          </w:p>
        </w:tc>
        <w:tc>
          <w:tcPr>
            <w:tcW w:w="100" w:type="dxa"/>
            <w:vAlign w:val="bottom"/>
            <w:tcBorders>
              <w:top w:val="single" w:sz="8" w:color="CCEEFF"/>
            </w:tcBorders>
            <w:shd w:val="clear" w:color="auto" w:fill="CCEEFF"/>
          </w:tcPr>
          <w:p>
            <w:pPr>
              <w:spacing w:after="0"/>
              <w:rPr>
                <w:sz w:val="16"/>
                <w:szCs w:val="16"/>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(3,105,609)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(48,213)</w:t>
            </w:r>
          </w:p>
        </w:tc>
        <w:tc>
          <w:tcPr>
            <w:tcW w:w="100" w:type="dxa"/>
            <w:vAlign w:val="bottom"/>
          </w:tcPr>
          <w:p>
            <w:pPr>
              <w:spacing w:after="0"/>
              <w:rPr>
                <w:sz w:val="16"/>
                <w:szCs w:val="16"/>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Beginning cash, cash equivalents, and restricted cash</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6,298,020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640,418</w:t>
            </w:r>
          </w:p>
        </w:tc>
        <w:tc>
          <w:tcPr>
            <w:tcW w:w="100" w:type="dxa"/>
            <w:vAlign w:val="bottom"/>
            <w:shd w:val="clear" w:color="auto" w:fill="CCEEFF"/>
          </w:tcPr>
          <w:p>
            <w:pPr>
              <w:spacing w:after="0"/>
              <w:rPr>
                <w:sz w:val="18"/>
                <w:szCs w:val="18"/>
                <w:color w:val="auto"/>
              </w:rPr>
            </w:pPr>
          </w:p>
        </w:tc>
      </w:tr>
      <w:tr>
        <w:trPr>
          <w:trHeight w:val="202"/>
        </w:trPr>
        <w:tc>
          <w:tcPr>
            <w:tcW w:w="8460" w:type="dxa"/>
            <w:vAlign w:val="bottom"/>
          </w:tcPr>
          <w:p>
            <w:pPr>
              <w:spacing w:after="0"/>
              <w:rPr>
                <w:sz w:val="20"/>
                <w:szCs w:val="20"/>
                <w:color w:val="auto"/>
              </w:rPr>
            </w:pPr>
            <w:r>
              <w:rPr>
                <w:rFonts w:ascii="Arial" w:cs="Arial" w:eastAsia="Arial" w:hAnsi="Arial"/>
                <w:sz w:val="16"/>
                <w:szCs w:val="16"/>
                <w:color w:val="auto"/>
              </w:rPr>
              <w:t>Ending cash, cash equivalents, and restricted cash</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3,192,411</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592,205</w:t>
            </w:r>
          </w:p>
        </w:tc>
        <w:tc>
          <w:tcPr>
            <w:tcW w:w="100" w:type="dxa"/>
            <w:vAlign w:val="bottom"/>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Pr>
          <w:p>
            <w:pPr>
              <w:spacing w:after="0"/>
              <w:rPr>
                <w:sz w:val="17"/>
                <w:szCs w:val="17"/>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84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84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r>
      <w:tr>
        <w:trPr>
          <w:trHeight w:val="190"/>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Cash paid for interest, net of amounts capitalized</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12,282</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198</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Cash paid for taxes</w:t>
            </w: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846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w w:val="97"/>
              </w:rPr>
              <w:t>Increases (decreases) in purchases of property, plant and equipment included in accounts payable and accrued expenses</w:t>
            </w: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17,240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(24,661)</w:t>
            </w: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Property, plant and equipment and right-of-use assets obtained through leases</w:t>
            </w:r>
          </w:p>
        </w:tc>
        <w:tc>
          <w:tcPr>
            <w:tcW w:w="7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47,022</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4,437</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D convertible preferred stock upon exercise of preferred stock warrants</w:t>
            </w: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Issuance of Series E convertible preferred stock contingent forward contracts</w:t>
            </w:r>
          </w:p>
        </w:tc>
        <w:tc>
          <w:tcPr>
            <w:tcW w:w="7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2,167,332</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upon forfeit of Series E awards</w:t>
            </w: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15,719</w:t>
            </w: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Issuance of Series E convertible preferred stock upon settlement of contingent forward contracts</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(2,621,878)</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Capital leases retired upon adoption of new lease accounting standard</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6"/>
          <w:szCs w:val="16"/>
          <w:b w:val="1"/>
          <w:bCs w:val="1"/>
          <w:color w:val="auto"/>
        </w:rPr>
        <w:t>LUCID GROUP,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w:t>
      </w:r>
      <w:r>
        <w:rPr>
          <w:rFonts w:ascii="Arial" w:cs="Arial" w:eastAsia="Arial" w:hAnsi="Arial"/>
          <w:sz w:val="16"/>
          <w:szCs w:val="16"/>
          <w:color w:val="auto"/>
        </w:rPr>
        <w:t>–</w:t>
      </w:r>
      <w:r>
        <w:rPr>
          <w:rFonts w:ascii="Arial" w:cs="Arial" w:eastAsia="Arial" w:hAnsi="Arial"/>
          <w:sz w:val="16"/>
          <w:szCs w:val="16"/>
          <w:b w:val="1"/>
          <w:bCs w:val="1"/>
          <w:color w:val="auto"/>
        </w:rPr>
        <w:t xml:space="preserve"> DESCRIPTION OF BUSINESS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color w:val="auto"/>
        </w:rPr>
        <w:t>Lucid Group, Inc. (“Lucid”) is a technology and automotive company focused on designing, developing, manufacturing, and selling the next generation of EV, EV powertrains and battery systems.</w:t>
      </w:r>
    </w:p>
    <w:p>
      <w:pPr>
        <w:spacing w:after="0" w:line="149"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“Reverse Recapitalization” for more information.</w:t>
      </w:r>
    </w:p>
    <w:p>
      <w:pPr>
        <w:spacing w:after="0" w:line="153"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w:t>
      </w:r>
    </w:p>
    <w:p>
      <w:pPr>
        <w:spacing w:after="0" w:line="2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The Company devotes its efforts to business planning, research and development, recruiting of management and technical staff, acquiring operating assets, and raising capital.</w:t>
      </w:r>
    </w:p>
    <w:p>
      <w:pPr>
        <w:spacing w:after="0" w:line="149" w:lineRule="exact"/>
        <w:rPr>
          <w:sz w:val="20"/>
          <w:szCs w:val="20"/>
          <w:color w:val="auto"/>
        </w:rPr>
      </w:pPr>
    </w:p>
    <w:p>
      <w:pPr>
        <w:jc w:val="both"/>
        <w:ind w:right="80"/>
        <w:spacing w:after="0" w:line="274" w:lineRule="auto"/>
        <w:rPr>
          <w:sz w:val="20"/>
          <w:szCs w:val="20"/>
          <w:color w:val="auto"/>
        </w:rPr>
      </w:pPr>
      <w:r>
        <w:rPr>
          <w:rFonts w:ascii="Arial" w:cs="Arial" w:eastAsia="Arial" w:hAnsi="Arial"/>
          <w:sz w:val="16"/>
          <w:szCs w:val="16"/>
          <w:color w:val="auto"/>
        </w:rPr>
        <w:t>From inception through June 30, 2022, the Company has incurred operating losses and negative cash flows from operating activities. For the six months ended June 30, 2022 and 2021, the Company has incurred operating losses, including net losses of $301.7 million and $1,009.7 million, respectively. The Company has an accumulated deficit of $6.4 billion as of June 30, 2022.</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start the construction of a manufacturing facility in the Kingdom of Saudi Arabia (the “KSA Facility”), and build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The Company’s existing sources of liquidity include cash, cash equivalents and investments.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 In addition, during the six months ended June 30, 2022, the Company entered into a loan agreement with the Saudi Industrial Development Fund (“SIDF”) with an aggregate principal amount of up to approximately $1.4 billion, revolving credit facilities with Gulf International Bank (“GIB”) in an aggregate principal amount of approximately</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$266.5 million and a new five-year senior secured asset-based revolving credit facility (“ABL Credit Facility”) with an initial aggregate principal commitment amount of up to $1.0 billion, See Note 6 “Long-term Debt”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Significant Risks and Uncertainties</w:t>
      </w:r>
    </w:p>
    <w:p>
      <w:pPr>
        <w:spacing w:after="0" w:line="21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production and manufacturing ramps at existing manufacturing facilities in Casa Grande, Arizona, (iv) Phase 2 of construction at Advanced Manufacturing Plant 1 (“AMP-1”) in Casa Grande, Arizona, (v) the start of construction of a manufacturing facility in the Kingdom of Saudi Arabia, and (vi) expansion of our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COVID-19 pandemic continues to impact the global economy and cause significant macroeconomic uncertainty. Infection rates vary across the jurisdictions in which the Company operates.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The Company has taken proactive action to protect the health and safety of its employees, customers, partners and suppliers, consistent with the latest and evolving governmental guidelines. Until the COVID-19 pandemic is adequately contained, the Company expects to continue to implement appropriate measures. The Company continues to monitor the rapidly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While certain of the Company and its suppliers’ operations have from time-to-time been temporarily affected by government-mandated restrictions, the Company was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spacing w:after="0" w:line="16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 the current circumstances, given the dynamic nature of the situation, any impact on the Company’s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the Company’s suppliers and on global logistics. See “Risk Factors” in Part II, Item 1A of this Quarterly Report on Form 10-Q (the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color w:val="auto"/>
        </w:rPr>
        <w:t>–</w:t>
      </w:r>
      <w:r>
        <w:rPr>
          <w:rFonts w:ascii="Arial" w:cs="Arial" w:eastAsia="Arial" w:hAnsi="Arial"/>
          <w:sz w:val="16"/>
          <w:szCs w:val="16"/>
          <w:b w:val="1"/>
          <w:bCs w:val="1"/>
          <w:color w:val="auto"/>
        </w:rPr>
        <w:t xml:space="preserve">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21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2022.</w:t>
      </w:r>
    </w:p>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June 30, 2022 and the results of operations for the three and six months ended June 30, 2022 and 2021. The results of operations for the three and six months ended June 30, 2022 are not necessarily indicative of the results to be expected for the full year ending December 31, 2022 or any other future interim or annual period.</w:t>
      </w:r>
    </w:p>
    <w:p>
      <w:pPr>
        <w:spacing w:after="0" w:line="15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intercompany balances and transactions have been eliminated in consolidation.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Use of Estimates</w:t>
      </w:r>
    </w:p>
    <w:p>
      <w:pPr>
        <w:spacing w:after="0" w:line="216"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with an original maturity at the date of purchase of three months or less to be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in other current assets and noncurrent assets is primarily related to letters of credit issued to the landlords for certain of the Company’s leasehold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cash, cash equivalents, and restricted cash to amounts shown in the statements of cash flows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192"/>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3,157,449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6,262,905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557,938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614,412</w:t>
            </w:r>
          </w:p>
        </w:tc>
        <w:tc>
          <w:tcPr>
            <w:tcW w:w="100" w:type="dxa"/>
            <w:vAlign w:val="bottom"/>
            <w:shd w:val="clear" w:color="auto" w:fill="CCEEFF"/>
          </w:tcPr>
          <w:p>
            <w:pPr>
              <w:spacing w:after="0"/>
              <w:rPr>
                <w:sz w:val="16"/>
                <w:szCs w:val="16"/>
                <w:color w:val="auto"/>
              </w:rPr>
            </w:pPr>
          </w:p>
        </w:tc>
      </w:tr>
      <w:tr>
        <w:trPr>
          <w:trHeight w:val="198"/>
        </w:trPr>
        <w:tc>
          <w:tcPr>
            <w:tcW w:w="6440" w:type="dxa"/>
            <w:vAlign w:val="bottom"/>
          </w:tcPr>
          <w:p>
            <w:pPr>
              <w:spacing w:after="0"/>
              <w:rPr>
                <w:sz w:val="20"/>
                <w:szCs w:val="20"/>
                <w:color w:val="auto"/>
              </w:rPr>
            </w:pPr>
            <w:r>
              <w:rPr>
                <w:rFonts w:ascii="Arial" w:cs="Arial" w:eastAsia="Arial" w:hAnsi="Arial"/>
                <w:sz w:val="16"/>
                <w:szCs w:val="16"/>
                <w:color w:val="auto"/>
              </w:rPr>
              <w:t>Restricted cash included in other current assets</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10,740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10,989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11,278</w:t>
            </w:r>
          </w:p>
        </w:tc>
        <w:tc>
          <w:tcPr>
            <w:tcW w:w="100" w:type="dxa"/>
            <w:vAlign w:val="bottom"/>
          </w:tcPr>
          <w:p>
            <w:pPr>
              <w:spacing w:after="0"/>
              <w:rPr>
                <w:sz w:val="17"/>
                <w:szCs w:val="17"/>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included in other noncurrent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23,278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14,728</w:t>
            </w:r>
          </w:p>
        </w:tc>
      </w:tr>
      <w:tr>
        <w:trPr>
          <w:trHeight w:val="202"/>
        </w:trPr>
        <w:tc>
          <w:tcPr>
            <w:tcW w:w="644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3,192,411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w w:val="89"/>
              </w:rPr>
              <w:t>6,298,020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592,205</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640,418</w:t>
            </w:r>
          </w:p>
        </w:tc>
        <w:tc>
          <w:tcPr>
            <w:tcW w:w="1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16" w:lineRule="exact"/>
        <w:rPr>
          <w:sz w:val="20"/>
          <w:szCs w:val="20"/>
          <w:color w:val="auto"/>
        </w:rPr>
      </w:pPr>
    </w:p>
    <w:p>
      <w:pPr>
        <w:jc w:val="both"/>
        <w:ind w:right="20"/>
        <w:spacing w:after="0" w:line="326"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Supply Risk</w:t>
      </w:r>
    </w:p>
    <w:p>
      <w:pPr>
        <w:spacing w:after="0" w:line="216"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21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Company’s significant accounting policies are discussed in Note 2 of the notes to the consolidated financial statements included in the Company’s Form 10-K filed with the SEC on February 28, 2022. Except for the policy described below, there have been no significant changes to the Company’s accounting policies during the three and six months ended June 30, 2022.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w:t>
      </w:r>
    </w:p>
    <w:p>
      <w:pPr>
        <w:spacing w:after="0" w:line="21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loss which is included within stockholders’ equity. Interest, dividends, amortization and accretion of purchase premiums and discounts on our investments of available-for-sale securities are included in other income (expense), net. The cost of securities sold is determined using the specific identification method. Realized gains and losses on the sale of available-for-sale securities are recorded in other income (expense), net.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adopted ASU 2021-10 prospectively on January 1, 2022. The adoption of this ASU did not have an impact to the condensed consolidated financial statements and related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w:t>
      </w:r>
      <w:r>
        <w:rPr>
          <w:rFonts w:ascii="Arial" w:cs="Arial" w:eastAsia="Arial" w:hAnsi="Arial"/>
          <w:sz w:val="16"/>
          <w:szCs w:val="16"/>
          <w:color w:val="auto"/>
        </w:rPr>
        <w:t>–</w:t>
      </w:r>
      <w:r>
        <w:rPr>
          <w:rFonts w:ascii="Arial" w:cs="Arial" w:eastAsia="Arial" w:hAnsi="Arial"/>
          <w:sz w:val="16"/>
          <w:szCs w:val="16"/>
          <w:b w:val="1"/>
          <w:bCs w:val="1"/>
          <w:color w:val="auto"/>
        </w:rPr>
        <w:t xml:space="preserve"> REVERSE RECAPITALIZATION</w:t>
      </w:r>
    </w:p>
    <w:p>
      <w:pPr>
        <w:spacing w:after="0" w:line="21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169" w:lineRule="exact"/>
        <w:rPr>
          <w:sz w:val="20"/>
          <w:szCs w:val="20"/>
          <w:color w:val="auto"/>
        </w:rPr>
      </w:pPr>
    </w:p>
    <w:p>
      <w:pPr>
        <w:jc w:val="both"/>
        <w:ind w:left="600" w:right="400" w:hanging="304"/>
        <w:spacing w:after="0" w:line="274"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w:t>
      </w:r>
    </w:p>
    <w:p>
      <w:pPr>
        <w:spacing w:after="0" w:line="161" w:lineRule="exact"/>
        <w:rPr>
          <w:rFonts w:ascii="Arial" w:cs="Arial" w:eastAsia="Arial" w:hAnsi="Arial"/>
          <w:sz w:val="16"/>
          <w:szCs w:val="16"/>
          <w:color w:val="auto"/>
        </w:rPr>
      </w:pPr>
    </w:p>
    <w:p>
      <w:pPr>
        <w:ind w:left="600" w:right="160" w:hanging="304"/>
        <w:spacing w:after="0" w:line="326"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125" w:lineRule="exact"/>
        <w:rPr>
          <w:rFonts w:ascii="Arial" w:cs="Arial" w:eastAsia="Arial" w:hAnsi="Arial"/>
          <w:sz w:val="15"/>
          <w:szCs w:val="15"/>
          <w:color w:val="auto"/>
        </w:rPr>
      </w:pPr>
    </w:p>
    <w:p>
      <w:pPr>
        <w:jc w:val="both"/>
        <w:ind w:left="600" w:right="260" w:hanging="304"/>
        <w:spacing w:after="0" w:line="274"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61" w:lineRule="exact"/>
        <w:rPr>
          <w:rFonts w:ascii="Arial" w:cs="Arial" w:eastAsia="Arial" w:hAnsi="Arial"/>
          <w:sz w:val="16"/>
          <w:szCs w:val="16"/>
          <w:color w:val="auto"/>
        </w:rPr>
      </w:pPr>
    </w:p>
    <w:p>
      <w:pPr>
        <w:ind w:left="600" w:right="220" w:hanging="304"/>
        <w:spacing w:after="0" w:line="326"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other related events that occurred in connection with the Closing are summarized below:</w:t>
      </w:r>
    </w:p>
    <w:p>
      <w:pPr>
        <w:spacing w:after="0" w:line="212" w:lineRule="exact"/>
        <w:rPr>
          <w:sz w:val="20"/>
          <w:szCs w:val="20"/>
          <w:color w:val="auto"/>
        </w:rPr>
      </w:pPr>
    </w:p>
    <w:p>
      <w:pPr>
        <w:ind w:left="600" w:right="80" w:hanging="304"/>
        <w:spacing w:after="0" w:line="274"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61" w:lineRule="exact"/>
        <w:rPr>
          <w:rFonts w:ascii="Arial" w:cs="Arial" w:eastAsia="Arial" w:hAnsi="Arial"/>
          <w:sz w:val="16"/>
          <w:szCs w:val="16"/>
          <w:color w:val="auto"/>
        </w:rPr>
      </w:pPr>
    </w:p>
    <w:p>
      <w:pPr>
        <w:ind w:left="600" w:right="100" w:hanging="304"/>
        <w:spacing w:after="0" w:line="274"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161" w:lineRule="exact"/>
        <w:rPr>
          <w:rFonts w:ascii="Arial" w:cs="Arial" w:eastAsia="Arial" w:hAnsi="Arial"/>
          <w:sz w:val="16"/>
          <w:szCs w:val="16"/>
          <w:color w:val="auto"/>
        </w:rPr>
      </w:pPr>
    </w:p>
    <w:p>
      <w:pPr>
        <w:ind w:left="600" w:right="40" w:hanging="304"/>
        <w:spacing w:after="0" w:line="263"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“Earnback Shares and Warrants” for more information; and</w:t>
      </w:r>
    </w:p>
    <w:p>
      <w:pPr>
        <w:spacing w:after="0" w:line="172" w:lineRule="exact"/>
        <w:rPr>
          <w:rFonts w:ascii="Arial" w:cs="Arial" w:eastAsia="Arial" w:hAnsi="Arial"/>
          <w:sz w:val="16"/>
          <w:szCs w:val="16"/>
          <w:color w:val="auto"/>
        </w:rPr>
      </w:pPr>
    </w:p>
    <w:p>
      <w:pPr>
        <w:ind w:left="600" w:hanging="304"/>
        <w:spacing w:after="0"/>
        <w:tabs>
          <w:tab w:leader="none" w:pos="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Churchill redeemed 21,644 public shares of Churchill’s Class A common stock at approximately $10.00 per share for an aggregate payment of $0.2 million.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7" w:name="page18"/>
    <w:bookmarkEnd w:id="17"/>
    <w:p>
      <w:pPr>
        <w:ind w:left="1"/>
        <w:spacing w:after="0" w:line="290" w:lineRule="auto"/>
        <w:rPr>
          <w:sz w:val="20"/>
          <w:szCs w:val="20"/>
          <w:color w:val="auto"/>
        </w:rPr>
      </w:pPr>
      <w:r>
        <w:rPr>
          <w:rFonts w:ascii="Arial" w:cs="Arial" w:eastAsia="Arial" w:hAnsi="Arial"/>
          <w:sz w:val="16"/>
          <w:szCs w:val="16"/>
          <w:color w:val="auto"/>
        </w:rPr>
        <w:t>After giving effect to the Merger and the redemption of Churchill shares as described above, the number of shares of common stock issued and outstanding immediately following the consummation of the Merger was as follows:</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99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Shares</w:t>
            </w:r>
          </w:p>
        </w:tc>
      </w:tr>
      <w:tr>
        <w:trPr>
          <w:trHeight w:val="192"/>
        </w:trPr>
        <w:tc>
          <w:tcPr>
            <w:tcW w:w="9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Churchill public shares, prior to redemptions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9920" w:type="dxa"/>
            <w:vAlign w:val="bottom"/>
          </w:tcPr>
          <w:p>
            <w:pPr>
              <w:spacing w:after="0"/>
              <w:rPr>
                <w:sz w:val="20"/>
                <w:szCs w:val="20"/>
                <w:color w:val="auto"/>
              </w:rPr>
            </w:pPr>
            <w:r>
              <w:rPr>
                <w:rFonts w:ascii="Arial" w:cs="Arial" w:eastAsia="Arial" w:hAnsi="Arial"/>
                <w:sz w:val="16"/>
                <w:szCs w:val="16"/>
                <w:color w:val="auto"/>
              </w:rPr>
              <w:t>Less redemption of Churchill shares</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(21,644)</w:t>
            </w:r>
          </w:p>
        </w:tc>
      </w:tr>
      <w:tr>
        <w:trPr>
          <w:trHeight w:val="192"/>
        </w:trPr>
        <w:tc>
          <w:tcPr>
            <w:tcW w:w="9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Churchill public shares, net of redemptions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206,978,356</w:t>
            </w:r>
          </w:p>
        </w:tc>
        <w:tc>
          <w:tcPr>
            <w:tcW w:w="100" w:type="dxa"/>
            <w:vAlign w:val="bottom"/>
            <w:tcBorders>
              <w:top w:val="single" w:sz="8" w:color="CCEEFF"/>
            </w:tcBorders>
            <w:shd w:val="clear" w:color="auto" w:fill="CCEEFF"/>
          </w:tcPr>
          <w:p>
            <w:pPr>
              <w:spacing w:after="0"/>
              <w:rPr>
                <w:sz w:val="16"/>
                <w:szCs w:val="16"/>
                <w:color w:val="auto"/>
              </w:rPr>
            </w:pPr>
          </w:p>
        </w:tc>
      </w:tr>
      <w:tr>
        <w:trPr>
          <w:trHeight w:val="235"/>
        </w:trPr>
        <w:tc>
          <w:tcPr>
            <w:tcW w:w="9920" w:type="dxa"/>
            <w:vAlign w:val="bottom"/>
          </w:tcPr>
          <w:p>
            <w:pPr>
              <w:spacing w:after="0" w:line="235" w:lineRule="exact"/>
              <w:rPr>
                <w:sz w:val="20"/>
                <w:szCs w:val="20"/>
                <w:color w:val="auto"/>
              </w:rPr>
            </w:pPr>
            <w:r>
              <w:rPr>
                <w:rFonts w:ascii="Arial" w:cs="Arial" w:eastAsia="Arial" w:hAnsi="Arial"/>
                <w:sz w:val="16"/>
                <w:szCs w:val="16"/>
                <w:color w:val="auto"/>
              </w:rPr>
              <w:t>Churchill Sponsor shares</w:t>
            </w:r>
            <w:r>
              <w:rPr>
                <w:rFonts w:ascii="Arial" w:cs="Arial" w:eastAsia="Arial" w:hAnsi="Arial"/>
                <w:sz w:val="27"/>
                <w:szCs w:val="27"/>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6"/>
                <w:szCs w:val="16"/>
                <w:color w:val="auto"/>
              </w:rPr>
              <w:t>51,750,000</w:t>
            </w:r>
          </w:p>
        </w:tc>
        <w:tc>
          <w:tcPr>
            <w:tcW w:w="100" w:type="dxa"/>
            <w:vAlign w:val="bottom"/>
          </w:tcPr>
          <w:p>
            <w:pPr>
              <w:spacing w:after="0"/>
              <w:rPr>
                <w:sz w:val="20"/>
                <w:szCs w:val="20"/>
                <w:color w:val="auto"/>
              </w:rPr>
            </w:pPr>
          </w:p>
        </w:tc>
      </w:tr>
      <w:tr>
        <w:trPr>
          <w:trHeight w:val="248"/>
        </w:trPr>
        <w:tc>
          <w:tcPr>
            <w:tcW w:w="9920" w:type="dxa"/>
            <w:vAlign w:val="bottom"/>
            <w:shd w:val="clear" w:color="auto" w:fill="CCEEFF"/>
          </w:tcPr>
          <w:p>
            <w:pPr>
              <w:spacing w:after="0" w:line="248" w:lineRule="exact"/>
              <w:rPr>
                <w:sz w:val="20"/>
                <w:szCs w:val="20"/>
                <w:color w:val="auto"/>
              </w:rPr>
            </w:pPr>
            <w:r>
              <w:rPr>
                <w:rFonts w:ascii="Arial" w:cs="Arial" w:eastAsia="Arial" w:hAnsi="Arial"/>
                <w:sz w:val="16"/>
                <w:szCs w:val="16"/>
                <w:color w:val="auto"/>
              </w:rPr>
              <w:t>PIPE shares</w:t>
            </w:r>
            <w:r>
              <w:rPr>
                <w:rFonts w:ascii="Arial" w:cs="Arial" w:eastAsia="Arial" w:hAnsi="Arial"/>
                <w:sz w:val="27"/>
                <w:szCs w:val="27"/>
                <w:color w:val="auto"/>
                <w:vertAlign w:val="superscript"/>
              </w:rPr>
              <w:t>(2)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166,666,667</w:t>
            </w:r>
          </w:p>
        </w:tc>
        <w:tc>
          <w:tcPr>
            <w:tcW w:w="100" w:type="dxa"/>
            <w:vAlign w:val="bottom"/>
            <w:shd w:val="clear" w:color="auto" w:fill="CCEEFF"/>
          </w:tcPr>
          <w:p>
            <w:pPr>
              <w:spacing w:after="0"/>
              <w:rPr>
                <w:sz w:val="21"/>
                <w:szCs w:val="21"/>
                <w:color w:val="auto"/>
              </w:rPr>
            </w:pPr>
          </w:p>
        </w:tc>
      </w:tr>
      <w:tr>
        <w:trPr>
          <w:trHeight w:val="190"/>
        </w:trPr>
        <w:tc>
          <w:tcPr>
            <w:tcW w:w="9920" w:type="dxa"/>
            <w:vAlign w:val="bottom"/>
          </w:tcPr>
          <w:p>
            <w:pPr>
              <w:spacing w:after="0"/>
              <w:rPr>
                <w:sz w:val="20"/>
                <w:szCs w:val="20"/>
                <w:color w:val="auto"/>
              </w:rPr>
            </w:pPr>
            <w:r>
              <w:rPr>
                <w:rFonts w:ascii="Arial" w:cs="Arial" w:eastAsia="Arial" w:hAnsi="Arial"/>
                <w:sz w:val="16"/>
                <w:szCs w:val="16"/>
                <w:color w:val="auto"/>
              </w:rPr>
              <w:t>Total shares of Churchill common stock outstanding immediately prior to the Merger</w:t>
            </w:r>
          </w:p>
        </w:tc>
        <w:tc>
          <w:tcPr>
            <w:tcW w:w="1220" w:type="dxa"/>
            <w:vAlign w:val="bottom"/>
          </w:tcPr>
          <w:p>
            <w:pPr>
              <w:jc w:val="right"/>
              <w:spacing w:after="0"/>
              <w:rPr>
                <w:sz w:val="20"/>
                <w:szCs w:val="20"/>
                <w:color w:val="auto"/>
              </w:rPr>
            </w:pPr>
            <w:r>
              <w:rPr>
                <w:rFonts w:ascii="Arial" w:cs="Arial" w:eastAsia="Arial" w:hAnsi="Arial"/>
                <w:sz w:val="16"/>
                <w:szCs w:val="16"/>
                <w:color w:val="auto"/>
              </w:rPr>
              <w:t>425,395,023</w:t>
            </w:r>
          </w:p>
        </w:tc>
        <w:tc>
          <w:tcPr>
            <w:tcW w:w="100" w:type="dxa"/>
            <w:vAlign w:val="bottom"/>
          </w:tcPr>
          <w:p>
            <w:pPr>
              <w:spacing w:after="0"/>
              <w:rPr>
                <w:sz w:val="16"/>
                <w:szCs w:val="16"/>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Legacy Lucid shares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1,193,226,511</w:t>
            </w:r>
          </w:p>
        </w:tc>
        <w:tc>
          <w:tcPr>
            <w:tcW w:w="100" w:type="dxa"/>
            <w:vAlign w:val="bottom"/>
            <w:shd w:val="clear" w:color="auto" w:fill="CCEEFF"/>
          </w:tcPr>
          <w:p>
            <w:pPr>
              <w:spacing w:after="0"/>
              <w:rPr>
                <w:sz w:val="18"/>
                <w:szCs w:val="18"/>
                <w:color w:val="auto"/>
              </w:rPr>
            </w:pPr>
          </w:p>
        </w:tc>
      </w:tr>
      <w:tr>
        <w:trPr>
          <w:trHeight w:val="240"/>
        </w:trPr>
        <w:tc>
          <w:tcPr>
            <w:tcW w:w="9920" w:type="dxa"/>
            <w:vAlign w:val="bottom"/>
          </w:tcPr>
          <w:p>
            <w:pPr>
              <w:spacing w:after="0" w:line="240" w:lineRule="exact"/>
              <w:rPr>
                <w:sz w:val="20"/>
                <w:szCs w:val="20"/>
                <w:color w:val="auto"/>
              </w:rPr>
            </w:pPr>
            <w:r>
              <w:rPr>
                <w:rFonts w:ascii="Arial" w:cs="Arial" w:eastAsia="Arial" w:hAnsi="Arial"/>
                <w:sz w:val="16"/>
                <w:szCs w:val="16"/>
                <w:color w:val="auto"/>
              </w:rPr>
              <w:t>Total shares of Lucid common stock outstanding immediately after the Merger</w:t>
            </w:r>
            <w:r>
              <w:rPr>
                <w:rFonts w:ascii="Arial" w:cs="Arial" w:eastAsia="Arial" w:hAnsi="Arial"/>
                <w:sz w:val="27"/>
                <w:szCs w:val="27"/>
                <w:color w:val="auto"/>
                <w:vertAlign w:val="superscript"/>
              </w:rPr>
              <w:t>(3)(4)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1,618,621,534</w:t>
            </w:r>
          </w:p>
        </w:tc>
        <w:tc>
          <w:tcPr>
            <w:tcW w:w="100" w:type="dxa"/>
            <w:vAlign w:val="bottom"/>
          </w:tcPr>
          <w:p>
            <w:pPr>
              <w:spacing w:after="0"/>
              <w:rPr>
                <w:sz w:val="20"/>
                <w:szCs w:val="20"/>
                <w:color w:val="auto"/>
              </w:rPr>
            </w:pPr>
          </w:p>
        </w:tc>
      </w:tr>
      <w:tr>
        <w:trPr>
          <w:trHeight w:val="20"/>
        </w:trPr>
        <w:tc>
          <w:tcPr>
            <w:tcW w:w="9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ind w:left="201" w:hanging="201"/>
        <w:spacing w:after="0"/>
        <w:tabs>
          <w:tab w:leader="none" w:pos="201"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The 51,750,000 shares beneficially owned by the Churchill Sponsor as of the Closing of the Merger includes the 17,250,000 Sponsor Earnback Shares.</w:t>
      </w:r>
    </w:p>
    <w:p>
      <w:pPr>
        <w:spacing w:after="0" w:line="157" w:lineRule="exact"/>
        <w:rPr>
          <w:rFonts w:ascii="Arial" w:cs="Arial" w:eastAsia="Arial" w:hAnsi="Arial"/>
          <w:sz w:val="24"/>
          <w:szCs w:val="24"/>
          <w:color w:val="auto"/>
          <w:vertAlign w:val="superscript"/>
        </w:rPr>
      </w:pPr>
    </w:p>
    <w:p>
      <w:pPr>
        <w:ind w:left="201" w:hanging="201"/>
        <w:spacing w:after="0"/>
        <w:tabs>
          <w:tab w:leader="none" w:pos="201"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Reflects the sale and issuance of 166,666,667 shares of common stock to the PIPE Investors at $15.00 per share.</w:t>
      </w:r>
    </w:p>
    <w:p>
      <w:pPr>
        <w:spacing w:after="0" w:line="224" w:lineRule="exact"/>
        <w:rPr>
          <w:rFonts w:ascii="Arial" w:cs="Arial" w:eastAsia="Arial" w:hAnsi="Arial"/>
          <w:sz w:val="24"/>
          <w:szCs w:val="24"/>
          <w:color w:val="auto"/>
          <w:vertAlign w:val="superscript"/>
        </w:rPr>
      </w:pPr>
    </w:p>
    <w:p>
      <w:pPr>
        <w:ind w:left="1" w:right="480" w:hanging="1"/>
        <w:spacing w:after="0" w:line="217" w:lineRule="auto"/>
        <w:tabs>
          <w:tab w:leader="none" w:pos="203"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Excludes 111,531,080 shares of common stock as of the Closing of the Merger to be reserved for potential future issuance upon the exercise of Lucid options or settlement of Lucid RSUs.</w:t>
      </w:r>
    </w:p>
    <w:p>
      <w:pPr>
        <w:spacing w:after="0" w:line="225" w:lineRule="exact"/>
        <w:rPr>
          <w:rFonts w:ascii="Arial" w:cs="Arial" w:eastAsia="Arial" w:hAnsi="Arial"/>
          <w:sz w:val="24"/>
          <w:szCs w:val="24"/>
          <w:color w:val="auto"/>
          <w:vertAlign w:val="superscript"/>
        </w:rPr>
      </w:pPr>
    </w:p>
    <w:p>
      <w:pPr>
        <w:jc w:val="both"/>
        <w:ind w:left="1" w:right="140" w:hanging="1"/>
        <w:spacing w:after="0" w:line="233" w:lineRule="auto"/>
        <w:tabs>
          <w:tab w:leader="none" w:pos="203"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Excludes the 85,750,000 warrants issued and outstanding as of the Closing of the Merger, which includes the 41,400,000 public warrants and the 44,350,000 Private Placement Warrants held by the Churchill Sponsor. The 44,350,000 Private Placement Warrants beneficially owned by the Churchill Sponsor as of the consummation of the Merger includes the 14,783,333 Sponsor Earnback Warrants.</w:t>
      </w:r>
    </w:p>
    <w:p>
      <w:pPr>
        <w:spacing w:after="0" w:line="189" w:lineRule="exact"/>
        <w:rPr>
          <w:sz w:val="20"/>
          <w:szCs w:val="20"/>
          <w:color w:val="auto"/>
        </w:rPr>
      </w:pPr>
    </w:p>
    <w:p>
      <w:pPr>
        <w:ind w:left="1"/>
        <w:spacing w:after="0" w:line="282" w:lineRule="auto"/>
        <w:rPr>
          <w:sz w:val="20"/>
          <w:szCs w:val="20"/>
          <w:color w:val="auto"/>
        </w:rPr>
      </w:pPr>
      <w:r>
        <w:rPr>
          <w:rFonts w:ascii="Arial" w:cs="Arial" w:eastAsia="Arial" w:hAnsi="Arial"/>
          <w:sz w:val="15"/>
          <w:szCs w:val="15"/>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61" w:lineRule="exact"/>
        <w:rPr>
          <w:sz w:val="20"/>
          <w:szCs w:val="20"/>
          <w:color w:val="auto"/>
        </w:rPr>
      </w:pPr>
    </w:p>
    <w:p>
      <w:pPr>
        <w:ind w:left="1" w:right="520"/>
        <w:spacing w:after="0" w:line="290" w:lineRule="auto"/>
        <w:rPr>
          <w:sz w:val="20"/>
          <w:szCs w:val="20"/>
          <w:color w:val="auto"/>
        </w:rPr>
      </w:pPr>
      <w:r>
        <w:rPr>
          <w:rFonts w:ascii="Arial" w:cs="Arial" w:eastAsia="Arial" w:hAnsi="Arial"/>
          <w:sz w:val="16"/>
          <w:szCs w:val="16"/>
          <w:color w:val="auto"/>
        </w:rPr>
        <w:t>All periods prior to the Merger have been retrospectively adjusted using the Exchange Ratio for the equivalent number of shares outstanding immediately after the Closing to effect the reverse recapitalization.</w:t>
      </w:r>
    </w:p>
    <w:p>
      <w:pPr>
        <w:spacing w:after="0" w:line="149" w:lineRule="exact"/>
        <w:rPr>
          <w:sz w:val="20"/>
          <w:szCs w:val="20"/>
          <w:color w:val="auto"/>
        </w:rPr>
      </w:pPr>
    </w:p>
    <w:p>
      <w:pPr>
        <w:ind w:left="1" w:right="120"/>
        <w:spacing w:after="0" w:line="264" w:lineRule="auto"/>
        <w:rPr>
          <w:sz w:val="20"/>
          <w:szCs w:val="20"/>
          <w:color w:val="auto"/>
        </w:rPr>
      </w:pPr>
      <w:r>
        <w:rPr>
          <w:rFonts w:ascii="Arial" w:cs="Arial" w:eastAsia="Arial" w:hAnsi="Arial"/>
          <w:sz w:val="16"/>
          <w:szCs w:val="16"/>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ectPr>
          <w:pgSz w:w="11900" w:h="16838" w:orient="portrait"/>
          <w:cols w:equalWidth="0" w:num="1">
            <w:col w:w="11241"/>
          </w:cols>
          <w:pgMar w:left="319" w:top="845" w:right="339" w:bottom="1440" w:gutter="0" w:footer="0" w:header="0"/>
        </w:sectPr>
      </w:pP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 4 – BALANCE SHEETS COMPONENTS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Inventory</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4"/>
          <w:szCs w:val="14"/>
          <w:color w:val="auto"/>
        </w:rPr>
        <w:t>Inventory as of June 30, 2022 and December 31,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6"/>
          <w:szCs w:val="16"/>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Work in progress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179"/>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00"/>
              <w:spacing w:after="0" w:line="180" w:lineRule="exact"/>
              <w:rPr>
                <w:sz w:val="20"/>
                <w:szCs w:val="20"/>
                <w:color w:val="auto"/>
              </w:rPr>
            </w:pPr>
            <w:r>
              <w:rPr>
                <w:rFonts w:ascii="Arial" w:cs="Arial" w:eastAsia="Arial" w:hAnsi="Arial"/>
                <w:sz w:val="16"/>
                <w:szCs w:val="16"/>
                <w:color w:val="auto"/>
                <w:w w:val="86"/>
              </w:rPr>
              <w:t>400,109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0" w:lineRule="exact"/>
              <w:rPr>
                <w:sz w:val="20"/>
                <w:szCs w:val="20"/>
                <w:color w:val="auto"/>
              </w:rPr>
            </w:pPr>
            <w:r>
              <w:rPr>
                <w:rFonts w:ascii="Arial" w:cs="Arial" w:eastAsia="Arial" w:hAnsi="Arial"/>
                <w:sz w:val="16"/>
                <w:szCs w:val="16"/>
                <w:color w:val="auto"/>
              </w:rPr>
              <w:t>87,646</w:t>
            </w:r>
          </w:p>
        </w:tc>
        <w:tc>
          <w:tcPr>
            <w:tcW w:w="20" w:type="dxa"/>
            <w:vAlign w:val="bottom"/>
          </w:tcPr>
          <w:p>
            <w:pPr>
              <w:spacing w:after="0"/>
              <w:rPr>
                <w:sz w:val="15"/>
                <w:szCs w:val="15"/>
                <w:color w:val="auto"/>
              </w:rPr>
            </w:pPr>
          </w:p>
        </w:tc>
      </w:tr>
      <w:tr>
        <w:trPr>
          <w:trHeight w:val="209"/>
        </w:trPr>
        <w:tc>
          <w:tcPr>
            <w:tcW w:w="2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6"/>
                <w:szCs w:val="16"/>
                <w:color w:val="auto"/>
              </w:rPr>
              <w:t>103,721</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30,641</w:t>
            </w:r>
          </w:p>
        </w:tc>
      </w:tr>
      <w:tr>
        <w:trPr>
          <w:trHeight w:val="211"/>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49,215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8,963</w:t>
            </w:r>
          </w:p>
        </w:tc>
        <w:tc>
          <w:tcPr>
            <w:tcW w:w="20" w:type="dxa"/>
            <w:vAlign w:val="bottom"/>
          </w:tcPr>
          <w:p>
            <w:pPr>
              <w:spacing w:after="0"/>
              <w:rPr>
                <w:sz w:val="18"/>
                <w:szCs w:val="18"/>
                <w:color w:val="auto"/>
              </w:rPr>
            </w:pPr>
          </w:p>
        </w:tc>
      </w:tr>
      <w:tr>
        <w:trPr>
          <w:trHeight w:val="203"/>
        </w:trPr>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w w:val="86"/>
              </w:rPr>
              <w:t>553,045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127,250</w:t>
            </w:r>
          </w:p>
        </w:tc>
        <w:tc>
          <w:tcPr>
            <w:tcW w:w="20" w:type="dxa"/>
            <w:vAlign w:val="bottom"/>
          </w:tcPr>
          <w:p>
            <w:pPr>
              <w:spacing w:after="0"/>
              <w:rPr>
                <w:sz w:val="17"/>
                <w:szCs w:val="17"/>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741" w:space="720"/>
            <w:col w:w="2780"/>
          </w:cols>
          <w:pgMar w:left="319" w:top="845" w:right="339" w:bottom="1440" w:gutter="0" w:footer="0" w:header="0"/>
          <w:type w:val="continuous"/>
        </w:sectPr>
      </w:pPr>
    </w:p>
    <w:p>
      <w:pPr>
        <w:ind w:left="1" w:right="100"/>
        <w:spacing w:after="0" w:line="319" w:lineRule="auto"/>
        <w:rPr>
          <w:sz w:val="20"/>
          <w:szCs w:val="20"/>
          <w:color w:val="auto"/>
        </w:rPr>
      </w:pPr>
      <w:r>
        <w:rPr>
          <w:rFonts w:ascii="Arial" w:cs="Arial" w:eastAsia="Arial" w:hAnsi="Arial"/>
          <w:sz w:val="14"/>
          <w:szCs w:val="14"/>
          <w:color w:val="auto"/>
        </w:rPr>
        <w:t>Inventory as of June 30, 2022 and December 31, 2021 was comprised of raw materials, work in progress related to the production of vehicles for sale and finished goods inventory including vehicles in transit to fulfill customer orders and new vehicles available for sale. We write down inventory for any excess or obsolete inventories or when we believe that the net realizable value of inventories is less than the carrying value. During the three and six months ended June 30, 2022, we recorded write-downs of $81.7 million and $178.1 million, respectively, in cost of revenues. No write-downs were recorded during the three and six months ended June 30, 2021.</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type w:val="continuous"/>
        </w:sectPr>
      </w:pPr>
    </w:p>
    <w:bookmarkStart w:id="18" w:name="page19"/>
    <w:bookmarkEnd w:id="18"/>
    <w:tbl>
      <w:tblPr>
        <w:tblLayout w:type="fixed"/>
        <w:tblInd w:w="1" w:type="dxa"/>
        <w:tblCellMar>
          <w:top w:w="0" w:type="dxa"/>
          <w:left w:w="0" w:type="dxa"/>
          <w:bottom w:w="0" w:type="dxa"/>
          <w:right w:w="0" w:type="dxa"/>
        </w:tblCellMar>
      </w:tblPr>
      <w:tr>
        <w:trPr>
          <w:trHeight w:val="209"/>
        </w:trPr>
        <w:tc>
          <w:tcPr>
            <w:tcW w:w="8460" w:type="dxa"/>
            <w:vAlign w:val="bottom"/>
          </w:tcPr>
          <w:p>
            <w:pPr>
              <w:spacing w:after="0"/>
              <w:rPr>
                <w:sz w:val="20"/>
                <w:szCs w:val="20"/>
                <w:color w:val="auto"/>
              </w:rPr>
            </w:pPr>
            <w:r>
              <w:rPr>
                <w:rFonts w:ascii="Arial" w:cs="Arial" w:eastAsia="Arial" w:hAnsi="Arial"/>
                <w:sz w:val="16"/>
                <w:szCs w:val="16"/>
                <w:b w:val="1"/>
                <w:bCs w:val="1"/>
                <w:i w:val="1"/>
                <w:iCs w:val="1"/>
                <w:color w:val="auto"/>
              </w:rPr>
              <w:t>Property, plant and equipment, net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8460" w:type="dxa"/>
            <w:vAlign w:val="bottom"/>
          </w:tcPr>
          <w:p>
            <w:pPr>
              <w:spacing w:after="0"/>
              <w:rPr>
                <w:sz w:val="20"/>
                <w:szCs w:val="20"/>
                <w:color w:val="auto"/>
              </w:rPr>
            </w:pPr>
            <w:r>
              <w:rPr>
                <w:rFonts w:ascii="Arial" w:cs="Arial" w:eastAsia="Arial" w:hAnsi="Arial"/>
                <w:sz w:val="16"/>
                <w:szCs w:val="16"/>
                <w:color w:val="auto"/>
              </w:rPr>
              <w:t>Property, plant and equipment as of June 30, 2022 and December 31, 2021 were as follows (in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2"/>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Land and land improvements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6"/>
                <w:szCs w:val="16"/>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Building and improvements</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197,252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195,952</w:t>
            </w:r>
          </w:p>
        </w:tc>
        <w:tc>
          <w:tcPr>
            <w:tcW w:w="100" w:type="dxa"/>
            <w:vAlign w:val="bottom"/>
          </w:tcPr>
          <w:p>
            <w:pPr>
              <w:spacing w:after="0"/>
              <w:rPr>
                <w:sz w:val="17"/>
                <w:szCs w:val="17"/>
                <w:color w:val="auto"/>
              </w:rPr>
            </w:pP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Machinery, Tooling and Vehicles</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687,122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601,791</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39,587</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27,968</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160,714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135,533</w:t>
            </w:r>
          </w:p>
        </w:tc>
        <w:tc>
          <w:tcPr>
            <w:tcW w:w="100" w:type="dxa"/>
            <w:vAlign w:val="bottom"/>
            <w:shd w:val="clear" w:color="auto" w:fill="CCEEFF"/>
          </w:tcPr>
          <w:p>
            <w:pPr>
              <w:spacing w:after="0"/>
              <w:rPr>
                <w:sz w:val="17"/>
                <w:szCs w:val="17"/>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22,230</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15,352</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Finance leases</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15,437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13,601</w:t>
            </w:r>
          </w:p>
        </w:tc>
      </w:tr>
      <w:tr>
        <w:trPr>
          <w:trHeight w:val="210"/>
        </w:trPr>
        <w:tc>
          <w:tcPr>
            <w:tcW w:w="84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626,294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276,919</w:t>
            </w:r>
          </w:p>
        </w:tc>
        <w:tc>
          <w:tcPr>
            <w:tcW w:w="100" w:type="dxa"/>
            <w:vAlign w:val="bottom"/>
          </w:tcPr>
          <w:p>
            <w:pPr>
              <w:spacing w:after="0"/>
              <w:rPr>
                <w:sz w:val="18"/>
                <w:szCs w:val="18"/>
                <w:color w:val="auto"/>
              </w:rPr>
            </w:pPr>
          </w:p>
        </w:tc>
      </w:tr>
      <w:tr>
        <w:trPr>
          <w:trHeight w:val="191"/>
        </w:trPr>
        <w:tc>
          <w:tcPr>
            <w:tcW w:w="8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property, plant and equipment</w:t>
            </w: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1,781,938</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1,268,166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846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(166,503)</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(86,013)</w:t>
            </w:r>
          </w:p>
        </w:tc>
      </w:tr>
      <w:tr>
        <w:trPr>
          <w:trHeight w:val="20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1,615,435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1,182,153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right="160"/>
        <w:spacing w:after="0" w:line="269" w:lineRule="auto"/>
        <w:rPr>
          <w:sz w:val="20"/>
          <w:szCs w:val="20"/>
          <w:color w:val="auto"/>
        </w:rPr>
      </w:pPr>
      <w:r>
        <w:rPr>
          <w:rFonts w:ascii="Arial" w:cs="Arial" w:eastAsia="Arial" w:hAnsi="Arial"/>
          <w:sz w:val="16"/>
          <w:szCs w:val="16"/>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11241"/>
          </w:cols>
          <w:pgMar w:left="319" w:top="124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1"/>
        <w:spacing w:after="0"/>
        <w:rPr>
          <w:sz w:val="20"/>
          <w:szCs w:val="20"/>
          <w:color w:val="auto"/>
        </w:rPr>
      </w:pPr>
      <w:r>
        <w:rPr>
          <w:rFonts w:ascii="Arial" w:cs="Arial" w:eastAsia="Arial" w:hAnsi="Arial"/>
          <w:sz w:val="16"/>
          <w:szCs w:val="16"/>
          <w:color w:val="auto"/>
        </w:rPr>
        <w:t>Machinery and tooling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5"/>
          <w:szCs w:val="15"/>
          <w:color w:val="auto"/>
        </w:rPr>
        <w:t>Construction of Arizona plant and KSA Facility</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auto"/>
        </w:rPr>
        <w:t>Total construction in progress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r>
      <w:tr>
        <w:trPr>
          <w:trHeight w:val="179"/>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00"/>
              <w:spacing w:after="0" w:line="180" w:lineRule="exact"/>
              <w:rPr>
                <w:sz w:val="20"/>
                <w:szCs w:val="20"/>
                <w:color w:val="auto"/>
              </w:rPr>
            </w:pPr>
            <w:r>
              <w:rPr>
                <w:rFonts w:ascii="Arial" w:cs="Arial" w:eastAsia="Arial" w:hAnsi="Arial"/>
                <w:sz w:val="16"/>
                <w:szCs w:val="16"/>
                <w:color w:val="auto"/>
                <w:w w:val="86"/>
              </w:rPr>
              <w:t>284,207</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0" w:lineRule="exact"/>
              <w:rPr>
                <w:sz w:val="20"/>
                <w:szCs w:val="20"/>
                <w:color w:val="auto"/>
              </w:rPr>
            </w:pPr>
            <w:r>
              <w:rPr>
                <w:rFonts w:ascii="Arial" w:cs="Arial" w:eastAsia="Arial" w:hAnsi="Arial"/>
                <w:sz w:val="16"/>
                <w:szCs w:val="16"/>
                <w:color w:val="auto"/>
              </w:rPr>
              <w:t>132,943</w:t>
            </w:r>
          </w:p>
        </w:tc>
      </w:tr>
      <w:tr>
        <w:trPr>
          <w:trHeight w:val="209"/>
        </w:trPr>
        <w:tc>
          <w:tcPr>
            <w:tcW w:w="2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6"/>
                <w:szCs w:val="16"/>
                <w:color w:val="auto"/>
              </w:rPr>
              <w:t>310,685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112,970</w:t>
            </w:r>
          </w:p>
        </w:tc>
      </w:tr>
      <w:tr>
        <w:trPr>
          <w:trHeight w:val="211"/>
        </w:trPr>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31,402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31,006</w:t>
            </w:r>
          </w:p>
        </w:tc>
      </w:tr>
      <w:tr>
        <w:trPr>
          <w:trHeight w:val="203"/>
        </w:trPr>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w w:val="86"/>
              </w:rPr>
              <w:t>626,294</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276,919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741" w:space="720"/>
            <w:col w:w="2780"/>
          </w:cols>
          <w:pgMar w:left="319" w:top="1241" w:right="339" w:bottom="1440" w:gutter="0" w:footer="0" w:header="0"/>
          <w:type w:val="continuous"/>
        </w:sectPr>
      </w:pPr>
    </w:p>
    <w:p>
      <w:pPr>
        <w:jc w:val="both"/>
        <w:ind w:left="1"/>
        <w:spacing w:after="0" w:line="274" w:lineRule="auto"/>
        <w:rPr>
          <w:sz w:val="20"/>
          <w:szCs w:val="20"/>
          <w:color w:val="auto"/>
        </w:rPr>
      </w:pPr>
      <w:r>
        <w:rPr>
          <w:rFonts w:ascii="Arial" w:cs="Arial" w:eastAsia="Arial" w:hAnsi="Arial"/>
          <w:sz w:val="16"/>
          <w:szCs w:val="16"/>
          <w:color w:val="auto"/>
        </w:rPr>
        <w:t>Depreciation and amortization expense was $42.5 million and $80.7 million, respectively, for the three and six months ended June 30, 2022, and $6.8 million and $11.7 million, respectively, for the same periods in the prior year. The amount of interest capitalized on construction in progress related to significant capital asset construction was immaterial for the three and six months ended June 30, 2022.</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8460" w:type="dxa"/>
            <w:vAlign w:val="bottom"/>
          </w:tcPr>
          <w:p>
            <w:pPr>
              <w:spacing w:after="0"/>
              <w:rPr>
                <w:sz w:val="20"/>
                <w:szCs w:val="20"/>
                <w:color w:val="auto"/>
              </w:rPr>
            </w:pPr>
            <w:r>
              <w:rPr>
                <w:rFonts w:ascii="Arial" w:cs="Arial" w:eastAsia="Arial" w:hAnsi="Arial"/>
                <w:sz w:val="16"/>
                <w:szCs w:val="16"/>
                <w:b w:val="1"/>
                <w:bCs w:val="1"/>
                <w:i w:val="1"/>
                <w:iCs w:val="1"/>
                <w:color w:val="auto"/>
              </w:rPr>
              <w:t>Other current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8460" w:type="dxa"/>
            <w:vAlign w:val="bottom"/>
          </w:tcPr>
          <w:p>
            <w:pPr>
              <w:spacing w:after="0"/>
              <w:rPr>
                <w:sz w:val="20"/>
                <w:szCs w:val="20"/>
                <w:color w:val="auto"/>
              </w:rPr>
            </w:pPr>
            <w:r>
              <w:rPr>
                <w:rFonts w:ascii="Arial" w:cs="Arial" w:eastAsia="Arial" w:hAnsi="Arial"/>
                <w:sz w:val="16"/>
                <w:szCs w:val="16"/>
                <w:color w:val="auto"/>
              </w:rPr>
              <w:t>Other current liabilities as of June 30, 2022 and December 31, 2021 were as follows (in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2"/>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Engineering, design, and testing accrual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33,950</w:t>
            </w:r>
          </w:p>
        </w:tc>
        <w:tc>
          <w:tcPr>
            <w:tcW w:w="100" w:type="dxa"/>
            <w:vAlign w:val="bottom"/>
            <w:shd w:val="clear" w:color="auto" w:fill="CCEEFF"/>
          </w:tcPr>
          <w:p>
            <w:pPr>
              <w:spacing w:after="0"/>
              <w:rPr>
                <w:sz w:val="16"/>
                <w:szCs w:val="16"/>
                <w:color w:val="auto"/>
              </w:rPr>
            </w:pP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110,405</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92,590</w:t>
            </w:r>
          </w:p>
        </w:tc>
      </w:tr>
      <w:tr>
        <w:trPr>
          <w:trHeight w:val="235"/>
        </w:trPr>
        <w:tc>
          <w:tcPr>
            <w:tcW w:w="8460" w:type="dxa"/>
            <w:vAlign w:val="bottom"/>
            <w:shd w:val="clear" w:color="auto" w:fill="CCEEFF"/>
          </w:tcPr>
          <w:p>
            <w:pPr>
              <w:spacing w:after="0" w:line="235" w:lineRule="exact"/>
              <w:rPr>
                <w:sz w:val="20"/>
                <w:szCs w:val="20"/>
                <w:color w:val="auto"/>
              </w:rPr>
            </w:pPr>
            <w:r>
              <w:rPr>
                <w:rFonts w:ascii="Arial" w:cs="Arial" w:eastAsia="Arial" w:hAnsi="Arial"/>
                <w:sz w:val="16"/>
                <w:szCs w:val="16"/>
                <w:color w:val="auto"/>
              </w:rPr>
              <w:t xml:space="preserve">Accrued purchases </w:t>
            </w:r>
            <w:r>
              <w:rPr>
                <w:rFonts w:ascii="Arial" w:cs="Arial" w:eastAsia="Arial" w:hAnsi="Arial"/>
                <w:sz w:val="27"/>
                <w:szCs w:val="27"/>
                <w:color w:val="auto"/>
                <w:vertAlign w:val="superscript"/>
              </w:rPr>
              <w:t>(1)</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145,654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12,225</w:t>
            </w: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Retail leasehold improvements accrual</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14,127</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15,796</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Other professional services accrual</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32,064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13,944</w:t>
            </w: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Tooling liability</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12,225</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23,966</w:t>
            </w:r>
          </w:p>
        </w:tc>
      </w:tr>
      <w:tr>
        <w:trPr>
          <w:trHeight w:val="198"/>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Short-term insurance financing note</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2,470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15,281</w:t>
            </w:r>
          </w:p>
        </w:tc>
      </w:tr>
      <w:tr>
        <w:trPr>
          <w:trHeight w:val="198"/>
        </w:trPr>
        <w:tc>
          <w:tcPr>
            <w:tcW w:w="8460" w:type="dxa"/>
            <w:vAlign w:val="bottom"/>
          </w:tcPr>
          <w:p>
            <w:pPr>
              <w:spacing w:after="0"/>
              <w:rPr>
                <w:sz w:val="20"/>
                <w:szCs w:val="20"/>
                <w:color w:val="auto"/>
              </w:rPr>
            </w:pPr>
            <w:r>
              <w:rPr>
                <w:rFonts w:ascii="Arial" w:cs="Arial" w:eastAsia="Arial" w:hAnsi="Arial"/>
                <w:sz w:val="16"/>
                <w:szCs w:val="16"/>
                <w:color w:val="auto"/>
              </w:rPr>
              <w:t>Operating lease liabilities, current portion</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11,721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Pr>
          <w:p>
            <w:pPr>
              <w:spacing w:after="0"/>
              <w:rPr>
                <w:sz w:val="17"/>
                <w:szCs w:val="17"/>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114,207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99,404</w:t>
            </w:r>
          </w:p>
        </w:tc>
      </w:tr>
      <w:tr>
        <w:trPr>
          <w:trHeight w:val="202"/>
        </w:trPr>
        <w:tc>
          <w:tcPr>
            <w:tcW w:w="8460" w:type="dxa"/>
            <w:vAlign w:val="bottom"/>
          </w:tcPr>
          <w:p>
            <w:pPr>
              <w:spacing w:after="0"/>
              <w:rPr>
                <w:sz w:val="20"/>
                <w:szCs w:val="20"/>
                <w:color w:val="auto"/>
              </w:rPr>
            </w:pPr>
            <w:r>
              <w:rPr>
                <w:rFonts w:ascii="Arial" w:cs="Arial" w:eastAsia="Arial" w:hAnsi="Arial"/>
                <w:sz w:val="16"/>
                <w:szCs w:val="16"/>
                <w:color w:val="auto"/>
              </w:rPr>
              <w:t>Total other current liabilities</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464,819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318,212</w:t>
            </w:r>
          </w:p>
        </w:tc>
        <w:tc>
          <w:tcPr>
            <w:tcW w:w="100" w:type="dxa"/>
            <w:vAlign w:val="bottom"/>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left="5541" w:right="3220" w:hanging="5541"/>
        <w:spacing w:after="0"/>
        <w:tabs>
          <w:tab w:leader="none" w:pos="187"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Accrued purchases primarily reflect inventory purchases and related transportation charges that had not been invoiced.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71437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124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9"/>
        </w:trPr>
        <w:tc>
          <w:tcPr>
            <w:tcW w:w="8460" w:type="dxa"/>
            <w:vAlign w:val="bottom"/>
          </w:tcPr>
          <w:p>
            <w:pPr>
              <w:spacing w:after="0"/>
              <w:rPr>
                <w:sz w:val="20"/>
                <w:szCs w:val="20"/>
                <w:color w:val="auto"/>
              </w:rPr>
            </w:pPr>
            <w:r>
              <w:rPr>
                <w:rFonts w:ascii="Arial" w:cs="Arial" w:eastAsia="Arial" w:hAnsi="Arial"/>
                <w:sz w:val="16"/>
                <w:szCs w:val="16"/>
                <w:b w:val="1"/>
                <w:bCs w:val="1"/>
                <w:i w:val="1"/>
                <w:iCs w:val="1"/>
                <w:color w:val="auto"/>
              </w:rPr>
              <w:t>Other long-term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8460" w:type="dxa"/>
            <w:vAlign w:val="bottom"/>
          </w:tcPr>
          <w:p>
            <w:pPr>
              <w:spacing w:after="0"/>
              <w:rPr>
                <w:sz w:val="20"/>
                <w:szCs w:val="20"/>
                <w:color w:val="auto"/>
              </w:rPr>
            </w:pPr>
            <w:r>
              <w:rPr>
                <w:rFonts w:ascii="Arial" w:cs="Arial" w:eastAsia="Arial" w:hAnsi="Arial"/>
                <w:sz w:val="16"/>
                <w:szCs w:val="16"/>
                <w:color w:val="auto"/>
              </w:rPr>
              <w:t>Other long-term liabilities as of June 30, 2022 and December 31, 2021 were as follows (in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1"/>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2"/>
        </w:trPr>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net of current portion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185,323</w:t>
            </w:r>
          </w:p>
        </w:tc>
        <w:tc>
          <w:tcPr>
            <w:tcW w:w="100" w:type="dxa"/>
            <w:vAlign w:val="bottom"/>
            <w:shd w:val="clear" w:color="auto" w:fill="CCEEFF"/>
          </w:tcPr>
          <w:p>
            <w:pPr>
              <w:spacing w:after="0"/>
              <w:rPr>
                <w:sz w:val="16"/>
                <w:szCs w:val="16"/>
                <w:color w:val="auto"/>
              </w:rPr>
            </w:pPr>
          </w:p>
        </w:tc>
      </w:tr>
      <w:tr>
        <w:trPr>
          <w:trHeight w:val="209"/>
        </w:trPr>
        <w:tc>
          <w:tcPr>
            <w:tcW w:w="84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11,268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8"/>
                <w:szCs w:val="18"/>
                <w:color w:val="auto"/>
              </w:rPr>
            </w:pPr>
          </w:p>
        </w:tc>
      </w:tr>
      <w:tr>
        <w:trPr>
          <w:trHeight w:val="20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233,725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FAIR VALUE MEASUREMENTS AND FINANCIAL INSTRUMENTS</w:t>
      </w:r>
    </w:p>
    <w:p>
      <w:pPr>
        <w:spacing w:after="0" w:line="21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72" w:lineRule="exact"/>
        <w:rPr>
          <w:sz w:val="20"/>
          <w:szCs w:val="20"/>
          <w:color w:val="auto"/>
        </w:rPr>
      </w:pPr>
    </w:p>
    <w:p>
      <w:pPr>
        <w:ind w:left="600" w:hanging="304"/>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Level 1</w:t>
      </w:r>
      <w:r>
        <w:rPr>
          <w:rFonts w:ascii="Arial" w:cs="Arial" w:eastAsia="Arial" w:hAnsi="Arial"/>
          <w:sz w:val="16"/>
          <w:szCs w:val="16"/>
          <w:color w:val="auto"/>
        </w:rPr>
        <w:t>—Quoted prices (unadjusted) in active markets for identical assets or liabilities.</w:t>
      </w:r>
    </w:p>
    <w:p>
      <w:pPr>
        <w:spacing w:after="0" w:line="212" w:lineRule="exact"/>
        <w:rPr>
          <w:rFonts w:ascii="Arial" w:cs="Arial" w:eastAsia="Arial" w:hAnsi="Arial"/>
          <w:sz w:val="16"/>
          <w:szCs w:val="16"/>
          <w:color w:val="auto"/>
        </w:rPr>
      </w:pPr>
    </w:p>
    <w:p>
      <w:pPr>
        <w:jc w:val="both"/>
        <w:ind w:left="600" w:right="40" w:hanging="304"/>
        <w:spacing w:after="0" w:line="366" w:lineRule="auto"/>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Level 2</w:t>
      </w:r>
      <w:r>
        <w:rPr>
          <w:rFonts w:ascii="Arial" w:cs="Arial" w:eastAsia="Arial" w:hAnsi="Arial"/>
          <w:sz w:val="14"/>
          <w:szCs w:val="14"/>
          <w:color w:val="auto"/>
        </w:rPr>
        <w:t>—Observable inputs other than quoted prices in active markets for identical assets and liabilities, quoted prices for identical or similar assets or liabilities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inactive markets, or other inputs that are observable or can be corroborated by observable market data for substantially the full term of the assets or liabilities.</w:t>
      </w:r>
    </w:p>
    <w:p>
      <w:pPr>
        <w:spacing w:after="0" w:line="103" w:lineRule="exact"/>
        <w:rPr>
          <w:rFonts w:ascii="Arial" w:cs="Arial" w:eastAsia="Arial" w:hAnsi="Arial"/>
          <w:sz w:val="14"/>
          <w:szCs w:val="14"/>
          <w:color w:val="auto"/>
        </w:rPr>
      </w:pPr>
    </w:p>
    <w:p>
      <w:pPr>
        <w:ind w:left="600" w:right="200" w:hanging="304"/>
        <w:spacing w:after="0" w:line="274"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 pricing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6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Cash, cash equivalents and investments are reported at their respective fair values on the Company's condensed consolidated balance sheets. The Company's short-term and long-term investments are classified as available-for-sale.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Company’s financial assets subject to fair value measurements on a recurring basis by level within the fair value hierarchy as of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June 30, 2022 and December 31,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center"/>
              <w:ind w:right="158"/>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Reported As: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line="174" w:lineRule="exact"/>
              <w:rPr>
                <w:sz w:val="20"/>
                <w:szCs w:val="20"/>
                <w:color w:val="auto"/>
              </w:rPr>
            </w:pPr>
            <w:r>
              <w:rPr>
                <w:rFonts w:ascii="Arial" w:cs="Arial" w:eastAsia="Arial" w:hAnsi="Arial"/>
                <w:sz w:val="16"/>
                <w:szCs w:val="16"/>
                <w:b w:val="1"/>
                <w:bCs w:val="1"/>
                <w:color w:val="auto"/>
                <w:w w:val="91"/>
              </w:rPr>
              <w:t>Cash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Amortized</w:t>
            </w:r>
          </w:p>
        </w:tc>
        <w:tc>
          <w:tcPr>
            <w:tcW w:w="12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7"/>
                <w:szCs w:val="17"/>
                <w:color w:val="auto"/>
              </w:rPr>
            </w:pPr>
          </w:p>
        </w:tc>
        <w:tc>
          <w:tcPr>
            <w:tcW w:w="980" w:type="dxa"/>
            <w:vAlign w:val="bottom"/>
            <w:gridSpan w:val="3"/>
          </w:tcPr>
          <w:p>
            <w:pPr>
              <w:jc w:val="center"/>
              <w:ind w:right="18"/>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cash</w:t>
            </w:r>
          </w:p>
        </w:tc>
        <w:tc>
          <w:tcPr>
            <w:tcW w:w="14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7"/>
              </w:rPr>
              <w:t>Short-Term</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78"/>
              <w:spacing w:after="0"/>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equivalents</w:t>
            </w:r>
          </w:p>
        </w:tc>
        <w:tc>
          <w:tcPr>
            <w:tcW w:w="14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Investments</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92"/>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179,950</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6"/>
                <w:szCs w:val="16"/>
                <w:color w:val="auto"/>
              </w:rPr>
              <w:t>Level 1:</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2,710,148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2,710,148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2,710,148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8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945,082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6"/>
                <w:szCs w:val="16"/>
                <w:color w:val="auto"/>
              </w:rPr>
              <w:t>518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944,724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65,002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684,916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Subtotal</w:t>
            </w: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3,655,230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82"/>
              </w:rPr>
              <w:t>518</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3,654,872</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2,775,150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684,916</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194,806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6"/>
                <w:szCs w:val="16"/>
                <w:color w:val="auto"/>
              </w:rPr>
              <w:t>Level 2:</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agency securities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98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221,573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221,543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20,999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200,544</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314,453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173,404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140,890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194,712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110,283</w:t>
            </w: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83,249</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Subtotal</w:t>
            </w: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737,648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78"/>
              </w:rPr>
              <w:t>77</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737,315</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202,349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451,717</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83,249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20"/>
                <w:szCs w:val="20"/>
                <w:color w:val="auto"/>
              </w:rPr>
            </w:pPr>
            <w:r>
              <w:rPr>
                <w:rFonts w:ascii="Arial" w:cs="Arial" w:eastAsia="Arial" w:hAnsi="Arial"/>
                <w:sz w:val="16"/>
                <w:szCs w:val="16"/>
                <w:color w:val="auto"/>
              </w:rPr>
              <w:t>Total assets measured at fair value</w:t>
            </w:r>
          </w:p>
        </w:tc>
        <w:tc>
          <w:tcPr>
            <w:tcW w:w="5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4,572,828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w w:val="82"/>
              </w:rPr>
              <w:t>595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4,572,137</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1,136,633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5"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Level 1:</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16"/>
          <w:szCs w:val="16"/>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ind w:left="1"/>
        <w:spacing w:after="0"/>
        <w:rPr>
          <w:sz w:val="20"/>
          <w:szCs w:val="20"/>
          <w:color w:val="auto"/>
        </w:rPr>
      </w:pPr>
      <w:r>
        <w:rPr>
          <w:rFonts w:ascii="Arial" w:cs="Arial" w:eastAsia="Arial" w:hAnsi="Arial"/>
          <w:sz w:val="14"/>
          <w:szCs w:val="14"/>
          <w:color w:val="auto"/>
        </w:rPr>
        <w:t>Total assets measured at fair value</w:t>
      </w:r>
    </w:p>
    <w:p>
      <w:pPr>
        <w:spacing w:after="0" w:line="20" w:lineRule="exact"/>
        <w:rPr>
          <w:sz w:val="20"/>
          <w:szCs w:val="20"/>
          <w:color w:val="auto"/>
        </w:rPr>
      </w:pPr>
      <w:r>
        <w:rPr>
          <w:sz w:val="20"/>
          <w:szCs w:val="20"/>
          <w:color w:val="auto"/>
        </w:rPr>
        <w:br w:type="column"/>
      </w:r>
    </w:p>
    <w:p>
      <w:pPr>
        <w:jc w:val="center"/>
        <w:ind w:right="94"/>
        <w:spacing w:after="0"/>
        <w:rPr>
          <w:sz w:val="20"/>
          <w:szCs w:val="20"/>
          <w:color w:val="auto"/>
        </w:rPr>
      </w:pPr>
      <w:r>
        <w:rPr>
          <w:rFonts w:ascii="Arial" w:cs="Arial" w:eastAsia="Arial" w:hAnsi="Arial"/>
          <w:sz w:val="16"/>
          <w:szCs w:val="16"/>
          <w:b w:val="1"/>
          <w:bCs w:val="1"/>
          <w:color w:val="auto"/>
        </w:rPr>
        <w:t>December 31, 2021</w:t>
      </w:r>
    </w:p>
    <w:p>
      <w:pPr>
        <w:spacing w:after="0" w:line="29" w:lineRule="exact"/>
        <w:rPr>
          <w:sz w:val="20"/>
          <w:szCs w:val="20"/>
          <w:color w:val="auto"/>
        </w:rPr>
      </w:pPr>
    </w:p>
    <w:p>
      <w:pPr>
        <w:jc w:val="center"/>
        <w:ind w:right="94"/>
        <w:spacing w:after="0"/>
        <w:rPr>
          <w:sz w:val="20"/>
          <w:szCs w:val="20"/>
          <w:color w:val="auto"/>
        </w:rPr>
      </w:pPr>
      <w:r>
        <w:rPr>
          <w:rFonts w:ascii="Arial" w:cs="Arial" w:eastAsia="Arial" w:hAnsi="Arial"/>
          <w:sz w:val="16"/>
          <w:szCs w:val="16"/>
          <w:b w:val="1"/>
          <w:bCs w:val="1"/>
          <w:color w:val="auto"/>
        </w:rPr>
        <w:t>Reported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1709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6" w:lineRule="exact"/>
        <w:rPr>
          <w:sz w:val="20"/>
          <w:szCs w:val="20"/>
          <w:color w:val="auto"/>
        </w:rPr>
      </w:pPr>
    </w:p>
    <w:p>
      <w:pPr>
        <w:ind w:left="6"/>
        <w:spacing w:after="0"/>
        <w:rPr>
          <w:sz w:val="20"/>
          <w:szCs w:val="20"/>
          <w:color w:val="auto"/>
        </w:rPr>
      </w:pPr>
      <w:r>
        <w:rPr>
          <w:rFonts w:ascii="Arial" w:cs="Arial" w:eastAsia="Arial" w:hAnsi="Arial"/>
          <w:sz w:val="14"/>
          <w:szCs w:val="14"/>
          <w:b w:val="1"/>
          <w:bCs w:val="1"/>
          <w:u w:val="single" w:color="auto"/>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1709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31" w:lineRule="exact"/>
        <w:rPr>
          <w:sz w:val="20"/>
          <w:szCs w:val="20"/>
          <w:color w:val="auto"/>
        </w:rPr>
      </w:pPr>
    </w:p>
    <w:p>
      <w:pPr>
        <w:ind w:left="1306" w:hanging="1306"/>
        <w:spacing w:after="0"/>
        <w:tabs>
          <w:tab w:leader="none" w:pos="1306" w:val="left"/>
        </w:tabs>
        <w:numPr>
          <w:ilvl w:val="0"/>
          <w:numId w:val="12"/>
        </w:numPr>
        <w:rPr>
          <w:rFonts w:ascii="Arial" w:cs="Arial" w:eastAsia="Arial" w:hAnsi="Arial"/>
          <w:sz w:val="14"/>
          <w:szCs w:val="14"/>
          <w:color w:val="auto"/>
        </w:rPr>
      </w:pPr>
      <w:r>
        <w:rPr>
          <w:rFonts w:ascii="Arial" w:cs="Arial" w:eastAsia="Arial" w:hAnsi="Arial"/>
          <w:sz w:val="14"/>
          <w:szCs w:val="14"/>
          <w:color w:val="auto"/>
        </w:rPr>
        <w:t>160,888</w:t>
      </w:r>
    </w:p>
    <w:p>
      <w:pPr>
        <w:spacing w:after="0" w:line="247" w:lineRule="exact"/>
        <w:rPr>
          <w:sz w:val="20"/>
          <w:szCs w:val="20"/>
          <w:color w:val="auto"/>
        </w:rPr>
      </w:pPr>
    </w:p>
    <w:p>
      <w:pPr>
        <w:ind w:left="1186"/>
        <w:spacing w:after="0"/>
        <w:rPr>
          <w:sz w:val="20"/>
          <w:szCs w:val="20"/>
          <w:color w:val="auto"/>
        </w:rPr>
      </w:pPr>
      <w:r>
        <w:rPr>
          <w:rFonts w:ascii="Arial" w:cs="Arial" w:eastAsia="Arial" w:hAnsi="Arial"/>
          <w:sz w:val="14"/>
          <w:szCs w:val="14"/>
          <w:color w:val="auto"/>
        </w:rPr>
        <w:t>6,102,017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1709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42" w:lineRule="exact"/>
        <w:rPr>
          <w:sz w:val="20"/>
          <w:szCs w:val="20"/>
          <w:color w:val="auto"/>
        </w:rPr>
      </w:pPr>
    </w:p>
    <w:p>
      <w:pPr>
        <w:ind w:left="1186" w:hanging="1186"/>
        <w:spacing w:after="0"/>
        <w:tabs>
          <w:tab w:leader="none" w:pos="1186" w:val="left"/>
        </w:tabs>
        <w:numPr>
          <w:ilvl w:val="0"/>
          <w:numId w:val="13"/>
        </w:numPr>
        <w:rPr>
          <w:rFonts w:ascii="Arial" w:cs="Arial" w:eastAsia="Arial" w:hAnsi="Arial"/>
          <w:sz w:val="14"/>
          <w:szCs w:val="14"/>
          <w:color w:val="auto"/>
        </w:rPr>
      </w:pPr>
      <w:r>
        <w:rPr>
          <w:rFonts w:ascii="Arial" w:cs="Arial" w:eastAsia="Arial" w:hAnsi="Arial"/>
          <w:sz w:val="14"/>
          <w:szCs w:val="14"/>
          <w:color w:val="auto"/>
        </w:rPr>
        <w:t>6,262,905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1709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09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11709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75" w:space="720"/>
            <w:col w:w="1946"/>
          </w:cols>
          <w:pgMar w:left="319" w:top="853" w:right="339" w:bottom="1440" w:gutter="0" w:footer="0" w:header="0"/>
        </w:sectPr>
      </w:pPr>
    </w:p>
    <w:p>
      <w:pPr>
        <w:spacing w:after="0" w:line="72" w:lineRule="exact"/>
        <w:rPr>
          <w:sz w:val="20"/>
          <w:szCs w:val="20"/>
          <w:color w:val="auto"/>
        </w:rPr>
      </w:pPr>
    </w:p>
    <w:p>
      <w:pPr>
        <w:ind w:left="1" w:right="20"/>
        <w:spacing w:after="0" w:line="330" w:lineRule="auto"/>
        <w:rPr>
          <w:sz w:val="20"/>
          <w:szCs w:val="20"/>
          <w:color w:val="auto"/>
        </w:rPr>
      </w:pPr>
      <w:r>
        <w:rPr>
          <w:rFonts w:ascii="Arial" w:cs="Arial" w:eastAsia="Arial" w:hAnsi="Arial"/>
          <w:sz w:val="14"/>
          <w:szCs w:val="14"/>
          <w:color w:val="auto"/>
        </w:rPr>
        <w:t>During the three and six months ended June 30, 2022, there were no realized gains or losses on the sale of available-for-sale securities. Accrued interest receivable excluded from both the fair value and amortized cost basis of the available-for-sale securities was $4.2 million as of June 30, 2022, and is recorded in Other current assets on our condensed consolidated balance sheets. As of June 30, 2022, no allowance for credit losses was recorded related to an impairment of available-for-sale securities.</w:t>
      </w:r>
    </w:p>
    <w:p>
      <w:pPr>
        <w:spacing w:after="0" w:line="128"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8460" w:type="dxa"/>
            <w:vAlign w:val="bottom"/>
          </w:tcPr>
          <w:p>
            <w:pPr>
              <w:spacing w:after="0"/>
              <w:rPr>
                <w:sz w:val="20"/>
                <w:szCs w:val="20"/>
                <w:color w:val="auto"/>
              </w:rPr>
            </w:pPr>
            <w:r>
              <w:rPr>
                <w:rFonts w:ascii="Arial" w:cs="Arial" w:eastAsia="Arial" w:hAnsi="Arial"/>
                <w:sz w:val="16"/>
                <w:szCs w:val="16"/>
                <w:color w:val="auto"/>
              </w:rPr>
              <w:t>The following table summarizes our available-for-sale securities by contractual maturity:</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ind w:left="720"/>
              <w:spacing w:after="0"/>
              <w:rPr>
                <w:sz w:val="20"/>
                <w:szCs w:val="20"/>
                <w:color w:val="auto"/>
              </w:rPr>
            </w:pPr>
            <w:r>
              <w:rPr>
                <w:rFonts w:ascii="Arial" w:cs="Arial" w:eastAsia="Arial" w:hAnsi="Arial"/>
                <w:sz w:val="16"/>
                <w:szCs w:val="16"/>
                <w:b w:val="1"/>
                <w:bCs w:val="1"/>
                <w:color w:val="auto"/>
              </w:rPr>
              <w:t>June 30, 2022</w:t>
            </w:r>
          </w:p>
        </w:tc>
      </w:tr>
      <w:tr>
        <w:trPr>
          <w:trHeight w:val="175"/>
        </w:trPr>
        <w:tc>
          <w:tcPr>
            <w:tcW w:w="8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500"/>
              <w:spacing w:after="0" w:line="175" w:lineRule="exact"/>
              <w:rPr>
                <w:sz w:val="20"/>
                <w:szCs w:val="20"/>
                <w:color w:val="auto"/>
              </w:rPr>
            </w:pPr>
            <w:r>
              <w:rPr>
                <w:rFonts w:ascii="Arial" w:cs="Arial" w:eastAsia="Arial" w:hAnsi="Arial"/>
                <w:sz w:val="16"/>
                <w:szCs w:val="16"/>
                <w:b w:val="1"/>
                <w:bCs w:val="1"/>
                <w:color w:val="auto"/>
              </w:rPr>
              <w:t>Amortized</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5"/>
                <w:szCs w:val="15"/>
                <w:color w:val="auto"/>
              </w:rPr>
            </w:pPr>
          </w:p>
        </w:tc>
      </w:tr>
      <w:tr>
        <w:trPr>
          <w:trHeight w:val="213"/>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r>
      <w:tr>
        <w:trPr>
          <w:trHeight w:val="192"/>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1,137,726</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1,136,633</w:t>
            </w:r>
          </w:p>
        </w:tc>
        <w:tc>
          <w:tcPr>
            <w:tcW w:w="100" w:type="dxa"/>
            <w:vAlign w:val="bottom"/>
            <w:tcBorders>
              <w:top w:val="single" w:sz="8" w:color="CCEEFF"/>
            </w:tcBorders>
            <w:shd w:val="clear" w:color="auto" w:fill="CCEEFF"/>
          </w:tcPr>
          <w:p>
            <w:pPr>
              <w:spacing w:after="0"/>
              <w:rPr>
                <w:sz w:val="16"/>
                <w:szCs w:val="16"/>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6"/>
                <w:szCs w:val="16"/>
                <w:color w:val="auto"/>
              </w:rPr>
              <w:t>After one year through three years</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277,646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278,055</w:t>
            </w:r>
          </w:p>
        </w:tc>
        <w:tc>
          <w:tcPr>
            <w:tcW w:w="100" w:type="dxa"/>
            <w:vAlign w:val="bottom"/>
          </w:tcPr>
          <w:p>
            <w:pPr>
              <w:spacing w:after="0"/>
              <w:rPr>
                <w:sz w:val="18"/>
                <w:szCs w:val="18"/>
                <w:color w:val="auto"/>
              </w:rPr>
            </w:pPr>
          </w:p>
        </w:tc>
      </w:tr>
      <w:tr>
        <w:trPr>
          <w:trHeight w:val="203"/>
        </w:trPr>
        <w:tc>
          <w:tcPr>
            <w:tcW w:w="84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1,415,372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1,414,688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right="80"/>
        <w:spacing w:after="0" w:line="264" w:lineRule="auto"/>
        <w:rPr>
          <w:sz w:val="20"/>
          <w:szCs w:val="20"/>
          <w:color w:val="auto"/>
        </w:rPr>
      </w:pPr>
      <w:r>
        <w:rPr>
          <w:rFonts w:ascii="Arial" w:cs="Arial" w:eastAsia="Arial" w:hAnsi="Arial"/>
          <w:sz w:val="16"/>
          <w:szCs w:val="16"/>
          <w:color w:val="auto"/>
        </w:rPr>
        <w:t>Level 3 liabilities consist of convertible preferred stock warrant liability, contingent forward contract liability and common stock warrant liability, of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 Significant increases (decreases) in the unobservable inputs used in determining the fair value would result in a significantly higher (lower) fair value measurement. The following table presents a reconciliation of the contingent forward contract liability, convertible preferred stock warrant liability and common stock warrant liability measured and recorded at fair value on a recurring basis (in thousands):</w:t>
      </w:r>
    </w:p>
    <w:p>
      <w:pPr>
        <w:sectPr>
          <w:pgSz w:w="11900" w:h="16838" w:orient="portrait"/>
          <w:cols w:equalWidth="0" w:num="1">
            <w:col w:w="11241"/>
          </w:cols>
          <w:pgMar w:left="319" w:top="8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Fair value-beginning of period</w:t>
      </w:r>
    </w:p>
    <w:p>
      <w:pPr>
        <w:spacing w:after="0" w:line="52" w:lineRule="exact"/>
        <w:rPr>
          <w:sz w:val="20"/>
          <w:szCs w:val="20"/>
          <w:color w:val="auto"/>
        </w:rPr>
      </w:pPr>
    </w:p>
    <w:p>
      <w:pPr>
        <w:ind w:left="141"/>
        <w:spacing w:after="0"/>
        <w:rPr>
          <w:sz w:val="20"/>
          <w:szCs w:val="20"/>
          <w:color w:val="auto"/>
        </w:rPr>
      </w:pPr>
      <w:r>
        <w:rPr>
          <w:rFonts w:ascii="Arial" w:cs="Arial" w:eastAsia="Arial" w:hAnsi="Arial"/>
          <w:sz w:val="16"/>
          <w:szCs w:val="16"/>
          <w:color w:val="auto"/>
        </w:rPr>
        <w:t>Change in fair value</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16"/>
          <w:szCs w:val="16"/>
          <w:color w:val="auto"/>
        </w:rPr>
        <w:t>Settlement</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Fair value-end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Fair value-beginning of period</w:t>
      </w:r>
    </w:p>
    <w:p>
      <w:pPr>
        <w:spacing w:after="0" w:line="52" w:lineRule="exact"/>
        <w:rPr>
          <w:sz w:val="20"/>
          <w:szCs w:val="20"/>
          <w:color w:val="auto"/>
        </w:rPr>
      </w:pPr>
    </w:p>
    <w:p>
      <w:pPr>
        <w:ind w:left="141"/>
        <w:spacing w:after="0"/>
        <w:rPr>
          <w:sz w:val="20"/>
          <w:szCs w:val="20"/>
          <w:color w:val="auto"/>
        </w:rPr>
      </w:pPr>
      <w:r>
        <w:rPr>
          <w:rFonts w:ascii="Arial" w:cs="Arial" w:eastAsia="Arial" w:hAnsi="Arial"/>
          <w:sz w:val="16"/>
          <w:szCs w:val="16"/>
          <w:color w:val="auto"/>
        </w:rPr>
        <w:t>Issuance</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16"/>
          <w:szCs w:val="16"/>
          <w:color w:val="auto"/>
        </w:rPr>
        <w:t>Change in fair value</w:t>
      </w:r>
    </w:p>
    <w:p>
      <w:pPr>
        <w:spacing w:after="0" w:line="14" w:lineRule="exact"/>
        <w:rPr>
          <w:sz w:val="20"/>
          <w:szCs w:val="20"/>
          <w:color w:val="auto"/>
        </w:rPr>
      </w:pPr>
    </w:p>
    <w:p>
      <w:pPr>
        <w:ind w:left="141"/>
        <w:spacing w:after="0"/>
        <w:rPr>
          <w:sz w:val="20"/>
          <w:szCs w:val="20"/>
          <w:color w:val="auto"/>
        </w:rPr>
      </w:pPr>
      <w:r>
        <w:rPr>
          <w:rFonts w:ascii="Arial" w:cs="Arial" w:eastAsia="Arial" w:hAnsi="Arial"/>
          <w:sz w:val="16"/>
          <w:szCs w:val="16"/>
          <w:color w:val="auto"/>
        </w:rPr>
        <w:t>Settlement</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Fair value-end of period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gridSpan w:val="9"/>
          </w:tcPr>
          <w:p>
            <w:pPr>
              <w:jc w:val="right"/>
              <w:ind w:right="480"/>
              <w:spacing w:after="0"/>
              <w:rPr>
                <w:sz w:val="20"/>
                <w:szCs w:val="20"/>
                <w:color w:val="auto"/>
              </w:rPr>
            </w:pPr>
            <w:r>
              <w:rPr>
                <w:rFonts w:ascii="Arial" w:cs="Arial" w:eastAsia="Arial" w:hAnsi="Arial"/>
                <w:sz w:val="16"/>
                <w:szCs w:val="16"/>
                <w:b w:val="1"/>
                <w:bCs w:val="1"/>
                <w:color w:val="auto"/>
              </w:rPr>
              <w:t>Three Months Ended June 30,</w:t>
            </w: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center"/>
              <w:ind w:right="300"/>
              <w:spacing w:after="0" w:line="178" w:lineRule="exact"/>
              <w:rPr>
                <w:sz w:val="20"/>
                <w:szCs w:val="20"/>
                <w:color w:val="auto"/>
              </w:rPr>
            </w:pPr>
            <w:r>
              <w:rPr>
                <w:rFonts w:ascii="Arial" w:cs="Arial" w:eastAsia="Arial" w:hAnsi="Arial"/>
                <w:sz w:val="16"/>
                <w:szCs w:val="16"/>
                <w:b w:val="1"/>
                <w:bCs w:val="1"/>
                <w:color w:val="auto"/>
                <w:w w:val="91"/>
              </w:rPr>
              <w:t>Common Stock</w:t>
            </w:r>
          </w:p>
        </w:tc>
        <w:tc>
          <w:tcPr>
            <w:tcW w:w="20" w:type="dxa"/>
            <w:vAlign w:val="bottom"/>
          </w:tcPr>
          <w:p>
            <w:pPr>
              <w:spacing w:after="0"/>
              <w:rPr>
                <w:sz w:val="15"/>
                <w:szCs w:val="15"/>
                <w:color w:val="auto"/>
              </w:rPr>
            </w:pPr>
          </w:p>
        </w:tc>
        <w:tc>
          <w:tcPr>
            <w:tcW w:w="1460" w:type="dxa"/>
            <w:vAlign w:val="bottom"/>
            <w:gridSpan w:val="4"/>
          </w:tcPr>
          <w:p>
            <w:pPr>
              <w:spacing w:after="0" w:line="178" w:lineRule="exact"/>
              <w:rPr>
                <w:sz w:val="20"/>
                <w:szCs w:val="20"/>
                <w:color w:val="auto"/>
              </w:rPr>
            </w:pPr>
            <w:r>
              <w:rPr>
                <w:rFonts w:ascii="Arial" w:cs="Arial" w:eastAsia="Arial" w:hAnsi="Arial"/>
                <w:sz w:val="16"/>
                <w:szCs w:val="16"/>
                <w:b w:val="1"/>
                <w:bCs w:val="1"/>
                <w:color w:val="auto"/>
                <w:w w:val="94"/>
              </w:rPr>
              <w:t>Contingent Forward</w:t>
            </w:r>
          </w:p>
        </w:tc>
        <w:tc>
          <w:tcPr>
            <w:tcW w:w="60" w:type="dxa"/>
            <w:vAlign w:val="bottom"/>
          </w:tcPr>
          <w:p>
            <w:pPr>
              <w:spacing w:after="0"/>
              <w:rPr>
                <w:sz w:val="15"/>
                <w:szCs w:val="15"/>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5"/>
          </w:tcPr>
          <w:p>
            <w:pPr>
              <w:jc w:val="center"/>
              <w:spacing w:after="0"/>
              <w:rPr>
                <w:sz w:val="20"/>
                <w:szCs w:val="20"/>
                <w:color w:val="auto"/>
              </w:rPr>
            </w:pPr>
            <w:r>
              <w:rPr>
                <w:rFonts w:ascii="Arial" w:cs="Arial" w:eastAsia="Arial" w:hAnsi="Arial"/>
                <w:sz w:val="16"/>
                <w:szCs w:val="16"/>
                <w:b w:val="1"/>
                <w:bCs w:val="1"/>
                <w:color w:val="auto"/>
              </w:rPr>
              <w:t>Warrant Liability</w:t>
            </w:r>
          </w:p>
        </w:tc>
        <w:tc>
          <w:tcPr>
            <w:tcW w:w="1540" w:type="dxa"/>
            <w:vAlign w:val="bottom"/>
            <w:gridSpan w:val="6"/>
          </w:tcPr>
          <w:p>
            <w:pPr>
              <w:spacing w:after="0" w:line="248" w:lineRule="exact"/>
              <w:rPr>
                <w:sz w:val="20"/>
                <w:szCs w:val="20"/>
                <w:color w:val="auto"/>
              </w:rPr>
            </w:pPr>
            <w:r>
              <w:rPr>
                <w:rFonts w:ascii="Arial" w:cs="Arial" w:eastAsia="Arial" w:hAnsi="Arial"/>
                <w:sz w:val="16"/>
                <w:szCs w:val="16"/>
                <w:b w:val="1"/>
                <w:bCs w:val="1"/>
                <w:color w:val="auto"/>
                <w:w w:val="96"/>
              </w:rPr>
              <w:t xml:space="preserve">Contract Liability </w:t>
            </w:r>
            <w:r>
              <w:rPr>
                <w:rFonts w:ascii="Arial" w:cs="Arial" w:eastAsia="Arial" w:hAnsi="Arial"/>
                <w:sz w:val="27"/>
                <w:szCs w:val="27"/>
                <w:b w:val="1"/>
                <w:bCs w:val="1"/>
                <w:color w:val="auto"/>
                <w:w w:val="96"/>
                <w:vertAlign w:val="superscript"/>
              </w:rPr>
              <w:t>(1)</w:t>
            </w: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871,478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gridSpan w:val="4"/>
          </w:tcPr>
          <w:p>
            <w:pPr>
              <w:spacing w:after="0" w:line="178"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1,164,610</w:t>
            </w:r>
          </w:p>
        </w:tc>
        <w:tc>
          <w:tcPr>
            <w:tcW w:w="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(334,843)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12,382</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(1,176,992)</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536,635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w w:val="92"/>
              </w:rPr>
              <w:t>Six Months Ended June 30,</w:t>
            </w:r>
          </w:p>
        </w:tc>
        <w:tc>
          <w:tcPr>
            <w:tcW w:w="1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7"/>
          </w:tcPr>
          <w:p>
            <w:pPr>
              <w:jc w:val="right"/>
              <w:ind w:right="18"/>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58"/>
              <w:spacing w:after="0" w:line="174" w:lineRule="exact"/>
              <w:rPr>
                <w:sz w:val="20"/>
                <w:szCs w:val="20"/>
                <w:color w:val="auto"/>
              </w:rPr>
            </w:pPr>
            <w:r>
              <w:rPr>
                <w:rFonts w:ascii="Arial" w:cs="Arial" w:eastAsia="Arial" w:hAnsi="Arial"/>
                <w:sz w:val="16"/>
                <w:szCs w:val="16"/>
                <w:b w:val="1"/>
                <w:bCs w:val="1"/>
                <w:color w:val="auto"/>
                <w:w w:val="93"/>
              </w:rPr>
              <w:t>Convertible</w:t>
            </w:r>
          </w:p>
        </w:tc>
        <w:tc>
          <w:tcPr>
            <w:tcW w:w="6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Common Stock</w:t>
            </w:r>
          </w:p>
        </w:tc>
        <w:tc>
          <w:tcPr>
            <w:tcW w:w="140" w:type="dxa"/>
            <w:vAlign w:val="bottom"/>
          </w:tcPr>
          <w:p>
            <w:pPr>
              <w:spacing w:after="0"/>
              <w:rPr>
                <w:sz w:val="17"/>
                <w:szCs w:val="17"/>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Contingent Forward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Preferred Stock</w:t>
            </w:r>
          </w:p>
        </w:tc>
      </w:tr>
      <w:tr>
        <w:trPr>
          <w:trHeight w:val="248"/>
        </w:trPr>
        <w:tc>
          <w:tcPr>
            <w:tcW w:w="1340" w:type="dxa"/>
            <w:vAlign w:val="bottom"/>
            <w:gridSpan w:val="4"/>
          </w:tcPr>
          <w:p>
            <w:pPr>
              <w:spacing w:after="0"/>
              <w:rPr>
                <w:sz w:val="20"/>
                <w:szCs w:val="20"/>
                <w:color w:val="auto"/>
              </w:rPr>
            </w:pPr>
            <w:r>
              <w:rPr>
                <w:rFonts w:ascii="Arial" w:cs="Arial" w:eastAsia="Arial" w:hAnsi="Arial"/>
                <w:sz w:val="16"/>
                <w:szCs w:val="16"/>
                <w:b w:val="1"/>
                <w:bCs w:val="1"/>
                <w:color w:val="auto"/>
              </w:rPr>
              <w:t>Warrant Liability</w:t>
            </w:r>
          </w:p>
        </w:tc>
        <w:tc>
          <w:tcPr>
            <w:tcW w:w="1820" w:type="dxa"/>
            <w:vAlign w:val="bottom"/>
            <w:gridSpan w:val="6"/>
          </w:tcPr>
          <w:p>
            <w:pPr>
              <w:ind w:left="140"/>
              <w:spacing w:after="0" w:line="248" w:lineRule="exact"/>
              <w:rPr>
                <w:sz w:val="20"/>
                <w:szCs w:val="20"/>
                <w:color w:val="auto"/>
              </w:rPr>
            </w:pPr>
            <w:r>
              <w:rPr>
                <w:rFonts w:ascii="Arial" w:cs="Arial" w:eastAsia="Arial" w:hAnsi="Arial"/>
                <w:sz w:val="16"/>
                <w:szCs w:val="16"/>
                <w:b w:val="1"/>
                <w:bCs w:val="1"/>
                <w:color w:val="auto"/>
              </w:rPr>
              <w:t xml:space="preserve">Contract Liability </w:t>
            </w:r>
            <w:r>
              <w:rPr>
                <w:rFonts w:ascii="Arial" w:cs="Arial" w:eastAsia="Arial" w:hAnsi="Arial"/>
                <w:sz w:val="27"/>
                <w:szCs w:val="27"/>
                <w:b w:val="1"/>
                <w:bCs w:val="1"/>
                <w:color w:val="auto"/>
                <w:vertAlign w:val="superscript"/>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spacing w:after="0" w:line="248" w:lineRule="exact"/>
              <w:rPr>
                <w:sz w:val="20"/>
                <w:szCs w:val="20"/>
                <w:color w:val="auto"/>
              </w:rPr>
            </w:pPr>
            <w:r>
              <w:rPr>
                <w:rFonts w:ascii="Arial" w:cs="Arial" w:eastAsia="Arial" w:hAnsi="Arial"/>
                <w:sz w:val="16"/>
                <w:szCs w:val="16"/>
                <w:b w:val="1"/>
                <w:bCs w:val="1"/>
                <w:color w:val="auto"/>
                <w:w w:val="97"/>
              </w:rPr>
              <w:t xml:space="preserve">Warrant Liability </w:t>
            </w:r>
            <w:r>
              <w:rPr>
                <w:rFonts w:ascii="Arial" w:cs="Arial" w:eastAsia="Arial" w:hAnsi="Arial"/>
                <w:sz w:val="27"/>
                <w:szCs w:val="27"/>
                <w:b w:val="1"/>
                <w:bCs w:val="1"/>
                <w:color w:val="auto"/>
                <w:w w:val="97"/>
                <w:vertAlign w:val="superscript"/>
              </w:rPr>
              <w:t>(1)</w:t>
            </w:r>
          </w:p>
        </w:tc>
      </w:tr>
      <w:tr>
        <w:trPr>
          <w:trHeight w:val="178"/>
        </w:trPr>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1,394,808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top w:val="single" w:sz="8" w:color="auto"/>
            </w:tcBorders>
            <w:gridSpan w:val="2"/>
          </w:tcPr>
          <w:p>
            <w:pPr>
              <w:spacing w:after="0" w:line="178"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2,960</w:t>
            </w:r>
          </w:p>
        </w:tc>
        <w:tc>
          <w:tcPr>
            <w:tcW w:w="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2,167,332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(858,173)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454,546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6,976</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6"/>
                <w:szCs w:val="16"/>
                <w:color w:val="auto"/>
              </w:rPr>
              <w:t>(2,621,878)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(9,936)</w:t>
            </w:r>
          </w:p>
        </w:tc>
      </w:tr>
      <w:tr>
        <w:trPr>
          <w:trHeight w:val="203"/>
        </w:trPr>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536,635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-2050415</wp:posOffset>
            </wp:positionV>
            <wp:extent cx="7143750" cy="133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3335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-1791335</wp:posOffset>
            </wp:positionV>
            <wp:extent cx="7143750" cy="133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-683260</wp:posOffset>
            </wp:positionV>
            <wp:extent cx="7143750" cy="133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3335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-423545</wp:posOffset>
            </wp:positionV>
            <wp:extent cx="7143750"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-164465</wp:posOffset>
            </wp:positionV>
            <wp:extent cx="7143750" cy="149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1" w:space="720"/>
            <w:col w:w="4740"/>
          </w:cols>
          <w:pgMar w:left="319" w:top="853" w:right="339" w:bottom="1440" w:gutter="0" w:footer="0" w:header="0"/>
          <w:type w:val="continuous"/>
        </w:sectPr>
      </w:pPr>
    </w:p>
    <w:p>
      <w:pPr>
        <w:spacing w:after="0" w:line="23" w:lineRule="exact"/>
        <w:rPr>
          <w:sz w:val="20"/>
          <w:szCs w:val="20"/>
          <w:color w:val="auto"/>
        </w:rPr>
      </w:pPr>
    </w:p>
    <w:p>
      <w:pPr>
        <w:ind w:left="5541" w:right="1320" w:hanging="5541"/>
        <w:spacing w:after="0" w:line="364" w:lineRule="auto"/>
        <w:tabs>
          <w:tab w:leader="none" w:pos="194"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Convertible preferred stock warrant liability and contingent forward contract liability were fully settled during the six months ended June 30, 2021.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14375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5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NOTE 6 – LONG-TERM DEBT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2026 Notes</w:t>
      </w:r>
    </w:p>
    <w:p>
      <w:pPr>
        <w:spacing w:after="0" w:line="212"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59"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Holders of the 2026 Notes may convert all or a portion of their 2026 Notes at their option prior to September 15, 2026, in multiples of $1,000 principal amounts, only under the following circumstances:</w:t>
      </w:r>
    </w:p>
    <w:p>
      <w:pPr>
        <w:spacing w:after="0" w:line="149" w:lineRule="exact"/>
        <w:rPr>
          <w:sz w:val="20"/>
          <w:szCs w:val="20"/>
          <w:color w:val="auto"/>
        </w:rPr>
      </w:pPr>
    </w:p>
    <w:p>
      <w:pPr>
        <w:ind w:left="600" w:right="180" w:hanging="304"/>
        <w:spacing w:after="0" w:line="326" w:lineRule="auto"/>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25" w:lineRule="exact"/>
        <w:rPr>
          <w:rFonts w:ascii="Arial" w:cs="Arial" w:eastAsia="Arial" w:hAnsi="Arial"/>
          <w:sz w:val="15"/>
          <w:szCs w:val="15"/>
          <w:color w:val="auto"/>
        </w:rPr>
      </w:pPr>
    </w:p>
    <w:p>
      <w:pPr>
        <w:jc w:val="both"/>
        <w:ind w:left="600" w:right="320" w:hanging="304"/>
        <w:spacing w:after="0" w:line="274"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61"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or</w:t>
      </w:r>
    </w:p>
    <w:p>
      <w:pPr>
        <w:spacing w:after="0" w:line="212" w:lineRule="exact"/>
        <w:rPr>
          <w:rFonts w:ascii="Arial" w:cs="Arial" w:eastAsia="Arial" w:hAnsi="Arial"/>
          <w:sz w:val="16"/>
          <w:szCs w:val="16"/>
          <w:color w:val="auto"/>
        </w:rPr>
      </w:pPr>
    </w:p>
    <w:p>
      <w:pPr>
        <w:ind w:left="600" w:right="300" w:hanging="304"/>
        <w:spacing w:after="0" w:line="290"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49" w:lineRule="exact"/>
        <w:rPr>
          <w:sz w:val="20"/>
          <w:szCs w:val="20"/>
          <w:color w:val="auto"/>
        </w:rPr>
      </w:pPr>
    </w:p>
    <w:p>
      <w:pPr>
        <w:jc w:val="both"/>
        <w:ind w:right="240"/>
        <w:spacing w:after="0" w:line="274"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62"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June 30, 2022 and December 31, 2021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Principal Amount</w:t>
            </w:r>
          </w:p>
        </w:tc>
        <w:tc>
          <w:tcPr>
            <w:tcW w:w="3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2,012.5</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Unamortized Debt Discounts and Issuance Costs</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23.3</w:t>
            </w:r>
          </w:p>
        </w:tc>
        <w:tc>
          <w:tcPr>
            <w:tcW w:w="4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Carrying Amount</w:t>
            </w:r>
          </w:p>
        </w:tc>
        <w:tc>
          <w:tcPr>
            <w:tcW w:w="39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Fair Value (Level 2)</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1,184.0</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right"/>
              <w:ind w:right="2558"/>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effective interest rate for the convertible note is 1.5%. The components of interest expense related to the 2026 Notes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80" w:type="dxa"/>
            <w:vAlign w:val="bottom"/>
          </w:tcPr>
          <w:p>
            <w:pPr>
              <w:spacing w:after="0"/>
              <w:rPr>
                <w:sz w:val="17"/>
                <w:szCs w:val="17"/>
                <w:color w:val="auto"/>
              </w:rPr>
            </w:pPr>
          </w:p>
        </w:tc>
        <w:tc>
          <w:tcPr>
            <w:tcW w:w="39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w w:val="99"/>
              </w:rPr>
              <w:t>Six Months Ended</w:t>
            </w:r>
          </w:p>
        </w:tc>
      </w:tr>
      <w:tr>
        <w:trPr>
          <w:trHeight w:val="213"/>
        </w:trPr>
        <w:tc>
          <w:tcPr>
            <w:tcW w:w="5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2022</w:t>
            </w:r>
          </w:p>
        </w:tc>
      </w:tr>
      <w:tr>
        <w:trPr>
          <w:trHeight w:val="192"/>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Contractual interest</w:t>
            </w:r>
          </w:p>
        </w:tc>
        <w:tc>
          <w:tcPr>
            <w:tcW w:w="2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6"/>
                <w:szCs w:val="16"/>
                <w:color w:val="auto"/>
              </w:rPr>
              <w:t>Amortization of debt discounts and debt issuance costs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r>
      <w:tr>
        <w:trPr>
          <w:trHeight w:val="203"/>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right="420"/>
        <w:spacing w:after="0" w:line="274" w:lineRule="auto"/>
        <w:rPr>
          <w:sz w:val="20"/>
          <w:szCs w:val="20"/>
          <w:color w:val="auto"/>
        </w:rPr>
      </w:pPr>
      <w:r>
        <w:rPr>
          <w:rFonts w:ascii="Arial" w:cs="Arial" w:eastAsia="Arial" w:hAnsi="Arial"/>
          <w:sz w:val="16"/>
          <w:szCs w:val="16"/>
          <w:color w:val="auto"/>
        </w:rPr>
        <w:t>The 2026 Notes were not eligible for conversion as of June 30, 2022 and December 31, 2021. No sinking fund is provided for the 2026 Notes, which means that the Company is not required to redeem or retire them periodically. As of June 30, 2022, the Company was in compliance with applicable covenants under the indenture governing the 2026 Notes.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SIDF Loan Agreement</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On February 27, 2022, Lucid, LLC, a limited liability company established in the Kingdom of Saudi Arabia and a subsidiary of the Company (“Lucid LLC”) entered into a loan agreement (as subsequently amended, the “SIDF Loan Agreement”) with the SIDF, an affiliate of Public Investment Fund (“PIF”), which is an affiliate of Ayar, the controlling stockholder of the Company.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the Company’s planned KSA Facility. Lucid LLC may repay SIDF Loans earlier than the maturity date without penalty. Obligations under the SIDF Loan Agreement do not extend to the Company or any of its other subsidiaries.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 xml:space="preserve">SIDF Loans will not bear interest. Instead, Lucid LLC will be required to pay SIDF service fees, consisting of follow-up and technical evaluation fees, ranging, in aggregate, from SAR 415 million (approximately $110.6 million) to SAR 1.77 billion (approximately $471.7 million), over the term of the SIDF Loans. SIDF Loans will be secured by security interests in the </w:t>
      </w:r>
      <w:r>
        <w:rPr>
          <w:rFonts w:ascii="Arial" w:cs="Arial" w:eastAsia="Arial" w:hAnsi="Arial"/>
          <w:sz w:val="16"/>
          <w:szCs w:val="16"/>
          <w:color w:val="242424"/>
        </w:rPr>
        <w:t>equipment, machines and assets funded thereby.</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Arial" w:cs="Arial" w:eastAsia="Arial" w:hAnsi="Arial"/>
          <w:sz w:val="16"/>
          <w:szCs w:val="16"/>
          <w:color w:val="242424"/>
        </w:rPr>
        <w:t>As of</w:t>
      </w:r>
      <w:r>
        <w:rPr>
          <w:rFonts w:ascii="Arial" w:cs="Arial" w:eastAsia="Arial" w:hAnsi="Arial"/>
          <w:sz w:val="16"/>
          <w:szCs w:val="16"/>
          <w:color w:val="auto"/>
        </w:rPr>
        <w:t xml:space="preserve"> June 30, 2022</w:t>
      </w:r>
      <w:r>
        <w:rPr>
          <w:rFonts w:ascii="Arial" w:cs="Arial" w:eastAsia="Arial" w:hAnsi="Arial"/>
          <w:sz w:val="16"/>
          <w:szCs w:val="16"/>
          <w:color w:val="242424"/>
        </w:rPr>
        <w:t>,</w:t>
      </w:r>
      <w:r>
        <w:rPr>
          <w:rFonts w:ascii="Arial" w:cs="Arial" w:eastAsia="Arial" w:hAnsi="Arial"/>
          <w:sz w:val="16"/>
          <w:szCs w:val="16"/>
          <w:color w:val="auto"/>
        </w:rPr>
        <w:t xml:space="preserve"> no </w:t>
      </w:r>
      <w:r>
        <w:rPr>
          <w:rFonts w:ascii="Arial" w:cs="Arial" w:eastAsia="Arial" w:hAnsi="Arial"/>
          <w:sz w:val="16"/>
          <w:szCs w:val="16"/>
          <w:color w:val="242424"/>
        </w:rPr>
        <w:t>amounts were outstanding under the SIDF Loan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2424"/>
        </w:rPr>
        <w:t>GIB Facility Agreement</w:t>
      </w:r>
    </w:p>
    <w:p>
      <w:pPr>
        <w:spacing w:after="0" w:line="212"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On April 29, 2022, Lucid LLC entered into a revolving credit facility agreement (the “GIB Facility Agreement”) with GIB, maturing on February 28, 2025. GIB is an affiliate of PIF, which is an affiliate of Ayar, the controlling stockholder of the Company. The GIB Facility Agreement provides for two committed revolving credit facilities in an aggregate principal amount of SAR 1 billion (approximately $266.5 million). SAR $650 million (approximately $173.2 million) under the GIB Facility Agreement is available as bridge financing (the “Bridge Facility”) of Lucid LLC’s capital expenditures in connection with the KSA Facility. The remaining SAR</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June 30, 2022</w:t>
      </w:r>
      <w:r>
        <w:rPr>
          <w:rFonts w:ascii="Arial" w:cs="Arial" w:eastAsia="Arial" w:hAnsi="Arial"/>
          <w:sz w:val="16"/>
          <w:szCs w:val="16"/>
          <w:color w:val="242424"/>
        </w:rPr>
        <w:t>, the Company had outstanding</w:t>
      </w:r>
      <w:r>
        <w:rPr>
          <w:rFonts w:ascii="Arial" w:cs="Arial" w:eastAsia="Arial" w:hAnsi="Arial"/>
          <w:sz w:val="16"/>
          <w:szCs w:val="16"/>
          <w:color w:val="auto"/>
        </w:rPr>
        <w:t xml:space="preserve"> </w:t>
      </w:r>
      <w:r>
        <w:rPr>
          <w:rFonts w:ascii="Arial" w:cs="Arial" w:eastAsia="Arial" w:hAnsi="Arial"/>
          <w:sz w:val="16"/>
          <w:szCs w:val="16"/>
          <w:color w:val="242424"/>
        </w:rPr>
        <w:t xml:space="preserve">borrowings of SAR </w:t>
      </w:r>
      <w:r>
        <w:rPr>
          <w:rFonts w:ascii="Arial" w:cs="Arial" w:eastAsia="Arial" w:hAnsi="Arial"/>
          <w:sz w:val="16"/>
          <w:szCs w:val="16"/>
          <w:color w:val="000000"/>
        </w:rPr>
        <w:t>25 million</w:t>
      </w:r>
      <w:r>
        <w:rPr>
          <w:rFonts w:ascii="Arial" w:cs="Arial" w:eastAsia="Arial" w:hAnsi="Arial"/>
          <w:sz w:val="16"/>
          <w:szCs w:val="16"/>
          <w:color w:val="242424"/>
        </w:rPr>
        <w:t xml:space="preserve"> (approximat</w:t>
      </w:r>
      <w:r>
        <w:rPr>
          <w:rFonts w:ascii="Arial" w:cs="Arial" w:eastAsia="Arial" w:hAnsi="Arial"/>
          <w:sz w:val="16"/>
          <w:szCs w:val="16"/>
          <w:color w:val="000000"/>
        </w:rPr>
        <w:t>ely $6.7 million)</w:t>
      </w:r>
      <w:r>
        <w:rPr>
          <w:rFonts w:ascii="Arial" w:cs="Arial" w:eastAsia="Arial" w:hAnsi="Arial"/>
          <w:sz w:val="16"/>
          <w:szCs w:val="16"/>
          <w:color w:val="242424"/>
        </w:rPr>
        <w:t xml:space="preserve"> from the Working Capital Facility, which was recorded within other current liabilities on condensed consolidated balance sheets. As </w:t>
      </w:r>
      <w:r>
        <w:rPr>
          <w:rFonts w:ascii="Arial" w:cs="Arial" w:eastAsia="Arial" w:hAnsi="Arial"/>
          <w:sz w:val="16"/>
          <w:szCs w:val="16"/>
          <w:color w:val="000000"/>
        </w:rPr>
        <w:t>of June 30, 2022, available borrowings are SAR 650 million (approximately $173.2 million) and SAR 325 million (approximately $86.6</w:t>
      </w:r>
      <w:r>
        <w:rPr>
          <w:rFonts w:ascii="Arial" w:cs="Arial" w:eastAsia="Arial" w:hAnsi="Arial"/>
          <w:sz w:val="16"/>
          <w:szCs w:val="16"/>
          <w:color w:val="242424"/>
        </w:rPr>
        <w:t xml:space="preserve"> </w:t>
      </w:r>
      <w:r>
        <w:rPr>
          <w:rFonts w:ascii="Arial" w:cs="Arial" w:eastAsia="Arial" w:hAnsi="Arial"/>
          <w:sz w:val="16"/>
          <w:szCs w:val="16"/>
          <w:color w:val="000000"/>
        </w:rPr>
        <w:t>million) under the Bridge Facility and Working Capital Facility, respectively. As of June 30, 2022, the Company was in compliance with applicable covenants under the GIB Facility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ABL Credit Facility</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June 30, 2022, the Company was in compliance with applicable covenants under the ABL Credit Facility.</w:t>
      </w:r>
    </w:p>
    <w:p>
      <w:pPr>
        <w:spacing w:after="0" w:line="172"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As of June 30, 2022, the Company had no outstanding borrowings under the ABL Credit Facility. Availability under the ABL Credit Facility was $252.9 million as of June 30, 2022, after giving effect to the borrowing base. The Company incurred issuance costs of $6.3 million to obtain the ABL Credit Facility, which was capitalized within other noncurrent assets on condensed consolidated balance sheets and amortized over the facility term using the straight-line method. During the three months ended June 30, 2022, amortization of the deferred issuance costs and commitment fee were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CONTINGENT FORWARD CONTRACTS</w:t>
      </w:r>
    </w:p>
    <w:p>
      <w:pPr>
        <w:spacing w:after="0" w:line="216"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5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65"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4" w:name="page25"/>
    <w:bookmarkEnd w:id="24"/>
    <w:p>
      <w:pPr>
        <w:ind w:right="20"/>
        <w:spacing w:after="0" w:line="319" w:lineRule="auto"/>
        <w:rPr>
          <w:sz w:val="20"/>
          <w:szCs w:val="20"/>
          <w:color w:val="auto"/>
        </w:rPr>
      </w:pPr>
      <w:r>
        <w:rPr>
          <w:rFonts w:ascii="Arial" w:cs="Arial" w:eastAsia="Arial" w:hAnsi="Arial"/>
          <w:sz w:val="14"/>
          <w:szCs w:val="14"/>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“Convertible Preferred Stock”.</w:t>
      </w:r>
    </w:p>
    <w:p>
      <w:pPr>
        <w:spacing w:after="0" w:line="134" w:lineRule="exact"/>
        <w:rPr>
          <w:sz w:val="20"/>
          <w:szCs w:val="20"/>
          <w:color w:val="auto"/>
        </w:rPr>
      </w:pPr>
    </w:p>
    <w:p>
      <w:pPr>
        <w:jc w:val="both"/>
        <w:ind w:right="160"/>
        <w:spacing w:after="0" w:line="274" w:lineRule="auto"/>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“Convertible Preferred Stock” for more information.</w:t>
      </w:r>
    </w:p>
    <w:p>
      <w:pPr>
        <w:spacing w:after="0" w:line="162"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condensed consolidated statements of operations.</w:t>
      </w:r>
    </w:p>
    <w:p>
      <w:pPr>
        <w:spacing w:after="0" w:line="15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Company recorded the award’s full fair value on each recipient’s grant date as stock-based compensation, and derecognized the related contingent forward contract liability. The Company revalued the contingent forward contract liability for the remaining participants and recorded $12.4 million and $454.5 million fair value remeasurement loss related to the contingent forward contract liability for the three and six months ended June 30, 2021, respectively, with the final fair value of the contingent forward contract liability of $1.2 billion reclassified into Series E convertible preferred stock upon the fourth closing in April 2021. There was no related outstanding contingent forward contract liability as of December 31, 2021.</w:t>
      </w:r>
    </w:p>
    <w:p>
      <w:pPr>
        <w:spacing w:after="0" w:line="173" w:lineRule="exact"/>
        <w:rPr>
          <w:sz w:val="20"/>
          <w:szCs w:val="20"/>
          <w:color w:val="auto"/>
        </w:rPr>
      </w:pPr>
    </w:p>
    <w:p>
      <w:pPr>
        <w:ind w:right="760"/>
        <w:spacing w:after="0" w:line="290" w:lineRule="auto"/>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 The Company’s inputs used in determining the fair value on the issuance date and settlement date,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Stock Price</w:t>
            </w:r>
          </w:p>
        </w:tc>
        <w:tc>
          <w:tcPr>
            <w:tcW w:w="45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13.79</w:t>
            </w:r>
          </w:p>
        </w:tc>
      </w:tr>
      <w:tr>
        <w:trPr>
          <w:trHeight w:val="198"/>
        </w:trPr>
        <w:tc>
          <w:tcPr>
            <w:tcW w:w="5760" w:type="dxa"/>
            <w:vAlign w:val="bottom"/>
          </w:tcPr>
          <w:p>
            <w:pPr>
              <w:spacing w:after="0"/>
              <w:rPr>
                <w:sz w:val="20"/>
                <w:szCs w:val="20"/>
                <w:color w:val="auto"/>
              </w:rPr>
            </w:pPr>
            <w:r>
              <w:rPr>
                <w:rFonts w:ascii="Arial" w:cs="Arial" w:eastAsia="Arial" w:hAnsi="Arial"/>
                <w:sz w:val="16"/>
                <w:szCs w:val="16"/>
                <w:color w:val="auto"/>
              </w:rPr>
              <w:t>Volatility</w:t>
            </w:r>
          </w:p>
        </w:tc>
        <w:tc>
          <w:tcPr>
            <w:tcW w:w="4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198"/>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45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0.01</w:t>
            </w:r>
          </w:p>
        </w:tc>
      </w:tr>
      <w:tr>
        <w:trPr>
          <w:trHeight w:val="209"/>
        </w:trPr>
        <w:tc>
          <w:tcPr>
            <w:tcW w:w="5760" w:type="dxa"/>
            <w:vAlign w:val="bottom"/>
          </w:tcPr>
          <w:p>
            <w:pPr>
              <w:spacing w:after="0"/>
              <w:rPr>
                <w:sz w:val="20"/>
                <w:szCs w:val="20"/>
                <w:color w:val="auto"/>
              </w:rPr>
            </w:pPr>
            <w:r>
              <w:rPr>
                <w:rFonts w:ascii="Arial" w:cs="Arial" w:eastAsia="Arial" w:hAnsi="Arial"/>
                <w:sz w:val="16"/>
                <w:szCs w:val="16"/>
                <w:color w:val="auto"/>
              </w:rPr>
              <w:t>Risk-free rate</w:t>
            </w:r>
          </w:p>
        </w:tc>
        <w:tc>
          <w:tcPr>
            <w:tcW w:w="4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Series E convertible preferred stock contingent forward contract liability for the fourth closing was determined using a forward and an option payoff.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inputs used in determining the fair value on the issuance date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Series E convertible preferred share</w:t>
            </w:r>
          </w:p>
        </w:tc>
        <w:tc>
          <w:tcPr>
            <w:tcW w:w="37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13.79</w:t>
            </w:r>
          </w:p>
        </w:tc>
      </w:tr>
      <w:tr>
        <w:trPr>
          <w:trHeight w:val="198"/>
        </w:trPr>
        <w:tc>
          <w:tcPr>
            <w:tcW w:w="6560" w:type="dxa"/>
            <w:vAlign w:val="bottom"/>
          </w:tcPr>
          <w:p>
            <w:pPr>
              <w:spacing w:after="0"/>
              <w:rPr>
                <w:sz w:val="20"/>
                <w:szCs w:val="20"/>
                <w:color w:val="auto"/>
              </w:rPr>
            </w:pPr>
            <w:r>
              <w:rPr>
                <w:rFonts w:ascii="Arial" w:cs="Arial" w:eastAsia="Arial" w:hAnsi="Arial"/>
                <w:sz w:val="16"/>
                <w:szCs w:val="16"/>
                <w:color w:val="auto"/>
              </w:rPr>
              <w:t>Volatility</w:t>
            </w:r>
          </w:p>
        </w:tc>
        <w:tc>
          <w:tcPr>
            <w:tcW w:w="3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198"/>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37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0.11</w:t>
            </w:r>
          </w:p>
        </w:tc>
      </w:tr>
      <w:tr>
        <w:trPr>
          <w:trHeight w:val="209"/>
        </w:trPr>
        <w:tc>
          <w:tcPr>
            <w:tcW w:w="6560" w:type="dxa"/>
            <w:vAlign w:val="bottom"/>
          </w:tcPr>
          <w:p>
            <w:pPr>
              <w:spacing w:after="0"/>
              <w:rPr>
                <w:sz w:val="20"/>
                <w:szCs w:val="20"/>
                <w:color w:val="auto"/>
              </w:rPr>
            </w:pPr>
            <w:r>
              <w:rPr>
                <w:rFonts w:ascii="Arial" w:cs="Arial" w:eastAsia="Arial" w:hAnsi="Arial"/>
                <w:sz w:val="16"/>
                <w:szCs w:val="16"/>
                <w:color w:val="auto"/>
              </w:rPr>
              <w:t>Risk-free rate</w:t>
            </w:r>
          </w:p>
        </w:tc>
        <w:tc>
          <w:tcPr>
            <w:tcW w:w="3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0.03%</w:t>
            </w:r>
          </w:p>
        </w:tc>
      </w:tr>
    </w:tbl>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CONVERTIBLE PREFERRED STOCK WARRANT LIABILITY</w:t>
      </w:r>
    </w:p>
    <w:p>
      <w:pPr>
        <w:spacing w:after="0" w:line="216"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In March and September 2017, the Company issued two convertible preferred stock warrants to purchase a total of 1,546,799 shares of Series D convertible preferred stock, with an exercise price of $1.94 per share. The Company recorded the convertible preferred stock warrants at fair value using a Monte-Carlo simulation at issuance, which had been subsequently remeasured to fair value each reporting period with the changes recorded in the condensed consolidated statements of operations. 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condensed consolidated statements of operations for the six months ended June 30,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NOTE 9 - COMMON STOCK WARRANT LIABILITY</w:t>
      </w:r>
    </w:p>
    <w:p>
      <w:pPr>
        <w:spacing w:after="0" w:line="21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$1,394.8 million as of December 31, 2021. The Private Placement Warrants remained unexercised and were remeasured to fair value of $536.6 million as of June 30, 2022, resulting in a gain of $334.8 million and $858.2 million, respectively, for the three and six months ended June 30, 2022 recognized in the condensed consolidated statements of operations.</w:t>
      </w:r>
    </w:p>
    <w:p>
      <w:pPr>
        <w:spacing w:after="0" w:line="169"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“Earnback Shares and Warrants” for more information.</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initially estimated the fair value of the Private Placement Warrants that were subject to the contingent forfeiture provisions using a Monte-Carlo simulation which estimates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July 23, 2021</w:t>
            </w:r>
          </w:p>
        </w:tc>
      </w:tr>
      <w:tr>
        <w:trPr>
          <w:trHeight w:val="192"/>
        </w:trPr>
        <w:tc>
          <w:tcPr>
            <w:tcW w:w="9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 of Tranche 1 with $20.00 VWAP threshold 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9920" w:type="dxa"/>
            <w:vAlign w:val="bottom"/>
          </w:tcPr>
          <w:p>
            <w:pPr>
              <w:spacing w:after="0"/>
              <w:rPr>
                <w:sz w:val="20"/>
                <w:szCs w:val="20"/>
                <w:color w:val="auto"/>
              </w:rPr>
            </w:pPr>
            <w:r>
              <w:rPr>
                <w:rFonts w:ascii="Arial" w:cs="Arial" w:eastAsia="Arial" w:hAnsi="Arial"/>
                <w:sz w:val="16"/>
                <w:szCs w:val="16"/>
                <w:color w:val="auto"/>
              </w:rPr>
              <w:t>Fair value of Tranche 2 with $25.00 VWAP threshold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Tranche 3 with $30.00 VWAP threshold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jc w:val="both"/>
        <w:ind w:right="240"/>
        <w:spacing w:after="0" w:line="290" w:lineRule="auto"/>
        <w:rPr>
          <w:sz w:val="20"/>
          <w:szCs w:val="20"/>
          <w:color w:val="auto"/>
        </w:rPr>
      </w:pPr>
      <w:r>
        <w:rPr>
          <w:rFonts w:ascii="Arial" w:cs="Arial" w:eastAsia="Arial" w:hAnsi="Arial"/>
          <w:sz w:val="16"/>
          <w:szCs w:val="16"/>
          <w:color w:val="auto"/>
        </w:rPr>
        <w:t>The fair value of the Private Placement Warrants that are not subject to the contingent forfeiture provisions was estimated using a Black-Scholes option pricing model, and were as follows:</w:t>
      </w:r>
    </w:p>
    <w:p>
      <w:pPr>
        <w:spacing w:after="0" w:line="158" w:lineRule="exact"/>
        <w:rPr>
          <w:sz w:val="20"/>
          <w:szCs w:val="20"/>
          <w:color w:val="auto"/>
        </w:rPr>
      </w:pPr>
    </w:p>
    <w:p>
      <w:pPr>
        <w:ind w:left="8500"/>
        <w:spacing w:after="0"/>
        <w:tabs>
          <w:tab w:leader="none" w:pos="9800" w:val="left"/>
        </w:tabs>
        <w:rPr>
          <w:sz w:val="20"/>
          <w:szCs w:val="20"/>
          <w:color w:val="auto"/>
        </w:rPr>
      </w:pPr>
      <w:r>
        <w:rPr>
          <w:rFonts w:ascii="Arial" w:cs="Arial" w:eastAsia="Arial" w:hAnsi="Arial"/>
          <w:sz w:val="16"/>
          <w:szCs w:val="16"/>
          <w:b w:val="1"/>
          <w:bCs w:val="1"/>
          <w:color w:val="auto"/>
        </w:rPr>
        <w:t>June 30, 2022</w:t>
      </w:r>
      <w:r>
        <w:rPr>
          <w:sz w:val="20"/>
          <w:szCs w:val="20"/>
          <w:color w:val="auto"/>
        </w:rPr>
        <w:tab/>
      </w:r>
      <w:r>
        <w:rPr>
          <w:rFonts w:ascii="Arial" w:cs="Arial" w:eastAsia="Arial" w:hAnsi="Arial"/>
          <w:sz w:val="14"/>
          <w:szCs w:val="14"/>
          <w:b w:val="1"/>
          <w:bCs w:val="1"/>
          <w:u w:val="single" w:color="auto"/>
          <w:color w:val="auto"/>
        </w:rPr>
        <w:t>December 31, 2021</w:t>
      </w:r>
    </w:p>
    <w:p>
      <w:pPr>
        <w:spacing w:after="0" w:line="30" w:lineRule="exact"/>
        <w:rPr>
          <w:sz w:val="20"/>
          <w:szCs w:val="20"/>
          <w:color w:val="auto"/>
        </w:rPr>
      </w:pPr>
    </w:p>
    <w:p>
      <w:pPr>
        <w:spacing w:after="0"/>
        <w:tabs>
          <w:tab w:leader="none" w:pos="8340" w:val="left"/>
          <w:tab w:leader="none" w:pos="9200" w:val="left"/>
          <w:tab w:leader="none" w:pos="9800" w:val="left"/>
          <w:tab w:leader="none" w:pos="10740" w:val="left"/>
        </w:tabs>
        <w:rPr>
          <w:sz w:val="20"/>
          <w:szCs w:val="20"/>
          <w:color w:val="auto"/>
        </w:rPr>
      </w:pPr>
      <w:r>
        <w:rPr>
          <w:rFonts w:ascii="Arial" w:cs="Arial" w:eastAsia="Arial" w:hAnsi="Arial"/>
          <w:sz w:val="16"/>
          <w:szCs w:val="16"/>
          <w:color w:val="auto"/>
        </w:rPr>
        <w:t>Fair value of Private Placement Warrants per share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12.10</w:t>
        <w:tab/>
        <w:t>$</w:t>
      </w:r>
      <w:r>
        <w:rPr>
          <w:sz w:val="20"/>
          <w:szCs w:val="20"/>
          <w:color w:val="auto"/>
        </w:rPr>
        <w:tab/>
      </w:r>
      <w:r>
        <w:rPr>
          <w:rFonts w:ascii="Arial" w:cs="Arial" w:eastAsia="Arial" w:hAnsi="Arial"/>
          <w:sz w:val="15"/>
          <w:szCs w:val="15"/>
          <w:color w:val="auto"/>
        </w:rPr>
        <w:t>31.45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Pr>
          <w:p>
            <w:pPr>
              <w:spacing w:after="0"/>
              <w:rPr>
                <w:sz w:val="18"/>
                <w:szCs w:val="18"/>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0"/>
              </w:rPr>
              <w:t>December 31, 2021</w:t>
            </w: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Volatility</w:t>
            </w: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00" w:type="dxa"/>
            <w:vAlign w:val="bottom"/>
            <w:vMerge w:val="continue"/>
            <w:shd w:val="clear" w:color="auto" w:fill="CCEEFF"/>
          </w:tcPr>
          <w:p>
            <w:pPr>
              <w:spacing w:after="0"/>
              <w:rPr>
                <w:sz w:val="16"/>
                <w:szCs w:val="16"/>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198"/>
        </w:trPr>
        <w:tc>
          <w:tcPr>
            <w:tcW w:w="830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4.1</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8"/>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6"/>
                <w:szCs w:val="16"/>
                <w:color w:val="auto"/>
              </w:rPr>
              <w:t>Dividend yield</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CONVERTIBLE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Preferred Stock</w:t>
      </w:r>
    </w:p>
    <w:p>
      <w:pPr>
        <w:spacing w:after="0" w:line="216" w:lineRule="exact"/>
        <w:rPr>
          <w:sz w:val="20"/>
          <w:szCs w:val="20"/>
          <w:color w:val="auto"/>
        </w:rPr>
      </w:pPr>
    </w:p>
    <w:p>
      <w:pPr>
        <w:jc w:val="both"/>
        <w:ind w:right="60"/>
        <w:spacing w:after="0" w:line="330" w:lineRule="auto"/>
        <w:rPr>
          <w:sz w:val="20"/>
          <w:szCs w:val="20"/>
          <w:color w:val="auto"/>
        </w:rPr>
      </w:pPr>
      <w:r>
        <w:rPr>
          <w:rFonts w:ascii="Arial" w:cs="Arial" w:eastAsia="Arial" w:hAnsi="Arial"/>
          <w:sz w:val="14"/>
          <w:szCs w:val="14"/>
          <w:color w:val="auto"/>
        </w:rPr>
        <w:t>Upon the Closing of the Merger, the Company cancelled and converted all 1,155,909,367 shares of issued and outstanding convertible preferred stock into 1,155,909,367 shares of Lucid common stock based upon the conversion rate as calculated pursuant to Legacy Lucid’s memorandum and articles of association at the date and time that the Merger became effective. As of June 30, 2022 and December 31, 2021, there were no issued and outstanding shares of convertible preferred stock.</w:t>
      </w:r>
    </w:p>
    <w:p>
      <w:pPr>
        <w:spacing w:after="0" w:line="128"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was carried at its issuance price, net of issuance costs.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6" w:name="page27"/>
    <w:bookmarkEnd w:id="26"/>
    <w:p>
      <w:pPr>
        <w:ind w:right="80"/>
        <w:spacing w:after="0" w:line="269" w:lineRule="auto"/>
        <w:rPr>
          <w:sz w:val="20"/>
          <w:szCs w:val="20"/>
          <w:color w:val="auto"/>
        </w:rPr>
      </w:pPr>
      <w:r>
        <w:rPr>
          <w:rFonts w:ascii="Arial" w:cs="Arial" w:eastAsia="Arial" w:hAnsi="Arial"/>
          <w:sz w:val="16"/>
          <w:szCs w:val="16"/>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Company Repurchase (Series C - August 2020)</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condensed consolidated balance sheet as of December 31, 2020 related to the difference in fair value and carrying value of the Series C stock repurchased.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Fourth Company Repurchase (Series C - December 2020)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2020, the Company entered into a Stock Repurchase Agreement with Blitz Technology Hong Kong Co. Limited (“Blitz”).</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Fifth Company Repurchase (Series B - December 2020)</w:t>
      </w: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condensed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D Preferred Stock Issuance</w:t>
      </w:r>
    </w:p>
    <w:p>
      <w:pPr>
        <w:spacing w:after="0" w:line="212"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65"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See activities related to the PIF Convertible Notes and Series D convertible preferred stock funding as below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Series D received in April 2019</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Series D received in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25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D received in March 2020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Contingent forward contract liability reclassified to Series 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25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D received in June 2020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Contingent forward contract liability reclassified to Series 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25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Conversion of preferred stock warrant to Series D in February 2021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preferred stock warrant liability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proceeds of Series D</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688" w:hanging="688"/>
        <w:spacing w:after="0"/>
        <w:tabs>
          <w:tab w:leader="none" w:pos="688" w:val="left"/>
        </w:tabs>
        <w:numPr>
          <w:ilvl w:val="0"/>
          <w:numId w:val="16"/>
        </w:numPr>
        <w:rPr>
          <w:rFonts w:ascii="Arial" w:cs="Arial" w:eastAsia="Arial" w:hAnsi="Arial"/>
          <w:sz w:val="14"/>
          <w:szCs w:val="14"/>
          <w:color w:val="auto"/>
        </w:rPr>
      </w:pPr>
      <w:r>
        <w:rPr>
          <w:rFonts w:ascii="Arial" w:cs="Arial" w:eastAsia="Arial" w:hAnsi="Arial"/>
          <w:sz w:val="14"/>
          <w:szCs w:val="14"/>
          <w:color w:val="auto"/>
        </w:rPr>
        <w:t>271,985</w:t>
      </w:r>
    </w:p>
    <w:p>
      <w:pPr>
        <w:spacing w:after="0" w:line="48" w:lineRule="exact"/>
        <w:rPr>
          <w:rFonts w:ascii="Arial" w:cs="Arial" w:eastAsia="Arial" w:hAnsi="Arial"/>
          <w:sz w:val="14"/>
          <w:szCs w:val="14"/>
          <w:color w:val="auto"/>
        </w:rPr>
      </w:pPr>
    </w:p>
    <w:p>
      <w:pPr>
        <w:ind w:left="688"/>
        <w:spacing w:after="0"/>
        <w:rPr>
          <w:rFonts w:ascii="Arial" w:cs="Arial" w:eastAsia="Arial" w:hAnsi="Arial"/>
          <w:sz w:val="14"/>
          <w:szCs w:val="14"/>
          <w:color w:val="auto"/>
        </w:rPr>
      </w:pPr>
      <w:r>
        <w:rPr>
          <w:rFonts w:ascii="Arial" w:cs="Arial" w:eastAsia="Arial" w:hAnsi="Arial"/>
          <w:sz w:val="14"/>
          <w:szCs w:val="14"/>
          <w:color w:val="auto"/>
        </w:rPr>
        <w:t>200,000</w:t>
      </w:r>
    </w:p>
    <w:p>
      <w:pPr>
        <w:spacing w:after="0" w:line="37" w:lineRule="exact"/>
        <w:rPr>
          <w:rFonts w:ascii="Arial" w:cs="Arial" w:eastAsia="Arial" w:hAnsi="Arial"/>
          <w:sz w:val="14"/>
          <w:szCs w:val="14"/>
          <w:color w:val="auto"/>
        </w:rPr>
      </w:pPr>
    </w:p>
    <w:p>
      <w:pPr>
        <w:ind w:left="688"/>
        <w:spacing w:after="0"/>
        <w:rPr>
          <w:rFonts w:ascii="Arial" w:cs="Arial" w:eastAsia="Arial" w:hAnsi="Arial"/>
          <w:sz w:val="14"/>
          <w:szCs w:val="14"/>
          <w:color w:val="auto"/>
        </w:rPr>
      </w:pPr>
      <w:r>
        <w:rPr>
          <w:rFonts w:ascii="Arial" w:cs="Arial" w:eastAsia="Arial" w:hAnsi="Arial"/>
          <w:sz w:val="14"/>
          <w:szCs w:val="14"/>
          <w:color w:val="auto"/>
        </w:rPr>
        <w:t>400,000</w:t>
      </w:r>
    </w:p>
    <w:p>
      <w:pPr>
        <w:spacing w:after="0" w:line="37" w:lineRule="exact"/>
        <w:rPr>
          <w:rFonts w:ascii="Arial" w:cs="Arial" w:eastAsia="Arial" w:hAnsi="Arial"/>
          <w:sz w:val="14"/>
          <w:szCs w:val="14"/>
          <w:color w:val="auto"/>
        </w:rPr>
      </w:pPr>
    </w:p>
    <w:p>
      <w:pPr>
        <w:ind w:left="688"/>
        <w:spacing w:after="0"/>
        <w:rPr>
          <w:rFonts w:ascii="Arial" w:cs="Arial" w:eastAsia="Arial" w:hAnsi="Arial"/>
          <w:sz w:val="14"/>
          <w:szCs w:val="14"/>
          <w:color w:val="auto"/>
        </w:rPr>
      </w:pPr>
      <w:r>
        <w:rPr>
          <w:rFonts w:ascii="Arial" w:cs="Arial" w:eastAsia="Arial" w:hAnsi="Arial"/>
          <w:sz w:val="14"/>
          <w:szCs w:val="14"/>
          <w:color w:val="auto"/>
        </w:rPr>
        <w:t>200,000</w:t>
      </w:r>
    </w:p>
    <w:p>
      <w:pPr>
        <w:spacing w:after="0" w:line="37" w:lineRule="exact"/>
        <w:rPr>
          <w:rFonts w:ascii="Arial" w:cs="Arial" w:eastAsia="Arial" w:hAnsi="Arial"/>
          <w:sz w:val="14"/>
          <w:szCs w:val="14"/>
          <w:color w:val="auto"/>
        </w:rPr>
      </w:pPr>
    </w:p>
    <w:p>
      <w:pPr>
        <w:ind w:left="768"/>
        <w:spacing w:after="0"/>
        <w:rPr>
          <w:rFonts w:ascii="Arial" w:cs="Arial" w:eastAsia="Arial" w:hAnsi="Arial"/>
          <w:sz w:val="14"/>
          <w:szCs w:val="14"/>
          <w:color w:val="auto"/>
        </w:rPr>
      </w:pPr>
      <w:r>
        <w:rPr>
          <w:rFonts w:ascii="Arial" w:cs="Arial" w:eastAsia="Arial" w:hAnsi="Arial"/>
          <w:sz w:val="15"/>
          <w:szCs w:val="15"/>
          <w:color w:val="auto"/>
        </w:rPr>
        <w:t>18,180</w:t>
      </w:r>
    </w:p>
    <w:p>
      <w:pPr>
        <w:spacing w:after="0" w:line="25" w:lineRule="exact"/>
        <w:rPr>
          <w:rFonts w:ascii="Arial" w:cs="Arial" w:eastAsia="Arial" w:hAnsi="Arial"/>
          <w:sz w:val="14"/>
          <w:szCs w:val="14"/>
          <w:color w:val="auto"/>
        </w:rPr>
      </w:pPr>
    </w:p>
    <w:p>
      <w:pPr>
        <w:ind w:left="688"/>
        <w:spacing w:after="0"/>
        <w:rPr>
          <w:rFonts w:ascii="Arial" w:cs="Arial" w:eastAsia="Arial" w:hAnsi="Arial"/>
          <w:sz w:val="14"/>
          <w:szCs w:val="14"/>
          <w:color w:val="auto"/>
        </w:rPr>
      </w:pPr>
      <w:r>
        <w:rPr>
          <w:rFonts w:ascii="Arial" w:cs="Arial" w:eastAsia="Arial" w:hAnsi="Arial"/>
          <w:sz w:val="14"/>
          <w:szCs w:val="14"/>
          <w:color w:val="auto"/>
        </w:rPr>
        <w:t>200,000</w:t>
      </w:r>
    </w:p>
    <w:p>
      <w:pPr>
        <w:spacing w:after="0" w:line="37" w:lineRule="exact"/>
        <w:rPr>
          <w:rFonts w:ascii="Arial" w:cs="Arial" w:eastAsia="Arial" w:hAnsi="Arial"/>
          <w:sz w:val="14"/>
          <w:szCs w:val="14"/>
          <w:color w:val="auto"/>
        </w:rPr>
      </w:pPr>
    </w:p>
    <w:p>
      <w:pPr>
        <w:ind w:left="768"/>
        <w:spacing w:after="0"/>
        <w:rPr>
          <w:rFonts w:ascii="Arial" w:cs="Arial" w:eastAsia="Arial" w:hAnsi="Arial"/>
          <w:sz w:val="14"/>
          <w:szCs w:val="14"/>
          <w:color w:val="auto"/>
        </w:rPr>
      </w:pPr>
      <w:r>
        <w:rPr>
          <w:rFonts w:ascii="Arial" w:cs="Arial" w:eastAsia="Arial" w:hAnsi="Arial"/>
          <w:sz w:val="15"/>
          <w:szCs w:val="15"/>
          <w:color w:val="auto"/>
        </w:rPr>
        <w:t>21,384</w:t>
      </w:r>
    </w:p>
    <w:p>
      <w:pPr>
        <w:spacing w:after="0" w:line="25" w:lineRule="exact"/>
        <w:rPr>
          <w:rFonts w:ascii="Arial" w:cs="Arial" w:eastAsia="Arial" w:hAnsi="Arial"/>
          <w:sz w:val="14"/>
          <w:szCs w:val="14"/>
          <w:color w:val="auto"/>
        </w:rPr>
      </w:pPr>
    </w:p>
    <w:p>
      <w:pPr>
        <w:ind w:left="848"/>
        <w:spacing w:after="0"/>
        <w:rPr>
          <w:rFonts w:ascii="Arial" w:cs="Arial" w:eastAsia="Arial" w:hAnsi="Arial"/>
          <w:sz w:val="14"/>
          <w:szCs w:val="14"/>
          <w:color w:val="auto"/>
        </w:rPr>
      </w:pPr>
      <w:r>
        <w:rPr>
          <w:rFonts w:ascii="Arial" w:cs="Arial" w:eastAsia="Arial" w:hAnsi="Arial"/>
          <w:sz w:val="15"/>
          <w:szCs w:val="15"/>
          <w:color w:val="auto"/>
        </w:rPr>
        <w:t>3,000</w:t>
      </w:r>
    </w:p>
    <w:p>
      <w:pPr>
        <w:spacing w:after="0" w:line="26" w:lineRule="exact"/>
        <w:rPr>
          <w:rFonts w:ascii="Arial" w:cs="Arial" w:eastAsia="Arial" w:hAnsi="Arial"/>
          <w:sz w:val="14"/>
          <w:szCs w:val="14"/>
          <w:color w:val="auto"/>
        </w:rPr>
      </w:pPr>
    </w:p>
    <w:p>
      <w:pPr>
        <w:ind w:left="848"/>
        <w:spacing w:after="0"/>
        <w:rPr>
          <w:rFonts w:ascii="Arial" w:cs="Arial" w:eastAsia="Arial" w:hAnsi="Arial"/>
          <w:sz w:val="14"/>
          <w:szCs w:val="14"/>
          <w:color w:val="auto"/>
        </w:rPr>
      </w:pPr>
      <w:r>
        <w:rPr>
          <w:rFonts w:ascii="Arial" w:cs="Arial" w:eastAsia="Arial" w:hAnsi="Arial"/>
          <w:sz w:val="15"/>
          <w:szCs w:val="15"/>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778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7875" cy="7620"/>
                    </a:xfrm>
                    <a:prstGeom prst="rect">
                      <a:avLst/>
                    </a:prstGeom>
                    <a:noFill/>
                  </pic:spPr>
                </pic:pic>
              </a:graphicData>
            </a:graphic>
          </wp:anchor>
        </w:drawing>
      </w:r>
    </w:p>
    <w:p>
      <w:pPr>
        <w:spacing w:after="0" w:line="26" w:lineRule="exact"/>
        <w:rPr>
          <w:sz w:val="20"/>
          <w:szCs w:val="20"/>
          <w:color w:val="auto"/>
        </w:rPr>
      </w:pPr>
    </w:p>
    <w:p>
      <w:pPr>
        <w:ind w:left="568" w:hanging="568"/>
        <w:spacing w:after="0"/>
        <w:tabs>
          <w:tab w:leader="none" w:pos="568"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7787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78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49530</wp:posOffset>
            </wp:positionV>
            <wp:extent cx="77787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7875" cy="7620"/>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9192" w:space="720"/>
            <w:col w:w="1328"/>
          </w:cols>
          <w:pgMar w:left="320" w:top="845" w:right="339" w:bottom="1440" w:gutter="0" w:footer="0" w:header="0"/>
        </w:sectPr>
      </w:pPr>
    </w:p>
    <w:p>
      <w:pPr>
        <w:spacing w:after="0" w:line="1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73"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Immediately upon closing of the SPAE, the Company received the full first tranche of $500.0 million in funding in exchange for 167,273,525 Series E convertible preferred stock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stock on the Company’s consolidated balance sheets as of December 31, 2020.</w:t>
      </w:r>
    </w:p>
    <w:p>
      <w:pPr>
        <w:spacing w:after="0" w:line="160"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7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28" w:name="page29"/>
    <w:bookmarkEnd w:id="28"/>
    <w:p>
      <w:pPr>
        <w:ind w:right="160"/>
        <w:spacing w:after="0" w:line="290" w:lineRule="auto"/>
        <w:rPr>
          <w:sz w:val="20"/>
          <w:szCs w:val="20"/>
          <w:color w:val="auto"/>
        </w:rPr>
      </w:pPr>
      <w:r>
        <w:rPr>
          <w:rFonts w:ascii="Arial" w:cs="Arial" w:eastAsia="Arial" w:hAnsi="Arial"/>
          <w:sz w:val="16"/>
          <w:szCs w:val="16"/>
          <w:color w:val="auto"/>
        </w:rPr>
        <w:t>Along with the execution of Amendment No. 1, the Company also increased the authorized number of common shares and convertible preferred stock to 1,316,758,889 and 1,155,909,398 stock,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Company has authorized the issuance of 10,000,000 shares of undesignated preferred stock with a par value of $0.0001 per share with rights and preferences, including voting rights, designated from time to time by the Board of Directors. As of June 30, 2022 and December 31, 2021, there were no issued and outstanding shares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212"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45"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ectPr>
          <w:pgSz w:w="11900" w:h="16838" w:orient="portrait"/>
          <w:cols w:equalWidth="0" w:num="1">
            <w:col w:w="11240"/>
          </w:cols>
          <w:pgMar w:left="320" w:top="845" w:right="3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A summary of activity of the Company’s issued and outstanding public warrants was as follows: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Public warrants issued in connection with Merger on 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Number of public warrants exercised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Public warrants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Issued and outstanding public warrants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December 31,</w:t>
      </w:r>
    </w:p>
    <w:p>
      <w:pPr>
        <w:spacing w:after="0" w:line="52"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2021</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41,400,000</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(41,034,197)</w:t>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(365,803)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17780</wp:posOffset>
            </wp:positionV>
            <wp:extent cx="77787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7875" cy="7620"/>
                    </a:xfrm>
                    <a:prstGeom prst="rect">
                      <a:avLst/>
                    </a:prstGeom>
                    <a:noFill/>
                  </pic:spPr>
                </pic:pic>
              </a:graphicData>
            </a:graphic>
          </wp:anchor>
        </w:drawing>
      </w:r>
    </w:p>
    <w:p>
      <w:pPr>
        <w:spacing w:after="0" w:line="2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17145</wp:posOffset>
            </wp:positionV>
            <wp:extent cx="7778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7875" cy="762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32385</wp:posOffset>
            </wp:positionV>
            <wp:extent cx="7778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787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200"/>
          </w:cols>
          <w:pgMar w:left="320" w:top="845"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Treasury Stock</w:t>
      </w:r>
    </w:p>
    <w:p>
      <w:pPr>
        <w:spacing w:after="0" w:line="212" w:lineRule="exact"/>
        <w:rPr>
          <w:sz w:val="20"/>
          <w:szCs w:val="20"/>
          <w:color w:val="auto"/>
        </w:rPr>
      </w:pPr>
    </w:p>
    <w:p>
      <w:pPr>
        <w:jc w:val="both"/>
        <w:ind w:right="80"/>
        <w:spacing w:after="0" w:line="274" w:lineRule="auto"/>
        <w:rPr>
          <w:sz w:val="20"/>
          <w:szCs w:val="20"/>
          <w:color w:val="auto"/>
        </w:rPr>
      </w:pPr>
      <w:r>
        <w:rPr>
          <w:rFonts w:ascii="Arial" w:cs="Arial" w:eastAsia="Arial" w:hAnsi="Arial"/>
          <w:sz w:val="16"/>
          <w:szCs w:val="16"/>
          <w:color w:val="auto"/>
        </w:rPr>
        <w:t>In fiscal year 2021, the Company repurchased an aggregate of 857,825 shares of its common stock, including 712,742 shares from certain employees and 145,083 shares from Board of Directors of the Company’s predecessor, Atieva, Inc. at $24.15 per share. No common stock was repurchased for the three and six months ended June 30,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Reserved for Issuance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reserved for future issuances as of June 30, 2022 and December 31, 2021,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518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220" w:type="dxa"/>
            <w:vAlign w:val="bottom"/>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Private warrants to purchase common stock</w:t>
            </w:r>
          </w:p>
        </w:tc>
        <w:tc>
          <w:tcPr>
            <w:tcW w:w="39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89"/>
              </w:rPr>
              <w:t>44,350,000</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6"/>
                <w:szCs w:val="16"/>
                <w:color w:val="auto"/>
              </w:rPr>
              <w:t>Stock options outstanding</w:t>
            </w:r>
          </w:p>
        </w:tc>
        <w:tc>
          <w:tcPr>
            <w:tcW w:w="5420" w:type="dxa"/>
            <w:vAlign w:val="bottom"/>
            <w:gridSpan w:val="3"/>
          </w:tcPr>
          <w:p>
            <w:pPr>
              <w:ind w:left="4440"/>
              <w:spacing w:after="0"/>
              <w:rPr>
                <w:sz w:val="20"/>
                <w:szCs w:val="20"/>
                <w:color w:val="auto"/>
              </w:rPr>
            </w:pPr>
            <w:r>
              <w:rPr>
                <w:rFonts w:ascii="Arial" w:cs="Arial" w:eastAsia="Arial" w:hAnsi="Arial"/>
                <w:sz w:val="16"/>
                <w:szCs w:val="16"/>
                <w:color w:val="auto"/>
              </w:rPr>
              <w:t>46,268,897</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64,119,902</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units outstanding</w:t>
            </w:r>
          </w:p>
        </w:tc>
        <w:tc>
          <w:tcPr>
            <w:tcW w:w="5420" w:type="dxa"/>
            <w:vAlign w:val="bottom"/>
            <w:gridSpan w:val="3"/>
            <w:shd w:val="clear" w:color="auto" w:fill="CCEEFF"/>
          </w:tcPr>
          <w:p>
            <w:pPr>
              <w:ind w:left="4440"/>
              <w:spacing w:after="0"/>
              <w:rPr>
                <w:sz w:val="20"/>
                <w:szCs w:val="20"/>
                <w:color w:val="auto"/>
              </w:rPr>
            </w:pPr>
            <w:r>
              <w:rPr>
                <w:rFonts w:ascii="Arial" w:cs="Arial" w:eastAsia="Arial" w:hAnsi="Arial"/>
                <w:sz w:val="16"/>
                <w:szCs w:val="16"/>
                <w:color w:val="auto"/>
              </w:rPr>
              <w:t>41,975,024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48,234,611</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6"/>
                <w:szCs w:val="16"/>
                <w:color w:val="auto"/>
              </w:rPr>
              <w:t>Shares available for future grants under equity plans</w:t>
            </w:r>
          </w:p>
        </w:tc>
        <w:tc>
          <w:tcPr>
            <w:tcW w:w="5420" w:type="dxa"/>
            <w:vAlign w:val="bottom"/>
            <w:gridSpan w:val="3"/>
          </w:tcPr>
          <w:p>
            <w:pPr>
              <w:ind w:left="4440"/>
              <w:spacing w:after="0"/>
              <w:rPr>
                <w:sz w:val="20"/>
                <w:szCs w:val="20"/>
                <w:color w:val="auto"/>
              </w:rPr>
            </w:pPr>
            <w:r>
              <w:rPr>
                <w:rFonts w:ascii="Arial" w:cs="Arial" w:eastAsia="Arial" w:hAnsi="Arial"/>
                <w:sz w:val="16"/>
                <w:szCs w:val="16"/>
                <w:color w:val="auto"/>
              </w:rPr>
              <w:t>31,744,524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16,761,960</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If-converted common shares from convertible note</w:t>
            </w:r>
          </w:p>
        </w:tc>
        <w:tc>
          <w:tcPr>
            <w:tcW w:w="5420" w:type="dxa"/>
            <w:vAlign w:val="bottom"/>
            <w:gridSpan w:val="3"/>
            <w:shd w:val="clear" w:color="auto" w:fill="CCEEFF"/>
          </w:tcPr>
          <w:p>
            <w:pPr>
              <w:ind w:left="4440"/>
              <w:spacing w:after="0"/>
              <w:rPr>
                <w:sz w:val="20"/>
                <w:szCs w:val="20"/>
                <w:color w:val="auto"/>
              </w:rPr>
            </w:pPr>
            <w:r>
              <w:rPr>
                <w:rFonts w:ascii="Arial" w:cs="Arial" w:eastAsia="Arial" w:hAnsi="Arial"/>
                <w:sz w:val="16"/>
                <w:szCs w:val="16"/>
                <w:color w:val="auto"/>
              </w:rPr>
              <w:t>36,737,785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36,737,785</w:t>
            </w:r>
          </w:p>
        </w:tc>
        <w:tc>
          <w:tcPr>
            <w:tcW w:w="0" w:type="dxa"/>
            <w:vAlign w:val="bottom"/>
          </w:tcPr>
          <w:p>
            <w:pPr>
              <w:spacing w:after="0"/>
              <w:rPr>
                <w:sz w:val="1"/>
                <w:szCs w:val="1"/>
                <w:color w:val="auto"/>
              </w:rPr>
            </w:pPr>
          </w:p>
        </w:tc>
      </w:tr>
      <w:tr>
        <w:trPr>
          <w:trHeight w:val="201"/>
        </w:trPr>
        <w:tc>
          <w:tcPr>
            <w:tcW w:w="4500" w:type="dxa"/>
            <w:vAlign w:val="bottom"/>
          </w:tcPr>
          <w:p>
            <w:pPr>
              <w:spacing w:after="0"/>
              <w:rPr>
                <w:sz w:val="20"/>
                <w:szCs w:val="20"/>
                <w:color w:val="auto"/>
              </w:rPr>
            </w:pPr>
            <w:r>
              <w:rPr>
                <w:rFonts w:ascii="Arial" w:cs="Arial" w:eastAsia="Arial" w:hAnsi="Arial"/>
                <w:sz w:val="16"/>
                <w:szCs w:val="16"/>
                <w:color w:val="auto"/>
              </w:rPr>
              <w:t>Total shares of common stock reserved</w:t>
            </w:r>
          </w:p>
        </w:tc>
        <w:tc>
          <w:tcPr>
            <w:tcW w:w="39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201,076,230</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210,204,258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960" w:type="dxa"/>
            <w:vAlign w:val="bottom"/>
            <w:vMerge w:val="restart"/>
          </w:tcPr>
          <w:p>
            <w:pPr>
              <w:jc w:val="right"/>
              <w:ind w:right="2658"/>
              <w:spacing w:after="0"/>
              <w:rPr>
                <w:sz w:val="20"/>
                <w:szCs w:val="20"/>
                <w:color w:val="auto"/>
              </w:rPr>
            </w:pPr>
            <w:r>
              <w:rPr>
                <w:rFonts w:ascii="Arial" w:cs="Arial" w:eastAsia="Arial" w:hAnsi="Arial"/>
                <w:sz w:val="16"/>
                <w:szCs w:val="16"/>
                <w:color w:val="auto"/>
              </w:rPr>
              <w:t>28</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5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NOTE 12 – EARNBACK SHARES AND WARRANTS</w:t>
      </w:r>
    </w:p>
    <w:p>
      <w:pPr>
        <w:spacing w:after="0" w:line="216"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STOCK-BASED AWARDS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for the six months ended June 30, 2022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6"/>
                <w:szCs w:val="16"/>
                <w:b w:val="1"/>
                <w:bCs w:val="1"/>
                <w:color w:val="auto"/>
                <w:w w:val="92"/>
              </w:rPr>
              <w:t>Outstanding Options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5"/>
                <w:szCs w:val="15"/>
                <w:color w:val="auto"/>
              </w:rPr>
            </w:pPr>
          </w:p>
        </w:tc>
        <w:tc>
          <w:tcPr>
            <w:tcW w:w="23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2"/>
              </w:rPr>
              <w:t>Weighted-Average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Remaining Contractual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Intrinsic Value (in</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Exercise Price</w:t>
            </w:r>
          </w:p>
        </w:tc>
        <w:tc>
          <w:tcPr>
            <w:tcW w:w="2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thousands)</w:t>
            </w:r>
          </w:p>
        </w:tc>
        <w:tc>
          <w:tcPr>
            <w:tcW w:w="0" w:type="dxa"/>
            <w:vAlign w:val="bottom"/>
          </w:tcPr>
          <w:p>
            <w:pPr>
              <w:spacing w:after="0"/>
              <w:rPr>
                <w:sz w:val="1"/>
                <w:szCs w:val="1"/>
                <w:color w:val="auto"/>
              </w:rPr>
            </w:pPr>
          </w:p>
        </w:tc>
      </w:tr>
      <w:tr>
        <w:trPr>
          <w:trHeight w:val="192"/>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64,119,902</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2,370,666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140"/>
              <w:spacing w:after="0"/>
              <w:rPr>
                <w:sz w:val="20"/>
                <w:szCs w:val="20"/>
                <w:color w:val="auto"/>
              </w:rPr>
            </w:pPr>
            <w:r>
              <w:rPr>
                <w:rFonts w:ascii="Arial" w:cs="Arial" w:eastAsia="Arial" w:hAnsi="Arial"/>
                <w:sz w:val="16"/>
                <w:szCs w:val="16"/>
                <w:color w:val="auto"/>
              </w:rPr>
              <w:t>Options granted</w:t>
            </w: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Options exercised</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(16,195,326)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0.79</w:t>
            </w: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140"/>
              <w:spacing w:after="0"/>
              <w:rPr>
                <w:sz w:val="20"/>
                <w:szCs w:val="20"/>
                <w:color w:val="auto"/>
              </w:rPr>
            </w:pPr>
            <w:r>
              <w:rPr>
                <w:rFonts w:ascii="Arial" w:cs="Arial" w:eastAsia="Arial" w:hAnsi="Arial"/>
                <w:sz w:val="16"/>
                <w:szCs w:val="16"/>
                <w:color w:val="auto"/>
              </w:rPr>
              <w:t>Options canceled</w:t>
            </w: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(1,655,679)</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Balance—June 30,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46,268,897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256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6.84</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742,613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Options vested and exercisable June 30, 2022</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0.93</w:t>
            </w:r>
          </w:p>
        </w:tc>
        <w:tc>
          <w:tcPr>
            <w:tcW w:w="256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6.26</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515,722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31,731,833</w:t>
            </w: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560" w:type="dxa"/>
            <w:vAlign w:val="bottom"/>
            <w:gridSpan w:val="3"/>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As of June 30, 2022, unrecognized stock-based compensation cost related to outstanding unvested stock options that are expected to vest was $8.6 million, which is expected to be recognized over a weighted-average period of 2.1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6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4760" w:type="dxa"/>
            <w:vAlign w:val="bottom"/>
          </w:tcPr>
          <w:p>
            <w:pPr>
              <w:spacing w:after="0"/>
              <w:rPr>
                <w:sz w:val="20"/>
                <w:szCs w:val="20"/>
                <w:color w:val="auto"/>
              </w:rPr>
            </w:pPr>
            <w:r>
              <w:rPr>
                <w:rFonts w:ascii="Arial" w:cs="Arial" w:eastAsia="Arial" w:hAnsi="Arial"/>
                <w:sz w:val="16"/>
                <w:szCs w:val="16"/>
                <w:color w:val="auto"/>
              </w:rPr>
              <w:t>A summary of RSU award activity was as follows: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47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6"/>
                <w:szCs w:val="16"/>
                <w:b w:val="1"/>
                <w:bCs w:val="1"/>
                <w:color w:val="auto"/>
              </w:rPr>
              <w:t>Restricted Stock Units</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58"/>
              <w:spacing w:after="0" w:line="175" w:lineRule="exact"/>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5"/>
                <w:szCs w:val="15"/>
                <w:color w:val="auto"/>
              </w:rPr>
            </w:pPr>
          </w:p>
        </w:tc>
      </w:tr>
      <w:tr>
        <w:trPr>
          <w:trHeight w:val="198"/>
        </w:trPr>
        <w:tc>
          <w:tcPr>
            <w:tcW w:w="4760" w:type="dxa"/>
            <w:vAlign w:val="bottom"/>
          </w:tcPr>
          <w:p>
            <w:pPr>
              <w:spacing w:after="0"/>
              <w:rPr>
                <w:sz w:val="17"/>
                <w:szCs w:val="17"/>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Time-Based</w:t>
            </w:r>
          </w:p>
        </w:tc>
        <w:tc>
          <w:tcPr>
            <w:tcW w:w="16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Performance-</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Average Grant-</w:t>
            </w:r>
          </w:p>
        </w:tc>
      </w:tr>
      <w:tr>
        <w:trPr>
          <w:trHeight w:val="213"/>
        </w:trPr>
        <w:tc>
          <w:tcPr>
            <w:tcW w:w="476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Shares</w:t>
            </w:r>
          </w:p>
        </w:tc>
        <w:tc>
          <w:tcPr>
            <w:tcW w:w="16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Based Shares</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 Shares</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Date Fair Value</w:t>
            </w:r>
          </w:p>
        </w:tc>
      </w:tr>
      <w:tr>
        <w:trPr>
          <w:trHeight w:val="192"/>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32,210,200</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16,024,411</w:t>
            </w: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48,234,611</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Granted</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11,441,063</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11,441,063</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(2,616,301)</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(13,934,271)</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(16,550,572)</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100" w:type="dxa"/>
            <w:vAlign w:val="bottom"/>
            <w:shd w:val="clear" w:color="auto" w:fill="CCEEFF"/>
          </w:tcPr>
          <w:p>
            <w:pPr>
              <w:spacing w:after="0"/>
              <w:rPr>
                <w:sz w:val="17"/>
                <w:szCs w:val="17"/>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6"/>
                <w:szCs w:val="16"/>
                <w:color w:val="auto"/>
              </w:rPr>
              <w:t>Cancelled/Forfeited</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(1,150,078)</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(1,150,078)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18"/>
                <w:szCs w:val="18"/>
                <w:color w:val="auto"/>
              </w:rPr>
            </w:pPr>
          </w:p>
        </w:tc>
      </w:tr>
      <w:tr>
        <w:trPr>
          <w:trHeight w:val="20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June 30,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39,884,884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2,090,140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41,975,024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of June 30, 2022, unrecognized stock-based compensation cost related to outstanding unvested time-based RSUs that are expected to vest was $563.3 million, which is expected to be recognized over a weighted-average period of 2.9 years.</w:t>
      </w:r>
    </w:p>
    <w:p>
      <w:pPr>
        <w:spacing w:after="0" w:line="149" w:lineRule="exact"/>
        <w:rPr>
          <w:sz w:val="20"/>
          <w:szCs w:val="20"/>
          <w:color w:val="auto"/>
        </w:rPr>
      </w:pPr>
    </w:p>
    <w:p>
      <w:pPr>
        <w:jc w:val="both"/>
        <w:ind w:right="300"/>
        <w:spacing w:after="0" w:line="274" w:lineRule="auto"/>
        <w:rPr>
          <w:sz w:val="20"/>
          <w:szCs w:val="20"/>
          <w:color w:val="auto"/>
        </w:rPr>
      </w:pPr>
      <w:r>
        <w:rPr>
          <w:rFonts w:ascii="Arial" w:cs="Arial" w:eastAsia="Arial" w:hAnsi="Arial"/>
          <w:sz w:val="16"/>
          <w:szCs w:val="16"/>
          <w:color w:val="auto"/>
        </w:rPr>
        <w:t>All performance-based RSUs granted to the CEO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volatility</w:t>
            </w:r>
          </w:p>
        </w:tc>
        <w:tc>
          <w:tcPr>
            <w:tcW w:w="7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198"/>
        </w:trPr>
        <w:tc>
          <w:tcPr>
            <w:tcW w:w="36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560" w:type="dxa"/>
            <w:vAlign w:val="bottom"/>
          </w:tcPr>
          <w:p>
            <w:pPr>
              <w:jc w:val="right"/>
              <w:ind w:right="58"/>
              <w:spacing w:after="0"/>
              <w:rPr>
                <w:sz w:val="20"/>
                <w:szCs w:val="20"/>
                <w:color w:val="auto"/>
              </w:rPr>
            </w:pPr>
            <w:r>
              <w:rPr>
                <w:rFonts w:ascii="Arial" w:cs="Arial" w:eastAsia="Arial" w:hAnsi="Arial"/>
                <w:sz w:val="16"/>
                <w:szCs w:val="16"/>
                <w:color w:val="auto"/>
              </w:rPr>
              <w:t>5.0</w:t>
            </w:r>
          </w:p>
        </w:tc>
      </w:tr>
      <w:tr>
        <w:trPr>
          <w:trHeight w:val="198"/>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7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3680" w:type="dxa"/>
            <w:vAlign w:val="bottom"/>
          </w:tcPr>
          <w:p>
            <w:pPr>
              <w:spacing w:after="0"/>
              <w:rPr>
                <w:sz w:val="20"/>
                <w:szCs w:val="20"/>
                <w:color w:val="auto"/>
              </w:rPr>
            </w:pPr>
            <w:r>
              <w:rPr>
                <w:rFonts w:ascii="Arial" w:cs="Arial" w:eastAsia="Arial" w:hAnsi="Arial"/>
                <w:sz w:val="16"/>
                <w:szCs w:val="16"/>
                <w:color w:val="auto"/>
              </w:rPr>
              <w:t>Expected dividends</w:t>
            </w:r>
          </w:p>
        </w:tc>
        <w:tc>
          <w:tcPr>
            <w:tcW w:w="756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582"/>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jc w:val="right"/>
              <w:ind w:right="5438"/>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240"/>
          </w:cols>
          <w:pgMar w:left="320" w:top="1039" w:right="339" w:bottom="1440" w:gutter="0" w:footer="0" w:header="0"/>
        </w:sectPr>
      </w:pPr>
    </w:p>
    <w:bookmarkStart w:id="30" w:name="page31"/>
    <w:bookmarkEnd w:id="30"/>
    <w:p>
      <w:pPr>
        <w:ind w:right="60"/>
        <w:spacing w:after="0" w:line="282" w:lineRule="auto"/>
        <w:rPr>
          <w:sz w:val="20"/>
          <w:szCs w:val="20"/>
          <w:color w:val="auto"/>
        </w:rPr>
      </w:pPr>
      <w:r>
        <w:rPr>
          <w:rFonts w:ascii="Arial" w:cs="Arial" w:eastAsia="Arial" w:hAnsi="Arial"/>
          <w:sz w:val="15"/>
          <w:szCs w:val="15"/>
          <w:color w:val="auto"/>
        </w:rPr>
        <w:t>The Company recognizes compensation expense on a graded vesting schedule over the requisite vesting period for the time-based awards and over the derived service period for the CEO performance-based awards. Stock-based compensation expense is recognized when the relevant performance condition is considered probable of achievement for the performance-based award. During the six months ended June 30, 2022, the market capitalization condition was met for the CEO performance-based awards for four of the five tranches and certified by the Board of Directors, representing an aggregate of 13,934,271 performance RSUs. We recorded stock-based compensation expense of $85.4 million for the four tranches during the six months ended June 30, 2022, and no such expense was recognized in the same period in the prior year. As of June 30, 2022, the unamortized expense for the fifth tranche, representing 2,090,140 RSUs, was $13.9 million which will be recognized over a period of 1.2 years. For the three and six months ended June 30, 2022, the Company withheld approximately 0.5 million and 8.5 million shares of common stock, respectively, by net settlement to meet the related tax withholding requirements related to the CEO time-based and performance-based RSUs.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ESPP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As of June 30, 2022, unrecognized stock-based compensation cost related to the ESPP was $35.9 million, which is expected to be recognized over a weighted-average period of 1.9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Total employee and nonemployee stock-based compensation expense for the three and six months ended June 30, 2022 and 2021, was classified in the condensed consolidated statements of operations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18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r>
      <w:tr>
        <w:trPr>
          <w:trHeight w:val="204"/>
        </w:trPr>
        <w:tc>
          <w:tcPr>
            <w:tcW w:w="37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r>
      <w:tr>
        <w:trPr>
          <w:trHeight w:val="19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10,381</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18,980</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98"/>
        </w:trPr>
        <w:tc>
          <w:tcPr>
            <w:tcW w:w="37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39,220</w:t>
            </w:r>
          </w:p>
        </w:tc>
        <w:tc>
          <w:tcPr>
            <w:tcW w:w="26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13,539</w:t>
            </w:r>
          </w:p>
        </w:tc>
        <w:tc>
          <w:tcPr>
            <w:tcW w:w="24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88,976</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26,703</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44,791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10,910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102,541</w:t>
            </w:r>
          </w:p>
        </w:tc>
        <w:tc>
          <w:tcPr>
            <w:tcW w:w="100" w:type="dxa"/>
            <w:vAlign w:val="bottom"/>
            <w:shd w:val="clear" w:color="auto" w:fill="CCEEFF"/>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94,392</w:t>
            </w:r>
          </w:p>
        </w:tc>
        <w:tc>
          <w:tcPr>
            <w:tcW w:w="3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24,449</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268,943</w:t>
            </w:r>
          </w:p>
        </w:tc>
        <w:tc>
          <w:tcPr>
            <w:tcW w:w="3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129,244</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Total stock-based compensation expense for the three and six months ended June 30, 2021 included the $20.7 million and $123.6 million share-based compensation expense, respectively, related to the Series E convertible preferred shares issuance in March 2021 and April 2021. Refer to Note 7 “Contingent Forward Contracts” and Note 10 “Convertible Preferred Stock” for further detail.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LEASES</w:t>
      </w:r>
    </w:p>
    <w:p>
      <w:pPr>
        <w:spacing w:after="0" w:line="216"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color w:val="auto"/>
        </w:rPr>
        <w:t>The Company has entered into various non-cancellable operating and finance lease agreements for certain of the Company’s offices, manufacturing and warehouse facilities, retail and service locations, equipment and vehicles, worldwide.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1" w:name="page32"/>
    <w:bookmarkEnd w:id="31"/>
    <w:p>
      <w:pPr>
        <w:ind w:left="1"/>
        <w:spacing w:after="0" w:line="290" w:lineRule="auto"/>
        <w:rPr>
          <w:sz w:val="20"/>
          <w:szCs w:val="20"/>
          <w:color w:val="auto"/>
        </w:rPr>
      </w:pPr>
      <w:r>
        <w:rPr>
          <w:rFonts w:ascii="Arial" w:cs="Arial" w:eastAsia="Arial" w:hAnsi="Arial"/>
          <w:sz w:val="16"/>
          <w:szCs w:val="16"/>
          <w:color w:val="auto"/>
        </w:rPr>
        <w:t>The balances for the operating and finance leases where the Company is the lessee are presented as follows within the Company’s condensed consolidated balance sheets (in thousands):</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198,207</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161,974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11,721</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11,056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222,457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234,178</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Finance leases: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finance lease assets</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3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Finance lease liabilities, current portion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4,657</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 liabilities, net of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Total finance lease liabilities</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10,034</w:t>
            </w:r>
          </w:p>
        </w:tc>
        <w:tc>
          <w:tcPr>
            <w:tcW w:w="3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components of lease expense are as follows within the Company’s condensed consolidated statement of operations (in thousands):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8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lease expense:</w:t>
            </w:r>
          </w:p>
        </w:tc>
        <w:tc>
          <w:tcPr>
            <w:tcW w:w="1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20" w:type="dxa"/>
            <w:vAlign w:val="bottom"/>
          </w:tcPr>
          <w:p>
            <w:pPr>
              <w:ind w:left="120"/>
              <w:spacing w:after="0" w:line="235" w:lineRule="exact"/>
              <w:rPr>
                <w:sz w:val="20"/>
                <w:szCs w:val="20"/>
                <w:color w:val="auto"/>
              </w:rPr>
            </w:pPr>
            <w:r>
              <w:rPr>
                <w:rFonts w:ascii="Arial" w:cs="Arial" w:eastAsia="Arial" w:hAnsi="Arial"/>
                <w:sz w:val="16"/>
                <w:szCs w:val="16"/>
                <w:color w:val="auto"/>
              </w:rPr>
              <w:t xml:space="preserve">Operating lease expense </w:t>
            </w:r>
            <w:r>
              <w:rPr>
                <w:rFonts w:ascii="Arial" w:cs="Arial" w:eastAsia="Arial" w:hAnsi="Arial"/>
                <w:sz w:val="27"/>
                <w:szCs w:val="27"/>
                <w:color w:val="auto"/>
                <w:vertAlign w:val="superscript"/>
              </w:rPr>
              <w:t>(1)</w:t>
            </w:r>
          </w:p>
        </w:tc>
        <w:tc>
          <w:tcPr>
            <w:tcW w:w="2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10,749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7,219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20,327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Variable lease expense</w:t>
            </w:r>
          </w:p>
        </w:tc>
        <w:tc>
          <w:tcPr>
            <w:tcW w:w="1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897</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579</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Finance lease expense:</w:t>
            </w:r>
          </w:p>
        </w:tc>
        <w:tc>
          <w:tcPr>
            <w:tcW w:w="1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ind w:left="120"/>
              <w:spacing w:after="0"/>
              <w:rPr>
                <w:sz w:val="20"/>
                <w:szCs w:val="20"/>
                <w:color w:val="auto"/>
              </w:rPr>
            </w:pPr>
            <w:r>
              <w:rPr>
                <w:rFonts w:ascii="Arial" w:cs="Arial" w:eastAsia="Arial" w:hAnsi="Arial"/>
                <w:sz w:val="16"/>
                <w:szCs w:val="16"/>
                <w:color w:val="auto"/>
              </w:rPr>
              <w:t>Amortization of leased assets</w:t>
            </w:r>
          </w:p>
        </w:tc>
        <w:tc>
          <w:tcPr>
            <w:tcW w:w="2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6"/>
                <w:szCs w:val="16"/>
                <w:color w:val="auto"/>
              </w:rPr>
              <w:t>1,133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637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2,229</w:t>
            </w:r>
          </w:p>
        </w:tc>
        <w:tc>
          <w:tcPr>
            <w:tcW w:w="34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289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finance lease expense</w:t>
            </w:r>
          </w:p>
        </w:tc>
        <w:tc>
          <w:tcPr>
            <w:tcW w:w="154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3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3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lease expense</w:t>
            </w:r>
          </w:p>
        </w:tc>
        <w:tc>
          <w:tcPr>
            <w:tcW w:w="15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12,923</w:t>
            </w:r>
          </w:p>
        </w:tc>
        <w:tc>
          <w:tcPr>
            <w:tcW w:w="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8,539</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24,520</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01" w:hanging="201"/>
        <w:spacing w:after="0"/>
        <w:tabs>
          <w:tab w:leader="none" w:pos="201"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Includes short-term leases, which are immaterial.</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color w:val="auto"/>
        </w:rPr>
        <w:t>Other information related to leases where the Company is the lessee was as follows:</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94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220" w:type="dxa"/>
            <w:vAlign w:val="bottom"/>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Weighted-average remaining lease term (in years):</w:t>
            </w:r>
          </w:p>
        </w:tc>
        <w:tc>
          <w:tcPr>
            <w:tcW w:w="3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5320" w:type="dxa"/>
            <w:vAlign w:val="bottom"/>
            <w:gridSpan w:val="3"/>
          </w:tcPr>
          <w:p>
            <w:pPr>
              <w:jc w:val="right"/>
              <w:ind w:right="380"/>
              <w:spacing w:after="0"/>
              <w:rPr>
                <w:sz w:val="20"/>
                <w:szCs w:val="20"/>
                <w:color w:val="auto"/>
              </w:rPr>
            </w:pPr>
            <w:r>
              <w:rPr>
                <w:rFonts w:ascii="Arial" w:cs="Arial" w:eastAsia="Arial" w:hAnsi="Arial"/>
                <w:sz w:val="16"/>
                <w:szCs w:val="16"/>
                <w:color w:val="auto"/>
              </w:rPr>
              <w:t>8.0</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Weighted-average discount rate:</w:t>
            </w:r>
          </w:p>
        </w:tc>
        <w:tc>
          <w:tcPr>
            <w:tcW w:w="37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5320" w:type="dxa"/>
            <w:vAlign w:val="bottom"/>
            <w:gridSpan w:val="3"/>
          </w:tcPr>
          <w:p>
            <w:pPr>
              <w:jc w:val="right"/>
              <w:ind w:right="240"/>
              <w:spacing w:after="0"/>
              <w:rPr>
                <w:sz w:val="20"/>
                <w:szCs w:val="20"/>
                <w:color w:val="auto"/>
              </w:rPr>
            </w:pPr>
            <w:r>
              <w:rPr>
                <w:rFonts w:ascii="Arial" w:cs="Arial" w:eastAsia="Arial" w:hAnsi="Arial"/>
                <w:sz w:val="16"/>
                <w:szCs w:val="16"/>
                <w:color w:val="auto"/>
              </w:rPr>
              <w:t>10.46%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5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478"/>
              <w:spacing w:after="0"/>
              <w:rPr>
                <w:sz w:val="20"/>
                <w:szCs w:val="20"/>
                <w:color w:val="auto"/>
              </w:rPr>
            </w:pPr>
            <w:r>
              <w:rPr>
                <w:rFonts w:ascii="Arial" w:cs="Arial" w:eastAsia="Arial" w:hAnsi="Arial"/>
                <w:sz w:val="16"/>
                <w:szCs w:val="16"/>
                <w:color w:val="auto"/>
              </w:rPr>
              <w:t>31</w:t>
            </w: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1"/>
          </w:cols>
          <w:pgMar w:left="319" w:top="84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As of June 30, 2022, the maturities of the Company’s operating and finance lease liabilities (excluding short-term leases)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3"/>
              </w:rPr>
              <w:t>Operating Leases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3"/>
              </w:rPr>
              <w:t>Finance Leases</w:t>
            </w:r>
          </w:p>
        </w:tc>
      </w:tr>
      <w:tr>
        <w:trPr>
          <w:trHeight w:val="192"/>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 (remainder of the year)</w:t>
            </w:r>
          </w:p>
        </w:tc>
        <w:tc>
          <w:tcPr>
            <w:tcW w:w="2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5100" w:type="dxa"/>
            <w:vAlign w:val="bottom"/>
          </w:tcPr>
          <w:p>
            <w:pPr>
              <w:spacing w:after="0"/>
              <w:rPr>
                <w:sz w:val="20"/>
                <w:szCs w:val="20"/>
                <w:color w:val="auto"/>
              </w:rPr>
            </w:pPr>
            <w:r>
              <w:rPr>
                <w:rFonts w:ascii="Arial" w:cs="Arial" w:eastAsia="Arial" w:hAnsi="Arial"/>
                <w:sz w:val="16"/>
                <w:szCs w:val="16"/>
                <w:color w:val="auto"/>
              </w:rPr>
              <w:t>2023</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46,606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4,782</w:t>
            </w:r>
          </w:p>
        </w:tc>
        <w:tc>
          <w:tcPr>
            <w:tcW w:w="100" w:type="dxa"/>
            <w:vAlign w:val="bottom"/>
          </w:tcPr>
          <w:p>
            <w:pPr>
              <w:spacing w:after="0"/>
              <w:rPr>
                <w:sz w:val="17"/>
                <w:szCs w:val="17"/>
                <w:color w:val="auto"/>
              </w:rPr>
            </w:pPr>
          </w:p>
        </w:tc>
      </w:tr>
      <w:tr>
        <w:trPr>
          <w:trHeight w:val="198"/>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47,121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17"/>
                <w:szCs w:val="17"/>
                <w:color w:val="auto"/>
              </w:rPr>
            </w:pPr>
          </w:p>
        </w:tc>
      </w:tr>
      <w:tr>
        <w:trPr>
          <w:trHeight w:val="198"/>
        </w:trPr>
        <w:tc>
          <w:tcPr>
            <w:tcW w:w="5100" w:type="dxa"/>
            <w:vAlign w:val="bottom"/>
          </w:tcPr>
          <w:p>
            <w:pPr>
              <w:spacing w:after="0"/>
              <w:rPr>
                <w:sz w:val="20"/>
                <w:szCs w:val="20"/>
                <w:color w:val="auto"/>
              </w:rPr>
            </w:pPr>
            <w:r>
              <w:rPr>
                <w:rFonts w:ascii="Arial" w:cs="Arial" w:eastAsia="Arial" w:hAnsi="Arial"/>
                <w:sz w:val="16"/>
                <w:szCs w:val="16"/>
                <w:color w:val="auto"/>
              </w:rPr>
              <w:t>2025</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46,401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674</w:t>
            </w:r>
          </w:p>
        </w:tc>
      </w:tr>
      <w:tr>
        <w:trPr>
          <w:trHeight w:val="198"/>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42,846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w:t>
            </w: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auto"/>
              </w:rPr>
              <w:t>Thereafter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165,176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r>
      <w:tr>
        <w:trPr>
          <w:trHeight w:val="192"/>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2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360,913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auto"/>
              </w:rPr>
              <w:t>Less: Interest</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(126,735)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(723)</w:t>
            </w:r>
          </w:p>
        </w:tc>
      </w:tr>
      <w:tr>
        <w:trPr>
          <w:trHeight w:val="192"/>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Present value of lease obligations</w:t>
            </w:r>
          </w:p>
        </w:tc>
        <w:tc>
          <w:tcPr>
            <w:tcW w:w="2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234,178</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10,034</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auto"/>
              </w:rPr>
              <w:t>Less: Current portion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(11,721)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(4,657)</w:t>
            </w:r>
          </w:p>
        </w:tc>
      </w:tr>
      <w:tr>
        <w:trPr>
          <w:trHeight w:val="20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portion of lease obligations</w:t>
            </w:r>
          </w:p>
        </w:tc>
        <w:tc>
          <w:tcPr>
            <w:tcW w:w="25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216" w:lineRule="exact"/>
        <w:rPr>
          <w:sz w:val="20"/>
          <w:szCs w:val="20"/>
          <w:color w:val="auto"/>
        </w:rPr>
      </w:pPr>
    </w:p>
    <w:p>
      <w:pPr>
        <w:ind w:right="260"/>
        <w:spacing w:after="0" w:line="326" w:lineRule="auto"/>
        <w:rPr>
          <w:sz w:val="20"/>
          <w:szCs w:val="20"/>
          <w:color w:val="auto"/>
        </w:rPr>
      </w:pPr>
      <w:r>
        <w:rPr>
          <w:rFonts w:ascii="Arial" w:cs="Arial" w:eastAsia="Arial" w:hAnsi="Arial"/>
          <w:sz w:val="15"/>
          <w:szCs w:val="15"/>
          <w:color w:val="auto"/>
        </w:rPr>
        <w:t>As of June 30, 2022 and December 31, 2021, the Company had $746.7 million and $286.0 million, respectively, in commitments related to the Arizona manufacturing plant and equipment. These commitments represent future expected payments on open purchase orders entered into as of June 30, 2022 and December 31, 2021.</w:t>
      </w:r>
    </w:p>
    <w:p>
      <w:pPr>
        <w:spacing w:after="0" w:line="1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entered into a non-cancellable long-term commitment to purchase certain inventory components. The estimated future payments having a remaining term in excess of one year as of June 30, 2022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Minimum</w:t>
            </w:r>
          </w:p>
        </w:tc>
      </w:tr>
      <w:tr>
        <w:trPr>
          <w:trHeight w:val="198"/>
        </w:trPr>
        <w:tc>
          <w:tcPr>
            <w:tcW w:w="9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Purchase</w:t>
            </w:r>
          </w:p>
        </w:tc>
      </w:tr>
      <w:tr>
        <w:trPr>
          <w:trHeight w:val="213"/>
        </w:trPr>
        <w:tc>
          <w:tcPr>
            <w:tcW w:w="9920" w:type="dxa"/>
            <w:vAlign w:val="bottom"/>
            <w:gridSpan w:val="2"/>
          </w:tcPr>
          <w:p>
            <w:pPr>
              <w:spacing w:after="0"/>
              <w:rPr>
                <w:sz w:val="20"/>
                <w:szCs w:val="20"/>
                <w:color w:val="auto"/>
              </w:rPr>
            </w:pPr>
            <w:r>
              <w:rPr>
                <w:rFonts w:ascii="Arial" w:cs="Arial" w:eastAsia="Arial" w:hAnsi="Arial"/>
                <w:sz w:val="16"/>
                <w:szCs w:val="16"/>
                <w:color w:val="auto"/>
              </w:rPr>
              <w:t>Years ended December 31,</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Commitment</w:t>
            </w:r>
          </w:p>
        </w:tc>
      </w:tr>
      <w:tr>
        <w:trPr>
          <w:trHeight w:val="192"/>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 (remainder of the year)</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9680" w:type="dxa"/>
            <w:vAlign w:val="bottom"/>
          </w:tcPr>
          <w:p>
            <w:pPr>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42,900</w:t>
            </w: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49,800</w:t>
            </w:r>
          </w:p>
        </w:tc>
      </w:tr>
      <w:tr>
        <w:trPr>
          <w:trHeight w:val="202"/>
        </w:trPr>
        <w:tc>
          <w:tcPr>
            <w:tcW w:w="99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124,200</w:t>
            </w:r>
          </w:p>
        </w:tc>
        <w:tc>
          <w:tcPr>
            <w:tcW w:w="100" w:type="dxa"/>
            <w:vAlign w:val="bottom"/>
          </w:tcPr>
          <w:p>
            <w:pPr>
              <w:spacing w:after="0"/>
              <w:rPr>
                <w:sz w:val="17"/>
                <w:szCs w:val="17"/>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6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59"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Capital Corp. IV and Atieva, Inc. and certain projections and statements. The Company is cooperating fully with the SEC in its review.</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3" w:name="page34"/>
    <w:bookmarkEnd w:id="33"/>
    <w:p>
      <w:pPr>
        <w:ind w:right="60"/>
        <w:spacing w:after="0" w:line="262"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7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Case No. 3:22-cv-03176-JD. The complaints name as defendants Lucid Group, Inc. and the Company’s chief executive officer and 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5" w:lineRule="exact"/>
        <w:rPr>
          <w:sz w:val="20"/>
          <w:szCs w:val="20"/>
          <w:color w:val="auto"/>
        </w:rPr>
      </w:pPr>
    </w:p>
    <w:p>
      <w:pPr>
        <w:ind w:right="120"/>
        <w:spacing w:after="0" w:line="313" w:lineRule="auto"/>
        <w:rPr>
          <w:sz w:val="20"/>
          <w:szCs w:val="20"/>
          <w:color w:val="auto"/>
        </w:rPr>
      </w:pPr>
      <w:r>
        <w:rPr>
          <w:rFonts w:ascii="Arial" w:cs="Arial" w:eastAsia="Arial" w:hAnsi="Arial"/>
          <w:sz w:val="14"/>
          <w:szCs w:val="14"/>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4"/>
          <w:szCs w:val="14"/>
          <w:i w:val="1"/>
          <w:iCs w:val="1"/>
          <w:color w:val="auto"/>
        </w:rPr>
        <w:t>Floyd Taylor v. Glenn August, et al.</w:t>
      </w:r>
      <w:r>
        <w:rPr>
          <w:rFonts w:ascii="Arial" w:cs="Arial" w:eastAsia="Arial" w:hAnsi="Arial"/>
          <w:sz w:val="14"/>
          <w:szCs w:val="14"/>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4"/>
          <w:szCs w:val="14"/>
          <w:i w:val="1"/>
          <w:iCs w:val="1"/>
          <w:color w:val="auto"/>
        </w:rPr>
        <w:t>Mangino</w:t>
      </w:r>
      <w:r>
        <w:rPr>
          <w:rFonts w:ascii="Arial" w:cs="Arial" w:eastAsia="Arial" w:hAnsi="Arial"/>
          <w:sz w:val="14"/>
          <w:szCs w:val="14"/>
          <w:color w:val="auto"/>
        </w:rPr>
        <w:t xml:space="preserve"> and </w:t>
      </w:r>
      <w:r>
        <w:rPr>
          <w:rFonts w:ascii="Arial" w:cs="Arial" w:eastAsia="Arial" w:hAnsi="Arial"/>
          <w:sz w:val="14"/>
          <w:szCs w:val="14"/>
          <w:i w:val="1"/>
          <w:iCs w:val="1"/>
          <w:color w:val="auto"/>
        </w:rPr>
        <w:t>Goel</w:t>
      </w:r>
      <w:r>
        <w:rPr>
          <w:rFonts w:ascii="Arial" w:cs="Arial" w:eastAsia="Arial" w:hAnsi="Arial"/>
          <w:sz w:val="14"/>
          <w:szCs w:val="14"/>
          <w:color w:val="auto"/>
        </w:rPr>
        <w:t xml:space="preserve"> actions, the </w:t>
      </w:r>
      <w:r>
        <w:rPr>
          <w:rFonts w:ascii="Arial" w:cs="Arial" w:eastAsia="Arial" w:hAnsi="Arial"/>
          <w:sz w:val="14"/>
          <w:szCs w:val="14"/>
          <w:i w:val="1"/>
          <w:iCs w:val="1"/>
          <w:color w:val="auto"/>
        </w:rPr>
        <w:t>Taylor</w:t>
      </w:r>
      <w:r>
        <w:rPr>
          <w:rFonts w:ascii="Arial" w:cs="Arial" w:eastAsia="Arial" w:hAnsi="Arial"/>
          <w:sz w:val="14"/>
          <w:szCs w:val="14"/>
          <w:color w:val="auto"/>
        </w:rPr>
        <w:t xml:space="preserve"> complaint asserts claims for breach of fiduciary duty, unjust enrichment, waste of corporate assets and aiding and abetting breach of fiduciary duty. The complaint seek compensatory damages, punitive damages, interest, and attorneys’ fees and expenses. To the Company’s understanding, the matter has not been served on any defendant to date.</w:t>
      </w:r>
    </w:p>
    <w:p>
      <w:pPr>
        <w:spacing w:after="0" w:line="13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216"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$43.9 million and $30.4 million as of June 30, 2022 and December 31, 2021, respectively, for which no liabilities are recorded on the condensed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INCOME TAXES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231F20"/>
        </w:rPr>
        <w:t xml:space="preserve">The Company's provision from income taxes for interim periods is determined using its effective tax rate that </w:t>
      </w:r>
      <w:r>
        <w:rPr>
          <w:rFonts w:ascii="Arial" w:cs="Arial" w:eastAsia="Arial" w:hAnsi="Arial"/>
          <w:sz w:val="16"/>
          <w:szCs w:val="16"/>
          <w:color w:val="000000"/>
        </w:rPr>
        <w:t>arise during the period. The Company's quarterly tax</w:t>
      </w:r>
      <w:r>
        <w:rPr>
          <w:rFonts w:ascii="Arial" w:cs="Arial" w:eastAsia="Arial" w:hAnsi="Arial"/>
          <w:sz w:val="16"/>
          <w:szCs w:val="16"/>
          <w:color w:val="231F20"/>
        </w:rPr>
        <w:t xml:space="preserve"> </w:t>
      </w:r>
      <w:r>
        <w:rPr>
          <w:rFonts w:ascii="Arial" w:cs="Arial" w:eastAsia="Arial" w:hAnsi="Arial"/>
          <w:sz w:val="16"/>
          <w:szCs w:val="16"/>
          <w:color w:val="000000"/>
        </w:rPr>
        <w:t>provision is subject to variation due to several factors, including variability in pre-tax income (or loss), the mix of jurisdictions to which such income relates, changes in how the Company does business, and tax law developments.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Company's effective tax rate for the three and six months ended June 30, 2022 and the same periods in the prior year differs from the U.S. statutory rate of 21% as a result of our U.S. losses for which no benefit will be realized, as well as state taxes and our foreign operations which are subject to tax rates that differ from those in the United States. The Company recorded an income tax provision for the three and six months ended June 30, 2022 of $68 thousand and $391 thousand, respectively, as compared to $5 thousand and $9 thousand for the same periods in the prior year. The increase in the income tax provision was driven by the increased activities in foreign jurisdictions. This resulted in an effective tax rate of 0.0% and (0.1)%, respectively, for the three and six months ended June 30, 2022, and 0.0% for the same periods in the prior year.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4" w:name="page35"/>
    <w:bookmarkEnd w:id="34"/>
    <w:p>
      <w:pPr>
        <w:ind w:left="1" w:right="180"/>
        <w:spacing w:after="0" w:line="290" w:lineRule="auto"/>
        <w:rPr>
          <w:sz w:val="20"/>
          <w:szCs w:val="20"/>
          <w:color w:val="auto"/>
        </w:rPr>
      </w:pPr>
      <w:r>
        <w:rPr>
          <w:rFonts w:ascii="Arial" w:cs="Arial" w:eastAsia="Arial" w:hAnsi="Arial"/>
          <w:sz w:val="16"/>
          <w:szCs w:val="16"/>
          <w:color w:val="231F20"/>
        </w:rPr>
        <w:t>There we</w:t>
      </w:r>
      <w:r>
        <w:rPr>
          <w:rFonts w:ascii="Arial" w:cs="Arial" w:eastAsia="Arial" w:hAnsi="Arial"/>
          <w:sz w:val="16"/>
          <w:szCs w:val="16"/>
          <w:color w:val="000000"/>
        </w:rPr>
        <w:t>re no material ch</w:t>
      </w:r>
      <w:r>
        <w:rPr>
          <w:rFonts w:ascii="Arial" w:cs="Arial" w:eastAsia="Arial" w:hAnsi="Arial"/>
          <w:sz w:val="16"/>
          <w:szCs w:val="16"/>
          <w:color w:val="231F20"/>
        </w:rPr>
        <w:t xml:space="preserve">anges to the Company’s unrecognized tax benefits during the </w:t>
      </w:r>
      <w:r>
        <w:rPr>
          <w:rFonts w:ascii="Arial" w:cs="Arial" w:eastAsia="Arial" w:hAnsi="Arial"/>
          <w:sz w:val="16"/>
          <w:szCs w:val="16"/>
          <w:color w:val="000000"/>
        </w:rPr>
        <w:t>three and six</w:t>
      </w:r>
      <w:r>
        <w:rPr>
          <w:rFonts w:ascii="Arial" w:cs="Arial" w:eastAsia="Arial" w:hAnsi="Arial"/>
          <w:sz w:val="16"/>
          <w:szCs w:val="16"/>
          <w:color w:val="231F20"/>
        </w:rPr>
        <w:t xml:space="preserve"> months ended </w:t>
      </w:r>
      <w:r>
        <w:rPr>
          <w:rFonts w:ascii="Arial" w:cs="Arial" w:eastAsia="Arial" w:hAnsi="Arial"/>
          <w:sz w:val="16"/>
          <w:szCs w:val="16"/>
          <w:color w:val="000000"/>
        </w:rPr>
        <w:t>June 30, 2022</w:t>
      </w:r>
      <w:r>
        <w:rPr>
          <w:rFonts w:ascii="Arial" w:cs="Arial" w:eastAsia="Arial" w:hAnsi="Arial"/>
          <w:sz w:val="16"/>
          <w:szCs w:val="16"/>
          <w:color w:val="231F20"/>
        </w:rPr>
        <w:t xml:space="preserve">, and the </w:t>
      </w:r>
      <w:r>
        <w:rPr>
          <w:rFonts w:ascii="Arial" w:cs="Arial" w:eastAsia="Arial" w:hAnsi="Arial"/>
          <w:sz w:val="16"/>
          <w:szCs w:val="16"/>
          <w:color w:val="000000"/>
        </w:rPr>
        <w:t>Company does not expect to</w:t>
      </w:r>
      <w:r>
        <w:rPr>
          <w:rFonts w:ascii="Arial" w:cs="Arial" w:eastAsia="Arial" w:hAnsi="Arial"/>
          <w:sz w:val="16"/>
          <w:szCs w:val="16"/>
          <w:color w:val="231F20"/>
        </w:rPr>
        <w:t xml:space="preserve"> </w:t>
      </w:r>
      <w:r>
        <w:rPr>
          <w:rFonts w:ascii="Arial" w:cs="Arial" w:eastAsia="Arial" w:hAnsi="Arial"/>
          <w:sz w:val="16"/>
          <w:szCs w:val="16"/>
          <w:color w:val="000000"/>
        </w:rPr>
        <w:t>have any significant changes to unrecognized tax benefits through the end of the fiscal year.</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 17 - NET LOSS PER SHARE</w:t>
      </w:r>
    </w:p>
    <w:p>
      <w:pPr>
        <w:spacing w:after="0" w:line="216" w:lineRule="exact"/>
        <w:rPr>
          <w:sz w:val="20"/>
          <w:szCs w:val="20"/>
          <w:color w:val="auto"/>
        </w:rPr>
      </w:pPr>
    </w:p>
    <w:p>
      <w:pPr>
        <w:ind w:left="1" w:right="180"/>
        <w:spacing w:after="0" w:line="274" w:lineRule="auto"/>
        <w:rPr>
          <w:sz w:val="20"/>
          <w:szCs w:val="20"/>
          <w:color w:val="auto"/>
        </w:rPr>
      </w:pPr>
      <w:r>
        <w:rPr>
          <w:rFonts w:ascii="Arial" w:cs="Arial" w:eastAsia="Arial" w:hAnsi="Arial"/>
          <w:sz w:val="16"/>
          <w:szCs w:val="16"/>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jc w:val="right"/>
              <w:ind w:right="618"/>
              <w:spacing w:after="0"/>
              <w:rPr>
                <w:sz w:val="20"/>
                <w:szCs w:val="20"/>
                <w:color w:val="auto"/>
              </w:rPr>
            </w:pPr>
            <w:r>
              <w:rPr>
                <w:rFonts w:ascii="Arial" w:cs="Arial" w:eastAsia="Arial" w:hAnsi="Arial"/>
                <w:sz w:val="16"/>
                <w:szCs w:val="16"/>
                <w:b w:val="1"/>
                <w:bCs w:val="1"/>
                <w:color w:val="auto"/>
                <w:w w:val="99"/>
              </w:rPr>
              <w:t>Three Months Ended June 30,</w:t>
            </w:r>
          </w:p>
        </w:tc>
        <w:tc>
          <w:tcPr>
            <w:tcW w:w="180" w:type="dxa"/>
            <w:vAlign w:val="bottom"/>
          </w:tcPr>
          <w:p>
            <w:pPr>
              <w:spacing w:after="0"/>
              <w:rPr>
                <w:sz w:val="18"/>
                <w:szCs w:val="18"/>
                <w:color w:val="auto"/>
              </w:rPr>
            </w:pPr>
          </w:p>
        </w:tc>
        <w:tc>
          <w:tcPr>
            <w:tcW w:w="2700" w:type="dxa"/>
            <w:vAlign w:val="bottom"/>
            <w:gridSpan w:val="5"/>
          </w:tcPr>
          <w:p>
            <w:pPr>
              <w:jc w:val="right"/>
              <w:ind w:right="438"/>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(220,425)</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(301,711)</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w w:val="95"/>
              </w:rPr>
              <w:t>Deemed dividend related to the issuance of Series E convertible preferred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6"/>
                <w:szCs w:val="16"/>
                <w:color w:val="auto"/>
              </w:rPr>
              <w:t>stock</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25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5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(2,167,332)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 stockholders, basic</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(220,425</w:t>
            </w:r>
          </w:p>
        </w:tc>
        <w:tc>
          <w:tcPr>
            <w:tcW w:w="360" w:type="dxa"/>
            <w:vAlign w:val="bottom"/>
            <w:tcBorders>
              <w:top w:val="single" w:sz="8" w:color="CCEEFF"/>
              <w:bottom w:val="single" w:sz="8" w:color="CCEEFF"/>
            </w:tcBorders>
            <w:shd w:val="clear" w:color="auto" w:fill="CCEEFF"/>
          </w:tcPr>
          <w:p>
            <w:pPr>
              <w:jc w:val="right"/>
              <w:ind w:right="27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(301,711</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Arial" w:cs="Arial" w:eastAsia="Arial" w:hAnsi="Arial"/>
                <w:sz w:val="16"/>
                <w:szCs w:val="16"/>
                <w:color w:val="auto"/>
              </w:rPr>
              <w:t>Change in fair value of dilutive warrants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27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(334,843</w:t>
            </w:r>
          </w:p>
        </w:tc>
        <w:tc>
          <w:tcPr>
            <w:tcW w:w="3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(858,173</w:t>
            </w:r>
          </w:p>
        </w:tc>
        <w:tc>
          <w:tcPr>
            <w:tcW w:w="3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 stockholders, diluted</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(555,268</w:t>
            </w:r>
          </w:p>
        </w:tc>
        <w:tc>
          <w:tcPr>
            <w:tcW w:w="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(1,159,884</w:t>
            </w: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(3,177,010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basic</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1,669,303,813</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36,298,508</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w w:val="99"/>
              </w:rPr>
              <w:t>1,661,960,471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34,484,767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Private Placement Warrants using the treasury stock method</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17,511,591</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22,367,536</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shd w:val="clear" w:color="auto" w:fill="CCEEFF"/>
          </w:tcPr>
          <w:p>
            <w:pPr>
              <w:spacing w:after="0" w:line="241" w:lineRule="exact"/>
              <w:rPr>
                <w:sz w:val="20"/>
                <w:szCs w:val="20"/>
                <w:color w:val="auto"/>
              </w:rPr>
            </w:pPr>
            <w:r>
              <w:rPr>
                <w:rFonts w:ascii="Arial" w:cs="Arial" w:eastAsia="Arial" w:hAnsi="Arial"/>
                <w:sz w:val="16"/>
                <w:szCs w:val="16"/>
                <w:color w:val="auto"/>
              </w:rPr>
              <w:t>Weighted-average shares outstanding, diluted</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color w:val="auto"/>
              </w:rPr>
              <w:t>1,686,815,404</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36,298,508</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w w:val="99"/>
              </w:rPr>
              <w:t>1,684,328,007</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34,484,767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per share: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2"/>
                <w:szCs w:val="22"/>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79"/>
              <w:spacing w:after="0"/>
              <w:rPr>
                <w:sz w:val="20"/>
                <w:szCs w:val="20"/>
                <w:color w:val="auto"/>
              </w:rPr>
            </w:pPr>
            <w:r>
              <w:rPr>
                <w:rFonts w:ascii="Arial" w:cs="Arial" w:eastAsia="Arial" w:hAnsi="Arial"/>
                <w:sz w:val="16"/>
                <w:szCs w:val="16"/>
                <w:color w:val="auto"/>
              </w:rPr>
              <w:t>(0.13)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98"/>
              <w:spacing w:after="0"/>
              <w:rPr>
                <w:sz w:val="20"/>
                <w:szCs w:val="20"/>
                <w:color w:val="auto"/>
              </w:rPr>
            </w:pPr>
            <w:r>
              <w:rPr>
                <w:rFonts w:ascii="Arial" w:cs="Arial" w:eastAsia="Arial" w:hAnsi="Arial"/>
                <w:sz w:val="16"/>
                <w:szCs w:val="16"/>
                <w:color w:val="auto"/>
              </w:rPr>
              <w:t>(7.21)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98"/>
              <w:spacing w:after="0"/>
              <w:rPr>
                <w:sz w:val="20"/>
                <w:szCs w:val="20"/>
                <w:color w:val="auto"/>
              </w:rPr>
            </w:pPr>
            <w:r>
              <w:rPr>
                <w:rFonts w:ascii="Arial" w:cs="Arial" w:eastAsia="Arial" w:hAnsi="Arial"/>
                <w:sz w:val="16"/>
                <w:szCs w:val="16"/>
                <w:color w:val="auto"/>
              </w:rPr>
              <w:t>(0.18)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(92.13)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Arial" w:cs="Arial" w:eastAsia="Arial" w:hAnsi="Arial"/>
                <w:sz w:val="15"/>
                <w:szCs w:val="15"/>
                <w:color w:val="auto"/>
              </w:rPr>
              <w:t>Diluted</w:t>
            </w:r>
            <w:r>
              <w:rPr>
                <w:rFonts w:ascii="Arial" w:cs="Arial" w:eastAsia="Arial" w:hAnsi="Arial"/>
                <w:sz w:val="24"/>
                <w:szCs w:val="24"/>
                <w:color w:val="auto"/>
                <w:vertAlign w:val="superscript"/>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360" w:type="dxa"/>
            <w:vAlign w:val="bottom"/>
            <w:tcBorders>
              <w:top w:val="single" w:sz="8" w:color="CCEEFF"/>
              <w:bottom w:val="single" w:sz="8" w:color="CCEEFF"/>
            </w:tcBorders>
            <w:shd w:val="clear" w:color="auto" w:fill="CCEEFF"/>
          </w:tcPr>
          <w:p>
            <w:pPr>
              <w:jc w:val="right"/>
              <w:ind w:right="27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 w:right="140" w:hanging="1"/>
        <w:spacing w:after="0" w:line="243" w:lineRule="auto"/>
        <w:tabs>
          <w:tab w:leader="none" w:pos="196"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The presentation of our diluted loss per share for the six months ended June 30, 2022 reflects correction of an immaterial error in our previously reported diluted loss per share for the three months ended March 31, 2022 for the inclusion of the dilutive effect of our Private Placement Warrants. The adjustment resulted in a change in diluted loss per share from $(0.05) to $(0.36) and the diluted weighted average shares outstanding from 1,654,322,379 to 1,681,545,859 for the three months ended March 31, 2022.</w:t>
      </w:r>
    </w:p>
    <w:p>
      <w:pPr>
        <w:spacing w:after="0" w:line="187" w:lineRule="exact"/>
        <w:rPr>
          <w:sz w:val="20"/>
          <w:szCs w:val="20"/>
          <w:color w:val="auto"/>
        </w:rPr>
      </w:pPr>
    </w:p>
    <w:p>
      <w:pPr>
        <w:ind w:left="1" w:right="120"/>
        <w:spacing w:after="0" w:line="290"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Excluded Securities</w:t>
            </w:r>
          </w:p>
        </w:tc>
        <w:tc>
          <w:tcPr>
            <w:tcW w:w="1240" w:type="dxa"/>
            <w:vAlign w:val="bottom"/>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Convertible preferred stock (on an as-converted basis)</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1,155,909,367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8"/>
        </w:trPr>
        <w:tc>
          <w:tcPr>
            <w:tcW w:w="8340" w:type="dxa"/>
            <w:vAlign w:val="bottom"/>
            <w:gridSpan w:val="2"/>
          </w:tcPr>
          <w:p>
            <w:pPr>
              <w:spacing w:after="0"/>
              <w:rPr>
                <w:sz w:val="20"/>
                <w:szCs w:val="20"/>
                <w:color w:val="auto"/>
              </w:rPr>
            </w:pPr>
            <w:r>
              <w:rPr>
                <w:rFonts w:ascii="Arial" w:cs="Arial" w:eastAsia="Arial" w:hAnsi="Arial"/>
                <w:sz w:val="16"/>
                <w:szCs w:val="16"/>
                <w:color w:val="auto"/>
              </w:rPr>
              <w:t>Options outstanding to purchase common stock</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46,268,897</w:t>
            </w:r>
          </w:p>
        </w:tc>
        <w:tc>
          <w:tcPr>
            <w:tcW w:w="2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69,006,644</w:t>
            </w:r>
          </w:p>
        </w:tc>
        <w:tc>
          <w:tcPr>
            <w:tcW w:w="80" w:type="dxa"/>
            <w:vAlign w:val="bottom"/>
          </w:tcPr>
          <w:p>
            <w:pPr>
              <w:spacing w:after="0"/>
              <w:rPr>
                <w:sz w:val="17"/>
                <w:szCs w:val="17"/>
                <w:color w:val="auto"/>
              </w:rPr>
            </w:pPr>
          </w:p>
        </w:tc>
      </w:tr>
      <w:tr>
        <w:trPr>
          <w:trHeight w:val="198"/>
        </w:trPr>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RSUs outstanding</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39,884,884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41,678,953</w:t>
            </w:r>
          </w:p>
        </w:tc>
        <w:tc>
          <w:tcPr>
            <w:tcW w:w="80" w:type="dxa"/>
            <w:vAlign w:val="bottom"/>
            <w:shd w:val="clear" w:color="auto" w:fill="CCEEFF"/>
          </w:tcPr>
          <w:p>
            <w:pPr>
              <w:spacing w:after="0"/>
              <w:rPr>
                <w:sz w:val="17"/>
                <w:szCs w:val="17"/>
                <w:color w:val="auto"/>
              </w:rPr>
            </w:pPr>
          </w:p>
        </w:tc>
      </w:tr>
      <w:tr>
        <w:trPr>
          <w:trHeight w:val="198"/>
        </w:trPr>
        <w:tc>
          <w:tcPr>
            <w:tcW w:w="8340" w:type="dxa"/>
            <w:vAlign w:val="bottom"/>
            <w:gridSpan w:val="2"/>
          </w:tcPr>
          <w:p>
            <w:pPr>
              <w:spacing w:after="0"/>
              <w:rPr>
                <w:sz w:val="20"/>
                <w:szCs w:val="20"/>
                <w:color w:val="auto"/>
              </w:rPr>
            </w:pPr>
            <w:r>
              <w:rPr>
                <w:rFonts w:ascii="Arial" w:cs="Arial" w:eastAsia="Arial" w:hAnsi="Arial"/>
                <w:sz w:val="16"/>
                <w:szCs w:val="16"/>
                <w:color w:val="auto"/>
              </w:rPr>
              <w:t>Employee stock purchase plan</w:t>
            </w:r>
          </w:p>
        </w:tc>
        <w:tc>
          <w:tcPr>
            <w:tcW w:w="1240" w:type="dxa"/>
            <w:vAlign w:val="bottom"/>
          </w:tcPr>
          <w:p>
            <w:pPr>
              <w:jc w:val="right"/>
              <w:spacing w:after="0"/>
              <w:rPr>
                <w:sz w:val="20"/>
                <w:szCs w:val="20"/>
                <w:color w:val="auto"/>
              </w:rPr>
            </w:pPr>
            <w:r>
              <w:rPr>
                <w:rFonts w:ascii="Arial" w:cs="Arial" w:eastAsia="Arial" w:hAnsi="Arial"/>
                <w:sz w:val="16"/>
                <w:szCs w:val="16"/>
                <w:color w:val="auto"/>
              </w:rPr>
              <w:t>4,482,280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10"/>
        </w:trPr>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If-converted common shares from convertible note</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36,737,785</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2"/>
        </w:trPr>
        <w:tc>
          <w:tcPr>
            <w:tcW w:w="83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127,373,846</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1,266,594,964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right="40"/>
        <w:spacing w:after="0" w:line="290" w:lineRule="auto"/>
        <w:rPr>
          <w:sz w:val="20"/>
          <w:szCs w:val="20"/>
          <w:color w:val="auto"/>
        </w:rPr>
      </w:pPr>
      <w:r>
        <w:rPr>
          <w:rFonts w:ascii="Arial" w:cs="Arial" w:eastAsia="Arial" w:hAnsi="Arial"/>
          <w:sz w:val="16"/>
          <w:szCs w:val="16"/>
          <w:color w:val="auto"/>
        </w:rPr>
        <w:t>The 2,090,140 shares of common stock equivalents subject to RSUs are excluded from the anti-dilutive table above as the underlying shares remain contingently issuable since the market conditions have not been satisfied as of June 30, 2022.</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 18 - EMPLOYEE BENEFIT PLAN</w:t>
      </w:r>
    </w:p>
    <w:p>
      <w:pPr>
        <w:spacing w:after="0" w:line="216" w:lineRule="exact"/>
        <w:rPr>
          <w:sz w:val="20"/>
          <w:szCs w:val="20"/>
          <w:color w:val="auto"/>
        </w:rPr>
      </w:pPr>
    </w:p>
    <w:p>
      <w:pPr>
        <w:ind w:left="1" w:right="40"/>
        <w:spacing w:after="0" w:line="269" w:lineRule="auto"/>
        <w:rPr>
          <w:sz w:val="20"/>
          <w:szCs w:val="20"/>
          <w:color w:val="auto"/>
        </w:rPr>
      </w:pPr>
      <w:r>
        <w:rPr>
          <w:rFonts w:ascii="Arial" w:cs="Arial" w:eastAsia="Arial" w:hAnsi="Arial"/>
          <w:sz w:val="16"/>
          <w:szCs w:val="16"/>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and six months ended June 30, 2022 and 2021.</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NOTE 19 - 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Investment Fund Internship Agreement</w:t>
      </w:r>
    </w:p>
    <w:p>
      <w:pPr>
        <w:spacing w:after="0" w:line="212"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July 2021, we entered into an agreement with PIF, which is an affiliate of Ayar, the controlling stockholder of the Company,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approximately $1 million in 2022 for such expenses. The expenses incurred under the agreement were $0.7 million for the three and six months ended June 30,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Professional Services Contract</w:t>
      </w:r>
    </w:p>
    <w:p>
      <w:pPr>
        <w:spacing w:after="0" w:line="212" w:lineRule="exact"/>
        <w:rPr>
          <w:sz w:val="20"/>
          <w:szCs w:val="20"/>
          <w:color w:val="auto"/>
        </w:rPr>
      </w:pPr>
    </w:p>
    <w:p>
      <w:pPr>
        <w:ind w:right="360"/>
        <w:spacing w:after="0" w:line="330" w:lineRule="auto"/>
        <w:rPr>
          <w:sz w:val="20"/>
          <w:szCs w:val="20"/>
          <w:color w:val="auto"/>
        </w:rPr>
      </w:pPr>
      <w:r>
        <w:rPr>
          <w:rFonts w:ascii="Arial" w:cs="Arial" w:eastAsia="Arial" w:hAnsi="Arial"/>
          <w:sz w:val="14"/>
          <w:szCs w:val="14"/>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 incurred under the agreement was $0.3 million and $0.6 million for the three and six months ended June 30, 2022, and nil for the same periods in the prior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w:t>
      </w:r>
    </w:p>
    <w:p>
      <w:pPr>
        <w:spacing w:after="0" w:line="212"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color w:val="auto"/>
        </w:rPr>
        <w:t>In February 2022, we entered into a lease agreement with KAEC, an affiliate of PIF, for our first international manufacturing plant in the Kingdom of Saudi Arabia. The lease has an initial term of 25 years expiring in Year 2047. As of June 30, 2022, the right-of-use assets and lease liabilities related to this lease were $5.0 million and $5.2 million, respectively. The lease expense recorded during the three and six months ended June 30, 2022 was immaterial.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SIDF Loan Agreement</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February 2022, Lucid LLC entered into the SIDF Loan Agreement with the SIDF, an affiliate of PIF, which is an affiliate of Ayar, the controlling stockholder of the Company.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“Long-Term Debt”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Ministry of Investment of Saudi Arabia </w:t>
      </w:r>
      <w:r>
        <w:rPr>
          <w:rFonts w:ascii="Arial" w:cs="Arial" w:eastAsia="Arial" w:hAnsi="Arial"/>
          <w:sz w:val="16"/>
          <w:szCs w:val="16"/>
          <w:color w:val="auto"/>
        </w:rPr>
        <w:t>(“</w:t>
      </w:r>
      <w:r>
        <w:rPr>
          <w:rFonts w:ascii="Arial" w:cs="Arial" w:eastAsia="Arial" w:hAnsi="Arial"/>
          <w:sz w:val="16"/>
          <w:szCs w:val="16"/>
          <w:b w:val="1"/>
          <w:bCs w:val="1"/>
          <w:i w:val="1"/>
          <w:iCs w:val="1"/>
          <w:color w:val="242424"/>
        </w:rPr>
        <w:t>MISA”) Agreements</w:t>
      </w:r>
    </w:p>
    <w:p>
      <w:pPr>
        <w:spacing w:after="0" w:line="21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February 2022, Lucid LLC entered into agreements with MISA, an affiliate of PIF, under which the Company will receive economic incentives over time, subject to certain conditions and milestones, in connection with Lucid LLC’s on-going design and construction of the Company’s KSA Facility.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the three and six months ended June 30, 2022, no payments or incentives were received under these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2424"/>
        </w:rPr>
        <w:t>GIB Facility Agreement</w:t>
      </w:r>
    </w:p>
    <w:p>
      <w:pPr>
        <w:spacing w:after="0" w:line="212"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In April 2022, Lucid LLC entered into the GIB Facility Agreement with GIB. GIB is an affiliate of PIF, which is an affiliate of Ayar, the controlling stockholder of the Company. The GIB Facility Agreement provides for two committed revolving credit facilities in an aggregate principal amount of SAR 1 billion (approximately $266.5 million). See Note 6 “Long-Term Debt” for more information.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1"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our Annual Report on Form 10-K for the year ended December 31, 2021, filed with the SEC on February 28, 2022.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69"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5"/>
          <w:szCs w:val="15"/>
          <w:i w:val="1"/>
          <w:iCs w:val="1"/>
          <w:color w:val="auto"/>
        </w:rPr>
        <w:t>ESS</w:t>
      </w:r>
      <w:r>
        <w:rPr>
          <w:rFonts w:ascii="Arial" w:cs="Arial" w:eastAsia="Arial" w:hAnsi="Arial"/>
          <w:sz w:val="15"/>
          <w:szCs w:val="15"/>
          <w:color w:val="auto"/>
        </w:rPr>
        <w:t>”) products. ESS is a technologically adjacent opportunity which can leverage the modular design of our battery packs and our extensive experience with battery pack and battery management systems.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 on our Business</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attempt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adequate containment of the COVID-19 pandemic.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7" w:name="page38"/>
    <w:bookmarkEnd w:id="37"/>
    <w:p>
      <w:pPr>
        <w:spacing w:after="0" w:line="262" w:lineRule="auto"/>
        <w:rPr>
          <w:sz w:val="20"/>
          <w:szCs w:val="20"/>
          <w:color w:val="auto"/>
        </w:rPr>
      </w:pPr>
      <w:r>
        <w:rPr>
          <w:rFonts w:ascii="Arial" w:cs="Arial" w:eastAsia="Arial" w:hAnsi="Arial"/>
          <w:sz w:val="16"/>
          <w:szCs w:val="16"/>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“Risk Factors” in Part II, Item 1A of this Quarterly Report for additional information regarding risks associated with the COVID-19 pandemic, including under the caption “The ongoing COVID-19 pandemic has adversely affected, and we cannot predict its ultimate impact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2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Item 1A of this Quarterly Report.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and Technology Leadership</w:t>
      </w:r>
    </w:p>
    <w:p>
      <w:pPr>
        <w:spacing w:after="0" w:line="21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the date of this filing, we had refundable reservations and non-refundable orders of cars yet to be delivered that reflect potential sales of approximately $3.5 billion.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Direct-to-Consumer Model</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June 30, 2022, we have opened twenty-nine Studios and service centers, one in Germany, two in Canada, twenty-six in the United States (one in each of Colorado, Massachusetts, Michigan, New Jersey, Texas, and Virginia, and two in each of Arizona, Illinois, New York, and Washington, three in Florida, as well as nine in California). We also intend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Establishing Manufacturing Capacity</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Innovation</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Inflationary Pressure</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revenue for the periods presented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Three Months Ended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ind w:left="26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800" w:type="dxa"/>
            <w:vAlign w:val="bottom"/>
          </w:tcPr>
          <w:p>
            <w:pPr>
              <w:jc w:val="right"/>
              <w:ind w:right="258"/>
              <w:spacing w:after="0"/>
              <w:rPr>
                <w:sz w:val="20"/>
                <w:szCs w:val="20"/>
                <w:color w:val="auto"/>
              </w:rPr>
            </w:pPr>
            <w:r>
              <w:rPr>
                <w:rFonts w:ascii="Arial" w:cs="Arial" w:eastAsia="Arial" w:hAnsi="Arial"/>
                <w:sz w:val="16"/>
                <w:szCs w:val="16"/>
                <w:b w:val="1"/>
                <w:bCs w:val="1"/>
                <w:color w:val="auto"/>
              </w:rPr>
              <w:t>2022</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97,336</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97,162</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i w:val="1"/>
                <w:iCs w:val="1"/>
                <w:color w:val="auto"/>
                <w:w w:val="91"/>
              </w:rPr>
              <w:t>*nm</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86"/>
              </w:rPr>
              <w:t>155,011</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487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154,524</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i w:val="1"/>
                <w:iCs w:val="1"/>
                <w:color w:val="auto"/>
                <w:w w:val="91"/>
              </w:rPr>
              <w:t>*nm</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 not meaningful</w:t>
      </w:r>
    </w:p>
    <w:p>
      <w:pPr>
        <w:spacing w:after="0" w:line="212" w:lineRule="exact"/>
        <w:rPr>
          <w:sz w:val="20"/>
          <w:szCs w:val="20"/>
          <w:color w:val="auto"/>
        </w:rPr>
      </w:pPr>
    </w:p>
    <w:p>
      <w:pPr>
        <w:jc w:val="both"/>
        <w:ind w:right="220"/>
        <w:spacing w:after="0" w:line="366" w:lineRule="auto"/>
        <w:rPr>
          <w:sz w:val="20"/>
          <w:szCs w:val="20"/>
          <w:color w:val="auto"/>
        </w:rPr>
      </w:pPr>
      <w:r>
        <w:rPr>
          <w:rFonts w:ascii="Arial" w:cs="Arial" w:eastAsia="Arial" w:hAnsi="Arial"/>
          <w:sz w:val="14"/>
          <w:szCs w:val="14"/>
          <w:color w:val="auto"/>
        </w:rPr>
        <w:t>We began generating sales from the deliveries of vehicles in the fourth quarter of 2021. We recognize vehicle sales when the customer obtains control of the vehicle which is upon delivery. We also generate revenue from the sale of powertrain kits, battery pack systems, supplies and related services for vehicles to a single customer.</w:t>
      </w:r>
    </w:p>
    <w:p>
      <w:pPr>
        <w:spacing w:after="0" w:line="10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 increased by $97.2 million and $154.5 million, respectively, for the three and six months ended June 30, 2022, as compared to the same periods in the prior year, primarily driven by customer deliveries of Lucid Air vehicles.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cost of revenue for the periods presented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w w:val="97"/>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tcPr>
          <w:p>
            <w:pPr>
              <w:ind w:left="180"/>
              <w:spacing w:after="0"/>
              <w:rPr>
                <w:sz w:val="20"/>
                <w:szCs w:val="20"/>
                <w:color w:val="auto"/>
              </w:rPr>
            </w:pPr>
            <w:r>
              <w:rPr>
                <w:rFonts w:ascii="Arial" w:cs="Arial" w:eastAsia="Arial" w:hAnsi="Arial"/>
                <w:sz w:val="16"/>
                <w:szCs w:val="16"/>
                <w:b w:val="1"/>
                <w:bCs w:val="1"/>
                <w:color w:val="auto"/>
                <w:w w:val="98"/>
              </w:rPr>
              <w:t>Six Months Ended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June 30,</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June 30,</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2022</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 Change</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 Change</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292,342</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292,323</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i w:val="1"/>
                <w:iCs w:val="1"/>
                <w:color w:val="auto"/>
                <w:w w:val="91"/>
              </w:rPr>
              <w:t>*nm</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9"/>
              </w:rPr>
              <w:t>538,312</w:t>
            </w: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104</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538,208</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i w:val="1"/>
                <w:iCs w:val="1"/>
                <w:color w:val="auto"/>
                <w:w w:val="91"/>
              </w:rPr>
              <w:t>*nm</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 not meaningful</w:t>
      </w:r>
    </w:p>
    <w:p>
      <w:pPr>
        <w:spacing w:after="0" w:line="212"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Cost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or charges for inventory obsolescence.</w:t>
      </w:r>
    </w:p>
    <w:p>
      <w:pPr>
        <w:spacing w:after="0" w:line="16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Cost of revenue related to powertrain kits,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Cost of revenue increased by $292.3 million and $538.2 million, respectively, for the three and six months ended June 30, 2022 as compared to the same periods in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prior year, primarily due to the manufacture and sale of Lucid Air vehicles in 2022. We incurred significant personnel and overhead costs to operate our large-scale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manufacturing facilities while ramping up production, with production activity for a limited quantity of vehicles in the three and six months ended June 30, 2022. In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near term, we expect our production volume of vehicles to continue to be significantly less than our manufacturing capacity. Additionally, we recorded write downs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$81.7 million and $178.1 million, respectively, in the three and six months ended June 30, 2022 to reduce our inventories to their net realizable values and for any excess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or obsolete inventories. We expect inventory write downs could negatively affect our costs of vehicle sales in upcoming periods in the near term as we ramp production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volumes up toward our manufacturing capacity.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9"/>
        </w:trPr>
        <w:tc>
          <w:tcPr>
            <w:tcW w:w="240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6"/>
        </w:trPr>
        <w:tc>
          <w:tcPr>
            <w:tcW w:w="6800" w:type="dxa"/>
            <w:vAlign w:val="bottom"/>
            <w:gridSpan w:val="12"/>
          </w:tcPr>
          <w:p>
            <w:pPr>
              <w:spacing w:after="0"/>
              <w:rPr>
                <w:sz w:val="20"/>
                <w:szCs w:val="20"/>
                <w:color w:val="auto"/>
              </w:rPr>
            </w:pPr>
            <w:r>
              <w:rPr>
                <w:rFonts w:ascii="Arial" w:cs="Arial" w:eastAsia="Arial" w:hAnsi="Arial"/>
                <w:sz w:val="16"/>
                <w:szCs w:val="16"/>
                <w:color w:val="auto"/>
              </w:rPr>
              <w:t>The following table presents our operating expenses for the periods presented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1"/>
        </w:trPr>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8"/>
              </w:rPr>
              <w:t>Three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2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w w:val="96"/>
              </w:rPr>
              <w:t>June 30,</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7"/>
                <w:szCs w:val="17"/>
                <w:color w:val="auto"/>
              </w:rPr>
            </w:pPr>
          </w:p>
        </w:tc>
      </w:tr>
      <w:tr>
        <w:trPr>
          <w:trHeight w:val="190"/>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200,381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176,802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9"/>
              </w:rPr>
              <w:t>386,457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344,171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42,286</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2400" w:type="dxa"/>
            <w:vAlign w:val="bottom"/>
          </w:tcPr>
          <w:p>
            <w:pPr>
              <w:spacing w:after="0"/>
              <w:rPr>
                <w:sz w:val="20"/>
                <w:szCs w:val="20"/>
                <w:color w:val="auto"/>
              </w:rPr>
            </w:pPr>
            <w:r>
              <w:rPr>
                <w:rFonts w:ascii="Arial" w:cs="Arial" w:eastAsia="Arial" w:hAnsi="Arial"/>
                <w:sz w:val="16"/>
                <w:szCs w:val="16"/>
                <w:color w:val="auto"/>
                <w:w w:val="97"/>
              </w:rPr>
              <w:t>Selling, general and administrative</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163,812</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72,272</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91,540</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color w:val="auto"/>
              </w:rPr>
              <w:t>386,971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203,924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183,047</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2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364,193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249,074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3"/>
                <w:szCs w:val="13"/>
                <w:color w:val="auto"/>
              </w:rPr>
              <w:t>46</w:t>
            </w:r>
            <w:r>
              <w:rPr>
                <w:rFonts w:ascii="Arial" w:cs="Arial" w:eastAsia="Arial" w:hAnsi="Arial"/>
                <w:sz w:val="23"/>
                <w:szCs w:val="23"/>
                <w:color w:val="auto"/>
                <w:vertAlign w:val="superscript"/>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9"/>
              </w:rPr>
              <w:t>773,428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41</w:t>
            </w:r>
            <w:r>
              <w:rPr>
                <w:rFonts w:ascii="Arial" w:cs="Arial" w:eastAsia="Arial" w:hAnsi="Arial"/>
                <w:sz w:val="23"/>
                <w:szCs w:val="23"/>
                <w:color w:val="auto"/>
                <w:vertAlign w:val="superscript"/>
              </w:rPr>
              <w:t>%</w:t>
            </w:r>
          </w:p>
        </w:tc>
      </w:tr>
      <w:tr>
        <w:trPr>
          <w:trHeight w:val="20"/>
        </w:trPr>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Research and development expense increased by $23.6 million, or 13%, for the three months ended June 30, 2022 as compared to the same period in the prior year. The increase was primarily attributable to higher personnel-related expenses of $27.4 million due to higher stock-based compensation expense of $25.7 million, and an increase of $24.6 million for prototype material, engineering, design and testing services, partially offset by decreases of $23.0 million from lower utilization of contractor and professional fees and $9.5 million in allocated facilities costs.</w:t>
      </w:r>
    </w:p>
    <w:p>
      <w:pPr>
        <w:spacing w:after="0" w:line="165" w:lineRule="exact"/>
        <w:rPr>
          <w:sz w:val="20"/>
          <w:szCs w:val="20"/>
          <w:color w:val="auto"/>
        </w:rPr>
      </w:pPr>
    </w:p>
    <w:p>
      <w:pPr>
        <w:ind w:right="300"/>
        <w:spacing w:after="0" w:line="300" w:lineRule="auto"/>
        <w:rPr>
          <w:sz w:val="20"/>
          <w:szCs w:val="20"/>
          <w:color w:val="auto"/>
        </w:rPr>
      </w:pPr>
      <w:r>
        <w:rPr>
          <w:rFonts w:ascii="Arial" w:cs="Arial" w:eastAsia="Arial" w:hAnsi="Arial"/>
          <w:sz w:val="15"/>
          <w:szCs w:val="15"/>
          <w:color w:val="auto"/>
        </w:rPr>
        <w:t>Research and development expense increased by $42.3 million, or 12%, for the six months ended June 30, 2022 as compared to the same period in the prior year. The increase was primarily attributable to higher personnel-related expenses of $72.7 million due to higher stock-based compensation expense of $62.3 million, partially offset by decreases of $16.4 million from lower utilization of contractor and professional fees and $15.2 million in allocated facilities costs.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62"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Selling, general, and administrative expense increased by $91.5 million, or 127%, for the three months ended June 30, 2022 as compared to the same period in the prior year. The increase was primarily attributable to higher personnel-related expenses of $64.5 million due to growth in headcount (which included stock-based compensation expense of $33.8 million), increases in general corporate expenses of $10.6 million and higher utilization of contractors and professional fees of $7.1 million.</w:t>
      </w:r>
    </w:p>
    <w:p>
      <w:pPr>
        <w:spacing w:after="0" w:line="128"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Selling, general, and administrative expense increased by $183.0 million, or 90%, for the six months ended June 30, 2022 as compared to the same period in the prior year. The increase was primarily attributable to higher personnel-related expenses of $126.1 million due to growth in headcount (which included stock-based compensation expense of $58.4 million), increases in general corporate expenses of $18.6 million and higher utilization of contractors and professional fees of $18.1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6"/>
        </w:trPr>
        <w:tc>
          <w:tcPr>
            <w:tcW w:w="7020" w:type="dxa"/>
            <w:vAlign w:val="bottom"/>
            <w:gridSpan w:val="12"/>
          </w:tcPr>
          <w:p>
            <w:pPr>
              <w:spacing w:after="0"/>
              <w:rPr>
                <w:sz w:val="20"/>
                <w:szCs w:val="20"/>
                <w:color w:val="auto"/>
              </w:rPr>
            </w:pPr>
            <w:r>
              <w:rPr>
                <w:rFonts w:ascii="Arial" w:cs="Arial" w:eastAsia="Arial" w:hAnsi="Arial"/>
                <w:sz w:val="16"/>
                <w:szCs w:val="16"/>
                <w:color w:val="auto"/>
                <w:w w:val="94"/>
              </w:rPr>
              <w:t>The following table presents our other income and expense, net for the periods presented (in thousands):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81"/>
        </w:trPr>
        <w:tc>
          <w:tcPr>
            <w:tcW w:w="4620" w:type="dxa"/>
            <w:vAlign w:val="bottom"/>
          </w:tcPr>
          <w:p>
            <w:pPr>
              <w:spacing w:after="0"/>
              <w:rPr>
                <w:sz w:val="24"/>
                <w:szCs w:val="24"/>
                <w:color w:val="auto"/>
              </w:rPr>
            </w:pPr>
          </w:p>
        </w:tc>
        <w:tc>
          <w:tcPr>
            <w:tcW w:w="1580" w:type="dxa"/>
            <w:vAlign w:val="bottom"/>
            <w:gridSpan w:val="7"/>
          </w:tcPr>
          <w:p>
            <w:pPr>
              <w:ind w:left="20"/>
              <w:spacing w:after="0"/>
              <w:rPr>
                <w:sz w:val="20"/>
                <w:szCs w:val="20"/>
                <w:color w:val="auto"/>
              </w:rPr>
            </w:pPr>
            <w:r>
              <w:rPr>
                <w:rFonts w:ascii="Arial" w:cs="Arial" w:eastAsia="Arial" w:hAnsi="Arial"/>
                <w:sz w:val="16"/>
                <w:szCs w:val="16"/>
                <w:b w:val="1"/>
                <w:bCs w:val="1"/>
                <w:color w:val="auto"/>
                <w:w w:val="97"/>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5"/>
          </w:tcPr>
          <w:p>
            <w:pPr>
              <w:jc w:val="right"/>
              <w:ind w:right="78"/>
              <w:spacing w:after="0"/>
              <w:rPr>
                <w:sz w:val="20"/>
                <w:szCs w:val="20"/>
                <w:color w:val="auto"/>
              </w:rPr>
            </w:pPr>
            <w:r>
              <w:rPr>
                <w:rFonts w:ascii="Arial" w:cs="Arial" w:eastAsia="Arial" w:hAnsi="Arial"/>
                <w:sz w:val="16"/>
                <w:szCs w:val="16"/>
                <w:b w:val="1"/>
                <w:bCs w:val="1"/>
                <w:color w:val="auto"/>
                <w:w w:val="96"/>
              </w:rPr>
              <w:t>Six Months Ended</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right"/>
              <w:ind w:right="438"/>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418"/>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4"/>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1"/>
              </w:rPr>
              <w:t>Change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 Change</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 Change</w:t>
            </w: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198"/>
        </w:trPr>
        <w:tc>
          <w:tcPr>
            <w:tcW w:w="4620" w:type="dxa"/>
            <w:vAlign w:val="bottom"/>
          </w:tcPr>
          <w:p>
            <w:pPr>
              <w:ind w:left="140"/>
              <w:spacing w:after="0"/>
              <w:rPr>
                <w:sz w:val="20"/>
                <w:szCs w:val="20"/>
                <w:color w:val="auto"/>
              </w:rPr>
            </w:pPr>
            <w:r>
              <w:rPr>
                <w:rFonts w:ascii="Arial" w:cs="Arial" w:eastAsia="Arial" w:hAnsi="Arial"/>
                <w:sz w:val="16"/>
                <w:szCs w:val="16"/>
                <w:color w:val="auto"/>
              </w:rPr>
              <w:t>Change in fair value of forward contracts</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7"/>
              </w:rPr>
              <w:t>(12,382)</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12,382</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(100)% $</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2"/>
              </w:rPr>
              <w:t>$(454,546)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454,546</w:t>
            </w:r>
          </w:p>
        </w:tc>
        <w:tc>
          <w:tcPr>
            <w:tcW w:w="80" w:type="dxa"/>
            <w:vAlign w:val="bottom"/>
          </w:tcPr>
          <w:p>
            <w:pPr>
              <w:spacing w:after="0"/>
              <w:rPr>
                <w:sz w:val="17"/>
                <w:szCs w:val="17"/>
                <w:color w:val="auto"/>
              </w:rPr>
            </w:pPr>
          </w:p>
        </w:tc>
        <w:tc>
          <w:tcPr>
            <w:tcW w:w="960" w:type="dxa"/>
            <w:vAlign w:val="bottom"/>
            <w:gridSpan w:val="3"/>
          </w:tcPr>
          <w:p>
            <w:pPr>
              <w:ind w:left="460"/>
              <w:spacing w:after="0"/>
              <w:rPr>
                <w:sz w:val="20"/>
                <w:szCs w:val="20"/>
                <w:color w:val="auto"/>
              </w:rPr>
            </w:pPr>
            <w:r>
              <w:rPr>
                <w:rFonts w:ascii="Arial" w:cs="Arial" w:eastAsia="Arial" w:hAnsi="Arial"/>
                <w:sz w:val="16"/>
                <w:szCs w:val="16"/>
                <w:color w:val="auto"/>
                <w:w w:val="92"/>
              </w:rPr>
              <w:t>(100)%</w:t>
            </w:r>
          </w:p>
        </w:tc>
      </w:tr>
      <w:tr>
        <w:trPr>
          <w:trHeight w:val="198"/>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Change in fair value of convertible preferred stock warrant liability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i w:val="1"/>
                <w:iCs w:val="1"/>
                <w:color w:val="auto"/>
              </w:rPr>
              <w:t>*nm</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w w:val="92"/>
              </w:rPr>
              <w:t>(100)%</w:t>
            </w:r>
          </w:p>
        </w:tc>
      </w:tr>
      <w:tr>
        <w:trPr>
          <w:trHeight w:val="198"/>
        </w:trPr>
        <w:tc>
          <w:tcPr>
            <w:tcW w:w="4620" w:type="dxa"/>
            <w:vAlign w:val="bottom"/>
          </w:tcPr>
          <w:p>
            <w:pPr>
              <w:ind w:left="140"/>
              <w:spacing w:after="0"/>
              <w:rPr>
                <w:sz w:val="20"/>
                <w:szCs w:val="20"/>
                <w:color w:val="auto"/>
              </w:rPr>
            </w:pPr>
            <w:r>
              <w:rPr>
                <w:rFonts w:ascii="Arial" w:cs="Arial" w:eastAsia="Arial" w:hAnsi="Arial"/>
                <w:sz w:val="16"/>
                <w:szCs w:val="16"/>
                <w:color w:val="auto"/>
              </w:rPr>
              <w:t>Change in fair value of common stock warrant liability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334,843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334,843</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i w:val="1"/>
                <w:iCs w:val="1"/>
                <w:color w:val="auto"/>
              </w:rPr>
              <w:t>*nm</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858,173</w:t>
            </w:r>
          </w:p>
        </w:tc>
        <w:tc>
          <w:tcPr>
            <w:tcW w:w="100" w:type="dxa"/>
            <w:vAlign w:val="bottom"/>
          </w:tcPr>
          <w:p>
            <w:pPr>
              <w:spacing w:after="0"/>
              <w:rPr>
                <w:sz w:val="17"/>
                <w:szCs w:val="17"/>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858,173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i w:val="1"/>
                <w:iCs w:val="1"/>
                <w:color w:val="auto"/>
              </w:rPr>
              <w:t>*nm</w:t>
            </w:r>
          </w:p>
        </w:tc>
      </w:tr>
      <w:tr>
        <w:trPr>
          <w:trHeight w:val="198"/>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(7,189)</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i w:val="1"/>
                <w:iCs w:val="1"/>
                <w:color w:val="auto"/>
              </w:rPr>
              <w:t>*nm</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(14,908)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(14,873)</w:t>
            </w: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i w:val="1"/>
                <w:iCs w:val="1"/>
                <w:color w:val="auto"/>
              </w:rPr>
              <w:t>*nm</w:t>
            </w:r>
          </w:p>
        </w:tc>
      </w:tr>
      <w:tr>
        <w:trPr>
          <w:trHeight w:val="210"/>
        </w:trPr>
        <w:tc>
          <w:tcPr>
            <w:tcW w:w="4620" w:type="dxa"/>
            <w:vAlign w:val="bottom"/>
          </w:tcPr>
          <w:p>
            <w:pPr>
              <w:ind w:left="140"/>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11,578</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i w:val="1"/>
                <w:iCs w:val="1"/>
                <w:color w:val="auto"/>
              </w:rPr>
              <w:t>*nm</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12,144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12,544</w:t>
            </w:r>
          </w:p>
        </w:tc>
        <w:tc>
          <w:tcPr>
            <w:tcW w:w="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i w:val="1"/>
                <w:iCs w:val="1"/>
                <w:color w:val="auto"/>
              </w:rPr>
              <w:t>*nm</w:t>
            </w:r>
          </w:p>
        </w:tc>
      </w:tr>
      <w:tr>
        <w:trPr>
          <w:trHeight w:val="203"/>
        </w:trPr>
        <w:tc>
          <w:tcPr>
            <w:tcW w:w="46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other income (expense), net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338,842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(12,802</w:t>
            </w:r>
          </w:p>
        </w:tc>
        <w:tc>
          <w:tcPr>
            <w:tcW w:w="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351,644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rPr>
              <w:t>*nm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855,409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(461,957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1,317,366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i w:val="1"/>
                <w:iCs w:val="1"/>
                <w:color w:val="auto"/>
              </w:rPr>
              <w:t>*nm</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 not meaningful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Contingent Forward Contracts</w:t>
      </w:r>
    </w:p>
    <w:p>
      <w:pPr>
        <w:spacing w:after="0" w:line="212"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62"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Change in contingent forward contracts liability decreased by $12.4 million and $454.5 million, respectively, for the three and six months ended June 30, 2022, as compared to the same periods in the prior year. The Legacy Lucid Series E contingent forward contracts were settled during six months ended June 30, 2021, and there are no future earnings adjustments pertaining to the contingent forward contracts.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Convertible Preferred Stock Warrant Liability</w:t>
      </w:r>
    </w:p>
    <w:p>
      <w:pPr>
        <w:spacing w:after="0" w:line="212"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condensed consolidated statements of operations and comprehensive loss. All issued and outstanding shares of Legacy Lucid Series D preferred stock were settled in February 2021 and there will no longer be future earnings adjustments pertaining to the convertible preferred share warrant liability related to Legacy Lucid Series D preferred stock.</w:t>
      </w:r>
    </w:p>
    <w:p>
      <w:pPr>
        <w:spacing w:after="0" w:line="151" w:lineRule="exact"/>
        <w:rPr>
          <w:sz w:val="20"/>
          <w:szCs w:val="20"/>
          <w:color w:val="auto"/>
        </w:rPr>
      </w:pPr>
    </w:p>
    <w:p>
      <w:pPr>
        <w:ind w:right="340"/>
        <w:spacing w:after="0" w:line="326" w:lineRule="auto"/>
        <w:rPr>
          <w:sz w:val="20"/>
          <w:szCs w:val="20"/>
          <w:color w:val="auto"/>
        </w:rPr>
      </w:pPr>
      <w:r>
        <w:rPr>
          <w:rFonts w:ascii="Arial" w:cs="Arial" w:eastAsia="Arial" w:hAnsi="Arial"/>
          <w:sz w:val="15"/>
          <w:szCs w:val="15"/>
          <w:color w:val="auto"/>
        </w:rPr>
        <w:t>We recorded a loss of $7.0 million for the six months ended June 30,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Common Stock Warrant Liability</w:t>
      </w:r>
    </w:p>
    <w:p>
      <w:pPr>
        <w:spacing w:after="0" w:line="212" w:lineRule="exact"/>
        <w:rPr>
          <w:sz w:val="20"/>
          <w:szCs w:val="20"/>
          <w:color w:val="auto"/>
        </w:rPr>
      </w:pPr>
    </w:p>
    <w:p>
      <w:pPr>
        <w:ind w:right="440"/>
        <w:spacing w:after="0" w:line="269" w:lineRule="auto"/>
        <w:rPr>
          <w:sz w:val="20"/>
          <w:szCs w:val="20"/>
          <w:color w:val="auto"/>
        </w:rPr>
      </w:pPr>
      <w:r>
        <w:rPr>
          <w:rFonts w:ascii="Arial" w:cs="Arial" w:eastAsia="Arial" w:hAnsi="Arial"/>
          <w:sz w:val="16"/>
          <w:szCs w:val="16"/>
          <w:color w:val="auto"/>
        </w:rPr>
        <w:t>Our common stock warrant liability relates to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condensed consolidated statements of operations and comprehensive loss.</w:t>
      </w:r>
    </w:p>
    <w:p>
      <w:pPr>
        <w:spacing w:after="0" w:line="16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Private Placement Warrants remained unexercised as of June 30, 2022. The liability was remeasured to fair value, resulting in gains of $334.8 million and $858.2 million, respectively, for the three and six months ended June 30, 2022, and was classified within change in fair value of common stock warrant liability in the condensed consolidated statements of operations and comprehensive loss. See Note 9 “Common Stock Warrant Liability” to our condensed consolidated financial statements included elsewhere in this Quarterly Report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12"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color w:val="auto"/>
        </w:rPr>
        <w:t>Interest expense consists primarily of contractual interest and amortization of debt discounts and debt issuance costs incurred related to the 2026 Notes issued in December 2021, interest and commitment fee as well as amortization of issuance costs incurred associated with ABL Credit Facility and GIB Credit Agreement, and interest on our finance leases.</w:t>
      </w:r>
    </w:p>
    <w:p>
      <w:pPr>
        <w:spacing w:after="0" w:line="16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Interest expense increased by $7.2 million and $14.9 million, respectively, for the three and six months ended June 30, 2022 as compared to the same periods in the prior year, primarily related to the 2026 Notes issued in December 2021.</w:t>
      </w: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340"/>
          </w:cols>
          <w:pgMar w:left="320" w:top="845"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Other Income (Expense), net</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Other income (expense), net consists primarily of income on money market funds and investments, and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2"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Other income (expense), net increased by $11.6 million and $12.5 million, respectively, during the three and six months ended June 30, 2022 as compared to the same periods in the prior year, primarily due to higher income from money market funds and investments, as well as foreign currency gains.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1"/>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ind w:left="280"/>
              <w:spacing w:after="0"/>
              <w:rPr>
                <w:sz w:val="20"/>
                <w:szCs w:val="20"/>
                <w:color w:val="auto"/>
              </w:rPr>
            </w:pPr>
            <w:r>
              <w:rPr>
                <w:rFonts w:ascii="Arial" w:cs="Arial" w:eastAsia="Arial" w:hAnsi="Arial"/>
                <w:sz w:val="16"/>
                <w:szCs w:val="16"/>
                <w:b w:val="1"/>
                <w:bCs w:val="1"/>
                <w:color w:val="auto"/>
                <w:w w:val="99"/>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Six Months Ended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3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680" w:type="dxa"/>
            <w:vAlign w:val="bottom"/>
          </w:tcPr>
          <w:p>
            <w:pPr>
              <w:ind w:left="280"/>
              <w:spacing w:after="0"/>
              <w:rPr>
                <w:sz w:val="20"/>
                <w:szCs w:val="20"/>
                <w:color w:val="auto"/>
              </w:rPr>
            </w:pPr>
            <w:r>
              <w:rPr>
                <w:rFonts w:ascii="Arial" w:cs="Arial" w:eastAsia="Arial" w:hAnsi="Arial"/>
                <w:sz w:val="16"/>
                <w:szCs w:val="16"/>
                <w:b w:val="1"/>
                <w:bCs w:val="1"/>
                <w:color w:val="auto"/>
              </w:rPr>
              <w:t>2022</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jc w:val="right"/>
              <w:ind w:right="198"/>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198"/>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9"/>
              </w:rPr>
              <w:t>68</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i w:val="1"/>
                <w:iCs w:val="1"/>
                <w:color w:val="auto"/>
                <w:w w:val="91"/>
              </w:rPr>
              <w:t>*nm</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i w:val="1"/>
                <w:iCs w:val="1"/>
                <w:color w:val="auto"/>
                <w:w w:val="91"/>
              </w:rPr>
              <w:t>*nm</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*nm </w:t>
      </w:r>
      <w:r>
        <w:rPr>
          <w:rFonts w:ascii="Arial" w:cs="Arial" w:eastAsia="Arial" w:hAnsi="Arial"/>
          <w:sz w:val="16"/>
          <w:szCs w:val="16"/>
          <w:color w:val="auto"/>
        </w:rPr>
        <w:t>- not meaningful</w:t>
      </w:r>
    </w:p>
    <w:p>
      <w:pPr>
        <w:spacing w:after="0" w:line="212"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Our provision for income taxes consist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62"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color w:val="auto"/>
        </w:rPr>
        <w:t>The provision for income taxes increased by $0.1 million and $0.4 million, respectively, for the three and six months ended June 30, 2022 as compared to the same periods in the prior year, primarily due to changes in taxable income of our foreign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212" w:lineRule="exact"/>
        <w:rPr>
          <w:sz w:val="20"/>
          <w:szCs w:val="20"/>
          <w:color w:val="auto"/>
        </w:rPr>
      </w:pPr>
    </w:p>
    <w:p>
      <w:pPr>
        <w:ind w:right="400"/>
        <w:spacing w:after="0" w:line="290" w:lineRule="auto"/>
        <w:rPr>
          <w:sz w:val="20"/>
          <w:szCs w:val="20"/>
          <w:color w:val="auto"/>
        </w:rPr>
      </w:pPr>
      <w:r>
        <w:rPr>
          <w:rFonts w:ascii="Arial" w:cs="Arial" w:eastAsia="Arial" w:hAnsi="Arial"/>
          <w:sz w:val="16"/>
          <w:szCs w:val="16"/>
          <w:color w:val="auto"/>
        </w:rPr>
        <w:t>As of June 30, 2022, Lucid had $4.6 billion of cash, cash equivalents and investments. Our sources of cash are predominantly from proceeds from Lucid’s de-SPAC transaction with Churchill (plus PIPE), and the issuance of convertible debt.</w:t>
      </w:r>
    </w:p>
    <w:p>
      <w:pPr>
        <w:spacing w:after="0" w:line="14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production and manufacturing ramps at existing manufacturing facilities in Casa Grande, Arizona, (iv) Phase 2 of construction at AMP-1 in Casa Grande, Arizona, (v) the start of construction of a manufacturing facility in the Kingdom of Saudi Arabia, (vi) retail Studios and service centers, and (vii) other initiatives related to the sale of vehicles and/ or technology.</w:t>
      </w:r>
    </w:p>
    <w:p>
      <w:pPr>
        <w:spacing w:after="0" w:line="169"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We anticipate our cumulative spending on capital expenditures to be approximately $2.0 billion for the fiscal year 2022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51"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As of June 30, 2022, our total minimum lease payments are $371.7 million, of which $15.3 million is due in the current fiscal year. We also have a non-cancellable long-term commitment of $124.2 million to purchase certain inventory components. For details regarding these obligations, refer to Note 14 “Leases” and Note 15 “Commitments and Contingencies”.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color w:val="auto"/>
        </w:rPr>
        <w:t>2026 Notes</w:t>
      </w:r>
    </w:p>
    <w:p>
      <w:pPr>
        <w:spacing w:after="0" w:line="212"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June 30, 2022, we were in compliance with applicable covenants under the indenture governing the 2026 Notes.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Manufacturing Expansion</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The agreements are estimated to provide financing and incentives of up to $3.4 billion in aggregate over the next 15 years to build and operate a manufacturing facility in the Kingdom. The operations at the new plant would initially consist of re-assembly of Lucid Air vehicle “kits” pre-manufactured in the U.S. and, over time, production of complete vehicles.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Saudi Industrial Development Fund (“SIDF”) Loan Agreement</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On February 27, 2022, Lucid, LLC, a limited liability company established in the Kingdom of Saudi Arabia and a subsidiary of the Company (“Lucid LLC”) entered into a loan agreement (as subsequently amended, the “SIDF Loan Agreement”) with the SIDF, an affiliate of Public Investment Fund (“PIF”), which is an affiliate of Ayar, the controlling stockholder of the Company.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the Company’s planned manufacturing facility in the Kingdom of Saudi Arabia (“the KSA Facility”). Lucid LLC may repay SIDF Loans earlier than the maturity date without penalty. Obligations under the SIDF Loan Agreement do not extend to the Company or any of its other subsidiaries.</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SIDF Loans will not bear interest. Instead, Lucid LLC will be required to pay SIDF service fees, consisting of follow-up and technical evaluation fees, ranging, in aggregate, from SAR 415 million (approximately $110.6 million) to SAR 1.77 billion (approximately $471.7 million), over the term of the SIDF Loans. SIDF Loans will be secured by security interests in the equipment, machines and assets funded thereby.</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June 30, 2022, no amounts were outstanding under the SIDF Loan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Ministry of Investment of Saudi Arabia </w:t>
      </w:r>
      <w:r>
        <w:rPr>
          <w:rFonts w:ascii="Arial" w:cs="Arial" w:eastAsia="Arial" w:hAnsi="Arial"/>
          <w:sz w:val="16"/>
          <w:szCs w:val="16"/>
          <w:color w:val="auto"/>
        </w:rPr>
        <w:t>(“</w:t>
      </w:r>
      <w:r>
        <w:rPr>
          <w:rFonts w:ascii="Arial" w:cs="Arial" w:eastAsia="Arial" w:hAnsi="Arial"/>
          <w:sz w:val="16"/>
          <w:szCs w:val="16"/>
          <w:i w:val="1"/>
          <w:iCs w:val="1"/>
          <w:color w:val="auto"/>
        </w:rPr>
        <w:t>MISA”) Agreements</w:t>
      </w:r>
    </w:p>
    <w:p>
      <w:pPr>
        <w:spacing w:after="0" w:line="212" w:lineRule="exact"/>
        <w:rPr>
          <w:sz w:val="20"/>
          <w:szCs w:val="20"/>
          <w:color w:val="auto"/>
        </w:rPr>
      </w:pPr>
    </w:p>
    <w:p>
      <w:pPr>
        <w:jc w:val="both"/>
        <w:ind w:right="400"/>
        <w:spacing w:after="0" w:line="274" w:lineRule="auto"/>
        <w:rPr>
          <w:sz w:val="20"/>
          <w:szCs w:val="20"/>
          <w:color w:val="auto"/>
        </w:rPr>
      </w:pPr>
      <w:r>
        <w:rPr>
          <w:rFonts w:ascii="Arial" w:cs="Arial" w:eastAsia="Arial" w:hAnsi="Arial"/>
          <w:sz w:val="16"/>
          <w:szCs w:val="16"/>
          <w:color w:val="auto"/>
        </w:rPr>
        <w:t>In February 2022, Lucid LLC entered into certain agreements with MISA, an affiliate of PIF, under which the Company will receive economic incentives over time, subject to certain conditions and milestones, in connection with Lucid LLC’s on-going design and construction of the Company’s KSA Facility. In the three and six months ended June 30, 2022, no payments or incentives were received under these agreements.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Gulf International Bank (“GIB”) Facility Agreement</w:t>
      </w:r>
    </w:p>
    <w:p>
      <w:pPr>
        <w:spacing w:after="0" w:line="212"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On April 29, 2022, Lucid LLC entered into a revolving credit facility agreement (the “GIB Facility Agreement”) with GIB, maturing on February 28, 2025. GIB is an affiliate of PIF, which is an affiliate of Ayar, the controlling stockholder of the Company. The GIB Facility Agreement provides for two committed revolving credit facilities in an aggregate principal amount of SAR 1 billion (approximately $266.5 million). SAR $650 million (approximately $173.2 million) under the GIB Facility Agreement is available as bridge financing (the “Bridge Facility”) of Lucid LLC’s capital expenditures in connection with the KSA Facility. The remaining SAR</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350 million (approximately $93.3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June 30, 2022, the Company had outstanding borrowings of SAR 25 million (approximately $6.7 million) from the Working Capital Facility, which was recorded within other current liabilities on condensed consolidated balance sheets. As of June 30, 2022, available borrowings are SAR 650 million (approximately $173.2 million) and SAR 325 million (approximately $86.6 million) under the Bridge Facility and Working Capital Facility, respectively. As of June 30, 2022, we were in compliance with applicable covenants under the GIB Facility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ABL Credit Facility</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June 30, 2022, we were in compliance with applicable covenants under the ABL Credit Facility.</w:t>
      </w:r>
    </w:p>
    <w:p>
      <w:pPr>
        <w:spacing w:after="0" w:line="172"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As of June 30, 2022, the Company had no outstanding borrowings under the ABL Credit Facility. Availability under the ABL Credit Facility was $252.9 million as of June 30, 2022, after giving effect to the borrowing base.</w:t>
      </w:r>
    </w:p>
    <w:p>
      <w:pPr>
        <w:spacing w:after="0" w:line="149"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We have generated significant losses from our operations as reflected in our accumulated deficit of $6.4 billion and $6.1 billion as of June 30, 2022 and December 31, 2021, respectively. Additionally, we have generated significant negative cash flows from operations and investing activities as we continue to support the growth of our business.</w:t>
      </w:r>
    </w:p>
    <w:p>
      <w:pPr>
        <w:spacing w:after="0" w:line="162"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in Part II, Item 1A.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Cash Flows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33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33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750" cy="1333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decrease in cash, cash equivalents, and restricted cash</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Six Months Ended</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8"/>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(1,008,277)</w:t>
            </w:r>
          </w:p>
        </w:tc>
        <w:tc>
          <w:tcPr>
            <w:tcW w:w="24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(453,804)</w:t>
            </w:r>
          </w:p>
        </w:tc>
        <w:tc>
          <w:tcPr>
            <w:tcW w:w="60" w:type="dxa"/>
            <w:vAlign w:val="bottom"/>
            <w:gridSpan w:val="2"/>
          </w:tcPr>
          <w:p>
            <w:pPr>
              <w:spacing w:after="0"/>
              <w:rPr>
                <w:sz w:val="15"/>
                <w:szCs w:val="15"/>
                <w:color w:val="auto"/>
              </w:rPr>
            </w:pPr>
          </w:p>
        </w:tc>
      </w:tr>
      <w:tr>
        <w:trPr>
          <w:trHeight w:val="198"/>
        </w:trPr>
        <w:tc>
          <w:tcPr>
            <w:tcW w:w="260" w:type="dxa"/>
            <w:vAlign w:val="bottom"/>
          </w:tcPr>
          <w:p>
            <w:pPr>
              <w:spacing w:after="0"/>
              <w:rPr>
                <w:sz w:val="17"/>
                <w:szCs w:val="17"/>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(1,914,123)</w:t>
            </w:r>
          </w:p>
        </w:tc>
        <w:tc>
          <w:tcPr>
            <w:tcW w:w="2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(206,514)</w:t>
            </w:r>
          </w:p>
        </w:tc>
      </w:tr>
      <w:tr>
        <w:trPr>
          <w:trHeight w:val="221"/>
        </w:trPr>
        <w:tc>
          <w:tcPr>
            <w:tcW w:w="260" w:type="dxa"/>
            <w:vAlign w:val="bottom"/>
          </w:tcPr>
          <w:p>
            <w:pPr>
              <w:spacing w:after="0"/>
              <w:rPr>
                <w:sz w:val="19"/>
                <w:szCs w:val="19"/>
                <w:color w:val="auto"/>
              </w:rPr>
            </w:pPr>
          </w:p>
        </w:tc>
        <w:tc>
          <w:tcPr>
            <w:tcW w:w="1200" w:type="dxa"/>
            <w:vAlign w:val="bottom"/>
            <w:gridSpan w:val="2"/>
          </w:tcPr>
          <w:p>
            <w:pPr>
              <w:jc w:val="right"/>
              <w:ind w:right="98"/>
              <w:spacing w:after="0"/>
              <w:rPr>
                <w:sz w:val="20"/>
                <w:szCs w:val="20"/>
                <w:color w:val="auto"/>
              </w:rPr>
            </w:pPr>
            <w:r>
              <w:rPr>
                <w:rFonts w:ascii="Arial" w:cs="Arial" w:eastAsia="Arial" w:hAnsi="Arial"/>
                <w:sz w:val="16"/>
                <w:szCs w:val="16"/>
                <w:color w:val="auto"/>
              </w:rPr>
              <w:t>(183,209)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612,105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(3,105,609</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(48,213</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69" w:lineRule="exact"/>
        <w:rPr>
          <w:sz w:val="20"/>
          <w:szCs w:val="20"/>
          <w:color w:val="auto"/>
        </w:rPr>
      </w:pPr>
    </w:p>
    <w:p>
      <w:pPr>
        <w:sectPr>
          <w:pgSz w:w="11900" w:h="16838" w:orient="portrait"/>
          <w:cols w:equalWidth="0" w:num="2">
            <w:col w:w="7740" w:space="720"/>
            <w:col w:w="2780"/>
          </w:cols>
          <w:pgMar w:left="320" w:top="841" w:right="339" w:bottom="1440" w:gutter="0" w:footer="0" w:header="0"/>
        </w:sectPr>
      </w:pPr>
    </w:p>
    <w:p>
      <w:pPr>
        <w:spacing w:after="0" w:line="1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Net cash used in operating activities increased by $554.5 million to $1,008.3 million during the six months ended June 30, 2022, compared to the same period in the prior year. The increase was primarily due to the increase in net loss excluding non-cash expenses and gains of $215.1 million and an overall increase in net operating assets and liabilities of $339.4 million. The change in net operating assets and liabilities was mainly attributable to an increase in inventory driven by higher production plan, and other current liabilities related to operating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Investing Activities</w:t>
      </w:r>
    </w:p>
    <w:p>
      <w:pPr>
        <w:spacing w:after="0" w:line="212"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continue to experience negative cash flows from investing activities as we expand our business and continue to build our infrastructure. Cash flows from investing activities primarily relate to purchases of investments and capital expenditures to support our growth.</w:t>
      </w:r>
    </w:p>
    <w:p>
      <w:pPr>
        <w:spacing w:after="0" w:line="149" w:lineRule="exact"/>
        <w:rPr>
          <w:sz w:val="20"/>
          <w:szCs w:val="20"/>
          <w:color w:val="auto"/>
        </w:rPr>
      </w:pPr>
    </w:p>
    <w:p>
      <w:pPr>
        <w:jc w:val="both"/>
        <w:ind w:right="280"/>
        <w:spacing w:after="0" w:line="274" w:lineRule="auto"/>
        <w:rPr>
          <w:sz w:val="20"/>
          <w:szCs w:val="20"/>
          <w:color w:val="auto"/>
        </w:rPr>
      </w:pPr>
      <w:r>
        <w:rPr>
          <w:rFonts w:ascii="Arial" w:cs="Arial" w:eastAsia="Arial" w:hAnsi="Arial"/>
          <w:sz w:val="16"/>
          <w:szCs w:val="16"/>
          <w:color w:val="auto"/>
        </w:rPr>
        <w:t>Net cash used in investing activities increased by $1,707.6 million to $1,914.1 million during the six months ended June 30, 2022, compared to the same period in the prior year, primarily attributable to purchases of investments of $1,419.2 million during the six months ended June 30, 2022 and an increase in capital expenditures of $288.4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Provided by Financing Activities</w:t>
      </w:r>
    </w:p>
    <w:p>
      <w:pPr>
        <w:spacing w:after="0" w:line="21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Since inception, we have financed our operations primarily from the issuances of equity securities, including convertible preferred stock, the proceeds of the Merger, and the 2026 Notes.</w:t>
      </w:r>
    </w:p>
    <w:p>
      <w:pPr>
        <w:spacing w:after="0" w:line="14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Net cash used in financing activities were $183.2 million during the six months ended June 30, 2022, compared to $612.1 million of net cash provided by financing activities for the same period in the prior year. The change was primarily attributable to proceeds from the issuance of Legacy Lucid Series E preferred stock of $600.0 million during the six months ended June 30, 2021, and remittance for tax withholding obligations in connection with vesting of the CEO time-based and performance-based RSUs through net settlement of $189.3 million during the six months ended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6" w:lineRule="exact"/>
        <w:rPr>
          <w:sz w:val="20"/>
          <w:szCs w:val="20"/>
          <w:color w:val="auto"/>
        </w:rPr>
      </w:pPr>
    </w:p>
    <w:p>
      <w:pPr>
        <w:ind w:right="260"/>
        <w:spacing w:after="0" w:line="285" w:lineRule="auto"/>
        <w:rPr>
          <w:sz w:val="20"/>
          <w:szCs w:val="20"/>
          <w:color w:val="auto"/>
        </w:rPr>
      </w:pPr>
      <w:r>
        <w:rPr>
          <w:rFonts w:ascii="Arial" w:cs="Arial" w:eastAsia="Arial" w:hAnsi="Arial"/>
          <w:sz w:val="15"/>
          <w:szCs w:val="15"/>
          <w:color w:val="auto"/>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For a description of our critical accounting policies and estimates, refer to Part II, Item 7, Critical Accounting Policies and Estimates in our Annual Report on Form 10-K for the year ended December 31, 2021 and Note 2 “Summary of Significant Accounting Policies” to our condensed consolidated financial statements in Item 1 of Part I of this Quarterly Report. There have been no material changes to our critical accounting policies and estimates since our Annual Report on Form 10-K for the year ended December 31, 2021.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45" w:name="page46"/>
    <w:bookmarkEnd w:id="45"/>
    <w:p>
      <w:pPr>
        <w:ind w:left="1"/>
        <w:spacing w:after="0"/>
        <w:rPr>
          <w:sz w:val="20"/>
          <w:szCs w:val="20"/>
          <w:color w:val="auto"/>
        </w:rPr>
      </w:pPr>
      <w:r>
        <w:rPr>
          <w:rFonts w:ascii="Arial" w:cs="Arial" w:eastAsia="Arial" w:hAnsi="Arial"/>
          <w:sz w:val="16"/>
          <w:szCs w:val="16"/>
          <w:b w:val="1"/>
          <w:bCs w:val="1"/>
          <w:color w:val="auto"/>
        </w:rPr>
        <w:t>Off-Balance Sheet Arrangements</w:t>
      </w:r>
    </w:p>
    <w:p>
      <w:pPr>
        <w:spacing w:after="0" w:line="216" w:lineRule="exact"/>
        <w:rPr>
          <w:sz w:val="20"/>
          <w:szCs w:val="20"/>
          <w:color w:val="auto"/>
        </w:rPr>
      </w:pPr>
    </w:p>
    <w:p>
      <w:pPr>
        <w:ind w:left="1" w:right="960"/>
        <w:spacing w:after="0" w:line="290" w:lineRule="auto"/>
        <w:rPr>
          <w:sz w:val="20"/>
          <w:szCs w:val="20"/>
          <w:color w:val="auto"/>
        </w:rPr>
      </w:pPr>
      <w:r>
        <w:rPr>
          <w:rFonts w:ascii="Arial" w:cs="Arial" w:eastAsia="Arial" w:hAnsi="Arial"/>
          <w:sz w:val="16"/>
          <w:szCs w:val="16"/>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3. Qualitative and Quantitative Disclosures about Market Risk.</w:t>
      </w:r>
    </w:p>
    <w:p>
      <w:pPr>
        <w:spacing w:after="0" w:line="216" w:lineRule="exact"/>
        <w:rPr>
          <w:sz w:val="20"/>
          <w:szCs w:val="20"/>
          <w:color w:val="auto"/>
        </w:rPr>
      </w:pPr>
    </w:p>
    <w:p>
      <w:pPr>
        <w:ind w:left="1" w:right="520"/>
        <w:spacing w:after="0" w:line="366" w:lineRule="auto"/>
        <w:rPr>
          <w:sz w:val="20"/>
          <w:szCs w:val="20"/>
          <w:color w:val="auto"/>
        </w:rPr>
      </w:pPr>
      <w:r>
        <w:rPr>
          <w:rFonts w:ascii="Arial" w:cs="Arial" w:eastAsia="Arial" w:hAnsi="Arial"/>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due to inflationary pressure.</w:t>
      </w:r>
    </w:p>
    <w:p>
      <w:pPr>
        <w:spacing w:after="0" w:line="103"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12" w:lineRule="exact"/>
        <w:rPr>
          <w:sz w:val="20"/>
          <w:szCs w:val="20"/>
          <w:color w:val="auto"/>
        </w:rPr>
      </w:pPr>
    </w:p>
    <w:p>
      <w:pPr>
        <w:ind w:left="1" w:right="180"/>
        <w:spacing w:after="0" w:line="264"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investments. We had cash, cash equivalents, restricted cash, and investments totaling $4.6 billion as of June 30, 2022.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June 30, 2022, a hypothetical 100 basis point increase in interest rates would result in approximately $9.0 million incremental decline in the fair market value of our portfolio.</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Inflationary Pressure</w:t>
      </w:r>
    </w:p>
    <w:p>
      <w:pPr>
        <w:spacing w:after="0" w:line="212" w:lineRule="exact"/>
        <w:rPr>
          <w:sz w:val="20"/>
          <w:szCs w:val="20"/>
          <w:color w:val="auto"/>
        </w:rPr>
      </w:pPr>
    </w:p>
    <w:p>
      <w:pPr>
        <w:ind w:left="1" w:right="40"/>
        <w:spacing w:after="0" w:line="269" w:lineRule="auto"/>
        <w:rPr>
          <w:sz w:val="20"/>
          <w:szCs w:val="20"/>
          <w:color w:val="auto"/>
        </w:rPr>
      </w:pPr>
      <w:r>
        <w:rPr>
          <w:rFonts w:ascii="Arial" w:cs="Arial" w:eastAsia="Arial" w:hAnsi="Arial"/>
          <w:sz w:val="16"/>
          <w:szCs w:val="16"/>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4. Controls and Procedures.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6" w:lineRule="exact"/>
        <w:rPr>
          <w:sz w:val="20"/>
          <w:szCs w:val="20"/>
          <w:color w:val="auto"/>
        </w:rPr>
      </w:pPr>
    </w:p>
    <w:p>
      <w:pPr>
        <w:ind w:left="1" w:right="80"/>
        <w:spacing w:after="0" w:line="274"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w:t>
      </w:r>
    </w:p>
    <w:p>
      <w:pPr>
        <w:spacing w:after="0" w:line="162" w:lineRule="exact"/>
        <w:rPr>
          <w:sz w:val="20"/>
          <w:szCs w:val="20"/>
          <w:color w:val="auto"/>
        </w:rPr>
      </w:pPr>
    </w:p>
    <w:p>
      <w:pPr>
        <w:ind w:left="1" w:right="260"/>
        <w:spacing w:after="0" w:line="303" w:lineRule="auto"/>
        <w:rPr>
          <w:sz w:val="20"/>
          <w:szCs w:val="20"/>
          <w:color w:val="auto"/>
        </w:rPr>
      </w:pPr>
      <w:r>
        <w:rPr>
          <w:rFonts w:ascii="Arial" w:cs="Arial" w:eastAsia="Arial" w:hAnsi="Arial"/>
          <w:sz w:val="14"/>
          <w:szCs w:val="14"/>
          <w:color w:val="auto"/>
        </w:rPr>
        <w:t>Based on their evaluation, our principal executive officer and principal financial officer concluded that as of June 30, 2022, our disclosure controls and procedures are designed to, and are effective to, provide reasonable assurance that the information we are required to disclose in reports we file or submit under the Exchange Act is</w:t>
      </w:r>
    </w:p>
    <w:p>
      <w:pPr>
        <w:spacing w:after="0" w:line="1" w:lineRule="exact"/>
        <w:rPr>
          <w:sz w:val="20"/>
          <w:szCs w:val="20"/>
          <w:color w:val="auto"/>
        </w:rPr>
      </w:pPr>
    </w:p>
    <w:p>
      <w:pPr>
        <w:ind w:left="1" w:right="620" w:hanging="1"/>
        <w:spacing w:after="0" w:line="311" w:lineRule="auto"/>
        <w:tabs>
          <w:tab w:leader="none" w:pos="198"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6" w:lineRule="exact"/>
        <w:rPr>
          <w:sz w:val="20"/>
          <w:szCs w:val="20"/>
          <w:color w:val="auto"/>
        </w:rPr>
      </w:pPr>
    </w:p>
    <w:p>
      <w:pPr>
        <w:ind w:left="1"/>
        <w:spacing w:after="0" w:line="326" w:lineRule="auto"/>
        <w:rPr>
          <w:sz w:val="20"/>
          <w:szCs w:val="20"/>
          <w:color w:val="auto"/>
        </w:rPr>
      </w:pPr>
      <w:r>
        <w:rPr>
          <w:rFonts w:ascii="Arial" w:cs="Arial" w:eastAsia="Arial" w:hAnsi="Arial"/>
          <w:sz w:val="15"/>
          <w:szCs w:val="15"/>
          <w:color w:val="auto"/>
        </w:rPr>
        <w:t>There were no changes in our internal control over financial reporting (as defined in Rule 13a-15(f) and 15d-15(f) under the Exchange Act) that occurred during the fiscal quarter ended June 30, 2022, that has materially affected, or is reasonably likely to materially affect, our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216" w:lineRule="exact"/>
        <w:rPr>
          <w:sz w:val="20"/>
          <w:szCs w:val="20"/>
          <w:color w:val="auto"/>
        </w:rPr>
      </w:pPr>
    </w:p>
    <w:p>
      <w:pPr>
        <w:ind w:left="1" w:right="40"/>
        <w:spacing w:after="0" w:line="330"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1"/>
          </w:cols>
          <w:pgMar w:left="319" w:top="841"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6" w:lineRule="exact"/>
        <w:rPr>
          <w:sz w:val="20"/>
          <w:szCs w:val="20"/>
          <w:color w:val="auto"/>
        </w:rPr>
      </w:pPr>
    </w:p>
    <w:p>
      <w:pPr>
        <w:ind w:right="700" w:firstLine="297"/>
        <w:spacing w:after="0" w:line="326" w:lineRule="auto"/>
        <w:rPr>
          <w:sz w:val="20"/>
          <w:szCs w:val="20"/>
          <w:color w:val="auto"/>
        </w:rPr>
      </w:pPr>
      <w:r>
        <w:rPr>
          <w:rFonts w:ascii="Arial" w:cs="Arial" w:eastAsia="Arial" w:hAnsi="Arial"/>
          <w:sz w:val="15"/>
          <w:szCs w:val="15"/>
          <w:color w:val="auto"/>
        </w:rPr>
        <w:t>For a description of our legal proceedings, see the description set forth in the “Legal Matters” section in Note 15 “Commitments and Contingencies” to our condensed consolidated financial statements in Item 1 of Part I of this Quarterly Report,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6" w:lineRule="exact"/>
        <w:rPr>
          <w:sz w:val="20"/>
          <w:szCs w:val="20"/>
          <w:color w:val="auto"/>
        </w:rPr>
      </w:pPr>
    </w:p>
    <w:p>
      <w:pPr>
        <w:ind w:right="40" w:firstLine="297"/>
        <w:spacing w:after="0" w:line="288"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 Summary</w:t>
      </w:r>
    </w:p>
    <w:p>
      <w:pPr>
        <w:spacing w:after="0" w:line="216" w:lineRule="exact"/>
        <w:rPr>
          <w:sz w:val="20"/>
          <w:szCs w:val="20"/>
          <w:color w:val="auto"/>
        </w:rPr>
      </w:pPr>
    </w:p>
    <w:p>
      <w:pPr>
        <w:ind w:right="100" w:firstLine="297"/>
        <w:spacing w:after="0" w:line="269"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165" w:lineRule="exact"/>
        <w:rPr>
          <w:sz w:val="20"/>
          <w:szCs w:val="20"/>
          <w:color w:val="auto"/>
        </w:rPr>
      </w:pPr>
    </w:p>
    <w:p>
      <w:pPr>
        <w:ind w:left="600" w:right="600" w:hanging="304"/>
        <w:spacing w:after="0" w:line="290"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ongoing COVID-19 pandemic has adversely affected, and we cannot predict its ultimate impact on, our business, results of operations and financial condition.</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limited operating history makes evaluating our business and future prospects difficult and may increase the risk of investing in our common stock.</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adequately control the substantial costs associated with our operations.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received only a limited number of reservations and orders for the Lucid Air, all of which may be cancelled.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automotive industry has significant barriers to entry that we must overcome in order to manufacture and sell electric vehicles at scale.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automotive market is highly competitive, and we may not be successful in competing in this industry.</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will initially depend on revenue generated from a single model and in the foreseeable future will be significantly dependent on a limited number of models.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will not have a third-party retail product distribution and full-service network.</w:t>
      </w:r>
    </w:p>
    <w:p>
      <w:pPr>
        <w:spacing w:after="0" w:line="212" w:lineRule="exact"/>
        <w:rPr>
          <w:rFonts w:ascii="Arial" w:cs="Arial" w:eastAsia="Arial" w:hAnsi="Arial"/>
          <w:sz w:val="16"/>
          <w:szCs w:val="16"/>
          <w:color w:val="auto"/>
        </w:rPr>
      </w:pPr>
    </w:p>
    <w:p>
      <w:pPr>
        <w:ind w:left="600" w:right="180" w:hanging="304"/>
        <w:spacing w:after="0" w:line="290"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our vehicles fail to perform as expected, our ability to develop, market and sell or lease our products could be harmed.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face challenges providing charging solutions for our vehicles, both domestically and internationally.</w:t>
      </w:r>
    </w:p>
    <w:p>
      <w:pPr>
        <w:spacing w:after="0" w:line="212" w:lineRule="exact"/>
        <w:rPr>
          <w:rFonts w:ascii="Arial" w:cs="Arial" w:eastAsia="Arial" w:hAnsi="Arial"/>
          <w:sz w:val="16"/>
          <w:szCs w:val="16"/>
          <w:color w:val="auto"/>
        </w:rPr>
      </w:pPr>
    </w:p>
    <w:p>
      <w:pPr>
        <w:ind w:left="600" w:right="20" w:hanging="304"/>
        <w:spacing w:after="0" w:line="290"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9" w:lineRule="exact"/>
        <w:rPr>
          <w:rFonts w:ascii="Arial" w:cs="Arial" w:eastAsia="Arial" w:hAnsi="Arial"/>
          <w:sz w:val="16"/>
          <w:szCs w:val="16"/>
          <w:color w:val="auto"/>
        </w:rPr>
      </w:pPr>
    </w:p>
    <w:p>
      <w:pPr>
        <w:ind w:left="600" w:right="220" w:hanging="304"/>
        <w:spacing w:after="0" w:line="290"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no experience to date in high volume manufacture of our vehicles.</w:t>
      </w:r>
    </w:p>
    <w:p>
      <w:pPr>
        <w:spacing w:after="0" w:line="212" w:lineRule="exact"/>
        <w:rPr>
          <w:rFonts w:ascii="Arial" w:cs="Arial" w:eastAsia="Arial" w:hAnsi="Arial"/>
          <w:sz w:val="16"/>
          <w:szCs w:val="16"/>
          <w:color w:val="auto"/>
        </w:rPr>
      </w:pPr>
    </w:p>
    <w:p>
      <w:pPr>
        <w:ind w:left="600" w:hanging="304"/>
        <w:spacing w:after="0" w:line="290"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fail to successfully tool our manufacturing facilities or if our manufacturing facilities become inoperable, we will be unable to produce our vehicles and our business will be harmed.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7" w:name="page48"/>
    <w:bookmarkEnd w:id="47"/>
    <w:p>
      <w:pPr>
        <w:ind w:left="600" w:hanging="304"/>
        <w:spacing w:after="0" w:line="290"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49" w:lineRule="exact"/>
        <w:rPr>
          <w:rFonts w:ascii="Arial" w:cs="Arial" w:eastAsia="Arial" w:hAnsi="Arial"/>
          <w:sz w:val="16"/>
          <w:szCs w:val="16"/>
          <w:color w:val="auto"/>
        </w:rPr>
      </w:pPr>
    </w:p>
    <w:p>
      <w:pPr>
        <w:ind w:left="600" w:right="80" w:hanging="304"/>
        <w:spacing w:after="0" w:line="269"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65" w:lineRule="exact"/>
        <w:rPr>
          <w:rFonts w:ascii="Arial" w:cs="Arial" w:eastAsia="Arial" w:hAnsi="Arial"/>
          <w:sz w:val="16"/>
          <w:szCs w:val="16"/>
          <w:color w:val="auto"/>
        </w:rPr>
      </w:pPr>
    </w:p>
    <w:p>
      <w:pPr>
        <w:ind w:left="600" w:hanging="304"/>
        <w:spacing w:after="0" w:line="326"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25" w:lineRule="exact"/>
        <w:rPr>
          <w:rFonts w:ascii="Arial" w:cs="Arial" w:eastAsia="Arial" w:hAnsi="Arial"/>
          <w:sz w:val="15"/>
          <w:szCs w:val="15"/>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212" w:lineRule="exact"/>
        <w:rPr>
          <w:rFonts w:ascii="Arial" w:cs="Arial" w:eastAsia="Arial" w:hAnsi="Arial"/>
          <w:sz w:val="16"/>
          <w:szCs w:val="16"/>
          <w:color w:val="auto"/>
        </w:rPr>
      </w:pPr>
    </w:p>
    <w:p>
      <w:pPr>
        <w:ind w:left="600" w:right="440" w:hanging="304"/>
        <w:spacing w:after="0" w:line="326"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25" w:lineRule="exact"/>
        <w:rPr>
          <w:rFonts w:ascii="Arial" w:cs="Arial" w:eastAsia="Arial" w:hAnsi="Arial"/>
          <w:sz w:val="15"/>
          <w:szCs w:val="15"/>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loss of key personnel or an inability to attract, retain and motivate qualified personnel may impair our ability to expand our business.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highly dependent on the services of Peter Rawlinson, our Chief Executive Officer and Chief Technology Officer.</w:t>
      </w:r>
    </w:p>
    <w:p>
      <w:pPr>
        <w:spacing w:after="0" w:line="212" w:lineRule="exact"/>
        <w:rPr>
          <w:rFonts w:ascii="Arial" w:cs="Arial" w:eastAsia="Arial" w:hAnsi="Arial"/>
          <w:sz w:val="16"/>
          <w:szCs w:val="16"/>
          <w:color w:val="auto"/>
        </w:rPr>
      </w:pPr>
    </w:p>
    <w:p>
      <w:pPr>
        <w:ind w:left="600" w:right="20" w:hanging="304"/>
        <w:spacing w:after="0" w:line="326"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25" w:lineRule="exact"/>
        <w:rPr>
          <w:rFonts w:ascii="Arial" w:cs="Arial" w:eastAsia="Arial" w:hAnsi="Arial"/>
          <w:sz w:val="15"/>
          <w:szCs w:val="15"/>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face regulatory limitations on our ability to sell vehicles directly, which could materially and adversely affect its ability to sell our vehicles.</w:t>
      </w:r>
    </w:p>
    <w:p>
      <w:pPr>
        <w:spacing w:after="0" w:line="212" w:lineRule="exact"/>
        <w:rPr>
          <w:rFonts w:ascii="Arial" w:cs="Arial" w:eastAsia="Arial" w:hAnsi="Arial"/>
          <w:sz w:val="16"/>
          <w:szCs w:val="16"/>
          <w:color w:val="auto"/>
        </w:rPr>
      </w:pPr>
    </w:p>
    <w:p>
      <w:pPr>
        <w:ind w:left="600" w:hanging="304"/>
        <w:spacing w:after="0" w:line="274"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61"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212" w:lineRule="exact"/>
        <w:rPr>
          <w:rFonts w:ascii="Arial" w:cs="Arial" w:eastAsia="Arial" w:hAnsi="Arial"/>
          <w:sz w:val="16"/>
          <w:szCs w:val="16"/>
          <w:color w:val="auto"/>
        </w:rPr>
      </w:pPr>
    </w:p>
    <w:p>
      <w:pPr>
        <w:ind w:left="600" w:right="60" w:hanging="304"/>
        <w:spacing w:after="0" w:line="326"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25" w:lineRule="exact"/>
        <w:rPr>
          <w:rFonts w:ascii="Arial" w:cs="Arial" w:eastAsia="Arial" w:hAnsi="Arial"/>
          <w:sz w:val="15"/>
          <w:szCs w:val="15"/>
          <w:color w:val="auto"/>
        </w:rPr>
      </w:pPr>
    </w:p>
    <w:p>
      <w:pPr>
        <w:ind w:left="600" w:right="120" w:hanging="304"/>
        <w:spacing w:after="0" w:line="326"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25" w:lineRule="exact"/>
        <w:rPr>
          <w:rFonts w:ascii="Arial" w:cs="Arial" w:eastAsia="Arial" w:hAnsi="Arial"/>
          <w:sz w:val="15"/>
          <w:szCs w:val="15"/>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Sponsor and Ayar beneficially own a significant equity interest in us and may take actions that conflict with other shareholder interests.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ongoing COVID-19 pandemic has adversely affected, and we cannot predict its ultimate impact on, our business, results of operations and financial condition.</w:t>
      </w:r>
    </w:p>
    <w:p>
      <w:pPr>
        <w:spacing w:after="0" w:line="235" w:lineRule="exact"/>
        <w:rPr>
          <w:sz w:val="20"/>
          <w:szCs w:val="20"/>
          <w:color w:val="auto"/>
        </w:rPr>
      </w:pPr>
    </w:p>
    <w:p>
      <w:pPr>
        <w:ind w:right="20" w:firstLine="297"/>
        <w:spacing w:after="0" w:line="281" w:lineRule="auto"/>
        <w:rPr>
          <w:sz w:val="20"/>
          <w:szCs w:val="20"/>
          <w:color w:val="auto"/>
        </w:rPr>
      </w:pPr>
      <w:r>
        <w:rPr>
          <w:rFonts w:ascii="Arial" w:cs="Arial" w:eastAsia="Arial" w:hAnsi="Arial"/>
          <w:sz w:val="15"/>
          <w:szCs w:val="15"/>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cancel their refundable deposits for our vehicles, or cancel their orders for our vehicles prior to delivery.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8" w:name="page49"/>
    <w:bookmarkEnd w:id="48"/>
    <w:p>
      <w:pPr>
        <w:ind w:right="60" w:firstLine="297"/>
        <w:spacing w:after="0" w:line="266" w:lineRule="auto"/>
        <w:rPr>
          <w:sz w:val="20"/>
          <w:szCs w:val="20"/>
          <w:color w:val="auto"/>
        </w:rPr>
      </w:pPr>
      <w:r>
        <w:rPr>
          <w:rFonts w:ascii="Arial" w:cs="Arial" w:eastAsia="Arial" w:hAnsi="Arial"/>
          <w:sz w:val="16"/>
          <w:szCs w:val="16"/>
          <w:color w:val="auto"/>
        </w:rPr>
        <w:t>The spread of COVID-19 has also periodically disrupted our manufacturing operations and those of our suppliers. For example, the recent COVID-19 outbreak in China and the resulting lockdowns have caused parts supply delays with some impact on manufacturing operations in Arizona. Such disruptions to us and our suppliers have negatively impacted, and could continue to negatively impact the production volume of our first vehicle, the Lucid Air sedan,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spacing w:after="0" w:line="169" w:lineRule="exact"/>
        <w:rPr>
          <w:sz w:val="20"/>
          <w:szCs w:val="20"/>
          <w:color w:val="auto"/>
        </w:rPr>
      </w:pPr>
    </w:p>
    <w:p>
      <w:pPr>
        <w:ind w:right="80" w:firstLine="297"/>
        <w:spacing w:after="0" w:line="280" w:lineRule="auto"/>
        <w:rPr>
          <w:sz w:val="20"/>
          <w:szCs w:val="20"/>
          <w:color w:val="auto"/>
        </w:rPr>
      </w:pPr>
      <w:r>
        <w:rPr>
          <w:rFonts w:ascii="Arial" w:cs="Arial" w:eastAsia="Arial" w:hAnsi="Arial"/>
          <w:sz w:val="15"/>
          <w:szCs w:val="15"/>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59" w:lineRule="exact"/>
        <w:rPr>
          <w:sz w:val="20"/>
          <w:szCs w:val="20"/>
          <w:color w:val="auto"/>
        </w:rPr>
      </w:pPr>
    </w:p>
    <w:p>
      <w:pPr>
        <w:ind w:right="100" w:firstLine="297"/>
        <w:spacing w:after="0" w:line="290" w:lineRule="auto"/>
        <w:rPr>
          <w:sz w:val="20"/>
          <w:szCs w:val="20"/>
          <w:color w:val="auto"/>
        </w:rPr>
      </w:pPr>
      <w:r>
        <w:rPr>
          <w:rFonts w:ascii="Arial" w:cs="Arial" w:eastAsia="Arial" w:hAnsi="Arial"/>
          <w:sz w:val="16"/>
          <w:szCs w:val="16"/>
          <w:color w:val="auto"/>
        </w:rPr>
        <w:t>In addition, the COVID-19 pandemic has resulted in extreme volatility in the global financial markets, which could increase our cost of capital or limit our ability to access financing when we need it.</w:t>
      </w:r>
    </w:p>
    <w:p>
      <w:pPr>
        <w:spacing w:after="0" w:line="149" w:lineRule="exact"/>
        <w:rPr>
          <w:sz w:val="20"/>
          <w:szCs w:val="20"/>
          <w:color w:val="auto"/>
        </w:rPr>
      </w:pPr>
    </w:p>
    <w:p>
      <w:pPr>
        <w:ind w:right="360" w:firstLine="297"/>
        <w:spacing w:after="0" w:line="274" w:lineRule="auto"/>
        <w:rPr>
          <w:sz w:val="20"/>
          <w:szCs w:val="20"/>
          <w:color w:val="auto"/>
        </w:rPr>
      </w:pPr>
      <w:r>
        <w:rPr>
          <w:rFonts w:ascii="Arial" w:cs="Arial" w:eastAsia="Arial" w:hAnsi="Arial"/>
          <w:sz w:val="16"/>
          <w:szCs w:val="16"/>
          <w:color w:val="auto"/>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62" w:lineRule="exact"/>
        <w:rPr>
          <w:sz w:val="20"/>
          <w:szCs w:val="20"/>
          <w:color w:val="auto"/>
        </w:rPr>
      </w:pPr>
    </w:p>
    <w:p>
      <w:pPr>
        <w:ind w:right="280" w:firstLine="297"/>
        <w:spacing w:after="0" w:line="274" w:lineRule="auto"/>
        <w:rPr>
          <w:sz w:val="20"/>
          <w:szCs w:val="20"/>
          <w:color w:val="auto"/>
        </w:rPr>
      </w:pPr>
      <w:r>
        <w:rPr>
          <w:rFonts w:ascii="Arial" w:cs="Arial" w:eastAsia="Arial" w:hAnsi="Arial"/>
          <w:sz w:val="16"/>
          <w:szCs w:val="16"/>
          <w:color w:val="auto"/>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makes evaluating our business and future prospects difficult and may increase the risk of your investment.</w:t>
      </w:r>
    </w:p>
    <w:p>
      <w:pPr>
        <w:spacing w:after="0" w:line="212" w:lineRule="exact"/>
        <w:rPr>
          <w:sz w:val="20"/>
          <w:szCs w:val="20"/>
          <w:color w:val="auto"/>
        </w:rPr>
      </w:pPr>
    </w:p>
    <w:p>
      <w:pPr>
        <w:ind w:right="20" w:firstLine="297"/>
        <w:spacing w:after="0" w:line="269" w:lineRule="auto"/>
        <w:rPr>
          <w:sz w:val="20"/>
          <w:szCs w:val="20"/>
          <w:color w:val="auto"/>
        </w:rPr>
      </w:pPr>
      <w:r>
        <w:rPr>
          <w:rFonts w:ascii="Arial" w:cs="Arial" w:eastAsia="Arial" w:hAnsi="Arial"/>
          <w:sz w:val="16"/>
          <w:szCs w:val="16"/>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65"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49" w:lineRule="exact"/>
        <w:rPr>
          <w:sz w:val="20"/>
          <w:szCs w:val="20"/>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hire, integrate and retain professional and technical talent, including key members of management;</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continue to make significant investments in research, development, manufacturing, marketing and sales;</w:t>
      </w:r>
    </w:p>
    <w:p>
      <w:pPr>
        <w:spacing w:after="0" w:line="212" w:lineRule="exact"/>
        <w:rPr>
          <w:rFonts w:ascii="Arial" w:cs="Arial" w:eastAsia="Arial" w:hAnsi="Arial"/>
          <w:sz w:val="16"/>
          <w:szCs w:val="16"/>
          <w:color w:val="auto"/>
        </w:rPr>
      </w:pPr>
    </w:p>
    <w:p>
      <w:pPr>
        <w:ind w:left="600" w:right="160" w:hanging="304"/>
        <w:spacing w:after="0" w:line="290"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successfully obtain, maintain, protect and enforce our intellectual property and defend against claims of intellectual property infringement, misappropriation or other violation;</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build a well-recognized and respected brand;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implement, refine and scale our commercial manufacturing capabilities and distribution infrastructure;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and maintain satisfactory arrangements with third-party suppliers;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and expand a customer base;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navigate an evolving and complex regulatory environment;</w:t>
      </w:r>
    </w:p>
    <w:p>
      <w:pPr>
        <w:spacing w:after="0" w:line="212" w:lineRule="exact"/>
        <w:rPr>
          <w:rFonts w:ascii="Arial" w:cs="Arial" w:eastAsia="Arial" w:hAnsi="Arial"/>
          <w:sz w:val="16"/>
          <w:szCs w:val="16"/>
          <w:color w:val="auto"/>
        </w:rPr>
      </w:pPr>
    </w:p>
    <w:p>
      <w:pPr>
        <w:ind w:left="600" w:right="20" w:hanging="304"/>
        <w:spacing w:after="0" w:line="290"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anticipate and adapt to changing market conditions, including consumer demand for certain vehicle types, models or trim levels, technological developments and changes in competitive landscape;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successfully design, build, manufacture and market new variants and models of electric vehicles, such as Project Gravity.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We have incurred net losses each year since our inception and expect to incur increasing expenses and substantial losses for the foreseeable future.</w:t>
      </w:r>
    </w:p>
    <w:p>
      <w:pPr>
        <w:spacing w:after="0" w:line="224" w:lineRule="exact"/>
        <w:rPr>
          <w:sz w:val="20"/>
          <w:szCs w:val="20"/>
          <w:color w:val="auto"/>
        </w:rPr>
      </w:pPr>
    </w:p>
    <w:p>
      <w:pPr>
        <w:jc w:val="both"/>
        <w:ind w:right="20" w:firstLine="297"/>
        <w:spacing w:after="0" w:line="274" w:lineRule="auto"/>
        <w:rPr>
          <w:sz w:val="20"/>
          <w:szCs w:val="20"/>
          <w:color w:val="auto"/>
        </w:rPr>
      </w:pPr>
      <w:r>
        <w:rPr>
          <w:rFonts w:ascii="Arial" w:cs="Arial" w:eastAsia="Arial" w:hAnsi="Arial"/>
          <w:sz w:val="16"/>
          <w:szCs w:val="16"/>
          <w:color w:val="auto"/>
        </w:rPr>
        <w:t>We have incurred net losses each year since our inception, including net loss of approximately $220.4 million and $301.7 million for the three and six months ended June 30, 2022, respectively. As of June 30, 2022, our accumulated deficit was approximately $6.4 billion. We expect to continue to incur substantial losses and increasing expenses in the foreseeable future as we:</w:t>
      </w:r>
    </w:p>
    <w:p>
      <w:pPr>
        <w:spacing w:after="0" w:line="162" w:lineRule="exact"/>
        <w:rPr>
          <w:sz w:val="20"/>
          <w:szCs w:val="20"/>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to design, develop and manufacture our vehicles;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equip and expand our manufacturing facilities to produce our vehicles in Arizona and in international locations such as the Kingdom of Saudi Arabia;</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build up inventories of parts and components for our vehicles;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manufacture an available inventory of our vehicles;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 and deploy vehicle charging partnerships;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expand our design, research, development, maintenance and repair capabilities;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our sales and marketing activities and develop our distribution infrastructure; and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expand our general and administrative functions to support our growing operations and status as a public company.</w:t>
      </w:r>
    </w:p>
    <w:p>
      <w:pPr>
        <w:spacing w:after="0" w:line="212" w:lineRule="exact"/>
        <w:rPr>
          <w:sz w:val="20"/>
          <w:szCs w:val="20"/>
          <w:color w:val="auto"/>
        </w:rPr>
      </w:pPr>
    </w:p>
    <w:p>
      <w:pPr>
        <w:ind w:right="20" w:firstLine="297"/>
        <w:spacing w:after="0" w:line="274" w:lineRule="auto"/>
        <w:rPr>
          <w:sz w:val="20"/>
          <w:szCs w:val="20"/>
          <w:color w:val="auto"/>
        </w:rPr>
      </w:pPr>
      <w:r>
        <w:rPr>
          <w:rFonts w:ascii="Arial" w:cs="Arial" w:eastAsia="Arial" w:hAnsi="Arial"/>
          <w:sz w:val="16"/>
          <w:szCs w:val="16"/>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control the substantial costs associated with our operations.</w:t>
      </w:r>
    </w:p>
    <w:p>
      <w:pPr>
        <w:spacing w:after="0" w:line="212"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63" w:lineRule="exact"/>
        <w:rPr>
          <w:sz w:val="20"/>
          <w:szCs w:val="20"/>
          <w:color w:val="auto"/>
        </w:rPr>
      </w:pPr>
    </w:p>
    <w:p>
      <w:pPr>
        <w:jc w:val="both"/>
        <w:ind w:right="60" w:firstLine="297"/>
        <w:spacing w:after="0" w:line="300" w:lineRule="auto"/>
        <w:rPr>
          <w:sz w:val="20"/>
          <w:szCs w:val="20"/>
          <w:color w:val="auto"/>
        </w:rPr>
      </w:pPr>
      <w:r>
        <w:rPr>
          <w:rFonts w:ascii="Arial" w:cs="Arial" w:eastAsia="Arial" w:hAnsi="Arial"/>
          <w:sz w:val="15"/>
          <w:szCs w:val="15"/>
          <w:color w:val="auto"/>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received only a limited number of reservations and orders for the Lucid Air, all of which may be cancelled.</w:t>
      </w:r>
    </w:p>
    <w:p>
      <w:pPr>
        <w:spacing w:after="0" w:line="212"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auto"/>
        </w:rPr>
        <w:t>Our customers may cancel their reservations without penalty and for any reason until they place an order for their vehicle. In addition, our customers may also cancel their orders with only the loss of their deposit. Any delays in customer deliveries or the changes in the pricing of the Lucid Air could result in significant customer cancellations. In addition,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The automotive industry has significant barriers to entry that we must overcome in order to manufacture and sell electric vehicles at scale.</w:t>
      </w:r>
    </w:p>
    <w:p>
      <w:pPr>
        <w:spacing w:after="0" w:line="212" w:lineRule="exact"/>
        <w:rPr>
          <w:sz w:val="20"/>
          <w:szCs w:val="20"/>
          <w:color w:val="auto"/>
        </w:rPr>
      </w:pPr>
    </w:p>
    <w:p>
      <w:pPr>
        <w:ind w:right="20" w:firstLine="297"/>
        <w:spacing w:after="0" w:line="304" w:lineRule="auto"/>
        <w:rPr>
          <w:sz w:val="20"/>
          <w:szCs w:val="20"/>
          <w:color w:val="auto"/>
        </w:rPr>
      </w:pPr>
      <w:r>
        <w:rPr>
          <w:rFonts w:ascii="Arial" w:cs="Arial" w:eastAsia="Arial" w:hAnsi="Arial"/>
          <w:sz w:val="14"/>
          <w:szCs w:val="14"/>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automotive market is highly competitive, and we may not be successful in competing in this industry.</w:t>
      </w:r>
    </w:p>
    <w:p>
      <w:pPr>
        <w:spacing w:after="0" w:line="212" w:lineRule="exact"/>
        <w:rPr>
          <w:sz w:val="20"/>
          <w:szCs w:val="20"/>
          <w:color w:val="auto"/>
        </w:rPr>
      </w:pPr>
    </w:p>
    <w:p>
      <w:pPr>
        <w:ind w:right="60" w:firstLine="297"/>
        <w:spacing w:after="0" w:line="260" w:lineRule="auto"/>
        <w:rPr>
          <w:sz w:val="20"/>
          <w:szCs w:val="20"/>
          <w:color w:val="auto"/>
        </w:rPr>
      </w:pPr>
      <w:r>
        <w:rPr>
          <w:rFonts w:ascii="Arial" w:cs="Arial" w:eastAsia="Arial" w:hAnsi="Arial"/>
          <w:sz w:val="16"/>
          <w:szCs w:val="16"/>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depend on revenue generated from a single model and in the foreseeable future will be significantly dependent on a limited number of models.</w:t>
      </w:r>
    </w:p>
    <w:p>
      <w:pPr>
        <w:spacing w:after="0" w:line="224"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not have a third-party retail product distribution and full-service network.</w:t>
      </w:r>
    </w:p>
    <w:p>
      <w:pPr>
        <w:spacing w:after="0" w:line="212"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IT infrastructure to support them, which may prove costly, time-consuming or ineffective. If our use of an in-house sales, marketing and service team is not effective, our results of operations and financial conditions could be adversely affected.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1" w:name="page52"/>
    <w:bookmarkEnd w:id="51"/>
    <w:p>
      <w:pPr>
        <w:ind w:right="160"/>
        <w:spacing w:after="0" w:line="290" w:lineRule="auto"/>
        <w:rPr>
          <w:sz w:val="20"/>
          <w:szCs w:val="20"/>
          <w:color w:val="auto"/>
        </w:rPr>
      </w:pPr>
      <w:r>
        <w:rPr>
          <w:rFonts w:ascii="Arial" w:cs="Arial" w:eastAsia="Arial" w:hAnsi="Arial"/>
          <w:sz w:val="16"/>
          <w:szCs w:val="16"/>
          <w:b w:val="1"/>
          <w:bCs w:val="1"/>
          <w:i w:val="1"/>
          <w:iCs w:val="1"/>
          <w:color w:val="auto"/>
        </w:rPr>
        <w:t>Our sales will depend in part on our ability to establish and maintain confidence in our long-term business prospects among consumers, analysts and others within our industry.</w:t>
      </w:r>
    </w:p>
    <w:p>
      <w:pPr>
        <w:spacing w:after="0" w:line="149" w:lineRule="exact"/>
        <w:rPr>
          <w:sz w:val="20"/>
          <w:szCs w:val="20"/>
          <w:color w:val="auto"/>
        </w:rPr>
      </w:pPr>
    </w:p>
    <w:p>
      <w:pPr>
        <w:ind w:right="240" w:firstLine="297"/>
        <w:spacing w:after="0" w:line="292" w:lineRule="auto"/>
        <w:rPr>
          <w:sz w:val="20"/>
          <w:szCs w:val="20"/>
          <w:color w:val="auto"/>
        </w:rPr>
      </w:pPr>
      <w:r>
        <w:rPr>
          <w:rFonts w:ascii="Arial" w:cs="Arial" w:eastAsia="Arial" w:hAnsi="Arial"/>
          <w:sz w:val="15"/>
          <w:szCs w:val="15"/>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51"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generate meaningful product revenue will depend on consumer adoption of electric vehicles.</w:t>
      </w:r>
    </w:p>
    <w:p>
      <w:pPr>
        <w:spacing w:after="0" w:line="212"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auto"/>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73" w:lineRule="exact"/>
        <w:rPr>
          <w:sz w:val="20"/>
          <w:szCs w:val="20"/>
          <w:color w:val="auto"/>
        </w:rPr>
      </w:pPr>
    </w:p>
    <w:p>
      <w:pPr>
        <w:ind w:right="20" w:firstLine="297"/>
        <w:spacing w:after="0" w:line="285" w:lineRule="auto"/>
        <w:rPr>
          <w:sz w:val="20"/>
          <w:szCs w:val="20"/>
          <w:color w:val="auto"/>
        </w:rPr>
      </w:pPr>
      <w:r>
        <w:rPr>
          <w:rFonts w:ascii="Arial" w:cs="Arial" w:eastAsia="Arial" w:hAnsi="Arial"/>
          <w:sz w:val="15"/>
          <w:szCs w:val="15"/>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Other factors that may influence the adoption of electric vehicles include:</w:t>
      </w:r>
    </w:p>
    <w:p>
      <w:pPr>
        <w:spacing w:after="0" w:line="212" w:lineRule="exact"/>
        <w:rPr>
          <w:sz w:val="20"/>
          <w:szCs w:val="20"/>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perceptions about electric vehicle quality, safety, design, performance and cost;</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perceptions about the limited range over which electric vehicles may be driven on a single battery charge;</w:t>
      </w:r>
    </w:p>
    <w:p>
      <w:pPr>
        <w:spacing w:after="0" w:line="212" w:lineRule="exact"/>
        <w:rPr>
          <w:rFonts w:ascii="Arial" w:cs="Arial" w:eastAsia="Arial" w:hAnsi="Arial"/>
          <w:sz w:val="16"/>
          <w:szCs w:val="16"/>
          <w:color w:val="auto"/>
        </w:rPr>
      </w:pPr>
    </w:p>
    <w:p>
      <w:pPr>
        <w:ind w:left="600" w:right="220" w:hanging="304"/>
        <w:spacing w:after="0" w:line="290"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concerns about electric grid capacity and reliability;</w:t>
      </w:r>
    </w:p>
    <w:p>
      <w:pPr>
        <w:spacing w:after="0" w:line="212" w:lineRule="exact"/>
        <w:rPr>
          <w:rFonts w:ascii="Arial" w:cs="Arial" w:eastAsia="Arial" w:hAnsi="Arial"/>
          <w:sz w:val="16"/>
          <w:szCs w:val="16"/>
          <w:color w:val="auto"/>
        </w:rPr>
      </w:pPr>
    </w:p>
    <w:p>
      <w:pPr>
        <w:ind w:left="600" w:right="420" w:hanging="304"/>
        <w:spacing w:after="0" w:line="290"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of other alternative fuel vehicles, including plug-in hybrid electric vehicles;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improvements in the fuel economy of the internal combustion engine;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quality and availability of service for electric vehicles, especially in international markets;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volatility in the cost of oil and gasoline;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government regulations and economic incentives promoting fuel efficiency and alternate forms of energy;</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access to charging stations and cost to charge an electric vehicle, especially in international markets, and related infrastructure costs and standardization;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2" w:name="page53"/>
    <w:bookmarkEnd w:id="52"/>
    <w:p>
      <w:pPr>
        <w:ind w:left="600" w:right="220" w:hanging="304"/>
        <w:spacing w:after="0" w:line="29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of tax and other governmental incentives to purchase and operate electric vehicles or future regulation requiring increased use of nonpolluting vehicles;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macroeconomic factors.</w:t>
      </w:r>
    </w:p>
    <w:p>
      <w:pPr>
        <w:spacing w:after="0" w:line="212" w:lineRule="exact"/>
        <w:rPr>
          <w:sz w:val="20"/>
          <w:szCs w:val="20"/>
          <w:color w:val="auto"/>
        </w:rPr>
      </w:pPr>
    </w:p>
    <w:p>
      <w:pPr>
        <w:ind w:right="420" w:firstLine="297"/>
        <w:spacing w:after="0" w:line="326" w:lineRule="auto"/>
        <w:rPr>
          <w:sz w:val="20"/>
          <w:szCs w:val="20"/>
          <w:color w:val="auto"/>
        </w:rPr>
      </w:pPr>
      <w:r>
        <w:rPr>
          <w:rFonts w:ascii="Arial" w:cs="Arial" w:eastAsia="Arial" w:hAnsi="Arial"/>
          <w:sz w:val="15"/>
          <w:szCs w:val="15"/>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Developments in electric vehicle or alternative fuel technology or improvements in the internal combustion engine may adversely affect the demand for our vehicles.</w:t>
      </w:r>
    </w:p>
    <w:p>
      <w:pPr>
        <w:spacing w:after="0" w:line="235" w:lineRule="exact"/>
        <w:rPr>
          <w:sz w:val="20"/>
          <w:szCs w:val="20"/>
          <w:color w:val="auto"/>
        </w:rPr>
      </w:pPr>
    </w:p>
    <w:p>
      <w:pPr>
        <w:ind w:right="20" w:firstLine="297"/>
        <w:spacing w:after="0" w:line="261" w:lineRule="auto"/>
        <w:rPr>
          <w:sz w:val="20"/>
          <w:szCs w:val="20"/>
          <w:color w:val="auto"/>
        </w:rPr>
      </w:pPr>
      <w:r>
        <w:rPr>
          <w:rFonts w:ascii="Arial" w:cs="Arial" w:eastAsia="Arial" w:hAnsi="Arial"/>
          <w:sz w:val="16"/>
          <w:szCs w:val="16"/>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7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49" w:lineRule="exact"/>
        <w:rPr>
          <w:sz w:val="20"/>
          <w:szCs w:val="20"/>
          <w:color w:val="auto"/>
        </w:rPr>
      </w:pPr>
    </w:p>
    <w:p>
      <w:pPr>
        <w:ind w:right="140" w:firstLine="297"/>
        <w:spacing w:after="0" w:line="285" w:lineRule="auto"/>
        <w:rPr>
          <w:sz w:val="20"/>
          <w:szCs w:val="20"/>
          <w:color w:val="auto"/>
        </w:rPr>
      </w:pPr>
      <w:r>
        <w:rPr>
          <w:rFonts w:ascii="Arial" w:cs="Arial" w:eastAsia="Arial" w:hAnsi="Arial"/>
          <w:sz w:val="15"/>
          <w:szCs w:val="15"/>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57" w:lineRule="exact"/>
        <w:rPr>
          <w:sz w:val="20"/>
          <w:szCs w:val="20"/>
          <w:color w:val="auto"/>
        </w:rPr>
      </w:pPr>
    </w:p>
    <w:p>
      <w:pPr>
        <w:ind w:right="80" w:firstLine="297"/>
        <w:spacing w:after="0" w:line="266" w:lineRule="auto"/>
        <w:rPr>
          <w:sz w:val="20"/>
          <w:szCs w:val="20"/>
          <w:color w:val="auto"/>
        </w:rPr>
      </w:pPr>
      <w:r>
        <w:rPr>
          <w:rFonts w:ascii="Arial" w:cs="Arial" w:eastAsia="Arial" w:hAnsi="Arial"/>
          <w:sz w:val="16"/>
          <w:szCs w:val="16"/>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49" w:lineRule="exact"/>
        <w:rPr>
          <w:sz w:val="20"/>
          <w:szCs w:val="20"/>
          <w:color w:val="auto"/>
        </w:rPr>
      </w:pPr>
    </w:p>
    <w:p>
      <w:pPr>
        <w:ind w:right="20" w:firstLine="297"/>
        <w:spacing w:after="0" w:line="261"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0"/>
          </w:cols>
          <w:pgMar w:left="320" w:top="845" w:right="379" w:bottom="1440" w:gutter="0" w:footer="0" w:header="0"/>
        </w:sectPr>
      </w:pPr>
    </w:p>
    <w:bookmarkStart w:id="53" w:name="page54"/>
    <w:bookmarkEnd w:id="53"/>
    <w:p>
      <w:pPr>
        <w:ind w:right="80" w:firstLine="297"/>
        <w:spacing w:after="0" w:line="274" w:lineRule="auto"/>
        <w:rPr>
          <w:sz w:val="20"/>
          <w:szCs w:val="20"/>
          <w:color w:val="auto"/>
        </w:rPr>
      </w:pPr>
      <w:r>
        <w:rPr>
          <w:rFonts w:ascii="Arial" w:cs="Arial" w:eastAsia="Arial" w:hAnsi="Arial"/>
          <w:sz w:val="16"/>
          <w:szCs w:val="16"/>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62"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49" w:lineRule="exact"/>
        <w:rPr>
          <w:sz w:val="20"/>
          <w:szCs w:val="20"/>
          <w:color w:val="auto"/>
        </w:rPr>
      </w:pPr>
    </w:p>
    <w:p>
      <w:pPr>
        <w:ind w:right="140" w:firstLine="297"/>
        <w:spacing w:after="0" w:line="283" w:lineRule="auto"/>
        <w:rPr>
          <w:sz w:val="20"/>
          <w:szCs w:val="20"/>
          <w:color w:val="auto"/>
        </w:rPr>
      </w:pPr>
      <w:r>
        <w:rPr>
          <w:rFonts w:ascii="Arial" w:cs="Arial" w:eastAsia="Arial" w:hAnsi="Arial"/>
          <w:sz w:val="15"/>
          <w:szCs w:val="15"/>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future growth effectively, we may not be able to develop, manufacture, distribute, market and sell our vehicles successfully.</w:t>
      </w:r>
    </w:p>
    <w:p>
      <w:pPr>
        <w:spacing w:after="0" w:line="212"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49" w:lineRule="exact"/>
        <w:rPr>
          <w:sz w:val="20"/>
          <w:szCs w:val="20"/>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expanding our management team;</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hiring and training new personnel;</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or expanding design, manufacturing, sales and service facilities;</w:t>
      </w:r>
    </w:p>
    <w:p>
      <w:pPr>
        <w:spacing w:after="0" w:line="212" w:lineRule="exact"/>
        <w:rPr>
          <w:rFonts w:ascii="Arial" w:cs="Arial" w:eastAsia="Arial" w:hAnsi="Arial"/>
          <w:sz w:val="16"/>
          <w:szCs w:val="16"/>
          <w:color w:val="auto"/>
        </w:rPr>
      </w:pPr>
    </w:p>
    <w:p>
      <w:pPr>
        <w:ind w:left="600" w:right="60" w:hanging="304"/>
        <w:spacing w:after="0" w:line="290"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implementing and enhancing administrative and business infrastructure, systems and processes, including in connection with our transition to a public company;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expanding into new markets and establishing sales, service and/or manufacturing operations in many of those markets.</w:t>
      </w:r>
    </w:p>
    <w:p>
      <w:pPr>
        <w:spacing w:after="0" w:line="21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prospects. Our employee equity program is a key factor in our ability to attract and retain talent and continue to support the growth of the company. If we are unable to grant equity awards, or if we are forced to reduce the 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w:t>
      </w:r>
    </w:p>
    <w:p>
      <w:pPr>
        <w:spacing w:after="0" w:line="163" w:lineRule="exact"/>
        <w:rPr>
          <w:sz w:val="20"/>
          <w:szCs w:val="20"/>
          <w:color w:val="auto"/>
        </w:rPr>
      </w:pPr>
    </w:p>
    <w:p>
      <w:pPr>
        <w:ind w:right="140" w:firstLine="297"/>
        <w:spacing w:after="0" w:line="261" w:lineRule="auto"/>
        <w:rPr>
          <w:sz w:val="20"/>
          <w:szCs w:val="20"/>
          <w:color w:val="auto"/>
        </w:rPr>
      </w:pPr>
      <w:r>
        <w:rPr>
          <w:rFonts w:ascii="Arial" w:cs="Arial" w:eastAsia="Arial" w:hAnsi="Arial"/>
          <w:sz w:val="16"/>
          <w:szCs w:val="16"/>
          <w:color w:val="auto"/>
        </w:rPr>
        <w:t>We also have no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logistics challenges with respect to our manufacturing and warehousing facilities.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4" w:name="page55"/>
    <w:bookmarkEnd w:id="54"/>
    <w:p>
      <w:pPr>
        <w:ind w:right="360"/>
        <w:spacing w:after="0" w:line="326" w:lineRule="auto"/>
        <w:rPr>
          <w:sz w:val="20"/>
          <w:szCs w:val="20"/>
          <w:color w:val="auto"/>
        </w:rPr>
      </w:pPr>
      <w:r>
        <w:rPr>
          <w:rFonts w:ascii="Arial" w:cs="Arial" w:eastAsia="Arial" w:hAnsi="Arial"/>
          <w:sz w:val="15"/>
          <w:szCs w:val="15"/>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25"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auto"/>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75" w:lineRule="exact"/>
        <w:rPr>
          <w:sz w:val="20"/>
          <w:szCs w:val="20"/>
          <w:color w:val="auto"/>
        </w:rPr>
      </w:pPr>
    </w:p>
    <w:p>
      <w:pPr>
        <w:ind w:right="80" w:firstLine="297"/>
        <w:spacing w:after="0" w:line="264" w:lineRule="auto"/>
        <w:rPr>
          <w:sz w:val="20"/>
          <w:szCs w:val="20"/>
          <w:color w:val="auto"/>
        </w:rPr>
      </w:pPr>
      <w:r>
        <w:rPr>
          <w:rFonts w:ascii="Arial" w:cs="Arial" w:eastAsia="Arial" w:hAnsi="Arial"/>
          <w:sz w:val="16"/>
          <w:szCs w:val="16"/>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and the recent conflict in Ukraine.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49" w:lineRule="exact"/>
        <w:rPr>
          <w:sz w:val="20"/>
          <w:szCs w:val="20"/>
          <w:color w:val="auto"/>
        </w:rPr>
      </w:pPr>
    </w:p>
    <w:p>
      <w:pPr>
        <w:ind w:right="140" w:firstLine="297"/>
        <w:spacing w:after="0" w:line="304" w:lineRule="auto"/>
        <w:rPr>
          <w:sz w:val="20"/>
          <w:szCs w:val="20"/>
          <w:color w:val="auto"/>
        </w:rPr>
      </w:pPr>
      <w:r>
        <w:rPr>
          <w:rFonts w:ascii="Arial" w:cs="Arial" w:eastAsia="Arial" w:hAnsi="Arial"/>
          <w:sz w:val="14"/>
          <w:szCs w:val="14"/>
          <w:color w:val="auto"/>
        </w:rPr>
        <w:t>Our vehicles are designed with advanced driver assistance system (“</w:t>
      </w:r>
      <w:r>
        <w:rPr>
          <w:rFonts w:ascii="Arial" w:cs="Arial" w:eastAsia="Arial" w:hAnsi="Arial"/>
          <w:sz w:val="14"/>
          <w:szCs w:val="14"/>
          <w:i w:val="1"/>
          <w:iCs w:val="1"/>
          <w:color w:val="auto"/>
        </w:rPr>
        <w:t>ADAS</w:t>
      </w:r>
      <w:r>
        <w:rPr>
          <w:rFonts w:ascii="Arial" w:cs="Arial" w:eastAsia="Arial" w:hAnsi="Arial"/>
          <w:sz w:val="14"/>
          <w:szCs w:val="14"/>
          <w:color w:val="auto"/>
        </w:rPr>
        <w:t>”) hardware, and we expect to release a Lucid Air software update and launch Project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45" w:lineRule="exact"/>
        <w:rPr>
          <w:sz w:val="20"/>
          <w:szCs w:val="20"/>
          <w:color w:val="auto"/>
        </w:rPr>
      </w:pPr>
    </w:p>
    <w:p>
      <w:pPr>
        <w:ind w:firstLine="297"/>
        <w:spacing w:after="0" w:line="288" w:lineRule="auto"/>
        <w:rPr>
          <w:sz w:val="20"/>
          <w:szCs w:val="20"/>
          <w:color w:val="auto"/>
        </w:rPr>
      </w:pPr>
      <w:r>
        <w:rPr>
          <w:rFonts w:ascii="Arial" w:cs="Arial" w:eastAsia="Arial" w:hAnsi="Arial"/>
          <w:sz w:val="15"/>
          <w:szCs w:val="15"/>
          <w:color w:val="auto"/>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153"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 xml:space="preserve">ADAS technology is also subject to considerable regulatory uncertainty, which exposes us to additional risks. See “— Risks Related to Litigation and Regulation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ADAS technology is subject to uncertain and evolving regulations.</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prospects depend significantly on our brand.</w:t>
      </w:r>
    </w:p>
    <w:p>
      <w:pPr>
        <w:spacing w:after="0" w:line="212" w:lineRule="exact"/>
        <w:rPr>
          <w:sz w:val="20"/>
          <w:szCs w:val="20"/>
          <w:color w:val="auto"/>
        </w:rPr>
      </w:pPr>
    </w:p>
    <w:p>
      <w:pPr>
        <w:ind w:right="120" w:firstLine="297"/>
        <w:spacing w:after="0" w:line="263" w:lineRule="auto"/>
        <w:rPr>
          <w:sz w:val="20"/>
          <w:szCs w:val="20"/>
          <w:color w:val="auto"/>
        </w:rPr>
      </w:pPr>
      <w:r>
        <w:rPr>
          <w:rFonts w:ascii="Arial" w:cs="Arial" w:eastAsia="Arial" w:hAnsi="Arial"/>
          <w:sz w:val="16"/>
          <w:szCs w:val="16"/>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5" w:name="page56"/>
    <w:bookmarkEnd w:id="55"/>
    <w:p>
      <w:pPr>
        <w:ind w:right="20" w:firstLine="297"/>
        <w:spacing w:after="0" w:line="262" w:lineRule="auto"/>
        <w:rPr>
          <w:sz w:val="20"/>
          <w:szCs w:val="20"/>
          <w:color w:val="auto"/>
        </w:rPr>
      </w:pPr>
      <w:r>
        <w:rPr>
          <w:rFonts w:ascii="Arial" w:cs="Arial" w:eastAsia="Arial" w:hAnsi="Arial"/>
          <w:sz w:val="16"/>
          <w:szCs w:val="16"/>
          <w:color w:val="auto"/>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risks associated with international operations, including unfavorable regulatory, political, tax and labor conditions, which could harm our business.</w:t>
      </w:r>
    </w:p>
    <w:p>
      <w:pPr>
        <w:spacing w:after="0" w:line="224"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57" w:lineRule="exact"/>
        <w:rPr>
          <w:sz w:val="20"/>
          <w:szCs w:val="20"/>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conforming our vehicles to various international regulatory requirements where our vehicles are sold, or homologation;</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localized supply chains and managing international supply chain and logistics costs;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establishing sufficient charging points for our customers in those jurisdictions, via partnerships or, if necessary, via development of our own charging networks;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difficulty in staffing and managing foreign operations;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attracting customers in new jurisdictions;</w:t>
      </w:r>
    </w:p>
    <w:p>
      <w:pPr>
        <w:spacing w:after="0" w:line="212" w:lineRule="exact"/>
        <w:rPr>
          <w:rFonts w:ascii="Arial" w:cs="Arial" w:eastAsia="Arial" w:hAnsi="Arial"/>
          <w:sz w:val="16"/>
          <w:szCs w:val="16"/>
          <w:color w:val="auto"/>
        </w:rPr>
      </w:pPr>
    </w:p>
    <w:p>
      <w:pPr>
        <w:ind w:left="600" w:right="20" w:hanging="304"/>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149" w:lineRule="exact"/>
        <w:rPr>
          <w:rFonts w:ascii="Arial" w:cs="Arial" w:eastAsia="Arial" w:hAnsi="Arial"/>
          <w:sz w:val="16"/>
          <w:szCs w:val="16"/>
          <w:color w:val="auto"/>
        </w:rPr>
      </w:pPr>
    </w:p>
    <w:p>
      <w:pPr>
        <w:ind w:left="600" w:right="160" w:hanging="304"/>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49" w:lineRule="exact"/>
        <w:rPr>
          <w:rFonts w:ascii="Arial" w:cs="Arial" w:eastAsia="Arial" w:hAnsi="Arial"/>
          <w:sz w:val="16"/>
          <w:szCs w:val="16"/>
          <w:color w:val="auto"/>
        </w:rPr>
      </w:pPr>
    </w:p>
    <w:p>
      <w:pPr>
        <w:ind w:left="600" w:right="360" w:hanging="304"/>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inflation as well as fluctuations in foreign currency exchange rates and interest rates, including risks related to any forward currency contracts, interest rate swaps or other hedging activities we undertake;</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United States and foreign government trade restrictions, tariffs and price or exchange controls;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labor laws, regulations and restrictions;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data privacy and security laws, regulations and obligations;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diplomatic and trade relationships, including political risk and customer perceptions based on such changes and risks;</w:t>
      </w:r>
    </w:p>
    <w:p>
      <w:pPr>
        <w:spacing w:after="0" w:line="212" w:lineRule="exact"/>
        <w:rPr>
          <w:rFonts w:ascii="Arial" w:cs="Arial" w:eastAsia="Arial" w:hAnsi="Arial"/>
          <w:sz w:val="16"/>
          <w:szCs w:val="16"/>
          <w:color w:val="auto"/>
        </w:rPr>
      </w:pPr>
    </w:p>
    <w:p>
      <w:pPr>
        <w:ind w:left="600" w:right="460" w:hanging="304"/>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political instability, natural disasters, pandemics (including severity, magnitude and the duration of the COVID-19 pandemic), war (including the conflict between Ukraine and Russia) or events of terrorism;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strength of international economies.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we fail to successfully address these risks, our business, prospects, results of operations and financial condition could be materially harmed.</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160"/>
          </w:cols>
          <w:pgMar w:left="320" w:top="845" w:right="4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i w:val="1"/>
          <w:iCs w:val="1"/>
          <w:color w:val="auto"/>
        </w:rPr>
        <w:t>Uninsured losses could result in payment of substantial damages, which would decrease our cash reserves and could harm our cash flow and financial condition.</w:t>
      </w:r>
    </w:p>
    <w:p>
      <w:pPr>
        <w:spacing w:after="0" w:line="235" w:lineRule="exact"/>
        <w:rPr>
          <w:sz w:val="20"/>
          <w:szCs w:val="20"/>
          <w:color w:val="auto"/>
        </w:rPr>
      </w:pPr>
    </w:p>
    <w:p>
      <w:pPr>
        <w:ind w:right="160" w:firstLine="297"/>
        <w:spacing w:after="0" w:line="262" w:lineRule="auto"/>
        <w:rPr>
          <w:sz w:val="20"/>
          <w:szCs w:val="20"/>
          <w:color w:val="auto"/>
        </w:rPr>
      </w:pPr>
      <w:r>
        <w:rPr>
          <w:rFonts w:ascii="Arial" w:cs="Arial" w:eastAsia="Arial" w:hAnsi="Arial"/>
          <w:sz w:val="16"/>
          <w:szCs w:val="16"/>
          <w:color w:val="auto"/>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against us. A loss that is uninsured or exceeds existing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 This may lead to a change in our insurance purchasing strategy which can result in us assuming greater risks to offset insurance market fluctuations.</w:t>
      </w:r>
    </w:p>
    <w:p>
      <w:pPr>
        <w:spacing w:after="0" w:line="175"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49"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auto"/>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69"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It is possible that our stakeholders may not be satisfied with our ESG practices or the speed of their adoption and our systems may not be adequate to meet increasing global regulations on ESG topics.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175" w:lineRule="exact"/>
        <w:rPr>
          <w:sz w:val="20"/>
          <w:szCs w:val="20"/>
          <w:color w:val="auto"/>
        </w:rPr>
      </w:pPr>
    </w:p>
    <w:p>
      <w:pPr>
        <w:ind w:right="380" w:firstLine="297"/>
        <w:spacing w:after="0" w:line="274" w:lineRule="auto"/>
        <w:rPr>
          <w:sz w:val="20"/>
          <w:szCs w:val="20"/>
          <w:color w:val="auto"/>
        </w:rPr>
      </w:pPr>
      <w:r>
        <w:rPr>
          <w:rFonts w:ascii="Arial" w:cs="Arial" w:eastAsia="Arial" w:hAnsi="Arial"/>
          <w:sz w:val="16"/>
          <w:szCs w:val="16"/>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Manufacturing and Supply Chain</w:t>
      </w:r>
    </w:p>
    <w:p>
      <w:pPr>
        <w:spacing w:after="0" w:line="2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49"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auto"/>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73" w:lineRule="exact"/>
        <w:rPr>
          <w:sz w:val="20"/>
          <w:szCs w:val="20"/>
          <w:color w:val="auto"/>
        </w:rPr>
      </w:pPr>
    </w:p>
    <w:p>
      <w:pPr>
        <w:ind w:firstLine="297"/>
        <w:spacing w:after="0" w:line="288" w:lineRule="auto"/>
        <w:rPr>
          <w:sz w:val="20"/>
          <w:szCs w:val="20"/>
          <w:color w:val="auto"/>
        </w:rPr>
      </w:pPr>
      <w:r>
        <w:rPr>
          <w:rFonts w:ascii="Arial" w:cs="Arial" w:eastAsia="Arial" w:hAnsi="Arial"/>
          <w:sz w:val="15"/>
          <w:szCs w:val="15"/>
          <w:color w:val="auto"/>
        </w:rPr>
        <w:t>Many of our vehicles are still in the development and/or testing phase, including all of the variants of the Lucid Air other than the Dream Edition and the Grand Touring,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7" w:name="page58"/>
    <w:bookmarkEnd w:id="57"/>
    <w:p>
      <w:pPr>
        <w:ind w:right="240" w:firstLine="297"/>
        <w:spacing w:after="0" w:line="263" w:lineRule="auto"/>
        <w:rPr>
          <w:sz w:val="20"/>
          <w:szCs w:val="20"/>
          <w:color w:val="auto"/>
        </w:rPr>
      </w:pPr>
      <w:r>
        <w:rPr>
          <w:rFonts w:ascii="Arial" w:cs="Arial" w:eastAsia="Arial" w:hAnsi="Arial"/>
          <w:sz w:val="16"/>
          <w:szCs w:val="16"/>
          <w:color w:val="auto"/>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173" w:lineRule="exact"/>
        <w:rPr>
          <w:sz w:val="20"/>
          <w:szCs w:val="20"/>
          <w:color w:val="auto"/>
        </w:rPr>
      </w:pPr>
    </w:p>
    <w:p>
      <w:pPr>
        <w:ind w:right="380" w:firstLine="297"/>
        <w:spacing w:after="0" w:line="269" w:lineRule="auto"/>
        <w:rPr>
          <w:sz w:val="20"/>
          <w:szCs w:val="20"/>
          <w:color w:val="auto"/>
        </w:rPr>
      </w:pPr>
      <w:r>
        <w:rPr>
          <w:rFonts w:ascii="Arial" w:cs="Arial" w:eastAsia="Arial" w:hAnsi="Arial"/>
          <w:sz w:val="16"/>
          <w:szCs w:val="16"/>
          <w:color w:val="auto"/>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65" w:lineRule="exact"/>
        <w:rPr>
          <w:sz w:val="20"/>
          <w:szCs w:val="20"/>
          <w:color w:val="auto"/>
        </w:rPr>
      </w:pPr>
    </w:p>
    <w:p>
      <w:pPr>
        <w:ind w:right="300" w:firstLine="297"/>
        <w:spacing w:after="0" w:line="290" w:lineRule="auto"/>
        <w:rPr>
          <w:sz w:val="20"/>
          <w:szCs w:val="20"/>
          <w:color w:val="auto"/>
        </w:rPr>
      </w:pPr>
      <w:r>
        <w:rPr>
          <w:rFonts w:ascii="Arial" w:cs="Arial" w:eastAsia="Arial" w:hAnsi="Arial"/>
          <w:sz w:val="16"/>
          <w:szCs w:val="16"/>
          <w:color w:val="auto"/>
        </w:rPr>
        <w:t>The continued development of and the ability to manufacture our vehicles, including the Lucid Air and Project Gravity, are and will be subject to risks, including with respect to:</w:t>
      </w:r>
    </w:p>
    <w:p>
      <w:pPr>
        <w:spacing w:after="0" w:line="149" w:lineRule="exact"/>
        <w:rPr>
          <w:sz w:val="20"/>
          <w:szCs w:val="20"/>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ensure readiness of firmware features and functions to be integrated into the Lucid Air as planned and on the desired timeline;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finalize release candidate specifications for Project Gravity as planned and on the desired timeline;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delays by us in delivering final component designs to our suppliers or any changes to such component designs;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or our suppliers’ ability to successfully tool their manufacturing facilities as planned and on the desired timeline;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ensure a working supply chain and desired supplier part quality and quantity as planned and on the desired timeline;</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accurately manufacture vehicles within specified design tolerances;</w:t>
      </w:r>
    </w:p>
    <w:p>
      <w:pPr>
        <w:spacing w:after="0" w:line="212" w:lineRule="exact"/>
        <w:rPr>
          <w:rFonts w:ascii="Arial" w:cs="Arial" w:eastAsia="Arial" w:hAnsi="Arial"/>
          <w:sz w:val="16"/>
          <w:szCs w:val="16"/>
          <w:color w:val="auto"/>
        </w:rPr>
      </w:pPr>
    </w:p>
    <w:p>
      <w:pPr>
        <w:ind w:left="600" w:right="40" w:hanging="304"/>
        <w:spacing w:after="0" w:line="290"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establish, implement, refine and scale, as well as make significant investments in manufacturing, supply chain management and logistics functions, including the related information technology systems and software applications;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adequately reduce and control the costs of key parts and materials;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manage any transitions or changes in our production process, planned or unplanned;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occurrence of product defects that cannot be remedied without adversely affecting the production;</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secure necessary funding;</w:t>
      </w:r>
    </w:p>
    <w:p>
      <w:pPr>
        <w:spacing w:after="0" w:line="212" w:lineRule="exact"/>
        <w:rPr>
          <w:rFonts w:ascii="Arial" w:cs="Arial" w:eastAsia="Arial" w:hAnsi="Arial"/>
          <w:sz w:val="16"/>
          <w:szCs w:val="16"/>
          <w:color w:val="auto"/>
        </w:rPr>
      </w:pPr>
    </w:p>
    <w:p>
      <w:pPr>
        <w:ind w:left="600" w:right="260" w:hanging="304"/>
        <w:spacing w:after="0" w:line="290"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negotiate and execute definitive agreements with various suppliers for hardware, software, or services necessary to engineer or manufacture our vehicles;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obtain required regulatory approvals and certifications;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comply with environmental, safety, and similar regulations and in a timely manner;</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secure necessary components, services, or licenses on acceptable terms and in a timely manner;</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ability to attract, recruit, hire, retain and train skilled employees including supply chain management, supplier quality, manufacturing and logistics personnel;</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design and implement effective and efficient quality control and inventory management processes;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delays or disruptions in our supply chain including raw material supplies;</w:t>
      </w:r>
    </w:p>
    <w:p>
      <w:pPr>
        <w:spacing w:after="0" w:line="212" w:lineRule="exact"/>
        <w:rPr>
          <w:rFonts w:ascii="Arial" w:cs="Arial" w:eastAsia="Arial" w:hAnsi="Arial"/>
          <w:sz w:val="16"/>
          <w:szCs w:val="16"/>
          <w:color w:val="auto"/>
        </w:rPr>
      </w:pPr>
    </w:p>
    <w:p>
      <w:pPr>
        <w:ind w:left="600" w:right="240" w:hanging="304"/>
        <w:spacing w:after="0" w:line="290"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maintain arrangements on commercially reasonable terms with our suppliers, delivery and other partners, after sales service providers, and other operationally significant third parties;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delays, backlog in manufacturing and research and development of new models, and cost overruns;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severity, magnitude and duration of the ongoing COVID-19 pandemic, including related business interruptions and other effects; and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risks identified herein.</w:t>
      </w:r>
    </w:p>
    <w:p>
      <w:pPr>
        <w:spacing w:after="0" w:line="212"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6"/>
          <w:szCs w:val="16"/>
          <w:i w:val="1"/>
          <w:iCs w:val="1"/>
          <w:color w:val="auto"/>
        </w:rPr>
        <w:t>—</w:t>
      </w:r>
      <w:r>
        <w:rPr>
          <w:rFonts w:ascii="Arial" w:cs="Arial" w:eastAsia="Arial" w:hAnsi="Arial"/>
          <w:sz w:val="16"/>
          <w:szCs w:val="16"/>
          <w:color w:val="auto"/>
        </w:rPr>
        <w:t xml:space="preserve">Risks Related to Financing and Strategic Transactions </w:t>
      </w:r>
      <w:r>
        <w:rPr>
          <w:rFonts w:ascii="Arial" w:cs="Arial" w:eastAsia="Arial" w:hAnsi="Arial"/>
          <w:sz w:val="16"/>
          <w:szCs w:val="16"/>
          <w:i w:val="1"/>
          <w:iCs w:val="1"/>
          <w:color w:val="auto"/>
        </w:rPr>
        <w:t>— We will require additional capital to support business growth, and this capital might not be available on commercially reasonable</w:t>
      </w:r>
      <w:r>
        <w:rPr>
          <w:rFonts w:ascii="Arial" w:cs="Arial" w:eastAsia="Arial" w:hAnsi="Arial"/>
          <w:sz w:val="16"/>
          <w:szCs w:val="16"/>
          <w:color w:val="auto"/>
        </w:rPr>
        <w:t xml:space="preserve"> </w:t>
      </w:r>
      <w:r>
        <w:rPr>
          <w:rFonts w:ascii="Arial" w:cs="Arial" w:eastAsia="Arial" w:hAnsi="Arial"/>
          <w:sz w:val="16"/>
          <w:szCs w:val="16"/>
          <w:i w:val="1"/>
          <w:iCs w:val="1"/>
          <w:color w:val="auto"/>
        </w:rPr>
        <w:t>terms, or at all.”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8" w:name="page59"/>
    <w:bookmarkEnd w:id="58"/>
    <w:p>
      <w:pPr>
        <w:ind w:right="80"/>
        <w:spacing w:after="0" w:line="326" w:lineRule="auto"/>
        <w:rPr>
          <w:sz w:val="20"/>
          <w:szCs w:val="20"/>
          <w:color w:val="auto"/>
        </w:rPr>
      </w:pPr>
      <w:r>
        <w:rPr>
          <w:rFonts w:ascii="Arial" w:cs="Arial" w:eastAsia="Arial" w:hAnsi="Arial"/>
          <w:sz w:val="15"/>
          <w:szCs w:val="15"/>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25"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and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59" w:lineRule="exact"/>
        <w:rPr>
          <w:sz w:val="20"/>
          <w:szCs w:val="20"/>
          <w:color w:val="auto"/>
        </w:rPr>
      </w:pPr>
    </w:p>
    <w:p>
      <w:pPr>
        <w:jc w:val="both"/>
        <w:ind w:right="120" w:firstLine="297"/>
        <w:spacing w:after="0" w:line="274" w:lineRule="auto"/>
        <w:rPr>
          <w:sz w:val="20"/>
          <w:szCs w:val="20"/>
          <w:color w:val="auto"/>
        </w:rPr>
      </w:pPr>
      <w:r>
        <w:rPr>
          <w:rFonts w:ascii="Arial" w:cs="Arial" w:eastAsia="Arial" w:hAnsi="Arial"/>
          <w:sz w:val="16"/>
          <w:szCs w:val="16"/>
          <w:color w:val="auto"/>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65"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72" w:lineRule="exact"/>
        <w:rPr>
          <w:sz w:val="20"/>
          <w:szCs w:val="20"/>
          <w:color w:val="auto"/>
        </w:rPr>
      </w:pPr>
    </w:p>
    <w:p>
      <w:pPr>
        <w:ind w:right="20" w:firstLine="297"/>
        <w:spacing w:after="0" w:line="281" w:lineRule="auto"/>
        <w:rPr>
          <w:sz w:val="20"/>
          <w:szCs w:val="20"/>
          <w:color w:val="auto"/>
        </w:rPr>
      </w:pPr>
      <w:r>
        <w:rPr>
          <w:rFonts w:ascii="Arial" w:cs="Arial" w:eastAsia="Arial" w:hAnsi="Arial"/>
          <w:sz w:val="15"/>
          <w:szCs w:val="15"/>
          <w:color w:val="auto"/>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59" w:lineRule="exact"/>
        <w:rPr>
          <w:sz w:val="20"/>
          <w:szCs w:val="20"/>
          <w:color w:val="auto"/>
        </w:rPr>
      </w:pPr>
    </w:p>
    <w:p>
      <w:pPr>
        <w:ind w:right="80" w:firstLine="297"/>
        <w:spacing w:after="0" w:line="281" w:lineRule="auto"/>
        <w:rPr>
          <w:sz w:val="20"/>
          <w:szCs w:val="20"/>
          <w:color w:val="auto"/>
        </w:rPr>
      </w:pPr>
      <w:r>
        <w:rPr>
          <w:rFonts w:ascii="Arial" w:cs="Arial" w:eastAsia="Arial" w:hAnsi="Arial"/>
          <w:sz w:val="15"/>
          <w:szCs w:val="15"/>
          <w:color w:val="auto"/>
        </w:rPr>
        <w:t>In addition, we have experienced, and in the future could continue to experience, delays if our suppliers do not meet agreed upon timelines, experience capacity constraints, or deliver components that do not meet our quality standards and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9" w:name="page60"/>
    <w:bookmarkEnd w:id="59"/>
    <w:p>
      <w:pPr>
        <w:ind w:firstLine="297"/>
        <w:spacing w:after="0" w:line="262" w:lineRule="auto"/>
        <w:rPr>
          <w:sz w:val="20"/>
          <w:szCs w:val="20"/>
          <w:color w:val="auto"/>
        </w:rPr>
      </w:pPr>
      <w:r>
        <w:rPr>
          <w:rFonts w:ascii="Arial" w:cs="Arial" w:eastAsia="Arial" w:hAnsi="Arial"/>
          <w:sz w:val="16"/>
          <w:szCs w:val="16"/>
          <w:color w:val="auto"/>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73" w:lineRule="exact"/>
        <w:rPr>
          <w:sz w:val="20"/>
          <w:szCs w:val="20"/>
          <w:color w:val="auto"/>
        </w:rPr>
      </w:pPr>
    </w:p>
    <w:p>
      <w:pPr>
        <w:ind w:right="40" w:firstLine="297"/>
        <w:spacing w:after="0" w:line="261" w:lineRule="auto"/>
        <w:rPr>
          <w:sz w:val="20"/>
          <w:szCs w:val="20"/>
          <w:color w:val="auto"/>
        </w:rPr>
      </w:pPr>
      <w:r>
        <w:rPr>
          <w:rFonts w:ascii="Arial" w:cs="Arial" w:eastAsia="Arial" w:hAnsi="Arial"/>
          <w:sz w:val="16"/>
          <w:szCs w:val="16"/>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costs, disruption of supply or shortage of materials, in particular for lithium-ion cells or semiconductors, could harm our business.</w:t>
      </w:r>
    </w:p>
    <w:p>
      <w:pPr>
        <w:spacing w:after="0" w:line="212" w:lineRule="exact"/>
        <w:rPr>
          <w:sz w:val="20"/>
          <w:szCs w:val="20"/>
          <w:color w:val="auto"/>
        </w:rPr>
      </w:pPr>
    </w:p>
    <w:p>
      <w:pPr>
        <w:ind w:right="120" w:firstLine="297"/>
        <w:spacing w:after="0" w:line="282" w:lineRule="auto"/>
        <w:rPr>
          <w:sz w:val="20"/>
          <w:szCs w:val="20"/>
          <w:color w:val="auto"/>
        </w:rPr>
      </w:pPr>
      <w:r>
        <w:rPr>
          <w:rFonts w:ascii="Arial" w:cs="Arial" w:eastAsia="Arial" w:hAnsi="Arial"/>
          <w:sz w:val="15"/>
          <w:szCs w:val="15"/>
          <w:color w:val="auto"/>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161" w:lineRule="exact"/>
        <w:rPr>
          <w:sz w:val="20"/>
          <w:szCs w:val="20"/>
          <w:color w:val="auto"/>
        </w:rPr>
      </w:pPr>
    </w:p>
    <w:p>
      <w:pPr>
        <w:ind w:left="600" w:right="260" w:hanging="304"/>
        <w:spacing w:after="0" w:line="29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increase in the cost, or decrease in the available supply, of materials, such as cobalt, used in lithium-ion cells;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disruption in the supply of cells due to quality issues or recalls by battery cell manufacturers; and</w:t>
      </w:r>
    </w:p>
    <w:p>
      <w:pPr>
        <w:spacing w:after="0" w:line="212" w:lineRule="exact"/>
        <w:rPr>
          <w:rFonts w:ascii="Arial" w:cs="Arial" w:eastAsia="Arial" w:hAnsi="Arial"/>
          <w:sz w:val="16"/>
          <w:szCs w:val="16"/>
          <w:color w:val="auto"/>
        </w:rPr>
      </w:pPr>
    </w:p>
    <w:p>
      <w:pPr>
        <w:ind w:left="600" w:right="380" w:hanging="304"/>
        <w:spacing w:after="0" w:line="29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fluctuations in the value of any foreign currencies, and the Korean Won in particular, in which battery cell and related raw material purchases are or may be denominated against the U.S. dollar.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0" w:name="page61"/>
    <w:bookmarkEnd w:id="60"/>
    <w:p>
      <w:pPr>
        <w:ind w:firstLine="297"/>
        <w:spacing w:after="0" w:line="279" w:lineRule="auto"/>
        <w:rPr>
          <w:sz w:val="20"/>
          <w:szCs w:val="20"/>
          <w:color w:val="auto"/>
        </w:rPr>
      </w:pPr>
      <w:r>
        <w:rPr>
          <w:rFonts w:ascii="Arial" w:cs="Arial" w:eastAsia="Arial" w:hAnsi="Arial"/>
          <w:sz w:val="15"/>
          <w:szCs w:val="15"/>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61"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Furthermore, currency fluctuations, tariffs or shortages in petroleum and other economic or political conditions have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49" w:lineRule="exact"/>
        <w:rPr>
          <w:sz w:val="20"/>
          <w:szCs w:val="20"/>
          <w:color w:val="auto"/>
        </w:rPr>
      </w:pPr>
    </w:p>
    <w:p>
      <w:pPr>
        <w:ind w:right="120" w:firstLine="297"/>
        <w:spacing w:after="0" w:line="269" w:lineRule="auto"/>
        <w:rPr>
          <w:sz w:val="20"/>
          <w:szCs w:val="20"/>
          <w:color w:val="auto"/>
        </w:rPr>
      </w:pPr>
      <w:r>
        <w:rPr>
          <w:rFonts w:ascii="Arial" w:cs="Arial" w:eastAsia="Arial" w:hAnsi="Arial"/>
          <w:sz w:val="16"/>
          <w:szCs w:val="16"/>
          <w:color w:val="auto"/>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65"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49" w:lineRule="exact"/>
        <w:rPr>
          <w:sz w:val="20"/>
          <w:szCs w:val="20"/>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delayed production and delivery of our vehicles, including the Lucid Air;</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delayed market acceptance of our vehicles;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of customers or inability to attract new customers;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diversion of engineering or other resources for remedying the defect or error;</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damage to our brand or reputation;</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service and warranty costs;</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legal action by customers or third parties, including product liability claims; and</w:t>
      </w:r>
    </w:p>
    <w:p>
      <w:pPr>
        <w:spacing w:after="0" w:line="212"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penalties imposed by regulatory authorities.</w:t>
      </w:r>
    </w:p>
    <w:p>
      <w:pPr>
        <w:spacing w:after="0" w:line="212" w:lineRule="exact"/>
        <w:rPr>
          <w:sz w:val="20"/>
          <w:szCs w:val="20"/>
          <w:color w:val="auto"/>
        </w:rPr>
      </w:pPr>
    </w:p>
    <w:p>
      <w:pPr>
        <w:ind w:right="20" w:firstLine="297"/>
        <w:spacing w:after="0" w:line="292" w:lineRule="auto"/>
        <w:rPr>
          <w:sz w:val="20"/>
          <w:szCs w:val="20"/>
          <w:color w:val="auto"/>
        </w:rPr>
      </w:pPr>
      <w:r>
        <w:rPr>
          <w:rFonts w:ascii="Arial" w:cs="Arial" w:eastAsia="Arial" w:hAnsi="Arial"/>
          <w:sz w:val="15"/>
          <w:szCs w:val="15"/>
          <w:color w:val="auto"/>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61" w:name="page62"/>
    <w:bookmarkEnd w:id="61"/>
    <w:p>
      <w:pPr>
        <w:ind w:right="260"/>
        <w:spacing w:after="0" w:line="290" w:lineRule="auto"/>
        <w:rPr>
          <w:sz w:val="20"/>
          <w:szCs w:val="20"/>
          <w:color w:val="auto"/>
        </w:rPr>
      </w:pPr>
      <w:r>
        <w:rPr>
          <w:rFonts w:ascii="Arial" w:cs="Arial" w:eastAsia="Arial" w:hAnsi="Arial"/>
          <w:sz w:val="16"/>
          <w:szCs w:val="16"/>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49" w:lineRule="exact"/>
        <w:rPr>
          <w:sz w:val="20"/>
          <w:szCs w:val="20"/>
          <w:color w:val="auto"/>
        </w:rPr>
      </w:pPr>
    </w:p>
    <w:p>
      <w:pPr>
        <w:ind w:right="80" w:firstLine="297"/>
        <w:spacing w:after="0" w:line="280" w:lineRule="auto"/>
        <w:rPr>
          <w:sz w:val="20"/>
          <w:szCs w:val="20"/>
          <w:color w:val="auto"/>
        </w:rPr>
      </w:pPr>
      <w:r>
        <w:rPr>
          <w:rFonts w:ascii="Arial" w:cs="Arial" w:eastAsia="Arial" w:hAnsi="Arial"/>
          <w:sz w:val="15"/>
          <w:szCs w:val="15"/>
          <w:color w:val="auto"/>
        </w:rPr>
        <w:t>While we have completed the initial phase of construction at our manufacturing facilities in Casa Grande, Arizona, tooling our facilities for production of our vehicles and our future expansion plans are complicated and present significant challenges.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is expected to be delayed by our supplier until early 2023 due to its supply chain impacts and disruption related to the conflict in Ukraine.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59"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49" w:lineRule="exact"/>
        <w:rPr>
          <w:sz w:val="20"/>
          <w:szCs w:val="20"/>
          <w:color w:val="auto"/>
        </w:rPr>
      </w:pPr>
    </w:p>
    <w:p>
      <w:pPr>
        <w:ind w:right="140" w:firstLine="297"/>
        <w:spacing w:after="0" w:line="330" w:lineRule="auto"/>
        <w:rPr>
          <w:sz w:val="20"/>
          <w:szCs w:val="20"/>
          <w:color w:val="auto"/>
        </w:rPr>
      </w:pPr>
      <w:r>
        <w:rPr>
          <w:rFonts w:ascii="Arial" w:cs="Arial" w:eastAsia="Arial" w:hAnsi="Arial"/>
          <w:sz w:val="14"/>
          <w:szCs w:val="14"/>
          <w:color w:val="auto"/>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28" w:lineRule="exact"/>
        <w:rPr>
          <w:sz w:val="20"/>
          <w:szCs w:val="20"/>
          <w:color w:val="auto"/>
        </w:rPr>
      </w:pPr>
    </w:p>
    <w:p>
      <w:pPr>
        <w:ind w:right="20" w:firstLine="297"/>
        <w:spacing w:after="0" w:line="292" w:lineRule="auto"/>
        <w:rPr>
          <w:sz w:val="20"/>
          <w:szCs w:val="20"/>
          <w:color w:val="auto"/>
        </w:rPr>
      </w:pPr>
      <w:r>
        <w:rPr>
          <w:rFonts w:ascii="Arial" w:cs="Arial" w:eastAsia="Arial" w:hAnsi="Arial"/>
          <w:sz w:val="15"/>
          <w:szCs w:val="15"/>
          <w:color w:val="auto"/>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151" w:lineRule="exact"/>
        <w:rPr>
          <w:sz w:val="20"/>
          <w:szCs w:val="20"/>
          <w:color w:val="auto"/>
        </w:rPr>
      </w:pPr>
    </w:p>
    <w:p>
      <w:pPr>
        <w:ind w:right="60" w:firstLine="297"/>
        <w:spacing w:after="0" w:line="280" w:lineRule="auto"/>
        <w:rPr>
          <w:sz w:val="20"/>
          <w:szCs w:val="20"/>
          <w:color w:val="auto"/>
        </w:rPr>
      </w:pPr>
      <w:r>
        <w:rPr>
          <w:rFonts w:ascii="Arial" w:cs="Arial" w:eastAsia="Arial" w:hAnsi="Arial"/>
          <w:sz w:val="15"/>
          <w:szCs w:val="15"/>
          <w:color w:val="auto"/>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2" w:name="page63"/>
    <w:bookmarkEnd w:id="62"/>
    <w:p>
      <w:pPr>
        <w:ind w:right="320"/>
        <w:spacing w:after="0" w:line="326" w:lineRule="auto"/>
        <w:rPr>
          <w:sz w:val="20"/>
          <w:szCs w:val="20"/>
          <w:color w:val="auto"/>
        </w:rPr>
      </w:pPr>
      <w:r>
        <w:rPr>
          <w:rFonts w:ascii="Arial" w:cs="Arial" w:eastAsia="Arial" w:hAnsi="Arial"/>
          <w:sz w:val="15"/>
          <w:szCs w:val="15"/>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25" w:lineRule="exact"/>
        <w:rPr>
          <w:sz w:val="20"/>
          <w:szCs w:val="20"/>
          <w:color w:val="auto"/>
        </w:rPr>
      </w:pPr>
    </w:p>
    <w:p>
      <w:pPr>
        <w:ind w:right="100" w:firstLine="297"/>
        <w:spacing w:after="0" w:line="288" w:lineRule="auto"/>
        <w:rPr>
          <w:sz w:val="20"/>
          <w:szCs w:val="20"/>
          <w:color w:val="auto"/>
        </w:rPr>
      </w:pPr>
      <w:r>
        <w:rPr>
          <w:rFonts w:ascii="Arial" w:cs="Arial" w:eastAsia="Arial" w:hAnsi="Arial"/>
          <w:sz w:val="15"/>
          <w:szCs w:val="15"/>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experience to date in high volume manufacture of our vehicles.</w:t>
      </w:r>
    </w:p>
    <w:p>
      <w:pPr>
        <w:spacing w:after="0" w:line="212" w:lineRule="exact"/>
        <w:rPr>
          <w:sz w:val="20"/>
          <w:szCs w:val="20"/>
          <w:color w:val="auto"/>
        </w:rPr>
      </w:pPr>
    </w:p>
    <w:p>
      <w:pPr>
        <w:ind w:right="80" w:firstLine="297"/>
        <w:spacing w:after="0" w:line="279" w:lineRule="auto"/>
        <w:rPr>
          <w:sz w:val="20"/>
          <w:szCs w:val="20"/>
          <w:color w:val="auto"/>
        </w:rPr>
      </w:pPr>
      <w:r>
        <w:rPr>
          <w:rFonts w:ascii="Arial" w:cs="Arial" w:eastAsia="Arial" w:hAnsi="Arial"/>
          <w:sz w:val="15"/>
          <w:szCs w:val="15"/>
          <w:color w:val="auto"/>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vehicles fail to perform as expected, our ability to develop, market and sell or lease our products could be harmed.</w:t>
      </w:r>
    </w:p>
    <w:p>
      <w:pPr>
        <w:spacing w:after="0" w:line="212"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59" w:lineRule="exact"/>
        <w:rPr>
          <w:sz w:val="20"/>
          <w:szCs w:val="20"/>
          <w:color w:val="auto"/>
        </w:rPr>
      </w:pPr>
    </w:p>
    <w:p>
      <w:pPr>
        <w:ind w:right="100" w:firstLine="297"/>
        <w:spacing w:after="0" w:line="283" w:lineRule="auto"/>
        <w:rPr>
          <w:sz w:val="20"/>
          <w:szCs w:val="20"/>
          <w:color w:val="auto"/>
        </w:rPr>
      </w:pPr>
      <w:r>
        <w:rPr>
          <w:rFonts w:ascii="Arial" w:cs="Arial" w:eastAsia="Arial" w:hAnsi="Arial"/>
          <w:sz w:val="15"/>
          <w:szCs w:val="15"/>
          <w:color w:val="auto"/>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Any such defects or noncompliance with legal requirements could also result in safety recalls. See “— Risks Related to Litigation and Regulation — </w:t>
      </w:r>
      <w:r>
        <w:rPr>
          <w:rFonts w:ascii="Arial" w:cs="Arial" w:eastAsia="Arial" w:hAnsi="Arial"/>
          <w:sz w:val="15"/>
          <w:szCs w:val="15"/>
          <w:i w:val="1"/>
          <w:iCs w:val="1"/>
          <w:color w:val="auto"/>
        </w:rPr>
        <w:t>We have in the past and may choose in the future, or we may be compelled, to undertake product recalls or take 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actions, which could adversely affect our business, prospects, results of operations, reputation and financial condition.” </w:t>
      </w:r>
      <w:r>
        <w:rPr>
          <w:rFonts w:ascii="Arial" w:cs="Arial" w:eastAsia="Arial" w:hAnsi="Arial"/>
          <w:sz w:val="15"/>
          <w:szCs w:val="15"/>
          <w:color w:val="auto"/>
        </w:rPr>
        <w:t>As a new entrant to the industry attempting to</w:t>
      </w:r>
      <w:r>
        <w:rPr>
          <w:rFonts w:ascii="Arial" w:cs="Arial" w:eastAsia="Arial" w:hAnsi="Arial"/>
          <w:sz w:val="15"/>
          <w:szCs w:val="15"/>
          <w:i w:val="1"/>
          <w:iCs w:val="1"/>
          <w:color w:val="auto"/>
        </w:rPr>
        <w:t xml:space="preserve"> </w:t>
      </w:r>
      <w:r>
        <w:rPr>
          <w:rFonts w:ascii="Arial" w:cs="Arial" w:eastAsia="Arial" w:hAnsi="Arial"/>
          <w:sz w:val="15"/>
          <w:szCs w:val="15"/>
          <w:color w:val="auto"/>
        </w:rPr>
        <w:t>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63" w:name="page64"/>
    <w:bookmarkEnd w:id="63"/>
    <w:p>
      <w:pPr>
        <w:ind w:right="80" w:firstLine="297"/>
        <w:spacing w:after="0" w:line="262" w:lineRule="auto"/>
        <w:rPr>
          <w:sz w:val="20"/>
          <w:szCs w:val="20"/>
          <w:color w:val="auto"/>
        </w:rPr>
      </w:pPr>
      <w:r>
        <w:rPr>
          <w:rFonts w:ascii="Arial" w:cs="Arial" w:eastAsia="Arial" w:hAnsi="Arial"/>
          <w:sz w:val="16"/>
          <w:szCs w:val="16"/>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challenges providing charging solutions for our vehicles.</w:t>
      </w:r>
    </w:p>
    <w:p>
      <w:pPr>
        <w:spacing w:after="0" w:line="212" w:lineRule="exact"/>
        <w:rPr>
          <w:sz w:val="20"/>
          <w:szCs w:val="20"/>
          <w:color w:val="auto"/>
        </w:rPr>
      </w:pPr>
    </w:p>
    <w:p>
      <w:pPr>
        <w:ind w:right="40" w:firstLine="297"/>
        <w:spacing w:after="0" w:line="282" w:lineRule="auto"/>
        <w:rPr>
          <w:sz w:val="20"/>
          <w:szCs w:val="20"/>
          <w:color w:val="auto"/>
        </w:rPr>
      </w:pPr>
      <w:r>
        <w:rPr>
          <w:rFonts w:ascii="Arial" w:cs="Arial" w:eastAsia="Arial" w:hAnsi="Arial"/>
          <w:sz w:val="15"/>
          <w:szCs w:val="15"/>
          <w:color w:val="auto"/>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61"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75"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b w:val="1"/>
          <w:bCs w:val="1"/>
          <w:i w:val="1"/>
          <w:iCs w:val="1"/>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9" w:lineRule="exact"/>
        <w:rPr>
          <w:sz w:val="20"/>
          <w:szCs w:val="20"/>
          <w:color w:val="auto"/>
        </w:rPr>
      </w:pPr>
    </w:p>
    <w:p>
      <w:pPr>
        <w:ind w:right="40" w:firstLine="297"/>
        <w:spacing w:after="0" w:line="280" w:lineRule="auto"/>
        <w:rPr>
          <w:sz w:val="20"/>
          <w:szCs w:val="20"/>
          <w:color w:val="auto"/>
        </w:rPr>
      </w:pPr>
      <w:r>
        <w:rPr>
          <w:rFonts w:ascii="Arial" w:cs="Arial" w:eastAsia="Arial" w:hAnsi="Arial"/>
          <w:sz w:val="15"/>
          <w:szCs w:val="15"/>
          <w:color w:val="auto"/>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IT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59" w:lineRule="exact"/>
        <w:rPr>
          <w:sz w:val="20"/>
          <w:szCs w:val="20"/>
          <w:color w:val="auto"/>
        </w:rPr>
      </w:pPr>
    </w:p>
    <w:p>
      <w:pPr>
        <w:ind w:right="160" w:firstLine="297"/>
        <w:spacing w:after="0" w:line="292" w:lineRule="auto"/>
        <w:rPr>
          <w:sz w:val="20"/>
          <w:szCs w:val="20"/>
          <w:color w:val="auto"/>
        </w:rPr>
      </w:pPr>
      <w:r>
        <w:rPr>
          <w:rFonts w:ascii="Arial" w:cs="Arial" w:eastAsia="Arial" w:hAnsi="Arial"/>
          <w:sz w:val="15"/>
          <w:szCs w:val="15"/>
          <w:color w:val="auto"/>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4" w:name="page65"/>
    <w:bookmarkEnd w:id="64"/>
    <w:p>
      <w:pPr>
        <w:ind w:firstLine="297"/>
        <w:spacing w:after="0" w:line="262"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75"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49" w:lineRule="exact"/>
        <w:rPr>
          <w:sz w:val="20"/>
          <w:szCs w:val="20"/>
          <w:color w:val="auto"/>
        </w:rPr>
      </w:pPr>
    </w:p>
    <w:p>
      <w:pPr>
        <w:ind w:right="40" w:firstLine="297"/>
        <w:spacing w:after="0" w:line="303" w:lineRule="auto"/>
        <w:rPr>
          <w:sz w:val="20"/>
          <w:szCs w:val="20"/>
          <w:color w:val="auto"/>
        </w:rPr>
      </w:pPr>
      <w:r>
        <w:rPr>
          <w:rFonts w:ascii="Arial" w:cs="Arial" w:eastAsia="Arial" w:hAnsi="Arial"/>
          <w:sz w:val="14"/>
          <w:szCs w:val="14"/>
          <w:color w:val="auto"/>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46" w:lineRule="exact"/>
        <w:rPr>
          <w:sz w:val="20"/>
          <w:szCs w:val="20"/>
          <w:color w:val="auto"/>
        </w:rPr>
      </w:pPr>
    </w:p>
    <w:p>
      <w:pPr>
        <w:ind w:right="280"/>
        <w:spacing w:after="0" w:line="366" w:lineRule="auto"/>
        <w:rPr>
          <w:sz w:val="20"/>
          <w:szCs w:val="20"/>
          <w:color w:val="auto"/>
        </w:rPr>
      </w:pPr>
      <w:r>
        <w:rPr>
          <w:rFonts w:ascii="Arial" w:cs="Arial" w:eastAsia="Arial" w:hAnsi="Arial"/>
          <w:sz w:val="14"/>
          <w:szCs w:val="14"/>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03" w:lineRule="exact"/>
        <w:rPr>
          <w:sz w:val="20"/>
          <w:szCs w:val="20"/>
          <w:color w:val="auto"/>
        </w:rPr>
      </w:pPr>
    </w:p>
    <w:p>
      <w:pPr>
        <w:ind w:right="60" w:firstLine="297"/>
        <w:spacing w:after="0" w:line="282" w:lineRule="auto"/>
        <w:rPr>
          <w:sz w:val="20"/>
          <w:szCs w:val="20"/>
          <w:color w:val="auto"/>
        </w:rPr>
      </w:pPr>
      <w:r>
        <w:rPr>
          <w:rFonts w:ascii="Arial" w:cs="Arial" w:eastAsia="Arial" w:hAnsi="Arial"/>
          <w:sz w:val="15"/>
          <w:szCs w:val="15"/>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5" w:name="page66"/>
    <w:bookmarkEnd w:id="65"/>
    <w:p>
      <w:pPr>
        <w:ind w:right="200"/>
        <w:spacing w:after="0" w:line="290" w:lineRule="auto"/>
        <w:rPr>
          <w:sz w:val="20"/>
          <w:szCs w:val="20"/>
          <w:color w:val="auto"/>
        </w:rPr>
      </w:pPr>
      <w:r>
        <w:rPr>
          <w:rFonts w:ascii="Arial" w:cs="Arial" w:eastAsia="Arial" w:hAnsi="Arial"/>
          <w:sz w:val="16"/>
          <w:szCs w:val="16"/>
          <w:b w:val="1"/>
          <w:bCs w:val="1"/>
          <w:i w:val="1"/>
          <w:iCs w:val="1"/>
          <w:color w:val="auto"/>
        </w:rPr>
        <w:t>Our facilities or operations could be adversely affected by events outside of our control, such as natural disasters, wars, health epidemics or pandemics, or security incidents.</w:t>
      </w:r>
    </w:p>
    <w:p>
      <w:pPr>
        <w:spacing w:after="0" w:line="149" w:lineRule="exact"/>
        <w:rPr>
          <w:sz w:val="20"/>
          <w:szCs w:val="20"/>
          <w:color w:val="auto"/>
        </w:rPr>
      </w:pPr>
    </w:p>
    <w:p>
      <w:pPr>
        <w:ind w:firstLine="297"/>
        <w:spacing w:after="0" w:line="278" w:lineRule="auto"/>
        <w:rPr>
          <w:sz w:val="20"/>
          <w:szCs w:val="20"/>
          <w:color w:val="auto"/>
        </w:rPr>
      </w:pPr>
      <w:r>
        <w:rPr>
          <w:rFonts w:ascii="Arial" w:cs="Arial" w:eastAsia="Arial" w:hAnsi="Arial"/>
          <w:sz w:val="15"/>
          <w:szCs w:val="15"/>
          <w:color w:val="auto"/>
        </w:rPr>
        <w:t xml:space="preserve">We and our suppliers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5"/>
          <w:szCs w:val="15"/>
          <w:i w:val="1"/>
          <w:iCs w:val="1"/>
          <w:color w:val="auto"/>
        </w:rPr>
        <w:t>A failure to properly comply with foreign</w:t>
      </w:r>
      <w:r>
        <w:rPr>
          <w:rFonts w:ascii="Arial" w:cs="Arial" w:eastAsia="Arial" w:hAnsi="Arial"/>
          <w:sz w:val="15"/>
          <w:szCs w:val="15"/>
          <w:color w:val="auto"/>
        </w:rPr>
        <w:t xml:space="preserve"> </w:t>
      </w:r>
      <w:r>
        <w:rPr>
          <w:rFonts w:ascii="Arial" w:cs="Arial" w:eastAsia="Arial" w:hAnsi="Arial"/>
          <w:sz w:val="15"/>
          <w:szCs w:val="15"/>
          <w:i w:val="1"/>
          <w:iCs w:val="1"/>
          <w:color w:val="auto"/>
        </w:rPr>
        <w:t>trade zone laws and regulations could increase the cost of our duties and tariffs.</w:t>
      </w:r>
      <w:r>
        <w:rPr>
          <w:rFonts w:ascii="Arial" w:cs="Arial" w:eastAsia="Arial" w:hAnsi="Arial"/>
          <w:sz w:val="15"/>
          <w:szCs w:val="15"/>
          <w:color w:val="auto"/>
        </w:rPr>
        <w:t>” In addition, the military invasion of Ukraine by Russia and the sanctions against Russia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resulting from such conflict is expected to delay the installation and production readiness of certain general assembly equipment for our Phase 2 expansion of AMP-1, may increase the likelihood of supply chain interruptions and may impair our ability to compete in current or future markets, or otherwise subject us to potential liability. See “—Risks Related to Manufacturing and Supply Chain — </w:t>
      </w:r>
      <w:r>
        <w:rPr>
          <w:rFonts w:ascii="Arial" w:cs="Arial" w:eastAsia="Arial" w:hAnsi="Arial"/>
          <w:sz w:val="15"/>
          <w:szCs w:val="15"/>
          <w:i w:val="1"/>
          <w:iCs w:val="1"/>
          <w:color w:val="auto"/>
        </w:rPr>
        <w:t>if we fail to successfully tool our manufacturing facilities or if our manufacturing facilities become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inoperable, we will be unable to produce our vehicles and our business will be harmed.” </w:t>
      </w:r>
      <w:r>
        <w:rPr>
          <w:rFonts w:ascii="Arial" w:cs="Arial" w:eastAsia="Arial" w:hAnsi="Arial"/>
          <w:sz w:val="15"/>
          <w:szCs w:val="15"/>
          <w:color w:val="auto"/>
        </w:rPr>
        <w:t>and “— Risks Related to Litigation and Regulation —</w:t>
      </w:r>
      <w:r>
        <w:rPr>
          <w:rFonts w:ascii="Arial" w:cs="Arial" w:eastAsia="Arial" w:hAnsi="Arial"/>
          <w:sz w:val="15"/>
          <w:szCs w:val="15"/>
          <w:i w:val="1"/>
          <w:iCs w:val="1"/>
          <w:color w:val="auto"/>
        </w:rPr>
        <w:t xml:space="preserve"> Changes in U.S. trade policy, including the imposition of tariffs or revocation of normal trade relations and the resulting consequences, could adversely affect our business, prospects, results of operations and financial condition</w:t>
      </w:r>
      <w:r>
        <w:rPr>
          <w:rFonts w:ascii="Arial" w:cs="Arial" w:eastAsia="Arial" w:hAnsi="Arial"/>
          <w:sz w:val="15"/>
          <w:szCs w:val="15"/>
          <w:color w:val="auto"/>
        </w:rPr>
        <w:t>.” We may incur significant expenses or delays relating to such events outside of our control, which could have a material adverse</w:t>
      </w:r>
      <w:r>
        <w:rPr>
          <w:rFonts w:ascii="Arial" w:cs="Arial" w:eastAsia="Arial" w:hAnsi="Arial"/>
          <w:sz w:val="15"/>
          <w:szCs w:val="15"/>
          <w:i w:val="1"/>
          <w:iCs w:val="1"/>
          <w:color w:val="auto"/>
        </w:rPr>
        <w:t xml:space="preserve"> </w:t>
      </w:r>
      <w:r>
        <w:rPr>
          <w:rFonts w:ascii="Arial" w:cs="Arial" w:eastAsia="Arial" w:hAnsi="Arial"/>
          <w:sz w:val="15"/>
          <w:szCs w:val="15"/>
          <w:color w:val="auto"/>
        </w:rPr>
        <w:t>impact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vehicles will make use of lithium-ion battery cells, which have been observed to catch fire or vent smoke and flame.</w:t>
      </w:r>
    </w:p>
    <w:p>
      <w:pPr>
        <w:spacing w:after="0" w:line="212" w:lineRule="exact"/>
        <w:rPr>
          <w:sz w:val="20"/>
          <w:szCs w:val="20"/>
          <w:color w:val="auto"/>
        </w:rPr>
      </w:pPr>
    </w:p>
    <w:p>
      <w:pPr>
        <w:ind w:right="40" w:firstLine="297"/>
        <w:spacing w:after="0" w:line="282" w:lineRule="auto"/>
        <w:rPr>
          <w:sz w:val="20"/>
          <w:szCs w:val="20"/>
          <w:color w:val="auto"/>
        </w:rPr>
      </w:pPr>
      <w:r>
        <w:rPr>
          <w:rFonts w:ascii="Arial" w:cs="Arial" w:eastAsia="Arial" w:hAnsi="Arial"/>
          <w:sz w:val="15"/>
          <w:szCs w:val="15"/>
          <w:color w:val="auto"/>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61" w:lineRule="exact"/>
        <w:rPr>
          <w:sz w:val="20"/>
          <w:szCs w:val="20"/>
          <w:color w:val="auto"/>
        </w:rPr>
      </w:pPr>
    </w:p>
    <w:p>
      <w:pPr>
        <w:ind w:right="80" w:firstLine="297"/>
        <w:spacing w:after="0" w:line="283" w:lineRule="auto"/>
        <w:rPr>
          <w:sz w:val="20"/>
          <w:szCs w:val="20"/>
          <w:color w:val="auto"/>
        </w:rPr>
      </w:pPr>
      <w:r>
        <w:rPr>
          <w:rFonts w:ascii="Arial" w:cs="Arial" w:eastAsia="Arial" w:hAnsi="Arial"/>
          <w:sz w:val="15"/>
          <w:szCs w:val="15"/>
          <w:color w:val="auto"/>
        </w:rPr>
        <w:t>In addition, as we expand our service network and scale the manufacturing of our vehicles and any future energy storage products, we will need to store lithium-ion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Cybersecurity and Data Privacy</w:t>
      </w:r>
    </w:p>
    <w:p>
      <w:pPr>
        <w:spacing w:after="0" w:line="216" w:lineRule="exact"/>
        <w:rPr>
          <w:sz w:val="20"/>
          <w:szCs w:val="20"/>
          <w:color w:val="auto"/>
        </w:rPr>
      </w:pPr>
    </w:p>
    <w:p>
      <w:pPr>
        <w:ind w:right="720"/>
        <w:spacing w:after="0" w:line="366" w:lineRule="auto"/>
        <w:rPr>
          <w:sz w:val="20"/>
          <w:szCs w:val="20"/>
          <w:color w:val="auto"/>
        </w:rPr>
      </w:pPr>
      <w:r>
        <w:rPr>
          <w:rFonts w:ascii="Arial" w:cs="Arial" w:eastAsia="Arial" w:hAnsi="Arial"/>
          <w:sz w:val="14"/>
          <w:szCs w:val="14"/>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03" w:lineRule="exact"/>
        <w:rPr>
          <w:sz w:val="20"/>
          <w:szCs w:val="20"/>
          <w:color w:val="auto"/>
        </w:rPr>
      </w:pPr>
    </w:p>
    <w:p>
      <w:pPr>
        <w:ind w:right="120" w:firstLine="297"/>
        <w:spacing w:after="0" w:line="290" w:lineRule="auto"/>
        <w:rPr>
          <w:sz w:val="20"/>
          <w:szCs w:val="20"/>
          <w:color w:val="auto"/>
        </w:rPr>
      </w:pPr>
      <w:r>
        <w:rPr>
          <w:rFonts w:ascii="Arial" w:cs="Arial" w:eastAsia="Arial" w:hAnsi="Arial"/>
          <w:sz w:val="16"/>
          <w:szCs w:val="16"/>
          <w:color w:val="auto"/>
        </w:rPr>
        <w:t>Our products contain complex information technology systems. For example, our vehicles are designed with built-in data connectivity to accept and install periodic remote updates to improve their functionality.</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66" w:name="page67"/>
    <w:bookmarkEnd w:id="66"/>
    <w:p>
      <w:pPr>
        <w:ind w:right="20" w:firstLine="297"/>
        <w:spacing w:after="0" w:line="264" w:lineRule="auto"/>
        <w:rPr>
          <w:sz w:val="20"/>
          <w:szCs w:val="20"/>
          <w:color w:val="auto"/>
        </w:rPr>
      </w:pPr>
      <w:r>
        <w:rPr>
          <w:rFonts w:ascii="Arial" w:cs="Arial" w:eastAsia="Arial" w:hAnsi="Arial"/>
          <w:sz w:val="16"/>
          <w:szCs w:val="16"/>
          <w:color w:val="auto"/>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72" w:lineRule="exact"/>
        <w:rPr>
          <w:sz w:val="20"/>
          <w:szCs w:val="20"/>
          <w:color w:val="auto"/>
        </w:rPr>
      </w:pPr>
    </w:p>
    <w:p>
      <w:pPr>
        <w:ind w:right="40" w:firstLine="297"/>
        <w:spacing w:after="0" w:line="279" w:lineRule="auto"/>
        <w:rPr>
          <w:sz w:val="20"/>
          <w:szCs w:val="20"/>
          <w:color w:val="auto"/>
        </w:rPr>
      </w:pPr>
      <w:r>
        <w:rPr>
          <w:rFonts w:ascii="Arial" w:cs="Arial" w:eastAsia="Arial" w:hAnsi="Arial"/>
          <w:sz w:val="15"/>
          <w:szCs w:val="15"/>
          <w:color w:val="auto"/>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our vehicle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63" w:lineRule="exact"/>
        <w:rPr>
          <w:sz w:val="20"/>
          <w:szCs w:val="20"/>
          <w:color w:val="auto"/>
        </w:rPr>
      </w:pPr>
    </w:p>
    <w:p>
      <w:pPr>
        <w:ind w:right="100" w:firstLine="297"/>
        <w:spacing w:after="0" w:line="309" w:lineRule="auto"/>
        <w:rPr>
          <w:sz w:val="20"/>
          <w:szCs w:val="20"/>
          <w:color w:val="auto"/>
        </w:rPr>
      </w:pPr>
      <w:r>
        <w:rPr>
          <w:rFonts w:ascii="Arial" w:cs="Arial" w:eastAsia="Arial" w:hAnsi="Arial"/>
          <w:sz w:val="14"/>
          <w:szCs w:val="14"/>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our proprietary software codes), products, and systems, causing data breach, or disruption, modification, destruction to our systems and applications. As a result, we may suffer monetary losses, business interruption, and long-lasting operational issues, damage to our reputation and brand, loss of our intellectual property or trade secrets.</w:t>
      </w:r>
    </w:p>
    <w:p>
      <w:pPr>
        <w:spacing w:after="0" w:line="142"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w:t>
      </w:r>
      <w:r>
        <w:rPr>
          <w:rFonts w:ascii="Arial" w:cs="Arial" w:eastAsia="Arial" w:hAnsi="Arial"/>
          <w:sz w:val="15"/>
          <w:szCs w:val="15"/>
          <w:i w:val="1"/>
          <w:iCs w:val="1"/>
          <w:color w:val="auto"/>
        </w:rPr>
        <w:t>NHTSA</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have recently focused attention on automotive cybersecurity issues and may in the future propose or implement regulations specific to automotive cybersecurity. In addition, the United Nations Economic Commission for Europe (</w:t>
      </w:r>
      <w:r>
        <w:rPr>
          <w:rFonts w:ascii="Arial" w:cs="Arial" w:eastAsia="Arial" w:hAnsi="Arial"/>
          <w:sz w:val="15"/>
          <w:szCs w:val="15"/>
          <w:i w:val="1"/>
          <w:iCs w:val="1"/>
          <w:color w:val="auto"/>
        </w:rPr>
        <w:t>“UNECE”</w:t>
      </w:r>
      <w:r>
        <w:rPr>
          <w:rFonts w:ascii="Arial" w:cs="Arial" w:eastAsia="Arial" w:hAnsi="Arial"/>
          <w:sz w:val="15"/>
          <w:szCs w:val="15"/>
          <w:color w:val="auto"/>
        </w:rPr>
        <w:t>) has introduced new regulations governing connected vehicle cybersecurity, which became effective in January 2021 and are expected to apply in the European Union to all new vehicle types beginning in July 2022 and to all existing architectures/new vehicles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61" w:lineRule="exact"/>
        <w:rPr>
          <w:sz w:val="20"/>
          <w:szCs w:val="20"/>
          <w:color w:val="auto"/>
        </w:rPr>
      </w:pPr>
    </w:p>
    <w:p>
      <w:pPr>
        <w:ind w:right="100" w:firstLine="297"/>
        <w:spacing w:after="0" w:line="269" w:lineRule="auto"/>
        <w:rPr>
          <w:sz w:val="20"/>
          <w:szCs w:val="20"/>
          <w:color w:val="auto"/>
        </w:rPr>
      </w:pPr>
      <w:r>
        <w:rPr>
          <w:rFonts w:ascii="Arial" w:cs="Arial" w:eastAsia="Arial" w:hAnsi="Arial"/>
          <w:sz w:val="16"/>
          <w:szCs w:val="16"/>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7" w:name="page68"/>
    <w:bookmarkEnd w:id="67"/>
    <w:p>
      <w:pPr>
        <w:ind w:right="40" w:firstLine="297"/>
        <w:spacing w:after="0" w:line="279" w:lineRule="auto"/>
        <w:rPr>
          <w:sz w:val="20"/>
          <w:szCs w:val="20"/>
          <w:color w:val="auto"/>
        </w:rPr>
      </w:pPr>
      <w:r>
        <w:rPr>
          <w:rFonts w:ascii="Arial" w:cs="Arial" w:eastAsia="Arial" w:hAnsi="Arial"/>
          <w:sz w:val="15"/>
          <w:szCs w:val="15"/>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66"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3" w:lineRule="exact"/>
        <w:rPr>
          <w:sz w:val="20"/>
          <w:szCs w:val="20"/>
          <w:color w:val="auto"/>
        </w:rPr>
      </w:pPr>
    </w:p>
    <w:p>
      <w:pPr>
        <w:ind w:right="120"/>
        <w:spacing w:after="0" w:line="366" w:lineRule="auto"/>
        <w:rPr>
          <w:sz w:val="20"/>
          <w:szCs w:val="20"/>
          <w:color w:val="auto"/>
        </w:rPr>
      </w:pPr>
      <w:r>
        <w:rPr>
          <w:rFonts w:ascii="Arial" w:cs="Arial" w:eastAsia="Arial" w:hAnsi="Arial"/>
          <w:sz w:val="14"/>
          <w:szCs w:val="14"/>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03" w:lineRule="exact"/>
        <w:rPr>
          <w:sz w:val="20"/>
          <w:szCs w:val="20"/>
          <w:color w:val="auto"/>
        </w:rPr>
      </w:pPr>
    </w:p>
    <w:p>
      <w:pPr>
        <w:ind w:right="120" w:firstLine="297"/>
        <w:spacing w:after="0" w:line="319" w:lineRule="auto"/>
        <w:rPr>
          <w:sz w:val="20"/>
          <w:szCs w:val="20"/>
          <w:color w:val="auto"/>
        </w:rPr>
      </w:pPr>
      <w:r>
        <w:rPr>
          <w:rFonts w:ascii="Arial" w:cs="Arial" w:eastAsia="Arial" w:hAnsi="Arial"/>
          <w:sz w:val="14"/>
          <w:szCs w:val="14"/>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34" w:lineRule="exact"/>
        <w:rPr>
          <w:sz w:val="20"/>
          <w:szCs w:val="20"/>
          <w:color w:val="auto"/>
        </w:rPr>
      </w:pPr>
    </w:p>
    <w:p>
      <w:pPr>
        <w:ind w:right="120" w:firstLine="297"/>
        <w:spacing w:after="0" w:line="288" w:lineRule="auto"/>
        <w:rPr>
          <w:sz w:val="20"/>
          <w:szCs w:val="20"/>
          <w:color w:val="auto"/>
        </w:rPr>
      </w:pPr>
      <w:r>
        <w:rPr>
          <w:rFonts w:ascii="Arial" w:cs="Arial" w:eastAsia="Arial" w:hAnsi="Arial"/>
          <w:sz w:val="15"/>
          <w:szCs w:val="15"/>
          <w:color w:val="auto"/>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53" w:lineRule="exact"/>
        <w:rPr>
          <w:sz w:val="20"/>
          <w:szCs w:val="20"/>
          <w:color w:val="auto"/>
        </w:rPr>
      </w:pPr>
    </w:p>
    <w:p>
      <w:pPr>
        <w:ind w:right="20" w:firstLine="297"/>
        <w:spacing w:after="0" w:line="281" w:lineRule="auto"/>
        <w:rPr>
          <w:sz w:val="20"/>
          <w:szCs w:val="20"/>
          <w:color w:val="auto"/>
        </w:rPr>
      </w:pPr>
      <w:r>
        <w:rPr>
          <w:rFonts w:ascii="Arial" w:cs="Arial" w:eastAsia="Arial" w:hAnsi="Arial"/>
          <w:sz w:val="15"/>
          <w:szCs w:val="15"/>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Arial" w:cs="Arial" w:eastAsia="Arial" w:hAnsi="Arial"/>
          <w:sz w:val="15"/>
          <w:szCs w:val="15"/>
          <w:i w:val="1"/>
          <w:iCs w:val="1"/>
          <w:color w:val="auto"/>
        </w:rPr>
        <w:t>GDPR</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which became effective in May 2018, California adopted the California Consumer Privacy Act of 2018 (“</w:t>
      </w:r>
      <w:r>
        <w:rPr>
          <w:rFonts w:ascii="Arial" w:cs="Arial" w:eastAsia="Arial" w:hAnsi="Arial"/>
          <w:sz w:val="15"/>
          <w:szCs w:val="15"/>
          <w:i w:val="1"/>
          <w:iCs w:val="1"/>
          <w:color w:val="auto"/>
        </w:rPr>
        <w:t>CCPA</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which became effective in January 2020, Canada adopted the Personal Information Protection and Electronic Documents Act (“</w:t>
      </w:r>
      <w:r>
        <w:rPr>
          <w:rFonts w:ascii="Arial" w:cs="Arial" w:eastAsia="Arial" w:hAnsi="Arial"/>
          <w:sz w:val="15"/>
          <w:szCs w:val="15"/>
          <w:i w:val="1"/>
          <w:iCs w:val="1"/>
          <w:color w:val="auto"/>
        </w:rPr>
        <w:t>PIPEDA</w:t>
      </w:r>
      <w:r>
        <w:rPr>
          <w:rFonts w:ascii="Arial" w:cs="Arial" w:eastAsia="Arial" w:hAnsi="Arial"/>
          <w:sz w:val="15"/>
          <w:szCs w:val="15"/>
          <w:color w:val="auto"/>
        </w:rPr>
        <w:t>”) and continues to amend the statute, the United Arab Emirates adopted the Data Protection Law (“</w:t>
      </w:r>
      <w:r>
        <w:rPr>
          <w:rFonts w:ascii="Arial" w:cs="Arial" w:eastAsia="Arial" w:hAnsi="Arial"/>
          <w:sz w:val="15"/>
          <w:szCs w:val="15"/>
          <w:i w:val="1"/>
          <w:iCs w:val="1"/>
          <w:color w:val="auto"/>
        </w:rPr>
        <w:t>DPL</w:t>
      </w:r>
      <w:r>
        <w:rPr>
          <w:rFonts w:ascii="Arial" w:cs="Arial" w:eastAsia="Arial" w:hAnsi="Arial"/>
          <w:sz w:val="15"/>
          <w:szCs w:val="15"/>
          <w:color w:val="auto"/>
        </w:rPr>
        <w:t>”), which became effective in January 2022, and the Kingdom of Saudi Arabia enacted the Personal Data Protection Law (“</w:t>
      </w:r>
      <w:r>
        <w:rPr>
          <w:rFonts w:ascii="Arial" w:cs="Arial" w:eastAsia="Arial" w:hAnsi="Arial"/>
          <w:sz w:val="15"/>
          <w:szCs w:val="15"/>
          <w:i w:val="1"/>
          <w:iCs w:val="1"/>
          <w:color w:val="auto"/>
        </w:rPr>
        <w:t>PDPL</w:t>
      </w:r>
      <w:r>
        <w:rPr>
          <w:rFonts w:ascii="Arial" w:cs="Arial" w:eastAsia="Arial" w:hAnsi="Arial"/>
          <w:sz w:val="15"/>
          <w:szCs w:val="15"/>
          <w:color w:val="auto"/>
        </w:rPr>
        <w:t>”) which will take effect in March 2023.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8" w:name="page69"/>
    <w:bookmarkEnd w:id="68"/>
    <w:p>
      <w:pPr>
        <w:ind w:firstLine="297"/>
        <w:spacing w:after="0" w:line="285" w:lineRule="auto"/>
        <w:rPr>
          <w:sz w:val="20"/>
          <w:szCs w:val="20"/>
          <w:color w:val="auto"/>
        </w:rPr>
      </w:pPr>
      <w:r>
        <w:rPr>
          <w:rFonts w:ascii="Arial" w:cs="Arial" w:eastAsia="Arial" w:hAnsi="Arial"/>
          <w:sz w:val="15"/>
          <w:szCs w:val="15"/>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Arial" w:cs="Arial" w:eastAsia="Arial" w:hAnsi="Arial"/>
          <w:sz w:val="15"/>
          <w:szCs w:val="15"/>
          <w:i w:val="1"/>
          <w:iCs w:val="1"/>
          <w:color w:val="auto"/>
        </w:rPr>
        <w:t>EEA</w:t>
      </w:r>
      <w:r>
        <w:rPr>
          <w:rFonts w:ascii="Arial" w:cs="Arial" w:eastAsia="Arial" w:hAnsi="Arial"/>
          <w:sz w:val="15"/>
          <w:szCs w:val="15"/>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57" w:lineRule="exact"/>
        <w:rPr>
          <w:sz w:val="20"/>
          <w:szCs w:val="20"/>
          <w:color w:val="auto"/>
        </w:rPr>
      </w:pPr>
    </w:p>
    <w:p>
      <w:pPr>
        <w:ind w:right="120" w:firstLine="297"/>
        <w:spacing w:after="0" w:line="281" w:lineRule="auto"/>
        <w:rPr>
          <w:sz w:val="20"/>
          <w:szCs w:val="20"/>
          <w:color w:val="auto"/>
        </w:rPr>
      </w:pPr>
      <w:r>
        <w:rPr>
          <w:rFonts w:ascii="Arial" w:cs="Arial" w:eastAsia="Arial" w:hAnsi="Arial"/>
          <w:sz w:val="15"/>
          <w:szCs w:val="15"/>
          <w:color w:val="auto"/>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Arial" w:cs="Arial" w:eastAsia="Arial" w:hAnsi="Arial"/>
          <w:sz w:val="15"/>
          <w:szCs w:val="15"/>
          <w:i w:val="1"/>
          <w:iCs w:val="1"/>
          <w:color w:val="auto"/>
        </w:rPr>
        <w:t>CPRA</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will significantly modify the CCPA, including by expanding California residents’ rights with respect to certain sensitive personal information. The CPRA also creates a new state agency, the California Privacy Protection Agency (“</w:t>
      </w:r>
      <w:r>
        <w:rPr>
          <w:rFonts w:ascii="Arial" w:cs="Arial" w:eastAsia="Arial" w:hAnsi="Arial"/>
          <w:sz w:val="15"/>
          <w:szCs w:val="15"/>
          <w:i w:val="1"/>
          <w:iCs w:val="1"/>
          <w:color w:val="auto"/>
        </w:rPr>
        <w:t>CPPA</w:t>
      </w:r>
      <w:r>
        <w:rPr>
          <w:rFonts w:ascii="Arial" w:cs="Arial" w:eastAsia="Arial" w:hAnsi="Arial"/>
          <w:sz w:val="15"/>
          <w:szCs w:val="15"/>
          <w:color w:val="auto"/>
        </w:rPr>
        <w:t>”), that will be vested with the authority to implement and enforce the CCPA and the CPRA. The CPPA has recently published draft regulations under the CCPA and CPRA that, if enacted, would impose additional regulatory obligations on us.</w:t>
      </w:r>
    </w:p>
    <w:p>
      <w:pPr>
        <w:spacing w:after="0" w:line="163"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auto"/>
        </w:rPr>
        <w:t>Other states, including Connecticut, Utah,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spacing w:after="0" w:line="169"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62" w:lineRule="exact"/>
        <w:rPr>
          <w:sz w:val="20"/>
          <w:szCs w:val="20"/>
          <w:color w:val="auto"/>
        </w:rPr>
      </w:pPr>
    </w:p>
    <w:p>
      <w:pPr>
        <w:ind w:right="20" w:firstLine="297"/>
        <w:spacing w:after="0" w:line="263" w:lineRule="auto"/>
        <w:rPr>
          <w:sz w:val="20"/>
          <w:szCs w:val="20"/>
          <w:color w:val="auto"/>
        </w:rPr>
      </w:pPr>
      <w:r>
        <w:rPr>
          <w:rFonts w:ascii="Arial" w:cs="Arial" w:eastAsia="Arial" w:hAnsi="Arial"/>
          <w:sz w:val="16"/>
          <w:szCs w:val="16"/>
          <w:color w:val="auto"/>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3" w:lineRule="exact"/>
        <w:rPr>
          <w:sz w:val="20"/>
          <w:szCs w:val="20"/>
          <w:color w:val="auto"/>
        </w:rPr>
      </w:pPr>
    </w:p>
    <w:p>
      <w:pPr>
        <w:ind w:right="80" w:firstLine="297"/>
        <w:spacing w:after="0" w:line="263"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Risks Related to Our Employees and Human Resources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key personnel or an inability to attract, retain and motivate qualified personnel may impair our ability to expand our business.</w:t>
      </w:r>
    </w:p>
    <w:p>
      <w:pPr>
        <w:spacing w:after="0" w:line="212"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sufficient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recent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dependent on the services of Peter Rawlinson, our Chief Executive Officer and Chief Technology Officer.</w:t>
      </w:r>
    </w:p>
    <w:p>
      <w:pPr>
        <w:spacing w:after="0" w:line="212" w:lineRule="exact"/>
        <w:rPr>
          <w:sz w:val="20"/>
          <w:szCs w:val="20"/>
          <w:color w:val="auto"/>
        </w:rPr>
      </w:pPr>
    </w:p>
    <w:p>
      <w:pPr>
        <w:ind w:right="120" w:firstLine="297"/>
        <w:spacing w:after="0" w:line="274" w:lineRule="auto"/>
        <w:rPr>
          <w:sz w:val="20"/>
          <w:szCs w:val="20"/>
          <w:color w:val="auto"/>
        </w:rPr>
      </w:pPr>
      <w:r>
        <w:rPr>
          <w:rFonts w:ascii="Arial" w:cs="Arial" w:eastAsia="Arial" w:hAnsi="Arial"/>
          <w:sz w:val="16"/>
          <w:szCs w:val="16"/>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49"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salary and hourly workforce.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adhere to such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59" w:lineRule="exact"/>
        <w:rPr>
          <w:sz w:val="20"/>
          <w:szCs w:val="20"/>
          <w:color w:val="auto"/>
        </w:rPr>
      </w:pPr>
    </w:p>
    <w:p>
      <w:pPr>
        <w:ind w:right="20" w:firstLine="297"/>
        <w:spacing w:after="0" w:line="262" w:lineRule="auto"/>
        <w:rPr>
          <w:sz w:val="20"/>
          <w:szCs w:val="20"/>
          <w:color w:val="auto"/>
        </w:rPr>
      </w:pPr>
      <w:r>
        <w:rPr>
          <w:rFonts w:ascii="Arial" w:cs="Arial" w:eastAsia="Arial" w:hAnsi="Arial"/>
          <w:sz w:val="16"/>
          <w:szCs w:val="16"/>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0" w:name="page71"/>
    <w:bookmarkEnd w:id="70"/>
    <w:p>
      <w:pPr>
        <w:ind w:right="320"/>
        <w:spacing w:after="0" w:line="290" w:lineRule="auto"/>
        <w:rPr>
          <w:sz w:val="20"/>
          <w:szCs w:val="20"/>
          <w:color w:val="auto"/>
        </w:rPr>
      </w:pPr>
      <w:r>
        <w:rPr>
          <w:rFonts w:ascii="Arial" w:cs="Arial" w:eastAsia="Arial" w:hAnsi="Arial"/>
          <w:sz w:val="16"/>
          <w:szCs w:val="16"/>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49" w:lineRule="exact"/>
        <w:rPr>
          <w:sz w:val="20"/>
          <w:szCs w:val="20"/>
          <w:color w:val="auto"/>
        </w:rPr>
      </w:pPr>
    </w:p>
    <w:p>
      <w:pPr>
        <w:ind w:firstLine="297"/>
        <w:spacing w:after="0" w:line="285" w:lineRule="auto"/>
        <w:rPr>
          <w:sz w:val="20"/>
          <w:szCs w:val="20"/>
          <w:color w:val="auto"/>
        </w:rPr>
      </w:pPr>
      <w:r>
        <w:rPr>
          <w:rFonts w:ascii="Arial" w:cs="Arial" w:eastAsia="Arial" w:hAnsi="Arial"/>
          <w:sz w:val="15"/>
          <w:szCs w:val="15"/>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57" w:lineRule="exact"/>
        <w:rPr>
          <w:sz w:val="20"/>
          <w:szCs w:val="20"/>
          <w:color w:val="auto"/>
        </w:rPr>
      </w:pPr>
    </w:p>
    <w:p>
      <w:pPr>
        <w:ind w:right="40" w:firstLine="297"/>
        <w:spacing w:after="0" w:line="269" w:lineRule="auto"/>
        <w:rPr>
          <w:sz w:val="20"/>
          <w:szCs w:val="20"/>
          <w:color w:val="auto"/>
        </w:rPr>
      </w:pPr>
      <w:r>
        <w:rPr>
          <w:rFonts w:ascii="Arial" w:cs="Arial" w:eastAsia="Arial" w:hAnsi="Arial"/>
          <w:sz w:val="16"/>
          <w:szCs w:val="16"/>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65" w:lineRule="exact"/>
        <w:rPr>
          <w:sz w:val="20"/>
          <w:szCs w:val="20"/>
          <w:color w:val="auto"/>
        </w:rPr>
      </w:pPr>
    </w:p>
    <w:p>
      <w:pPr>
        <w:ind w:right="140" w:firstLine="297"/>
        <w:spacing w:after="0" w:line="261"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Litigation and Regulation</w:t>
      </w:r>
    </w:p>
    <w:p>
      <w:pPr>
        <w:spacing w:after="0" w:line="216" w:lineRule="exact"/>
        <w:rPr>
          <w:sz w:val="20"/>
          <w:szCs w:val="20"/>
          <w:color w:val="auto"/>
        </w:rPr>
      </w:pPr>
    </w:p>
    <w:p>
      <w:pPr>
        <w:ind w:right="220"/>
        <w:spacing w:after="0" w:line="366" w:lineRule="auto"/>
        <w:rPr>
          <w:sz w:val="20"/>
          <w:szCs w:val="20"/>
          <w:color w:val="auto"/>
        </w:rPr>
      </w:pPr>
      <w:r>
        <w:rPr>
          <w:rFonts w:ascii="Arial" w:cs="Arial" w:eastAsia="Arial" w:hAnsi="Arial"/>
          <w:sz w:val="14"/>
          <w:szCs w:val="14"/>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03" w:lineRule="exact"/>
        <w:rPr>
          <w:sz w:val="20"/>
          <w:szCs w:val="20"/>
          <w:color w:val="auto"/>
        </w:rPr>
      </w:pPr>
    </w:p>
    <w:p>
      <w:pPr>
        <w:ind w:right="60" w:firstLine="297"/>
        <w:spacing w:after="0" w:line="263"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71" w:name="page72"/>
    <w:bookmarkEnd w:id="71"/>
    <w:p>
      <w:pPr>
        <w:ind w:firstLine="297"/>
        <w:spacing w:after="0" w:line="280" w:lineRule="auto"/>
        <w:rPr>
          <w:sz w:val="20"/>
          <w:szCs w:val="20"/>
          <w:color w:val="auto"/>
        </w:rPr>
      </w:pPr>
      <w:r>
        <w:rPr>
          <w:rFonts w:ascii="Arial" w:cs="Arial" w:eastAsia="Arial" w:hAnsi="Arial"/>
          <w:sz w:val="15"/>
          <w:szCs w:val="15"/>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59" w:lineRule="exact"/>
        <w:rPr>
          <w:sz w:val="20"/>
          <w:szCs w:val="20"/>
          <w:color w:val="auto"/>
        </w:rPr>
      </w:pPr>
    </w:p>
    <w:p>
      <w:pPr>
        <w:ind w:right="80" w:firstLine="297"/>
        <w:spacing w:after="0" w:line="283" w:lineRule="auto"/>
        <w:rPr>
          <w:sz w:val="20"/>
          <w:szCs w:val="20"/>
          <w:color w:val="auto"/>
        </w:rPr>
      </w:pPr>
      <w:r>
        <w:rPr>
          <w:rFonts w:ascii="Arial" w:cs="Arial" w:eastAsia="Arial" w:hAnsi="Arial"/>
          <w:sz w:val="15"/>
          <w:szCs w:val="15"/>
          <w:color w:val="231F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12"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75" w:lineRule="exact"/>
        <w:rPr>
          <w:sz w:val="20"/>
          <w:szCs w:val="20"/>
          <w:color w:val="auto"/>
        </w:rPr>
      </w:pPr>
    </w:p>
    <w:p>
      <w:pPr>
        <w:ind w:right="120" w:firstLine="297"/>
        <w:spacing w:after="0" w:line="282" w:lineRule="auto"/>
        <w:rPr>
          <w:sz w:val="20"/>
          <w:szCs w:val="20"/>
          <w:color w:val="auto"/>
        </w:rPr>
      </w:pPr>
      <w:r>
        <w:rPr>
          <w:rFonts w:ascii="Arial" w:cs="Arial" w:eastAsia="Arial" w:hAnsi="Arial"/>
          <w:sz w:val="15"/>
          <w:szCs w:val="15"/>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72" w:name="page73"/>
    <w:bookmarkEnd w:id="72"/>
    <w:p>
      <w:pPr>
        <w:ind w:right="480"/>
        <w:spacing w:after="0" w:line="290" w:lineRule="auto"/>
        <w:rPr>
          <w:sz w:val="20"/>
          <w:szCs w:val="20"/>
          <w:color w:val="auto"/>
        </w:rPr>
      </w:pPr>
      <w:r>
        <w:rPr>
          <w:rFonts w:ascii="Arial" w:cs="Arial" w:eastAsia="Arial" w:hAnsi="Arial"/>
          <w:sz w:val="16"/>
          <w:szCs w:val="16"/>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49" w:lineRule="exact"/>
        <w:rPr>
          <w:sz w:val="20"/>
          <w:szCs w:val="20"/>
          <w:color w:val="auto"/>
        </w:rPr>
      </w:pPr>
    </w:p>
    <w:p>
      <w:pPr>
        <w:ind w:right="100" w:firstLine="297"/>
        <w:spacing w:after="0" w:line="281" w:lineRule="auto"/>
        <w:rPr>
          <w:sz w:val="20"/>
          <w:szCs w:val="20"/>
          <w:color w:val="auto"/>
        </w:rPr>
      </w:pPr>
      <w:r>
        <w:rPr>
          <w:rFonts w:ascii="Arial" w:cs="Arial" w:eastAsia="Arial" w:hAnsi="Arial"/>
          <w:sz w:val="15"/>
          <w:szCs w:val="15"/>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and in May 2022 we recalled certain vehicles due to a potential issue regarding the wiring harness connected to in-vehicle displays.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63" w:lineRule="exact"/>
        <w:rPr>
          <w:sz w:val="20"/>
          <w:szCs w:val="20"/>
          <w:color w:val="auto"/>
        </w:rPr>
      </w:pPr>
    </w:p>
    <w:p>
      <w:pPr>
        <w:ind w:right="440"/>
        <w:spacing w:after="0" w:line="290" w:lineRule="auto"/>
        <w:rPr>
          <w:sz w:val="20"/>
          <w:szCs w:val="20"/>
          <w:color w:val="auto"/>
        </w:rPr>
      </w:pPr>
      <w:r>
        <w:rPr>
          <w:rFonts w:ascii="Arial" w:cs="Arial" w:eastAsia="Arial" w:hAnsi="Arial"/>
          <w:sz w:val="16"/>
          <w:szCs w:val="16"/>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49" w:lineRule="exact"/>
        <w:rPr>
          <w:sz w:val="20"/>
          <w:szCs w:val="20"/>
          <w:color w:val="auto"/>
        </w:rPr>
      </w:pPr>
    </w:p>
    <w:p>
      <w:pPr>
        <w:ind w:right="360" w:firstLine="297"/>
        <w:spacing w:after="0" w:line="292" w:lineRule="auto"/>
        <w:rPr>
          <w:sz w:val="20"/>
          <w:szCs w:val="20"/>
          <w:color w:val="auto"/>
        </w:rPr>
      </w:pPr>
      <w:r>
        <w:rPr>
          <w:rFonts w:ascii="Arial" w:cs="Arial" w:eastAsia="Arial" w:hAnsi="Arial"/>
          <w:sz w:val="15"/>
          <w:szCs w:val="15"/>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disability access, and employment matters.</w:t>
      </w:r>
    </w:p>
    <w:p>
      <w:pPr>
        <w:spacing w:after="0" w:line="151" w:lineRule="exact"/>
        <w:rPr>
          <w:sz w:val="20"/>
          <w:szCs w:val="20"/>
          <w:color w:val="auto"/>
        </w:rPr>
      </w:pPr>
    </w:p>
    <w:p>
      <w:pPr>
        <w:ind w:right="40" w:firstLine="297"/>
        <w:spacing w:after="0" w:line="280" w:lineRule="auto"/>
        <w:rPr>
          <w:sz w:val="20"/>
          <w:szCs w:val="20"/>
          <w:color w:val="auto"/>
        </w:rPr>
      </w:pPr>
      <w:r>
        <w:rPr>
          <w:rFonts w:ascii="Arial" w:cs="Arial" w:eastAsia="Arial" w:hAnsi="Arial"/>
          <w:sz w:val="15"/>
          <w:szCs w:val="15"/>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59" w:lineRule="exact"/>
        <w:rPr>
          <w:sz w:val="20"/>
          <w:szCs w:val="20"/>
          <w:color w:val="auto"/>
        </w:rPr>
      </w:pPr>
    </w:p>
    <w:p>
      <w:pPr>
        <w:jc w:val="both"/>
        <w:ind w:right="40" w:firstLine="297"/>
        <w:spacing w:after="0" w:line="274" w:lineRule="auto"/>
        <w:rPr>
          <w:sz w:val="20"/>
          <w:szCs w:val="20"/>
          <w:color w:val="auto"/>
        </w:rPr>
      </w:pPr>
      <w:r>
        <w:rPr>
          <w:rFonts w:ascii="Arial" w:cs="Arial" w:eastAsia="Arial" w:hAnsi="Arial"/>
          <w:sz w:val="16"/>
          <w:szCs w:val="16"/>
          <w:color w:val="231F20"/>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162" w:lineRule="exact"/>
        <w:rPr>
          <w:sz w:val="20"/>
          <w:szCs w:val="20"/>
          <w:color w:val="auto"/>
        </w:rPr>
      </w:pPr>
    </w:p>
    <w:p>
      <w:pPr>
        <w:ind w:firstLine="297"/>
        <w:spacing w:after="0" w:line="281" w:lineRule="auto"/>
        <w:rPr>
          <w:sz w:val="20"/>
          <w:szCs w:val="20"/>
          <w:color w:val="auto"/>
        </w:rPr>
      </w:pPr>
      <w:r>
        <w:rPr>
          <w:rFonts w:ascii="Arial" w:cs="Arial" w:eastAsia="Arial" w:hAnsi="Arial"/>
          <w:sz w:val="15"/>
          <w:szCs w:val="15"/>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3" w:name="page74"/>
    <w:bookmarkEnd w:id="73"/>
    <w:p>
      <w:pPr>
        <w:ind w:right="100" w:firstLine="297"/>
        <w:spacing w:after="0" w:line="280" w:lineRule="auto"/>
        <w:rPr>
          <w:sz w:val="20"/>
          <w:szCs w:val="20"/>
          <w:color w:val="auto"/>
        </w:rPr>
      </w:pPr>
      <w:r>
        <w:rPr>
          <w:rFonts w:ascii="Arial" w:cs="Arial" w:eastAsia="Arial" w:hAnsi="Arial"/>
          <w:sz w:val="15"/>
          <w:szCs w:val="15"/>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5"/>
          <w:szCs w:val="15"/>
          <w:i w:val="1"/>
          <w:iCs w:val="1"/>
          <w:color w:val="auto"/>
        </w:rPr>
        <w:t>Victor W. Mangino v. Lucid Group, Inc., et al.</w:t>
      </w:r>
      <w:r>
        <w:rPr>
          <w:rFonts w:ascii="Arial" w:cs="Arial" w:eastAsia="Arial" w:hAnsi="Arial"/>
          <w:sz w:val="15"/>
          <w:szCs w:val="15"/>
          <w:color w:val="auto"/>
        </w:rPr>
        <w:t xml:space="preserve">, Case No. 3:22-cv-02094-JD, and </w:t>
      </w:r>
      <w:r>
        <w:rPr>
          <w:rFonts w:ascii="Arial" w:cs="Arial" w:eastAsia="Arial" w:hAnsi="Arial"/>
          <w:sz w:val="15"/>
          <w:szCs w:val="15"/>
          <w:i w:val="1"/>
          <w:iCs w:val="1"/>
          <w:color w:val="auto"/>
        </w:rPr>
        <w:t>Anant Goel v. Lucid</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Group, Inc., et al.</w:t>
      </w:r>
      <w:r>
        <w:rPr>
          <w:rFonts w:ascii="Arial" w:cs="Arial" w:eastAsia="Arial" w:hAnsi="Arial"/>
          <w:sz w:val="16"/>
          <w:szCs w:val="16"/>
          <w:color w:val="auto"/>
        </w:rPr>
        <w:t>, Case No. 3:22-cv-03176-JD. The complaints name as defendants Lucid Group, Inc. and the Company’s chief executive officer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3"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6"/>
          <w:szCs w:val="16"/>
          <w:i w:val="1"/>
          <w:iCs w:val="1"/>
          <w:color w:val="auto"/>
        </w:rPr>
        <w:t>Floyd Taylor v. Glenn August, et al.</w:t>
      </w:r>
      <w:r>
        <w:rPr>
          <w:rFonts w:ascii="Arial" w:cs="Arial" w:eastAsia="Arial" w:hAnsi="Arial"/>
          <w:sz w:val="16"/>
          <w:szCs w:val="16"/>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6"/>
          <w:szCs w:val="16"/>
          <w:i w:val="1"/>
          <w:iCs w:val="1"/>
          <w:color w:val="auto"/>
        </w:rPr>
        <w:t>Mangino</w:t>
      </w:r>
      <w:r>
        <w:rPr>
          <w:rFonts w:ascii="Arial" w:cs="Arial" w:eastAsia="Arial" w:hAnsi="Arial"/>
          <w:sz w:val="16"/>
          <w:szCs w:val="16"/>
          <w:color w:val="auto"/>
        </w:rPr>
        <w:t xml:space="preserve"> and </w:t>
      </w:r>
      <w:r>
        <w:rPr>
          <w:rFonts w:ascii="Arial" w:cs="Arial" w:eastAsia="Arial" w:hAnsi="Arial"/>
          <w:sz w:val="16"/>
          <w:szCs w:val="16"/>
          <w:i w:val="1"/>
          <w:iCs w:val="1"/>
          <w:color w:val="auto"/>
        </w:rPr>
        <w:t>Goel</w:t>
      </w:r>
      <w:r>
        <w:rPr>
          <w:rFonts w:ascii="Arial" w:cs="Arial" w:eastAsia="Arial" w:hAnsi="Arial"/>
          <w:sz w:val="16"/>
          <w:szCs w:val="16"/>
          <w:color w:val="auto"/>
        </w:rPr>
        <w:t xml:space="preserve"> actions, the </w:t>
      </w:r>
      <w:r>
        <w:rPr>
          <w:rFonts w:ascii="Arial" w:cs="Arial" w:eastAsia="Arial" w:hAnsi="Arial"/>
          <w:sz w:val="16"/>
          <w:szCs w:val="16"/>
          <w:i w:val="1"/>
          <w:iCs w:val="1"/>
          <w:color w:val="auto"/>
        </w:rPr>
        <w:t>Taylor</w:t>
      </w:r>
      <w:r>
        <w:rPr>
          <w:rFonts w:ascii="Arial" w:cs="Arial" w:eastAsia="Arial" w:hAnsi="Arial"/>
          <w:sz w:val="16"/>
          <w:szCs w:val="16"/>
          <w:color w:val="auto"/>
        </w:rPr>
        <w:t xml:space="preserve"> complaint asserts claims for breach of fiduciary duty, unjust enrichment, waste of corporate assets and aiding and abetting breach of fiduciary duty. The complaint seek compensatory damages, punitive damages, interest, and attorneys’ fees and expenses. To the Company’s understanding, the matter has not been served on any defendant to date.</w:t>
      </w:r>
    </w:p>
    <w:p>
      <w:pPr>
        <w:spacing w:after="0" w:line="172" w:lineRule="exact"/>
        <w:rPr>
          <w:sz w:val="20"/>
          <w:szCs w:val="20"/>
          <w:color w:val="auto"/>
        </w:rPr>
      </w:pPr>
    </w:p>
    <w:p>
      <w:pPr>
        <w:ind w:right="120" w:firstLine="297"/>
        <w:spacing w:after="0" w:line="292" w:lineRule="auto"/>
        <w:rPr>
          <w:sz w:val="20"/>
          <w:szCs w:val="20"/>
          <w:color w:val="auto"/>
        </w:rPr>
      </w:pPr>
      <w:r>
        <w:rPr>
          <w:rFonts w:ascii="Arial" w:cs="Arial" w:eastAsia="Arial" w:hAnsi="Arial"/>
          <w:sz w:val="15"/>
          <w:szCs w:val="15"/>
          <w:color w:val="231F20"/>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51" w:lineRule="exact"/>
        <w:rPr>
          <w:sz w:val="20"/>
          <w:szCs w:val="20"/>
          <w:color w:val="auto"/>
        </w:rPr>
      </w:pPr>
    </w:p>
    <w:p>
      <w:pPr>
        <w:ind w:right="20" w:firstLine="297"/>
        <w:spacing w:after="0" w:line="288" w:lineRule="auto"/>
        <w:rPr>
          <w:sz w:val="20"/>
          <w:szCs w:val="20"/>
          <w:color w:val="auto"/>
        </w:rPr>
      </w:pPr>
      <w:r>
        <w:rPr>
          <w:rFonts w:ascii="Arial" w:cs="Arial" w:eastAsia="Arial" w:hAnsi="Arial"/>
          <w:sz w:val="15"/>
          <w:szCs w:val="15"/>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5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231F20"/>
        </w:rPr>
        <w:t>We may become subject to product liability claims, which could harm our financial condition and liquidity if we are not able to successfully defend or insure against such claims.</w:t>
      </w:r>
    </w:p>
    <w:p>
      <w:pPr>
        <w:spacing w:after="0" w:line="149" w:lineRule="exact"/>
        <w:rPr>
          <w:sz w:val="20"/>
          <w:szCs w:val="20"/>
          <w:color w:val="auto"/>
        </w:rPr>
      </w:pPr>
    </w:p>
    <w:p>
      <w:pPr>
        <w:ind w:right="40" w:firstLine="297"/>
        <w:spacing w:after="0" w:line="279" w:lineRule="auto"/>
        <w:rPr>
          <w:sz w:val="20"/>
          <w:szCs w:val="20"/>
          <w:color w:val="auto"/>
        </w:rPr>
      </w:pPr>
      <w:r>
        <w:rPr>
          <w:rFonts w:ascii="Arial" w:cs="Arial" w:eastAsia="Arial" w:hAnsi="Arial"/>
          <w:sz w:val="15"/>
          <w:szCs w:val="15"/>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5"/>
          <w:szCs w:val="15"/>
          <w:i w:val="1"/>
          <w:iCs w:val="1"/>
          <w:color w:val="231F20"/>
        </w:rPr>
        <w:t>ADAS</w:t>
      </w:r>
      <w:r>
        <w:rPr>
          <w:rFonts w:ascii="Arial" w:cs="Arial" w:eastAsia="Arial" w:hAnsi="Arial"/>
          <w:sz w:val="15"/>
          <w:szCs w:val="15"/>
          <w:color w:val="231F20"/>
        </w:rPr>
        <w:t xml:space="preserve"> features in our vehicles. See “— Risks Related to Litigation and Regulation — </w:t>
      </w:r>
      <w:r>
        <w:rPr>
          <w:rFonts w:ascii="Arial" w:cs="Arial" w:eastAsia="Arial" w:hAnsi="Arial"/>
          <w:sz w:val="15"/>
          <w:szCs w:val="15"/>
          <w:i w:val="1"/>
          <w:iCs w:val="1"/>
          <w:color w:val="231F20"/>
        </w:rPr>
        <w:t>ADAS technology is subject to uncertain and evolving regulations</w:t>
      </w:r>
      <w:r>
        <w:rPr>
          <w:rFonts w:ascii="Arial" w:cs="Arial" w:eastAsia="Arial" w:hAnsi="Arial"/>
          <w:sz w:val="15"/>
          <w:szCs w:val="15"/>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66"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231F20"/>
        </w:rPr>
        <w:t>We may be exposed to delays, limitations and risks related to the environmental permits and other operating permits required to operate our manufacturing facilities.</w:t>
      </w:r>
    </w:p>
    <w:p>
      <w:pPr>
        <w:spacing w:after="0" w:line="235" w:lineRule="exact"/>
        <w:rPr>
          <w:sz w:val="20"/>
          <w:szCs w:val="20"/>
          <w:color w:val="auto"/>
        </w:rPr>
      </w:pPr>
    </w:p>
    <w:p>
      <w:pPr>
        <w:ind w:right="60" w:firstLine="297"/>
        <w:spacing w:after="0" w:line="262" w:lineRule="auto"/>
        <w:rPr>
          <w:sz w:val="20"/>
          <w:szCs w:val="20"/>
          <w:color w:val="auto"/>
        </w:rPr>
      </w:pPr>
      <w:r>
        <w:rPr>
          <w:rFonts w:ascii="Arial" w:cs="Arial" w:eastAsia="Arial" w:hAnsi="Arial"/>
          <w:sz w:val="16"/>
          <w:szCs w:val="16"/>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6"/>
          <w:szCs w:val="16"/>
          <w:i w:val="1"/>
          <w:iCs w:val="1"/>
          <w:color w:val="231F20"/>
        </w:rPr>
        <w:t>We have experienced and may in the future</w:t>
      </w:r>
      <w:r>
        <w:rPr>
          <w:rFonts w:ascii="Arial" w:cs="Arial" w:eastAsia="Arial" w:hAnsi="Arial"/>
          <w:sz w:val="16"/>
          <w:szCs w:val="16"/>
          <w:color w:val="231F20"/>
        </w:rPr>
        <w:t xml:space="preserve"> </w:t>
      </w:r>
      <w:r>
        <w:rPr>
          <w:rFonts w:ascii="Arial" w:cs="Arial" w:eastAsia="Arial" w:hAnsi="Arial"/>
          <w:sz w:val="16"/>
          <w:szCs w:val="16"/>
          <w:i w:val="1"/>
          <w:iCs w:val="1"/>
          <w:color w:val="231F20"/>
        </w:rPr>
        <w:t>experience significant delays in the design, manufacture, launch and financing of our vehicles, including the Lucid Air and Project Gravity, which could harm our business and prospects.</w:t>
      </w:r>
      <w:r>
        <w:rPr>
          <w:rFonts w:ascii="Arial" w:cs="Arial" w:eastAsia="Arial" w:hAnsi="Arial"/>
          <w:sz w:val="16"/>
          <w:szCs w:val="16"/>
          <w:color w:val="231F20"/>
        </w:rPr>
        <w:t>”</w:t>
      </w:r>
    </w:p>
    <w:p>
      <w:pPr>
        <w:spacing w:after="0" w:line="173" w:lineRule="exact"/>
        <w:rPr>
          <w:sz w:val="20"/>
          <w:szCs w:val="20"/>
          <w:color w:val="auto"/>
        </w:rPr>
      </w:pPr>
    </w:p>
    <w:p>
      <w:pPr>
        <w:ind w:right="600"/>
        <w:spacing w:after="0" w:line="290" w:lineRule="auto"/>
        <w:rPr>
          <w:sz w:val="20"/>
          <w:szCs w:val="20"/>
          <w:color w:val="auto"/>
        </w:rPr>
      </w:pPr>
      <w:r>
        <w:rPr>
          <w:rFonts w:ascii="Arial" w:cs="Arial" w:eastAsia="Arial" w:hAnsi="Arial"/>
          <w:sz w:val="16"/>
          <w:szCs w:val="16"/>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49"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73"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2"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ADAS technology is subject to uncertain and evolving regulations.</w:t>
      </w:r>
    </w:p>
    <w:p>
      <w:pPr>
        <w:spacing w:after="0" w:line="21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5" w:name="page76"/>
    <w:bookmarkEnd w:id="75"/>
    <w:p>
      <w:pPr>
        <w:ind w:right="280"/>
        <w:spacing w:after="0" w:line="290" w:lineRule="auto"/>
        <w:rPr>
          <w:sz w:val="20"/>
          <w:szCs w:val="20"/>
          <w:color w:val="auto"/>
        </w:rPr>
      </w:pPr>
      <w:r>
        <w:rPr>
          <w:rFonts w:ascii="Arial" w:cs="Arial" w:eastAsia="Arial" w:hAnsi="Arial"/>
          <w:sz w:val="16"/>
          <w:szCs w:val="16"/>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49" w:lineRule="exact"/>
        <w:rPr>
          <w:sz w:val="20"/>
          <w:szCs w:val="20"/>
          <w:color w:val="auto"/>
        </w:rPr>
      </w:pPr>
    </w:p>
    <w:p>
      <w:pPr>
        <w:ind w:firstLine="297"/>
        <w:spacing w:after="0" w:line="263" w:lineRule="auto"/>
        <w:rPr>
          <w:sz w:val="20"/>
          <w:szCs w:val="20"/>
          <w:color w:val="auto"/>
        </w:rPr>
      </w:pPr>
      <w:r>
        <w:rPr>
          <w:rFonts w:ascii="Arial" w:cs="Arial" w:eastAsia="Arial" w:hAnsi="Arial"/>
          <w:sz w:val="16"/>
          <w:szCs w:val="16"/>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12"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231F20"/>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3" w:lineRule="exact"/>
        <w:rPr>
          <w:sz w:val="20"/>
          <w:szCs w:val="20"/>
          <w:color w:val="auto"/>
        </w:rPr>
      </w:pPr>
    </w:p>
    <w:p>
      <w:pPr>
        <w:ind w:right="60" w:firstLine="297"/>
        <w:spacing w:after="0" w:line="264"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7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49"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231F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61" w:lineRule="exact"/>
        <w:rPr>
          <w:sz w:val="20"/>
          <w:szCs w:val="20"/>
          <w:color w:val="auto"/>
        </w:rPr>
      </w:pPr>
    </w:p>
    <w:p>
      <w:pPr>
        <w:ind w:firstLine="297"/>
        <w:spacing w:after="0" w:line="262" w:lineRule="auto"/>
        <w:rPr>
          <w:sz w:val="20"/>
          <w:szCs w:val="20"/>
          <w:color w:val="auto"/>
        </w:rPr>
      </w:pPr>
      <w:r>
        <w:rPr>
          <w:rFonts w:ascii="Arial" w:cs="Arial" w:eastAsia="Arial" w:hAnsi="Arial"/>
          <w:sz w:val="16"/>
          <w:szCs w:val="16"/>
          <w:color w:val="auto"/>
        </w:rPr>
        <w:t>In December, the United States adopted the Uyghur Forced Labor Prevention Act (“</w:t>
      </w:r>
      <w:r>
        <w:rPr>
          <w:rFonts w:ascii="Arial" w:cs="Arial" w:eastAsia="Arial" w:hAnsi="Arial"/>
          <w:sz w:val="16"/>
          <w:szCs w:val="16"/>
          <w:i w:val="1"/>
          <w:iCs w:val="1"/>
          <w:color w:val="auto"/>
        </w:rPr>
        <w:t>UFLPA</w:t>
      </w:r>
      <w:r>
        <w:rPr>
          <w:rFonts w:ascii="Arial" w:cs="Arial" w:eastAsia="Arial" w:hAnsi="Arial"/>
          <w:sz w:val="16"/>
          <w:szCs w:val="16"/>
          <w:color w:val="auto"/>
        </w:rPr>
        <w:t xml:space="preserve">”)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6"/>
          <w:szCs w:val="16"/>
          <w:color w:val="231F20"/>
        </w:rPr>
        <w:t>and could have an adverse effect on our</w:t>
      </w:r>
      <w:r>
        <w:rPr>
          <w:rFonts w:ascii="Arial" w:cs="Arial" w:eastAsia="Arial" w:hAnsi="Arial"/>
          <w:sz w:val="16"/>
          <w:szCs w:val="16"/>
          <w:color w:val="auto"/>
        </w:rPr>
        <w:t xml:space="preserve"> </w:t>
      </w:r>
      <w:r>
        <w:rPr>
          <w:rFonts w:ascii="Arial" w:cs="Arial" w:eastAsia="Arial" w:hAnsi="Arial"/>
          <w:sz w:val="16"/>
          <w:szCs w:val="16"/>
          <w:color w:val="231F20"/>
        </w:rPr>
        <w:t>business and results of operations</w:t>
      </w:r>
      <w:r>
        <w:rPr>
          <w:rFonts w:ascii="Arial" w:cs="Arial" w:eastAsia="Arial" w:hAnsi="Arial"/>
          <w:sz w:val="16"/>
          <w:szCs w:val="16"/>
          <w:color w:val="000000"/>
        </w:rPr>
        <w:t>.</w:t>
      </w:r>
    </w:p>
    <w:p>
      <w:pPr>
        <w:spacing w:after="0" w:line="173" w:lineRule="exact"/>
        <w:rPr>
          <w:sz w:val="20"/>
          <w:szCs w:val="20"/>
          <w:color w:val="auto"/>
        </w:rPr>
      </w:pPr>
    </w:p>
    <w:p>
      <w:pPr>
        <w:ind w:right="340" w:firstLine="297"/>
        <w:spacing w:after="0" w:line="274" w:lineRule="auto"/>
        <w:rPr>
          <w:sz w:val="20"/>
          <w:szCs w:val="20"/>
          <w:color w:val="auto"/>
        </w:rPr>
      </w:pPr>
      <w:r>
        <w:rPr>
          <w:rFonts w:ascii="Arial" w:cs="Arial" w:eastAsia="Arial" w:hAnsi="Arial"/>
          <w:sz w:val="16"/>
          <w:szCs w:val="16"/>
          <w:color w:val="auto"/>
        </w:rPr>
        <w:t>In early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6" w:name="page77"/>
    <w:bookmarkEnd w:id="76"/>
    <w:p>
      <w:pPr>
        <w:ind w:right="80" w:firstLine="297"/>
        <w:spacing w:after="0" w:line="283" w:lineRule="auto"/>
        <w:rPr>
          <w:sz w:val="20"/>
          <w:szCs w:val="20"/>
          <w:color w:val="auto"/>
        </w:rPr>
      </w:pPr>
      <w:r>
        <w:rPr>
          <w:rFonts w:ascii="Arial" w:cs="Arial" w:eastAsia="Arial" w:hAnsi="Arial"/>
          <w:sz w:val="15"/>
          <w:szCs w:val="15"/>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60" w:lineRule="exact"/>
        <w:rPr>
          <w:sz w:val="20"/>
          <w:szCs w:val="20"/>
          <w:color w:val="auto"/>
        </w:rPr>
      </w:pPr>
    </w:p>
    <w:p>
      <w:pPr>
        <w:ind w:right="60" w:firstLine="297"/>
        <w:spacing w:after="0" w:line="292" w:lineRule="auto"/>
        <w:rPr>
          <w:sz w:val="20"/>
          <w:szCs w:val="20"/>
          <w:color w:val="auto"/>
        </w:rPr>
      </w:pPr>
      <w:r>
        <w:rPr>
          <w:rFonts w:ascii="Arial" w:cs="Arial" w:eastAsia="Arial" w:hAnsi="Arial"/>
          <w:sz w:val="15"/>
          <w:szCs w:val="15"/>
          <w:color w:val="auto"/>
        </w:rPr>
        <w:t>In addition, the United States recently enacted federal legislation that revokes normal trade relations between Russia and Belarus. As a result of this and recent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A failure to properly comply with foreign trade zone laws and regulations could increase the cost of our duties and tariffs.</w:t>
      </w:r>
    </w:p>
    <w:p>
      <w:pPr>
        <w:spacing w:after="0" w:line="212" w:lineRule="exact"/>
        <w:rPr>
          <w:sz w:val="20"/>
          <w:szCs w:val="20"/>
          <w:color w:val="auto"/>
        </w:rPr>
      </w:pPr>
    </w:p>
    <w:p>
      <w:pPr>
        <w:ind w:right="40" w:firstLine="297"/>
        <w:spacing w:after="0" w:line="263"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Risks Related to Intellectual Property</w:t>
      </w:r>
    </w:p>
    <w:p>
      <w:pPr>
        <w:spacing w:after="0" w:line="216" w:lineRule="exact"/>
        <w:rPr>
          <w:sz w:val="20"/>
          <w:szCs w:val="20"/>
          <w:color w:val="auto"/>
        </w:rPr>
      </w:pPr>
    </w:p>
    <w:p>
      <w:pPr>
        <w:jc w:val="both"/>
        <w:ind w:right="140"/>
        <w:spacing w:after="0" w:line="274" w:lineRule="auto"/>
        <w:rPr>
          <w:sz w:val="20"/>
          <w:szCs w:val="20"/>
          <w:color w:val="auto"/>
        </w:rPr>
      </w:pPr>
      <w:r>
        <w:rPr>
          <w:rFonts w:ascii="Arial" w:cs="Arial" w:eastAsia="Arial" w:hAnsi="Arial"/>
          <w:sz w:val="16"/>
          <w:szCs w:val="16"/>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62" w:lineRule="exact"/>
        <w:rPr>
          <w:sz w:val="20"/>
          <w:szCs w:val="20"/>
          <w:color w:val="auto"/>
        </w:rPr>
      </w:pPr>
    </w:p>
    <w:p>
      <w:pPr>
        <w:ind w:right="140" w:firstLine="297"/>
        <w:spacing w:after="0" w:line="281" w:lineRule="auto"/>
        <w:rPr>
          <w:sz w:val="20"/>
          <w:szCs w:val="20"/>
          <w:color w:val="auto"/>
        </w:rPr>
      </w:pPr>
      <w:r>
        <w:rPr>
          <w:rFonts w:ascii="Arial" w:cs="Arial" w:eastAsia="Arial" w:hAnsi="Arial"/>
          <w:sz w:val="15"/>
          <w:szCs w:val="15"/>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63" w:lineRule="exact"/>
        <w:rPr>
          <w:sz w:val="20"/>
          <w:szCs w:val="20"/>
          <w:color w:val="auto"/>
        </w:rPr>
      </w:pPr>
    </w:p>
    <w:p>
      <w:pPr>
        <w:ind w:right="140" w:firstLine="297"/>
        <w:spacing w:after="0" w:line="290" w:lineRule="auto"/>
        <w:rPr>
          <w:sz w:val="20"/>
          <w:szCs w:val="20"/>
          <w:color w:val="auto"/>
        </w:rPr>
      </w:pPr>
      <w:r>
        <w:rPr>
          <w:rFonts w:ascii="Arial" w:cs="Arial" w:eastAsia="Arial" w:hAnsi="Arial"/>
          <w:sz w:val="16"/>
          <w:szCs w:val="16"/>
          <w:color w:val="231F20"/>
        </w:rPr>
        <w:t>The measures we take to obtain, maintain, protect and enforce our intellectual property, including preventing unauthorized use by third parties, may not be effective for various reasons, including the following:</w:t>
      </w:r>
    </w:p>
    <w:p>
      <w:pPr>
        <w:spacing w:after="0" w:line="149" w:lineRule="exact"/>
        <w:rPr>
          <w:sz w:val="20"/>
          <w:szCs w:val="20"/>
          <w:color w:val="auto"/>
        </w:rPr>
      </w:pPr>
    </w:p>
    <w:p>
      <w:pPr>
        <w:ind w:left="600" w:hanging="304"/>
        <w:spacing w:after="0"/>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any patent applications we file may not result in the issuance of patents;</w:t>
      </w:r>
    </w:p>
    <w:p>
      <w:pPr>
        <w:spacing w:after="0" w:line="212" w:lineRule="exact"/>
        <w:rPr>
          <w:rFonts w:ascii="Arial" w:cs="Arial" w:eastAsia="Arial" w:hAnsi="Arial"/>
          <w:sz w:val="16"/>
          <w:szCs w:val="16"/>
          <w:color w:val="231F20"/>
        </w:rPr>
      </w:pPr>
    </w:p>
    <w:p>
      <w:pPr>
        <w:ind w:left="600" w:hanging="304"/>
        <w:spacing w:after="0" w:line="290" w:lineRule="auto"/>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we may not be the first inventor of the subject matter to which we have filed a particular patent application, and we may not be the first party to file such a patent application;</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the scope of our issued patents may not be broad enough to protect our inventions and proprietary technology;</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our issued patents may be challenged or invalidated by our competitors or other third parties;</w:t>
      </w:r>
    </w:p>
    <w:p>
      <w:pPr>
        <w:spacing w:after="0" w:line="212" w:lineRule="exact"/>
        <w:rPr>
          <w:rFonts w:ascii="Arial" w:cs="Arial" w:eastAsia="Arial" w:hAnsi="Arial"/>
          <w:sz w:val="16"/>
          <w:szCs w:val="16"/>
          <w:color w:val="231F20"/>
        </w:rPr>
      </w:pPr>
    </w:p>
    <w:p>
      <w:pPr>
        <w:ind w:left="600" w:right="480" w:hanging="304"/>
        <w:spacing w:after="0" w:line="290" w:lineRule="auto"/>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patents have a finite term, and competitors and other third parties may offer identical or similar products after the expiration of our patents that cover such products;</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our employees, contractors or business partners may breach their confidentiality, non-disclosure and non-use obligations;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competitors and other third parties may independently develop technologies that are the same or similar to ours;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7" w:name="page78"/>
    <w:bookmarkEnd w:id="77"/>
    <w:p>
      <w:pPr>
        <w:ind w:left="600" w:right="160" w:hanging="304"/>
        <w:spacing w:after="0" w:line="290" w:lineRule="auto"/>
        <w:tabs>
          <w:tab w:leader="none" w:pos="60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the costs associated with enforcing patents or other intellectual property rights, or confidentiality and invention assignment agreements may make enforcement impracticable; and</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competitors and other third parties may circumvent or otherwise design around our patents or other intellectual property.</w:t>
      </w:r>
    </w:p>
    <w:p>
      <w:pPr>
        <w:spacing w:after="0" w:line="212" w:lineRule="exact"/>
        <w:rPr>
          <w:sz w:val="20"/>
          <w:szCs w:val="20"/>
          <w:color w:val="auto"/>
        </w:rPr>
      </w:pPr>
    </w:p>
    <w:p>
      <w:pPr>
        <w:ind w:right="140" w:firstLine="297"/>
        <w:spacing w:after="0" w:line="285" w:lineRule="auto"/>
        <w:rPr>
          <w:sz w:val="20"/>
          <w:szCs w:val="20"/>
          <w:color w:val="auto"/>
        </w:rPr>
      </w:pPr>
      <w:r>
        <w:rPr>
          <w:rFonts w:ascii="Arial" w:cs="Arial" w:eastAsia="Arial" w:hAnsi="Arial"/>
          <w:sz w:val="15"/>
          <w:szCs w:val="15"/>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57" w:lineRule="exact"/>
        <w:rPr>
          <w:sz w:val="20"/>
          <w:szCs w:val="20"/>
          <w:color w:val="auto"/>
        </w:rPr>
      </w:pPr>
    </w:p>
    <w:p>
      <w:pPr>
        <w:ind w:right="60" w:firstLine="297"/>
        <w:spacing w:after="0" w:line="292" w:lineRule="auto"/>
        <w:rPr>
          <w:sz w:val="20"/>
          <w:szCs w:val="20"/>
          <w:color w:val="auto"/>
        </w:rPr>
      </w:pPr>
      <w:r>
        <w:rPr>
          <w:rFonts w:ascii="Arial" w:cs="Arial" w:eastAsia="Arial" w:hAnsi="Arial"/>
          <w:sz w:val="15"/>
          <w:szCs w:val="15"/>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51"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2" w:lineRule="exact"/>
        <w:rPr>
          <w:sz w:val="20"/>
          <w:szCs w:val="20"/>
          <w:color w:val="auto"/>
        </w:rPr>
      </w:pPr>
    </w:p>
    <w:p>
      <w:pPr>
        <w:ind w:right="60" w:firstLine="297"/>
        <w:spacing w:after="0" w:line="266" w:lineRule="auto"/>
        <w:rPr>
          <w:sz w:val="20"/>
          <w:szCs w:val="20"/>
          <w:color w:val="auto"/>
        </w:rPr>
      </w:pPr>
      <w:r>
        <w:rPr>
          <w:rFonts w:ascii="Arial" w:cs="Arial" w:eastAsia="Arial" w:hAnsi="Arial"/>
          <w:sz w:val="16"/>
          <w:szCs w:val="16"/>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69" w:lineRule="exact"/>
        <w:rPr>
          <w:sz w:val="20"/>
          <w:szCs w:val="20"/>
          <w:color w:val="auto"/>
        </w:rPr>
      </w:pPr>
    </w:p>
    <w:p>
      <w:pPr>
        <w:ind w:right="20" w:firstLine="297"/>
        <w:spacing w:after="0" w:line="264" w:lineRule="auto"/>
        <w:rPr>
          <w:sz w:val="20"/>
          <w:szCs w:val="20"/>
          <w:color w:val="auto"/>
        </w:rPr>
      </w:pPr>
      <w:r>
        <w:rPr>
          <w:rFonts w:ascii="Arial" w:cs="Arial" w:eastAsia="Arial" w:hAnsi="Arial"/>
          <w:sz w:val="16"/>
          <w:szCs w:val="16"/>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49" w:lineRule="exact"/>
        <w:rPr>
          <w:sz w:val="20"/>
          <w:szCs w:val="20"/>
          <w:color w:val="auto"/>
        </w:rPr>
      </w:pPr>
    </w:p>
    <w:p>
      <w:pPr>
        <w:ind w:right="40" w:firstLine="297"/>
        <w:spacing w:after="0" w:line="280" w:lineRule="auto"/>
        <w:rPr>
          <w:sz w:val="20"/>
          <w:szCs w:val="20"/>
          <w:color w:val="auto"/>
        </w:rPr>
      </w:pPr>
      <w:r>
        <w:rPr>
          <w:rFonts w:ascii="Arial" w:cs="Arial" w:eastAsia="Arial" w:hAnsi="Arial"/>
          <w:sz w:val="15"/>
          <w:szCs w:val="15"/>
          <w:color w:val="231F20"/>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63" w:lineRule="exact"/>
        <w:rPr>
          <w:sz w:val="20"/>
          <w:szCs w:val="20"/>
          <w:color w:val="auto"/>
        </w:rPr>
      </w:pPr>
    </w:p>
    <w:p>
      <w:pPr>
        <w:ind w:left="600" w:hanging="304"/>
        <w:spacing w:after="0"/>
        <w:tabs>
          <w:tab w:leader="none" w:pos="60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pay substantial damages, including treble damages for willful infringement, or ongoing royalty payments;</w:t>
      </w:r>
    </w:p>
    <w:p>
      <w:pPr>
        <w:spacing w:after="0" w:line="212" w:lineRule="exact"/>
        <w:rPr>
          <w:rFonts w:ascii="Arial" w:cs="Arial" w:eastAsia="Arial" w:hAnsi="Arial"/>
          <w:sz w:val="16"/>
          <w:szCs w:val="16"/>
          <w:color w:val="231F20"/>
        </w:rPr>
      </w:pPr>
    </w:p>
    <w:p>
      <w:pPr>
        <w:ind w:left="600" w:right="420" w:hanging="304"/>
        <w:spacing w:after="0" w:line="290" w:lineRule="auto"/>
        <w:tabs>
          <w:tab w:leader="none" w:pos="600" w:val="left"/>
        </w:tabs>
        <w:numPr>
          <w:ilvl w:val="0"/>
          <w:numId w:val="34"/>
        </w:numPr>
        <w:rPr>
          <w:rFonts w:ascii="Arial" w:cs="Arial" w:eastAsia="Arial" w:hAnsi="Arial"/>
          <w:sz w:val="16"/>
          <w:szCs w:val="16"/>
          <w:color w:val="231F20"/>
        </w:rPr>
      </w:pPr>
      <w:r>
        <w:rPr>
          <w:rFonts w:ascii="Arial" w:cs="Arial" w:eastAsia="Arial" w:hAnsi="Arial"/>
          <w:sz w:val="16"/>
          <w:szCs w:val="16"/>
          <w:color w:val="231F20"/>
        </w:rPr>
        <w:t>cease developing, selling, leasing, using or incorporating certain components into vehicles or offering goods or services that incorporate or use the asserted intellectual property;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8" w:name="page79"/>
    <w:bookmarkEnd w:id="78"/>
    <w:p>
      <w:pPr>
        <w:ind w:left="600" w:hanging="304"/>
        <w:spacing w:after="0"/>
        <w:tabs>
          <w:tab w:leader="none" w:pos="60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seek a license from the owner of the asserted intellectual property, which license may not be available on reasonable terms, or at all;</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comply with other unfavorable terms; or</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5"/>
        </w:numPr>
        <w:rPr>
          <w:rFonts w:ascii="Arial" w:cs="Arial" w:eastAsia="Arial" w:hAnsi="Arial"/>
          <w:sz w:val="16"/>
          <w:szCs w:val="16"/>
          <w:color w:val="231F20"/>
        </w:rPr>
      </w:pPr>
      <w:r>
        <w:rPr>
          <w:rFonts w:ascii="Arial" w:cs="Arial" w:eastAsia="Arial" w:hAnsi="Arial"/>
          <w:sz w:val="16"/>
          <w:szCs w:val="16"/>
          <w:color w:val="231F20"/>
        </w:rPr>
        <w:t>establish and maintain alternative branding for our products and services.</w:t>
      </w:r>
    </w:p>
    <w:p>
      <w:pPr>
        <w:spacing w:after="0" w:line="212" w:lineRule="exact"/>
        <w:rPr>
          <w:sz w:val="20"/>
          <w:szCs w:val="20"/>
          <w:color w:val="auto"/>
        </w:rPr>
      </w:pPr>
    </w:p>
    <w:p>
      <w:pPr>
        <w:ind w:right="40" w:firstLine="297"/>
        <w:spacing w:after="0" w:line="283" w:lineRule="auto"/>
        <w:rPr>
          <w:sz w:val="20"/>
          <w:szCs w:val="20"/>
          <w:color w:val="auto"/>
        </w:rPr>
      </w:pPr>
      <w:r>
        <w:rPr>
          <w:rFonts w:ascii="Arial" w:cs="Arial" w:eastAsia="Arial" w:hAnsi="Arial"/>
          <w:sz w:val="15"/>
          <w:szCs w:val="15"/>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60" w:lineRule="exact"/>
        <w:rPr>
          <w:sz w:val="20"/>
          <w:szCs w:val="20"/>
          <w:color w:val="auto"/>
        </w:rPr>
      </w:pPr>
    </w:p>
    <w:p>
      <w:pPr>
        <w:ind w:right="120" w:firstLine="297"/>
        <w:spacing w:after="0" w:line="285" w:lineRule="auto"/>
        <w:rPr>
          <w:sz w:val="20"/>
          <w:szCs w:val="20"/>
          <w:color w:val="auto"/>
        </w:rPr>
      </w:pPr>
      <w:r>
        <w:rPr>
          <w:rFonts w:ascii="Arial" w:cs="Arial" w:eastAsia="Arial" w:hAnsi="Arial"/>
          <w:sz w:val="15"/>
          <w:szCs w:val="15"/>
          <w:color w:val="231F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231F20"/>
        </w:rPr>
        <w:t>Some of our products contain open source software, which may pose particular risks to our proprietary software, products and services in a manner that could harm our business.</w:t>
      </w:r>
    </w:p>
    <w:p>
      <w:pPr>
        <w:spacing w:after="0" w:line="149"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231F20"/>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66"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9" w:name="page80"/>
    <w:bookmarkEnd w:id="79"/>
    <w:p>
      <w:pPr>
        <w:ind w:left="1"/>
        <w:spacing w:after="0"/>
        <w:rPr>
          <w:sz w:val="20"/>
          <w:szCs w:val="20"/>
          <w:color w:val="auto"/>
        </w:rPr>
      </w:pPr>
      <w:r>
        <w:rPr>
          <w:rFonts w:ascii="Arial" w:cs="Arial" w:eastAsia="Arial" w:hAnsi="Arial"/>
          <w:sz w:val="16"/>
          <w:szCs w:val="16"/>
          <w:b w:val="1"/>
          <w:bCs w:val="1"/>
          <w:color w:val="231F20"/>
        </w:rPr>
        <w:t>Risks Related to Financing and Strategic Transactions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12" w:lineRule="exact"/>
        <w:rPr>
          <w:sz w:val="20"/>
          <w:szCs w:val="20"/>
          <w:color w:val="auto"/>
        </w:rPr>
      </w:pPr>
    </w:p>
    <w:p>
      <w:pPr>
        <w:ind w:left="1" w:firstLine="297"/>
        <w:spacing w:after="0" w:line="260" w:lineRule="auto"/>
        <w:rPr>
          <w:sz w:val="20"/>
          <w:szCs w:val="20"/>
          <w:color w:val="auto"/>
        </w:rPr>
      </w:pPr>
      <w:r>
        <w:rPr>
          <w:rFonts w:ascii="Arial" w:cs="Arial" w:eastAsia="Arial" w:hAnsi="Arial"/>
          <w:sz w:val="16"/>
          <w:szCs w:val="16"/>
          <w:color w:val="231F20"/>
        </w:rPr>
        <w:t>We have funded our operations since inception primarily through equity and debt financings. For example, we issued approximately $2 billion of 1.25% convertible senior notes due 2026 in December 2021 (the “2026 Notes”) and we entered into a credit agreement that provides for a $1.0 billion senior secured asset-based revolving credit facility in June 2022 (the “ABL Credit Facility”). In addition, we have, through our subsidiary, entered into a loan agreement with the Saudi Industrial Development Fund for an aggregate principal amount of up to SAR 5.19 billion in February 2022 (the “SIDF Loan Agreement”) and also entered into a revolving credit facility agreement with Gulf International Bank for an aggregate principal amount of SAR 1 billion in April 2022 (the “GIB Facility Agreement”).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fiscal year 2022,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7" w:lineRule="exact"/>
        <w:rPr>
          <w:sz w:val="20"/>
          <w:szCs w:val="20"/>
          <w:color w:val="auto"/>
        </w:rPr>
      </w:pPr>
    </w:p>
    <w:p>
      <w:pPr>
        <w:ind w:left="1" w:right="140" w:firstLine="297"/>
        <w:spacing w:after="0" w:line="269" w:lineRule="auto"/>
        <w:rPr>
          <w:sz w:val="20"/>
          <w:szCs w:val="20"/>
          <w:color w:val="auto"/>
        </w:rPr>
      </w:pPr>
      <w:r>
        <w:rPr>
          <w:rFonts w:ascii="Arial" w:cs="Arial" w:eastAsia="Arial" w:hAnsi="Arial"/>
          <w:sz w:val="16"/>
          <w:szCs w:val="16"/>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65" w:lineRule="exact"/>
        <w:rPr>
          <w:sz w:val="20"/>
          <w:szCs w:val="20"/>
          <w:color w:val="auto"/>
        </w:rPr>
      </w:pPr>
    </w:p>
    <w:p>
      <w:pPr>
        <w:ind w:left="1" w:right="40" w:firstLine="297"/>
        <w:spacing w:after="0" w:line="263" w:lineRule="auto"/>
        <w:rPr>
          <w:sz w:val="20"/>
          <w:szCs w:val="20"/>
          <w:color w:val="auto"/>
        </w:rPr>
      </w:pPr>
      <w:r>
        <w:rPr>
          <w:rFonts w:ascii="Arial" w:cs="Arial" w:eastAsia="Arial" w:hAnsi="Arial"/>
          <w:sz w:val="16"/>
          <w:szCs w:val="16"/>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73" w:lineRule="exact"/>
        <w:rPr>
          <w:sz w:val="20"/>
          <w:szCs w:val="20"/>
          <w:color w:val="auto"/>
        </w:rPr>
      </w:pPr>
    </w:p>
    <w:p>
      <w:pPr>
        <w:ind w:left="1" w:right="120"/>
        <w:spacing w:after="0" w:line="326"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25" w:lineRule="exact"/>
        <w:rPr>
          <w:sz w:val="20"/>
          <w:szCs w:val="20"/>
          <w:color w:val="auto"/>
        </w:rPr>
      </w:pPr>
    </w:p>
    <w:p>
      <w:pPr>
        <w:ind w:left="1" w:right="40" w:firstLine="297"/>
        <w:spacing w:after="0" w:line="26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69" w:lineRule="exact"/>
        <w:rPr>
          <w:sz w:val="20"/>
          <w:szCs w:val="20"/>
          <w:color w:val="auto"/>
        </w:rPr>
      </w:pPr>
    </w:p>
    <w:p>
      <w:pPr>
        <w:ind w:left="1" w:right="140" w:firstLine="297"/>
        <w:spacing w:after="0" w:line="292" w:lineRule="auto"/>
        <w:rPr>
          <w:sz w:val="20"/>
          <w:szCs w:val="20"/>
          <w:color w:val="auto"/>
        </w:rPr>
      </w:pPr>
      <w:r>
        <w:rPr>
          <w:rFonts w:ascii="Arial" w:cs="Arial" w:eastAsia="Arial" w:hAnsi="Arial"/>
          <w:sz w:val="15"/>
          <w:szCs w:val="15"/>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151" w:lineRule="exact"/>
        <w:rPr>
          <w:sz w:val="20"/>
          <w:szCs w:val="20"/>
          <w:color w:val="auto"/>
        </w:rPr>
      </w:pPr>
    </w:p>
    <w:p>
      <w:pPr>
        <w:ind w:left="301"/>
        <w:spacing w:after="0"/>
        <w:rPr>
          <w:sz w:val="20"/>
          <w:szCs w:val="20"/>
          <w:color w:val="auto"/>
        </w:rPr>
      </w:pPr>
      <w:r>
        <w:rPr>
          <w:rFonts w:ascii="Arial" w:cs="Arial" w:eastAsia="Arial" w:hAnsi="Arial"/>
          <w:sz w:val="15"/>
          <w:szCs w:val="15"/>
          <w:color w:val="auto"/>
        </w:rPr>
        <w:t>In addition, the shares underlying the 2026 Notes will be reflected in our diluted earnings per share using the “if converted” method, in accordance with ASU 2020-</w:t>
      </w:r>
    </w:p>
    <w:p>
      <w:pPr>
        <w:spacing w:after="0" w:line="37" w:lineRule="exact"/>
        <w:rPr>
          <w:sz w:val="20"/>
          <w:szCs w:val="20"/>
          <w:color w:val="auto"/>
        </w:rPr>
      </w:pPr>
    </w:p>
    <w:p>
      <w:pPr>
        <w:ind w:left="1" w:right="140" w:hanging="1"/>
        <w:spacing w:after="0" w:line="293" w:lineRule="auto"/>
        <w:tabs>
          <w:tab w:leader="none" w:pos="2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1"/>
          </w:cols>
          <w:pgMar w:left="319" w:top="841" w:right="379" w:bottom="1440" w:gutter="0" w:footer="0" w:header="0"/>
        </w:sectPr>
      </w:pPr>
    </w:p>
    <w:bookmarkStart w:id="80" w:name="page81"/>
    <w:bookmarkEnd w:id="80"/>
    <w:p>
      <w:pPr>
        <w:ind w:right="80" w:firstLine="297"/>
        <w:spacing w:after="0" w:line="274" w:lineRule="auto"/>
        <w:rPr>
          <w:sz w:val="20"/>
          <w:szCs w:val="20"/>
          <w:color w:val="auto"/>
        </w:rPr>
      </w:pPr>
      <w:r>
        <w:rPr>
          <w:rFonts w:ascii="Arial" w:cs="Arial" w:eastAsia="Arial" w:hAnsi="Arial"/>
          <w:sz w:val="16"/>
          <w:szCs w:val="16"/>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62" w:lineRule="exact"/>
        <w:rPr>
          <w:sz w:val="20"/>
          <w:szCs w:val="20"/>
          <w:color w:val="auto"/>
        </w:rPr>
      </w:pPr>
    </w:p>
    <w:p>
      <w:pPr>
        <w:ind w:right="60" w:firstLine="297"/>
        <w:spacing w:after="0" w:line="281" w:lineRule="auto"/>
        <w:rPr>
          <w:sz w:val="20"/>
          <w:szCs w:val="20"/>
          <w:color w:val="auto"/>
        </w:rPr>
      </w:pPr>
      <w:r>
        <w:rPr>
          <w:rFonts w:ascii="Arial" w:cs="Arial" w:eastAsia="Arial" w:hAnsi="Arial"/>
          <w:sz w:val="15"/>
          <w:szCs w:val="15"/>
          <w:color w:val="auto"/>
        </w:rPr>
        <w:t>In December 2021, we issued approximately $2.0 billion principal amount of 2026 Notes and have entered into several credit facilities in 2022. See Note 6 “Long-Term Debt” to our condensed 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59" w:lineRule="exact"/>
        <w:rPr>
          <w:sz w:val="20"/>
          <w:szCs w:val="20"/>
          <w:color w:val="auto"/>
        </w:rPr>
      </w:pPr>
    </w:p>
    <w:p>
      <w:pPr>
        <w:ind w:right="800" w:firstLine="297"/>
        <w:spacing w:after="0" w:line="290" w:lineRule="auto"/>
        <w:rPr>
          <w:sz w:val="20"/>
          <w:szCs w:val="20"/>
          <w:color w:val="auto"/>
        </w:rPr>
      </w:pPr>
      <w:r>
        <w:rPr>
          <w:rFonts w:ascii="Arial" w:cs="Arial" w:eastAsia="Arial" w:hAnsi="Arial"/>
          <w:sz w:val="16"/>
          <w:szCs w:val="16"/>
          <w:color w:val="auto"/>
        </w:rPr>
        <w:t>In addition, our indebtedness, combined with our other existing and future financial obligations and contractual commitments, could have other important consequences. For example, it could:</w:t>
      </w:r>
    </w:p>
    <w:p>
      <w:pPr>
        <w:spacing w:after="0" w:line="149" w:lineRule="exact"/>
        <w:rPr>
          <w:sz w:val="20"/>
          <w:szCs w:val="20"/>
          <w:color w:val="auto"/>
        </w:rPr>
      </w:pPr>
    </w:p>
    <w:p>
      <w:pPr>
        <w:ind w:left="600" w:hanging="304"/>
        <w:spacing w:after="0" w:line="290" w:lineRule="auto"/>
        <w:tabs>
          <w:tab w:leader="none" w:pos="60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make us more vulnerable to adverse changes in general U.S. and worldwide economic, industry and competitive conditions and adverse changes in government regulation;</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limit our flexibility in planning for, or reacting to, changes in our business and our industry;</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place us at a disadvantage compared to our competitors who have less debt;</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limit our ability to borrow additional amounts to fund acquisitions, for working capital and for other general corporate purposes; and</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make an acquisition of our company less attractive or more difficult.</w:t>
      </w:r>
    </w:p>
    <w:p>
      <w:pPr>
        <w:spacing w:after="0" w:line="212" w:lineRule="exact"/>
        <w:rPr>
          <w:sz w:val="20"/>
          <w:szCs w:val="20"/>
          <w:color w:val="auto"/>
        </w:rPr>
      </w:pPr>
    </w:p>
    <w:p>
      <w:pPr>
        <w:ind w:firstLine="297"/>
        <w:spacing w:after="0" w:line="282" w:lineRule="auto"/>
        <w:rPr>
          <w:sz w:val="20"/>
          <w:szCs w:val="20"/>
          <w:color w:val="auto"/>
        </w:rPr>
      </w:pPr>
      <w:r>
        <w:rPr>
          <w:rFonts w:ascii="Arial" w:cs="Arial" w:eastAsia="Arial" w:hAnsi="Arial"/>
          <w:sz w:val="15"/>
          <w:szCs w:val="15"/>
          <w:color w:val="auto"/>
        </w:rPr>
        <w:t>In addition, under the SIDF Loan Agreement, the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61" w:lineRule="exact"/>
        <w:rPr>
          <w:sz w:val="20"/>
          <w:szCs w:val="20"/>
          <w:color w:val="auto"/>
        </w:rPr>
      </w:pPr>
    </w:p>
    <w:p>
      <w:pPr>
        <w:ind w:right="260" w:firstLine="297"/>
        <w:spacing w:after="0" w:line="290" w:lineRule="auto"/>
        <w:rPr>
          <w:sz w:val="20"/>
          <w:szCs w:val="20"/>
          <w:color w:val="auto"/>
        </w:rPr>
      </w:pPr>
      <w:r>
        <w:rPr>
          <w:rFonts w:ascii="Arial" w:cs="Arial" w:eastAsia="Arial" w:hAnsi="Arial"/>
          <w:sz w:val="16"/>
          <w:szCs w:val="16"/>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49" w:lineRule="exact"/>
        <w:rPr>
          <w:sz w:val="20"/>
          <w:szCs w:val="20"/>
          <w:color w:val="auto"/>
        </w:rPr>
      </w:pPr>
    </w:p>
    <w:p>
      <w:pPr>
        <w:ind w:right="220" w:firstLine="297"/>
        <w:spacing w:after="0" w:line="290" w:lineRule="auto"/>
        <w:rPr>
          <w:sz w:val="20"/>
          <w:szCs w:val="20"/>
          <w:color w:val="auto"/>
        </w:rPr>
      </w:pPr>
      <w:r>
        <w:rPr>
          <w:rFonts w:ascii="Arial" w:cs="Arial" w:eastAsia="Arial" w:hAnsi="Arial"/>
          <w:sz w:val="16"/>
          <w:szCs w:val="16"/>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may still incur substantially more debt</w:t>
      </w:r>
    </w:p>
    <w:p>
      <w:pPr>
        <w:spacing w:after="0" w:line="212" w:lineRule="exact"/>
        <w:rPr>
          <w:sz w:val="20"/>
          <w:szCs w:val="20"/>
          <w:color w:val="auto"/>
        </w:rPr>
      </w:pPr>
    </w:p>
    <w:p>
      <w:pPr>
        <w:ind w:right="40" w:firstLine="297"/>
        <w:spacing w:after="0" w:line="266" w:lineRule="auto"/>
        <w:rPr>
          <w:sz w:val="20"/>
          <w:szCs w:val="20"/>
          <w:color w:val="auto"/>
        </w:rPr>
      </w:pPr>
      <w:r>
        <w:rPr>
          <w:rFonts w:ascii="Arial" w:cs="Arial" w:eastAsia="Arial" w:hAnsi="Arial"/>
          <w:sz w:val="16"/>
          <w:szCs w:val="16"/>
          <w:color w:val="auto"/>
        </w:rPr>
        <w:t>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The conditional conversion feature of the 2026 Notes, if triggered, may adversely affect our financial condition and operating results.</w:t>
      </w:r>
    </w:p>
    <w:p>
      <w:pPr>
        <w:spacing w:after="0" w:line="212"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6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49" w:lineRule="exact"/>
        <w:rPr>
          <w:sz w:val="20"/>
          <w:szCs w:val="20"/>
          <w:color w:val="auto"/>
        </w:rPr>
      </w:pPr>
    </w:p>
    <w:p>
      <w:pPr>
        <w:ind w:right="20" w:firstLine="297"/>
        <w:spacing w:after="0" w:line="305" w:lineRule="auto"/>
        <w:rPr>
          <w:sz w:val="20"/>
          <w:szCs w:val="20"/>
          <w:color w:val="auto"/>
        </w:rPr>
      </w:pPr>
      <w:r>
        <w:rPr>
          <w:rFonts w:ascii="Arial" w:cs="Arial" w:eastAsia="Arial" w:hAnsi="Arial"/>
          <w:sz w:val="14"/>
          <w:szCs w:val="14"/>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rating agency may not rate the 2026 Notes or may assign a rating that is lower than expected.</w:t>
      </w:r>
    </w:p>
    <w:p>
      <w:pPr>
        <w:spacing w:after="0" w:line="212" w:lineRule="exact"/>
        <w:rPr>
          <w:sz w:val="20"/>
          <w:szCs w:val="20"/>
          <w:color w:val="auto"/>
        </w:rPr>
      </w:pPr>
    </w:p>
    <w:p>
      <w:pPr>
        <w:ind w:right="60" w:firstLine="297"/>
        <w:spacing w:after="0" w:line="366" w:lineRule="auto"/>
        <w:rPr>
          <w:sz w:val="20"/>
          <w:szCs w:val="20"/>
          <w:color w:val="auto"/>
        </w:rPr>
      </w:pPr>
      <w:r>
        <w:rPr>
          <w:rFonts w:ascii="Arial" w:cs="Arial" w:eastAsia="Arial" w:hAnsi="Arial"/>
          <w:sz w:val="14"/>
          <w:szCs w:val="14"/>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103" w:lineRule="exact"/>
        <w:rPr>
          <w:sz w:val="20"/>
          <w:szCs w:val="20"/>
          <w:color w:val="auto"/>
        </w:rPr>
      </w:pPr>
    </w:p>
    <w:p>
      <w:pPr>
        <w:ind w:right="460" w:firstLine="297"/>
        <w:spacing w:after="0" w:line="326" w:lineRule="auto"/>
        <w:rPr>
          <w:sz w:val="20"/>
          <w:szCs w:val="20"/>
          <w:color w:val="auto"/>
        </w:rPr>
      </w:pPr>
      <w:r>
        <w:rPr>
          <w:rFonts w:ascii="Arial" w:cs="Arial" w:eastAsia="Arial" w:hAnsi="Arial"/>
          <w:sz w:val="15"/>
          <w:szCs w:val="15"/>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draw down the full amounts available under the ABL Credit Facility, the SIDF Loan Agreement and the GIB Facility Agreement.</w:t>
      </w:r>
    </w:p>
    <w:p>
      <w:pPr>
        <w:spacing w:after="0" w:line="212" w:lineRule="exact"/>
        <w:rPr>
          <w:sz w:val="20"/>
          <w:szCs w:val="20"/>
          <w:color w:val="auto"/>
        </w:rPr>
      </w:pPr>
    </w:p>
    <w:p>
      <w:pPr>
        <w:ind w:firstLine="297"/>
        <w:spacing w:after="0" w:line="264" w:lineRule="auto"/>
        <w:rPr>
          <w:sz w:val="20"/>
          <w:szCs w:val="20"/>
          <w:color w:val="auto"/>
        </w:rPr>
      </w:pPr>
      <w:r>
        <w:rPr>
          <w:rFonts w:ascii="Arial" w:cs="Arial" w:eastAsia="Arial" w:hAnsi="Arial"/>
          <w:sz w:val="16"/>
          <w:szCs w:val="16"/>
          <w:color w:val="auto"/>
        </w:rPr>
        <w:t xml:space="preserve">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GIB Facility Agreement are only available for certain specific purposes and subject to conditions on drawdowns. Any inability to draw down the full amounts committed under these facilities, should the need arise, may have an </w:t>
      </w:r>
      <w:r>
        <w:rPr>
          <w:rFonts w:ascii="Arial" w:cs="Arial" w:eastAsia="Arial" w:hAnsi="Arial"/>
          <w:sz w:val="16"/>
          <w:szCs w:val="16"/>
          <w:color w:val="231F20"/>
        </w:rPr>
        <w:t>adverse effect</w:t>
      </w:r>
      <w:r>
        <w:rPr>
          <w:rFonts w:ascii="Arial" w:cs="Arial" w:eastAsia="Arial" w:hAnsi="Arial"/>
          <w:sz w:val="16"/>
          <w:szCs w:val="16"/>
          <w:color w:val="auto"/>
        </w:rPr>
        <w:t xml:space="preserve"> </w:t>
      </w:r>
      <w:r>
        <w:rPr>
          <w:rFonts w:ascii="Arial" w:cs="Arial" w:eastAsia="Arial" w:hAnsi="Arial"/>
          <w:sz w:val="16"/>
          <w:szCs w:val="16"/>
          <w:color w:val="231F20"/>
        </w:rPr>
        <w:t>on our cash flows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not be able to identify adequate strategic relationship opportunities or form strategic relationships, in the future.</w:t>
      </w:r>
    </w:p>
    <w:p>
      <w:pPr>
        <w:spacing w:after="0" w:line="212"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231F20"/>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2" w:name="page83"/>
    <w:bookmarkEnd w:id="82"/>
    <w:p>
      <w:pPr>
        <w:jc w:val="both"/>
        <w:ind w:right="260" w:firstLine="297"/>
        <w:spacing w:after="0" w:line="274" w:lineRule="auto"/>
        <w:rPr>
          <w:sz w:val="20"/>
          <w:szCs w:val="20"/>
          <w:color w:val="auto"/>
        </w:rPr>
      </w:pPr>
      <w:r>
        <w:rPr>
          <w:rFonts w:ascii="Arial" w:cs="Arial" w:eastAsia="Arial" w:hAnsi="Arial"/>
          <w:sz w:val="16"/>
          <w:szCs w:val="16"/>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62"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49" w:lineRule="exact"/>
        <w:rPr>
          <w:sz w:val="20"/>
          <w:szCs w:val="20"/>
          <w:color w:val="auto"/>
        </w:rPr>
      </w:pPr>
    </w:p>
    <w:p>
      <w:pPr>
        <w:ind w:right="100" w:firstLine="297"/>
        <w:spacing w:after="0" w:line="280" w:lineRule="auto"/>
        <w:rPr>
          <w:sz w:val="20"/>
          <w:szCs w:val="20"/>
          <w:color w:val="auto"/>
        </w:rPr>
      </w:pPr>
      <w:r>
        <w:rPr>
          <w:rFonts w:ascii="Arial" w:cs="Arial" w:eastAsia="Arial" w:hAnsi="Arial"/>
          <w:sz w:val="15"/>
          <w:szCs w:val="15"/>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financial results may vary significantly from period to period due to fluctuations in our production levels, operating costs, product demand and other factors.</w:t>
      </w:r>
    </w:p>
    <w:p>
      <w:pPr>
        <w:spacing w:after="0" w:line="235"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Risks Related to Tax</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ability to use net operating loss carryforwards and certain other tax attributes may be limited.</w:t>
      </w:r>
    </w:p>
    <w:p>
      <w:pPr>
        <w:spacing w:after="0" w:line="212" w:lineRule="exact"/>
        <w:rPr>
          <w:sz w:val="20"/>
          <w:szCs w:val="20"/>
          <w:color w:val="auto"/>
        </w:rPr>
      </w:pPr>
    </w:p>
    <w:p>
      <w:pPr>
        <w:ind w:right="220" w:firstLine="297"/>
        <w:spacing w:after="0" w:line="266" w:lineRule="auto"/>
        <w:rPr>
          <w:sz w:val="20"/>
          <w:szCs w:val="20"/>
          <w:color w:val="auto"/>
        </w:rPr>
      </w:pPr>
      <w:r>
        <w:rPr>
          <w:rFonts w:ascii="Arial" w:cs="Arial" w:eastAsia="Arial" w:hAnsi="Arial"/>
          <w:sz w:val="16"/>
          <w:szCs w:val="16"/>
          <w:color w:val="231F20"/>
        </w:rPr>
        <w:t>We have accumulated U.S. federal and state net operating loss (“</w:t>
      </w:r>
      <w:r>
        <w:rPr>
          <w:rFonts w:ascii="Arial" w:cs="Arial" w:eastAsia="Arial" w:hAnsi="Arial"/>
          <w:sz w:val="16"/>
          <w:szCs w:val="16"/>
          <w:i w:val="1"/>
          <w:iCs w:val="1"/>
          <w:color w:val="231F20"/>
        </w:rPr>
        <w:t>NOL</w:t>
      </w:r>
      <w:r>
        <w:rPr>
          <w:rFonts w:ascii="Arial" w:cs="Arial" w:eastAsia="Arial" w:hAnsi="Arial"/>
          <w:sz w:val="16"/>
          <w:szCs w:val="16"/>
          <w:color w:val="231F20"/>
        </w:rPr>
        <w:t>”) carryforwards and research and development credits which may be available to offset and reduce future taxable income. While our U.S. federal NOL carryforwards arising in taxable years beginning after December 31, 2017, will not be subject to ex</w:t>
      </w:r>
      <w:r>
        <w:rPr>
          <w:rFonts w:ascii="Arial" w:cs="Arial" w:eastAsia="Arial" w:hAnsi="Arial"/>
          <w:sz w:val="16"/>
          <w:szCs w:val="16"/>
          <w:color w:val="000000"/>
        </w:rPr>
        <w:t>piration,</w:t>
      </w:r>
      <w:r>
        <w:rPr>
          <w:rFonts w:ascii="Arial" w:cs="Arial" w:eastAsia="Arial" w:hAnsi="Arial"/>
          <w:sz w:val="16"/>
          <w:szCs w:val="16"/>
          <w:color w:val="231F20"/>
        </w:rPr>
        <w:t xml:space="preserve"> </w:t>
      </w:r>
      <w:r>
        <w:rPr>
          <w:rFonts w:ascii="Arial" w:cs="Arial" w:eastAsia="Arial" w:hAnsi="Arial"/>
          <w:sz w:val="16"/>
          <w:szCs w:val="16"/>
          <w:color w:val="000000"/>
        </w:rPr>
        <w:t>some of our U.S. federal and state NOL carryforwards from taxable years prior to 2018 will begin to expire in 2028. As of June 30, 2022, we also had U.S. federal research and development credit carryforwards which will begin to expire in 2034 and state research and development credit carryforwards with no expiration. As of June 30, 2022, we maintain a full valuation allowance for our net deferred tax assets.</w:t>
      </w:r>
    </w:p>
    <w:p>
      <w:pPr>
        <w:spacing w:after="0" w:line="169" w:lineRule="exact"/>
        <w:rPr>
          <w:sz w:val="20"/>
          <w:szCs w:val="20"/>
          <w:color w:val="auto"/>
        </w:rPr>
      </w:pPr>
    </w:p>
    <w:p>
      <w:pPr>
        <w:jc w:val="both"/>
        <w:ind w:right="320" w:firstLine="297"/>
        <w:spacing w:after="0" w:line="330" w:lineRule="auto"/>
        <w:rPr>
          <w:sz w:val="20"/>
          <w:szCs w:val="20"/>
          <w:color w:val="auto"/>
        </w:rPr>
      </w:pPr>
      <w:r>
        <w:rPr>
          <w:rFonts w:ascii="Arial" w:cs="Arial" w:eastAsia="Arial" w:hAnsi="Arial"/>
          <w:sz w:val="14"/>
          <w:szCs w:val="14"/>
          <w:color w:val="auto"/>
        </w:rPr>
        <w:t>Our U.S. federal and state NOL carryforwa</w:t>
      </w:r>
      <w:r>
        <w:rPr>
          <w:rFonts w:ascii="Arial" w:cs="Arial" w:eastAsia="Arial" w:hAnsi="Arial"/>
          <w:sz w:val="14"/>
          <w:szCs w:val="14"/>
          <w:color w:val="231F20"/>
        </w:rPr>
        <w:t>rds and certain tax credits may be subject to significant limitations under Section 382 and Section 383 of the U.S. tax</w:t>
      </w:r>
      <w:r>
        <w:rPr>
          <w:rFonts w:ascii="Arial" w:cs="Arial" w:eastAsia="Arial" w:hAnsi="Arial"/>
          <w:sz w:val="14"/>
          <w:szCs w:val="14"/>
          <w:color w:val="auto"/>
        </w:rPr>
        <w:t xml:space="preserve"> </w:t>
      </w:r>
      <w:r>
        <w:rPr>
          <w:rFonts w:ascii="Arial" w:cs="Arial" w:eastAsia="Arial" w:hAnsi="Arial"/>
          <w:sz w:val="14"/>
          <w:szCs w:val="14"/>
          <w:color w:val="231F20"/>
        </w:rPr>
        <w:t>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3" w:name="page84"/>
    <w:bookmarkEnd w:id="83"/>
    <w:p>
      <w:pPr>
        <w:ind w:right="60" w:firstLine="297"/>
        <w:spacing w:after="0" w:line="266" w:lineRule="auto"/>
        <w:rPr>
          <w:sz w:val="20"/>
          <w:szCs w:val="20"/>
          <w:color w:val="auto"/>
        </w:rPr>
      </w:pPr>
      <w:r>
        <w:rPr>
          <w:rFonts w:ascii="Arial" w:cs="Arial" w:eastAsia="Arial" w:hAnsi="Arial"/>
          <w:sz w:val="16"/>
          <w:szCs w:val="16"/>
          <w:color w:val="231F20"/>
        </w:rPr>
        <w:t>In general, an “ownership change” will occur if there is a cumulative change in our ownership by “5-percent shareholders” that exceeds 50 percentage poin</w:t>
      </w:r>
      <w:r>
        <w:rPr>
          <w:rFonts w:ascii="Arial" w:cs="Arial" w:eastAsia="Arial" w:hAnsi="Arial"/>
          <w:sz w:val="16"/>
          <w:szCs w:val="16"/>
          <w:color w:val="000000"/>
        </w:rPr>
        <w:t>ts over a</w:t>
      </w:r>
      <w:r>
        <w:rPr>
          <w:rFonts w:ascii="Arial" w:cs="Arial" w:eastAsia="Arial" w:hAnsi="Arial"/>
          <w:sz w:val="16"/>
          <w:szCs w:val="16"/>
          <w:color w:val="231F20"/>
        </w:rPr>
        <w:t xml:space="preserve"> </w:t>
      </w:r>
      <w:r>
        <w:rPr>
          <w:rFonts w:ascii="Arial" w:cs="Arial" w:eastAsia="Arial" w:hAnsi="Arial"/>
          <w:sz w:val="16"/>
          <w:szCs w:val="16"/>
          <w:color w:val="000000"/>
        </w:rPr>
        <w:t>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9" w:lineRule="exact"/>
        <w:rPr>
          <w:sz w:val="20"/>
          <w:szCs w:val="20"/>
          <w:color w:val="auto"/>
        </w:rPr>
      </w:pPr>
    </w:p>
    <w:p>
      <w:pPr>
        <w:ind w:right="60" w:firstLine="297"/>
        <w:spacing w:after="0" w:line="292" w:lineRule="auto"/>
        <w:rPr>
          <w:sz w:val="20"/>
          <w:szCs w:val="20"/>
          <w:color w:val="auto"/>
        </w:rPr>
      </w:pPr>
      <w:r>
        <w:rPr>
          <w:rFonts w:ascii="Arial" w:cs="Arial" w:eastAsia="Arial" w:hAnsi="Arial"/>
          <w:sz w:val="15"/>
          <w:szCs w:val="15"/>
          <w:color w:val="auto"/>
        </w:rPr>
        <w:t>We have not yet completed an analysis of whether the busin</w:t>
      </w:r>
      <w:r>
        <w:rPr>
          <w:rFonts w:ascii="Arial" w:cs="Arial" w:eastAsia="Arial" w:hAnsi="Arial"/>
          <w:sz w:val="15"/>
          <w:szCs w:val="15"/>
          <w:color w:val="231F20"/>
        </w:rPr>
        <w:t>ess combination also caused an “ownership change.” In addition, future changes in our stock ownership</w:t>
      </w:r>
      <w:r>
        <w:rPr>
          <w:rFonts w:ascii="Arial" w:cs="Arial" w:eastAsia="Arial" w:hAnsi="Arial"/>
          <w:sz w:val="15"/>
          <w:szCs w:val="15"/>
          <w:color w:val="auto"/>
        </w:rPr>
        <w:t xml:space="preserve"> </w:t>
      </w:r>
      <w:r>
        <w:rPr>
          <w:rFonts w:ascii="Arial" w:cs="Arial" w:eastAsia="Arial" w:hAnsi="Arial"/>
          <w:sz w:val="15"/>
          <w:szCs w:val="15"/>
          <w:color w:val="231F20"/>
        </w:rPr>
        <w:t>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231F20"/>
        </w:rPr>
        <w:t>It is possible that we will not generate taxable income in time to use any of our NOL carryforwards and research and development credits before their expiration.</w:t>
      </w:r>
    </w:p>
    <w:p>
      <w:pPr>
        <w:spacing w:after="0" w:line="224"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49" w:lineRule="exact"/>
        <w:rPr>
          <w:sz w:val="20"/>
          <w:szCs w:val="20"/>
          <w:color w:val="auto"/>
        </w:rPr>
      </w:pPr>
    </w:p>
    <w:p>
      <w:pPr>
        <w:ind w:right="140" w:firstLine="297"/>
        <w:spacing w:after="0" w:line="288" w:lineRule="auto"/>
        <w:rPr>
          <w:sz w:val="20"/>
          <w:szCs w:val="20"/>
          <w:color w:val="auto"/>
        </w:rPr>
      </w:pPr>
      <w:r>
        <w:rPr>
          <w:rFonts w:ascii="Arial" w:cs="Arial" w:eastAsia="Arial" w:hAnsi="Arial"/>
          <w:sz w:val="15"/>
          <w:szCs w:val="15"/>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53" w:lineRule="exact"/>
        <w:rPr>
          <w:sz w:val="20"/>
          <w:szCs w:val="20"/>
          <w:color w:val="auto"/>
        </w:rPr>
      </w:pPr>
    </w:p>
    <w:p>
      <w:pPr>
        <w:ind w:right="160" w:firstLine="297"/>
        <w:spacing w:after="0" w:line="326" w:lineRule="auto"/>
        <w:rPr>
          <w:sz w:val="20"/>
          <w:szCs w:val="20"/>
          <w:color w:val="auto"/>
        </w:rPr>
      </w:pPr>
      <w:r>
        <w:rPr>
          <w:rFonts w:ascii="Arial" w:cs="Arial" w:eastAsia="Arial" w:hAnsi="Arial"/>
          <w:sz w:val="15"/>
          <w:szCs w:val="15"/>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25" w:lineRule="exact"/>
        <w:rPr>
          <w:sz w:val="20"/>
          <w:szCs w:val="20"/>
          <w:color w:val="auto"/>
        </w:rPr>
      </w:pPr>
    </w:p>
    <w:p>
      <w:pPr>
        <w:ind w:right="240" w:firstLine="297"/>
        <w:spacing w:after="0" w:line="326" w:lineRule="auto"/>
        <w:rPr>
          <w:sz w:val="20"/>
          <w:szCs w:val="20"/>
          <w:color w:val="auto"/>
        </w:rPr>
      </w:pPr>
      <w:r>
        <w:rPr>
          <w:rFonts w:ascii="Arial" w:cs="Arial" w:eastAsia="Arial" w:hAnsi="Arial"/>
          <w:sz w:val="15"/>
          <w:szCs w:val="15"/>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25" w:lineRule="exact"/>
        <w:rPr>
          <w:sz w:val="20"/>
          <w:szCs w:val="20"/>
          <w:color w:val="auto"/>
        </w:rPr>
      </w:pPr>
    </w:p>
    <w:p>
      <w:pPr>
        <w:ind w:right="240" w:firstLine="297"/>
        <w:spacing w:after="0" w:line="290" w:lineRule="auto"/>
        <w:rPr>
          <w:sz w:val="20"/>
          <w:szCs w:val="20"/>
          <w:color w:val="auto"/>
        </w:rPr>
      </w:pPr>
      <w:r>
        <w:rPr>
          <w:rFonts w:ascii="Arial" w:cs="Arial" w:eastAsia="Arial" w:hAnsi="Arial"/>
          <w:sz w:val="16"/>
          <w:szCs w:val="16"/>
          <w:color w:val="231F20"/>
        </w:rPr>
        <w:t>We may change our corporate structure, our business operations or certain agreements that we have entered into relating to taxes in a particular jurisdiction. These changes may materially and adversely impact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warrants are accounted for as liabilities and the changes in value of our warrants could have a material effect on our financial results.</w:t>
      </w:r>
    </w:p>
    <w:p>
      <w:pPr>
        <w:spacing w:after="0" w:line="212" w:lineRule="exact"/>
        <w:rPr>
          <w:sz w:val="20"/>
          <w:szCs w:val="20"/>
          <w:color w:val="auto"/>
        </w:rPr>
      </w:pPr>
    </w:p>
    <w:p>
      <w:pPr>
        <w:ind w:firstLine="297"/>
        <w:spacing w:after="0" w:line="280" w:lineRule="auto"/>
        <w:rPr>
          <w:sz w:val="20"/>
          <w:szCs w:val="20"/>
          <w:color w:val="auto"/>
        </w:rPr>
      </w:pPr>
      <w:r>
        <w:rPr>
          <w:rFonts w:ascii="Arial" w:cs="Arial" w:eastAsia="Arial" w:hAnsi="Arial"/>
          <w:sz w:val="15"/>
          <w:szCs w:val="15"/>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63" w:lineRule="exact"/>
        <w:rPr>
          <w:sz w:val="20"/>
          <w:szCs w:val="20"/>
          <w:color w:val="auto"/>
        </w:rPr>
      </w:pPr>
    </w:p>
    <w:p>
      <w:pPr>
        <w:ind w:firstLine="297"/>
        <w:spacing w:after="0" w:line="269" w:lineRule="auto"/>
        <w:rPr>
          <w:sz w:val="20"/>
          <w:szCs w:val="20"/>
          <w:color w:val="auto"/>
        </w:rPr>
      </w:pPr>
      <w:r>
        <w:rPr>
          <w:rFonts w:ascii="Arial" w:cs="Arial" w:eastAsia="Arial" w:hAnsi="Arial"/>
          <w:sz w:val="16"/>
          <w:szCs w:val="16"/>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231F20"/>
        </w:rPr>
        <w:t>Risks Related to Public Company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requirements of being a public company may strain our resources and distract our management, which could make it difficult to manage our business.</w:t>
      </w:r>
    </w:p>
    <w:p>
      <w:pPr>
        <w:spacing w:after="0" w:line="224" w:lineRule="exact"/>
        <w:rPr>
          <w:sz w:val="20"/>
          <w:szCs w:val="20"/>
          <w:color w:val="auto"/>
        </w:rPr>
      </w:pPr>
    </w:p>
    <w:p>
      <w:pPr>
        <w:ind w:right="20" w:firstLine="297"/>
        <w:spacing w:after="0" w:line="282" w:lineRule="auto"/>
        <w:rPr>
          <w:sz w:val="20"/>
          <w:szCs w:val="20"/>
          <w:color w:val="auto"/>
        </w:rPr>
      </w:pPr>
      <w:r>
        <w:rPr>
          <w:rFonts w:ascii="Arial" w:cs="Arial" w:eastAsia="Arial" w:hAnsi="Arial"/>
          <w:sz w:val="15"/>
          <w:szCs w:val="15"/>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61"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Arial" w:cs="Arial" w:eastAsia="Arial" w:hAnsi="Arial"/>
          <w:sz w:val="15"/>
          <w:szCs w:val="15"/>
          <w:color w:val="000000"/>
        </w:rPr>
        <w:t>In</w:t>
      </w:r>
      <w:r>
        <w:rPr>
          <w:rFonts w:ascii="Arial" w:cs="Arial" w:eastAsia="Arial" w:hAnsi="Arial"/>
          <w:sz w:val="15"/>
          <w:szCs w:val="15"/>
          <w:color w:val="231F20"/>
        </w:rPr>
        <w:t xml:space="preserve"> </w:t>
      </w:r>
      <w:r>
        <w:rPr>
          <w:rFonts w:ascii="Arial" w:cs="Arial" w:eastAsia="Arial" w:hAnsi="Arial"/>
          <w:sz w:val="15"/>
          <w:szCs w:val="15"/>
          <w:color w:val="000000"/>
        </w:rPr>
        <w:t>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0" w:lineRule="exact"/>
        <w:rPr>
          <w:sz w:val="20"/>
          <w:szCs w:val="20"/>
          <w:color w:val="auto"/>
        </w:rPr>
      </w:pPr>
    </w:p>
    <w:p>
      <w:pPr>
        <w:ind w:right="140" w:firstLine="297"/>
        <w:spacing w:after="0" w:line="309" w:lineRule="auto"/>
        <w:rPr>
          <w:sz w:val="20"/>
          <w:szCs w:val="20"/>
          <w:color w:val="auto"/>
        </w:rPr>
      </w:pPr>
      <w:r>
        <w:rPr>
          <w:rFonts w:ascii="Arial" w:cs="Arial" w:eastAsia="Arial" w:hAnsi="Arial"/>
          <w:sz w:val="14"/>
          <w:szCs w:val="14"/>
          <w:color w:val="231F20"/>
        </w:rPr>
        <w:t xml:space="preserve">To implement, maintain and improve the effectiveness of our disclosure controls and procedures, we will need to commit significant resources, hire additional staff and provide additional management oversight. </w:t>
      </w:r>
      <w:r>
        <w:rPr>
          <w:rFonts w:ascii="Arial" w:cs="Arial" w:eastAsia="Arial" w:hAnsi="Arial"/>
          <w:sz w:val="14"/>
          <w:szCs w:val="14"/>
          <w:color w:val="000000"/>
        </w:rPr>
        <w:t>To comply with the requirements of being a public company, we have undertaken, and expect to continue to further</w:t>
      </w:r>
      <w:r>
        <w:rPr>
          <w:rFonts w:ascii="Arial" w:cs="Arial" w:eastAsia="Arial" w:hAnsi="Arial"/>
          <w:sz w:val="14"/>
          <w:szCs w:val="14"/>
          <w:color w:val="231F20"/>
        </w:rPr>
        <w:t xml:space="preserve"> </w:t>
      </w:r>
      <w:r>
        <w:rPr>
          <w:rFonts w:ascii="Arial" w:cs="Arial" w:eastAsia="Arial" w:hAnsi="Arial"/>
          <w:sz w:val="14"/>
          <w:szCs w:val="14"/>
          <w:color w:val="000000"/>
        </w:rPr>
        <w:t xml:space="preserve">undertake in the future, various actions, such as, hiring additional accounting staff and implementing new internal controls and procedures </w:t>
      </w:r>
      <w:r>
        <w:rPr>
          <w:rFonts w:ascii="Arial" w:cs="Arial" w:eastAsia="Arial" w:hAnsi="Arial"/>
          <w:sz w:val="14"/>
          <w:szCs w:val="14"/>
          <w:color w:val="231F20"/>
        </w:rPr>
        <w:t>for the purpose of addressing</w:t>
      </w:r>
      <w:r>
        <w:rPr>
          <w:rFonts w:ascii="Arial" w:cs="Arial" w:eastAsia="Arial" w:hAnsi="Arial"/>
          <w:sz w:val="14"/>
          <w:szCs w:val="14"/>
          <w:color w:val="000000"/>
        </w:rPr>
        <w:t xml:space="preserve"> </w:t>
      </w:r>
      <w:r>
        <w:rPr>
          <w:rFonts w:ascii="Arial" w:cs="Arial" w:eastAsia="Arial" w:hAnsi="Arial"/>
          <w:sz w:val="14"/>
          <w:szCs w:val="14"/>
          <w:color w:val="231F20"/>
        </w:rPr>
        <w:t>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42" w:lineRule="exact"/>
        <w:rPr>
          <w:sz w:val="20"/>
          <w:szCs w:val="20"/>
          <w:color w:val="auto"/>
        </w:rPr>
      </w:pPr>
    </w:p>
    <w:p>
      <w:pPr>
        <w:ind w:right="20" w:firstLine="297"/>
        <w:spacing w:after="0" w:line="290" w:lineRule="auto"/>
        <w:rPr>
          <w:sz w:val="20"/>
          <w:szCs w:val="20"/>
          <w:color w:val="auto"/>
        </w:rPr>
      </w:pPr>
      <w:r>
        <w:rPr>
          <w:rFonts w:ascii="Arial" w:cs="Arial" w:eastAsia="Arial" w:hAnsi="Arial"/>
          <w:sz w:val="16"/>
          <w:szCs w:val="16"/>
          <w:b w:val="1"/>
          <w:bCs w:val="1"/>
          <w:i w:val="1"/>
          <w:iCs w:val="1"/>
          <w:color w:val="231F20"/>
        </w:rPr>
        <w:t>We recently ceased to be an emerging growth company, and now are required to comply with certain heightened reporting requirements, including those relating to auditing standards and disclosure about our executive compensation.</w:t>
      </w:r>
    </w:p>
    <w:p>
      <w:pPr>
        <w:spacing w:after="0" w:line="149"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66" w:lineRule="exact"/>
        <w:rPr>
          <w:sz w:val="20"/>
          <w:szCs w:val="20"/>
          <w:color w:val="auto"/>
        </w:rPr>
      </w:pPr>
    </w:p>
    <w:p>
      <w:pPr>
        <w:ind w:right="80" w:firstLine="297"/>
        <w:spacing w:after="0" w:line="269" w:lineRule="auto"/>
        <w:rPr>
          <w:sz w:val="20"/>
          <w:szCs w:val="20"/>
          <w:color w:val="auto"/>
        </w:rPr>
      </w:pPr>
      <w:r>
        <w:rPr>
          <w:rFonts w:ascii="Arial" w:cs="Arial" w:eastAsia="Arial" w:hAnsi="Arial"/>
          <w:sz w:val="16"/>
          <w:szCs w:val="16"/>
          <w:color w:val="231F20"/>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85" w:name="page86"/>
    <w:bookmarkEnd w:id="85"/>
    <w:p>
      <w:pPr>
        <w:ind w:right="200"/>
        <w:spacing w:after="0" w:line="366" w:lineRule="auto"/>
        <w:rPr>
          <w:sz w:val="20"/>
          <w:szCs w:val="20"/>
          <w:color w:val="auto"/>
        </w:rPr>
      </w:pPr>
      <w:r>
        <w:rPr>
          <w:rFonts w:ascii="Arial" w:cs="Arial" w:eastAsia="Arial" w:hAnsi="Arial"/>
          <w:sz w:val="14"/>
          <w:szCs w:val="14"/>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03" w:lineRule="exact"/>
        <w:rPr>
          <w:sz w:val="20"/>
          <w:szCs w:val="20"/>
          <w:color w:val="auto"/>
        </w:rPr>
      </w:pPr>
    </w:p>
    <w:p>
      <w:pPr>
        <w:ind w:right="100" w:firstLine="297"/>
        <w:spacing w:after="0" w:line="290" w:lineRule="auto"/>
        <w:rPr>
          <w:sz w:val="20"/>
          <w:szCs w:val="20"/>
          <w:color w:val="auto"/>
        </w:rPr>
      </w:pPr>
      <w:r>
        <w:rPr>
          <w:rFonts w:ascii="Arial" w:cs="Arial" w:eastAsia="Arial" w:hAnsi="Arial"/>
          <w:sz w:val="16"/>
          <w:szCs w:val="16"/>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49" w:lineRule="exact"/>
        <w:rPr>
          <w:sz w:val="20"/>
          <w:szCs w:val="20"/>
          <w:color w:val="auto"/>
        </w:rPr>
      </w:pPr>
    </w:p>
    <w:p>
      <w:pPr>
        <w:ind w:right="180" w:firstLine="297"/>
        <w:spacing w:after="0" w:line="274" w:lineRule="auto"/>
        <w:rPr>
          <w:sz w:val="20"/>
          <w:szCs w:val="20"/>
          <w:color w:val="auto"/>
        </w:rPr>
      </w:pPr>
      <w:r>
        <w:rPr>
          <w:rFonts w:ascii="Arial" w:cs="Arial" w:eastAsia="Arial" w:hAnsi="Arial"/>
          <w:sz w:val="16"/>
          <w:szCs w:val="16"/>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62" w:lineRule="exact"/>
        <w:rPr>
          <w:sz w:val="20"/>
          <w:szCs w:val="20"/>
          <w:color w:val="auto"/>
        </w:rPr>
      </w:pPr>
    </w:p>
    <w:p>
      <w:pPr>
        <w:ind w:firstLine="297"/>
        <w:spacing w:after="0" w:line="261" w:lineRule="auto"/>
        <w:rPr>
          <w:sz w:val="20"/>
          <w:szCs w:val="20"/>
          <w:color w:val="auto"/>
        </w:rPr>
      </w:pPr>
      <w:r>
        <w:rPr>
          <w:rFonts w:ascii="Arial" w:cs="Arial" w:eastAsia="Arial" w:hAnsi="Arial"/>
          <w:sz w:val="16"/>
          <w:szCs w:val="16"/>
          <w:color w:val="auto"/>
        </w:rPr>
        <w:t>In addition, we are required to report any control deficiencies that constitute a “material weakness” in our internal control over financial reporting. We had previously identified material weaknesses in our internal control over financial reporting in 2020, which has since been remediated. However,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7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49" w:lineRule="exact"/>
        <w:rPr>
          <w:sz w:val="20"/>
          <w:szCs w:val="20"/>
          <w:color w:val="auto"/>
        </w:rPr>
      </w:pPr>
    </w:p>
    <w:p>
      <w:pPr>
        <w:jc w:val="both"/>
        <w:ind w:right="100" w:firstLine="297"/>
        <w:spacing w:after="0" w:line="274" w:lineRule="auto"/>
        <w:rPr>
          <w:sz w:val="20"/>
          <w:szCs w:val="20"/>
          <w:color w:val="auto"/>
        </w:rPr>
      </w:pPr>
      <w:r>
        <w:rPr>
          <w:rFonts w:ascii="Arial" w:cs="Arial" w:eastAsia="Arial" w:hAnsi="Arial"/>
          <w:sz w:val="16"/>
          <w:szCs w:val="16"/>
          <w:color w:val="231F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There is no guarantee that an active and liquid public market for our securities will be sustained.</w:t>
      </w:r>
    </w:p>
    <w:p>
      <w:pPr>
        <w:spacing w:after="0" w:line="212" w:lineRule="exact"/>
        <w:rPr>
          <w:sz w:val="20"/>
          <w:szCs w:val="20"/>
          <w:color w:val="auto"/>
        </w:rPr>
      </w:pPr>
    </w:p>
    <w:p>
      <w:pPr>
        <w:ind w:right="420" w:firstLine="297"/>
        <w:spacing w:after="0" w:line="326" w:lineRule="auto"/>
        <w:rPr>
          <w:sz w:val="20"/>
          <w:szCs w:val="20"/>
          <w:color w:val="auto"/>
        </w:rPr>
      </w:pPr>
      <w:r>
        <w:rPr>
          <w:rFonts w:ascii="Arial" w:cs="Arial" w:eastAsia="Arial" w:hAnsi="Arial"/>
          <w:sz w:val="15"/>
          <w:szCs w:val="15"/>
          <w:color w:val="231F20"/>
        </w:rPr>
        <w:t>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125" w:lineRule="exact"/>
        <w:rPr>
          <w:sz w:val="20"/>
          <w:szCs w:val="20"/>
          <w:color w:val="auto"/>
        </w:rPr>
      </w:pPr>
    </w:p>
    <w:p>
      <w:pPr>
        <w:ind w:left="600" w:hanging="304"/>
        <w:spacing w:after="0"/>
        <w:tabs>
          <w:tab w:leader="none" w:pos="60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holders of our common stock may not be able to liquidate their investment in shares of our common stock;</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holders of our common stock may not be able to resell their shares of our common stock at favorable prices, or at all;</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market price of shares of our common stock may experience significant price volatility; and</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there may be less efficiency in carrying out purchase and sale orders with respect to our common stock.</w:t>
      </w:r>
    </w:p>
    <w:p>
      <w:pPr>
        <w:spacing w:after="0" w:line="212" w:lineRule="exact"/>
        <w:rPr>
          <w:sz w:val="20"/>
          <w:szCs w:val="20"/>
          <w:color w:val="auto"/>
        </w:rPr>
      </w:pPr>
    </w:p>
    <w:p>
      <w:pPr>
        <w:jc w:val="both"/>
        <w:ind w:right="120" w:firstLine="297"/>
        <w:spacing w:after="0" w:line="300" w:lineRule="auto"/>
        <w:rPr>
          <w:sz w:val="20"/>
          <w:szCs w:val="20"/>
          <w:color w:val="auto"/>
        </w:rPr>
      </w:pPr>
      <w:r>
        <w:rPr>
          <w:rFonts w:ascii="Arial" w:cs="Arial" w:eastAsia="Arial" w:hAnsi="Arial"/>
          <w:sz w:val="15"/>
          <w:szCs w:val="15"/>
          <w:color w:val="231F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price of our common stock is volatile, and this volatility may negatively impact the market price of our common stock and the trading price of the 2026 Notes.</w:t>
      </w:r>
    </w:p>
    <w:p>
      <w:pPr>
        <w:spacing w:after="0" w:line="235" w:lineRule="exact"/>
        <w:rPr>
          <w:sz w:val="20"/>
          <w:szCs w:val="20"/>
          <w:color w:val="auto"/>
        </w:rPr>
      </w:pPr>
    </w:p>
    <w:p>
      <w:pPr>
        <w:ind w:right="60" w:firstLine="297"/>
        <w:spacing w:after="0" w:line="288" w:lineRule="auto"/>
        <w:rPr>
          <w:sz w:val="20"/>
          <w:szCs w:val="20"/>
          <w:color w:val="auto"/>
        </w:rPr>
      </w:pPr>
      <w:r>
        <w:rPr>
          <w:rFonts w:ascii="Arial" w:cs="Arial" w:eastAsia="Arial" w:hAnsi="Arial"/>
          <w:sz w:val="15"/>
          <w:szCs w:val="15"/>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231F20"/>
        </w:rPr>
        <w:t>Factors affecting the trading price of our securities may include:</w:t>
      </w:r>
    </w:p>
    <w:p>
      <w:pPr>
        <w:spacing w:after="0" w:line="212" w:lineRule="exact"/>
        <w:rPr>
          <w:sz w:val="20"/>
          <w:szCs w:val="20"/>
          <w:color w:val="auto"/>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market conditions in the broader stock market in general, or in our industry in particular;</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actual or anticipated fluctuations in our quarterly financial results or the quarterly financial results of companies perceived to be similar to ours;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changes in the market’s expectations about our operating results;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public’s reaction to our press releases, other public announcements and filings with the SEC;</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5"/>
          <w:szCs w:val="15"/>
          <w:color w:val="231F20"/>
        </w:rPr>
      </w:pPr>
      <w:r>
        <w:rPr>
          <w:rFonts w:ascii="Arial" w:cs="Arial" w:eastAsia="Arial" w:hAnsi="Arial"/>
          <w:sz w:val="15"/>
          <w:szCs w:val="15"/>
          <w:color w:val="231F20"/>
        </w:rPr>
        <w:t>the public’s reaction to the number of unit reservations, financial projections and any other guidance or metrics that we may publicly disclose from time to time;</w:t>
      </w:r>
    </w:p>
    <w:p>
      <w:pPr>
        <w:spacing w:after="0" w:line="223" w:lineRule="exact"/>
        <w:rPr>
          <w:rFonts w:ascii="Arial" w:cs="Arial" w:eastAsia="Arial" w:hAnsi="Arial"/>
          <w:sz w:val="15"/>
          <w:szCs w:val="15"/>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speculation in the press or investment community;</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actual or anticipated developments in our business, competitors’ businesses or the competitive landscape generally;</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operating results failing to meet the expectation of securities analysts or investors in a particular period;</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timing of the achievement of objectives under our business plan and the timing and amount of costs we incur in connection therewith;</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changes in financial estimates and recommendations by securities analysts concerning us or the market in general;</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operating and stock price performance of other companies that investors deem comparable to ours;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changes in laws and regulations affecting our business;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commencement of, or involvement in, litigation or investigations involving us;</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changes in our capital structure, such as future issuances of securities or the incurrence of additional debt;</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volume of our common stock available for public sale;</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any major change in our Board or management;</w:t>
      </w:r>
    </w:p>
    <w:p>
      <w:pPr>
        <w:spacing w:after="0" w:line="212" w:lineRule="exact"/>
        <w:rPr>
          <w:rFonts w:ascii="Arial" w:cs="Arial" w:eastAsia="Arial" w:hAnsi="Arial"/>
          <w:sz w:val="16"/>
          <w:szCs w:val="16"/>
          <w:color w:val="231F20"/>
        </w:rPr>
      </w:pPr>
    </w:p>
    <w:p>
      <w:pPr>
        <w:ind w:left="600" w:right="220" w:hanging="304"/>
        <w:spacing w:after="0" w:line="290" w:lineRule="auto"/>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49" w:lineRule="exact"/>
        <w:rPr>
          <w:rFonts w:ascii="Arial" w:cs="Arial" w:eastAsia="Arial" w:hAnsi="Arial"/>
          <w:sz w:val="16"/>
          <w:szCs w:val="16"/>
          <w:color w:val="231F20"/>
        </w:rPr>
      </w:pPr>
    </w:p>
    <w:p>
      <w:pPr>
        <w:ind w:left="600" w:right="660" w:hanging="304"/>
        <w:spacing w:after="0" w:line="290" w:lineRule="auto"/>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general economic and political conditions, such as recessions, interest rates, pandemics (such as COVID-19), inflation, changes in diplomatic and trade relationships and acts of war or terrorism, and natural disasters; and</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other risk factors listed in this section “Risk Factors.”</w:t>
      </w:r>
    </w:p>
    <w:p>
      <w:pPr>
        <w:spacing w:after="0" w:line="212" w:lineRule="exact"/>
        <w:rPr>
          <w:sz w:val="20"/>
          <w:szCs w:val="20"/>
          <w:color w:val="auto"/>
        </w:rPr>
      </w:pPr>
    </w:p>
    <w:p>
      <w:pPr>
        <w:ind w:right="60" w:firstLine="297"/>
        <w:spacing w:after="0" w:line="281" w:lineRule="auto"/>
        <w:rPr>
          <w:sz w:val="20"/>
          <w:szCs w:val="20"/>
          <w:color w:val="auto"/>
        </w:rPr>
      </w:pPr>
      <w:r>
        <w:rPr>
          <w:rFonts w:ascii="Arial" w:cs="Arial" w:eastAsia="Arial" w:hAnsi="Arial"/>
          <w:sz w:val="15"/>
          <w:szCs w:val="15"/>
          <w:color w:val="231F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3" w:lineRule="exact"/>
        <w:rPr>
          <w:sz w:val="20"/>
          <w:szCs w:val="20"/>
          <w:color w:val="auto"/>
        </w:rPr>
      </w:pPr>
    </w:p>
    <w:p>
      <w:pPr>
        <w:ind w:firstLine="297"/>
        <w:spacing w:after="0" w:line="283" w:lineRule="auto"/>
        <w:rPr>
          <w:sz w:val="20"/>
          <w:szCs w:val="20"/>
          <w:color w:val="auto"/>
        </w:rPr>
      </w:pPr>
      <w:r>
        <w:rPr>
          <w:rFonts w:ascii="Arial" w:cs="Arial" w:eastAsia="Arial" w:hAnsi="Arial"/>
          <w:sz w:val="15"/>
          <w:szCs w:val="15"/>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7" w:name="page88"/>
    <w:bookmarkEnd w:id="87"/>
    <w:p>
      <w:pPr>
        <w:ind w:firstLine="297"/>
        <w:spacing w:after="0" w:line="269" w:lineRule="auto"/>
        <w:rPr>
          <w:sz w:val="20"/>
          <w:szCs w:val="20"/>
          <w:color w:val="auto"/>
        </w:rPr>
      </w:pPr>
      <w:r>
        <w:rPr>
          <w:rFonts w:ascii="Arial" w:cs="Arial" w:eastAsia="Arial" w:hAnsi="Arial"/>
          <w:sz w:val="16"/>
          <w:szCs w:val="16"/>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65"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49" w:lineRule="exact"/>
        <w:rPr>
          <w:sz w:val="20"/>
          <w:szCs w:val="20"/>
          <w:color w:val="auto"/>
        </w:rPr>
      </w:pPr>
    </w:p>
    <w:p>
      <w:pPr>
        <w:ind w:firstLine="297"/>
        <w:spacing w:after="0" w:line="266" w:lineRule="auto"/>
        <w:rPr>
          <w:sz w:val="20"/>
          <w:szCs w:val="20"/>
          <w:color w:val="auto"/>
        </w:rPr>
      </w:pPr>
      <w:r>
        <w:rPr>
          <w:rFonts w:ascii="Arial" w:cs="Arial" w:eastAsia="Arial" w:hAnsi="Arial"/>
          <w:sz w:val="16"/>
          <w:szCs w:val="16"/>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69" w:lineRule="exact"/>
        <w:rPr>
          <w:sz w:val="20"/>
          <w:szCs w:val="20"/>
          <w:color w:val="auto"/>
        </w:rPr>
      </w:pPr>
    </w:p>
    <w:p>
      <w:pPr>
        <w:ind w:right="200" w:firstLine="297"/>
        <w:spacing w:after="0" w:line="366" w:lineRule="auto"/>
        <w:rPr>
          <w:sz w:val="20"/>
          <w:szCs w:val="20"/>
          <w:color w:val="auto"/>
        </w:rPr>
      </w:pPr>
      <w:r>
        <w:rPr>
          <w:rFonts w:ascii="Arial" w:cs="Arial" w:eastAsia="Arial" w:hAnsi="Arial"/>
          <w:sz w:val="14"/>
          <w:szCs w:val="14"/>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03" w:lineRule="exact"/>
        <w:rPr>
          <w:sz w:val="20"/>
          <w:szCs w:val="20"/>
          <w:color w:val="auto"/>
        </w:rPr>
      </w:pPr>
    </w:p>
    <w:p>
      <w:pPr>
        <w:ind w:firstLine="297"/>
        <w:spacing w:after="0" w:line="288" w:lineRule="auto"/>
        <w:rPr>
          <w:sz w:val="20"/>
          <w:szCs w:val="20"/>
          <w:color w:val="auto"/>
        </w:rPr>
      </w:pPr>
      <w:r>
        <w:rPr>
          <w:rFonts w:ascii="Arial" w:cs="Arial" w:eastAsia="Arial" w:hAnsi="Arial"/>
          <w:sz w:val="15"/>
          <w:szCs w:val="15"/>
          <w:color w:val="231F20"/>
        </w:rPr>
        <w:t>Pursuant to the Investor Rights Agreement, the Sponsor has agreed to restrictions on the sale or transfer of shares of common stock, Private Placement Warrants and Working Capital Warrants held by it for a period of 18 months after the Closing of the Transactions. However, following the expiration of this lock-up period, the Sponsor will not be restricted from selling our securities held by it, other than by applicable securities laws. 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53" w:lineRule="exact"/>
        <w:rPr>
          <w:sz w:val="20"/>
          <w:szCs w:val="20"/>
          <w:color w:val="auto"/>
        </w:rPr>
      </w:pPr>
    </w:p>
    <w:p>
      <w:pPr>
        <w:ind w:right="540"/>
        <w:spacing w:after="0" w:line="366" w:lineRule="auto"/>
        <w:rPr>
          <w:sz w:val="20"/>
          <w:szCs w:val="20"/>
          <w:color w:val="auto"/>
        </w:rPr>
      </w:pPr>
      <w:r>
        <w:rPr>
          <w:rFonts w:ascii="Arial" w:cs="Arial" w:eastAsia="Arial" w:hAnsi="Arial"/>
          <w:sz w:val="14"/>
          <w:szCs w:val="14"/>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03" w:lineRule="exact"/>
        <w:rPr>
          <w:sz w:val="20"/>
          <w:szCs w:val="20"/>
          <w:color w:val="auto"/>
        </w:rPr>
      </w:pPr>
    </w:p>
    <w:p>
      <w:pPr>
        <w:ind w:right="20" w:firstLine="297"/>
        <w:spacing w:after="0" w:line="281" w:lineRule="auto"/>
        <w:rPr>
          <w:sz w:val="20"/>
          <w:szCs w:val="20"/>
          <w:color w:val="auto"/>
        </w:rPr>
      </w:pPr>
      <w:r>
        <w:rPr>
          <w:rFonts w:ascii="Arial" w:cs="Arial" w:eastAsia="Arial" w:hAnsi="Arial"/>
          <w:sz w:val="15"/>
          <w:szCs w:val="15"/>
          <w:color w:val="231F20"/>
        </w:rPr>
        <w:t xml:space="preserve">As of June 30, 2022, Ayar held approximately </w:t>
      </w:r>
      <w:r>
        <w:rPr>
          <w:rFonts w:ascii="Arial" w:cs="Arial" w:eastAsia="Arial" w:hAnsi="Arial"/>
          <w:sz w:val="15"/>
          <w:szCs w:val="15"/>
          <w:color w:val="000000"/>
        </w:rPr>
        <w:t>60.7%</w:t>
      </w:r>
      <w:r>
        <w:rPr>
          <w:rFonts w:ascii="Arial" w:cs="Arial" w:eastAsia="Arial" w:hAnsi="Arial"/>
          <w:sz w:val="15"/>
          <w:szCs w:val="15"/>
          <w:color w:val="231F20"/>
        </w:rPr>
        <w:t xml:space="preserve">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63" w:lineRule="exact"/>
        <w:rPr>
          <w:sz w:val="20"/>
          <w:szCs w:val="20"/>
          <w:color w:val="auto"/>
        </w:rPr>
      </w:pPr>
    </w:p>
    <w:p>
      <w:pPr>
        <w:ind w:right="40" w:firstLine="297"/>
        <w:spacing w:after="0" w:line="264" w:lineRule="auto"/>
        <w:rPr>
          <w:sz w:val="20"/>
          <w:szCs w:val="20"/>
          <w:color w:val="auto"/>
        </w:rPr>
      </w:pPr>
      <w:r>
        <w:rPr>
          <w:rFonts w:ascii="Arial" w:cs="Arial" w:eastAsia="Arial" w:hAnsi="Arial"/>
          <w:sz w:val="16"/>
          <w:szCs w:val="16"/>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Sponsor and Ayar beneficially own a significant equity interest in us and may take actions that conflict with your interests.</w:t>
      </w:r>
    </w:p>
    <w:p>
      <w:pPr>
        <w:spacing w:after="0" w:line="212" w:lineRule="exact"/>
        <w:rPr>
          <w:sz w:val="20"/>
          <w:szCs w:val="20"/>
          <w:color w:val="auto"/>
        </w:rPr>
      </w:pPr>
    </w:p>
    <w:p>
      <w:pPr>
        <w:jc w:val="both"/>
        <w:ind w:right="140" w:firstLine="297"/>
        <w:spacing w:after="0" w:line="269" w:lineRule="auto"/>
        <w:rPr>
          <w:sz w:val="20"/>
          <w:szCs w:val="20"/>
          <w:color w:val="auto"/>
        </w:rPr>
      </w:pPr>
      <w:r>
        <w:rPr>
          <w:rFonts w:ascii="Arial" w:cs="Arial" w:eastAsia="Arial" w:hAnsi="Arial"/>
          <w:sz w:val="16"/>
          <w:szCs w:val="16"/>
          <w:color w:val="231F20"/>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anticipate paying any cash dividends for the foreseeable future.</w:t>
      </w:r>
    </w:p>
    <w:p>
      <w:pPr>
        <w:spacing w:after="0" w:line="212" w:lineRule="exact"/>
        <w:rPr>
          <w:sz w:val="20"/>
          <w:szCs w:val="20"/>
          <w:color w:val="auto"/>
        </w:rPr>
      </w:pPr>
    </w:p>
    <w:p>
      <w:pPr>
        <w:ind w:right="60" w:firstLine="297"/>
        <w:spacing w:after="0" w:line="274" w:lineRule="auto"/>
        <w:rPr>
          <w:sz w:val="20"/>
          <w:szCs w:val="20"/>
          <w:color w:val="auto"/>
        </w:rPr>
      </w:pPr>
      <w:r>
        <w:rPr>
          <w:rFonts w:ascii="Arial" w:cs="Arial" w:eastAsia="Arial" w:hAnsi="Arial"/>
          <w:sz w:val="16"/>
          <w:szCs w:val="16"/>
          <w:color w:val="231F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8" w:name="page89"/>
    <w:bookmarkEnd w:id="88"/>
    <w:p>
      <w:pPr>
        <w:ind w:right="320" w:firstLine="297"/>
        <w:spacing w:after="0" w:line="274" w:lineRule="auto"/>
        <w:rPr>
          <w:sz w:val="20"/>
          <w:szCs w:val="20"/>
          <w:color w:val="auto"/>
        </w:rPr>
      </w:pPr>
      <w:r>
        <w:rPr>
          <w:rFonts w:ascii="Arial" w:cs="Arial" w:eastAsia="Arial" w:hAnsi="Arial"/>
          <w:sz w:val="16"/>
          <w:szCs w:val="16"/>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62" w:lineRule="exact"/>
        <w:rPr>
          <w:sz w:val="20"/>
          <w:szCs w:val="20"/>
          <w:color w:val="auto"/>
        </w:rPr>
      </w:pPr>
    </w:p>
    <w:p>
      <w:pPr>
        <w:ind w:right="640" w:firstLine="297"/>
        <w:spacing w:after="0" w:line="290" w:lineRule="auto"/>
        <w:rPr>
          <w:sz w:val="20"/>
          <w:szCs w:val="20"/>
          <w:color w:val="auto"/>
        </w:rPr>
      </w:pPr>
      <w:r>
        <w:rPr>
          <w:rFonts w:ascii="Arial" w:cs="Arial" w:eastAsia="Arial" w:hAnsi="Arial"/>
          <w:sz w:val="16"/>
          <w:szCs w:val="16"/>
          <w:color w:val="231F20"/>
        </w:rPr>
        <w:t>See the section titled “Management’s Discussion and Analysis of Financial Condition and Results of Operations — Liquidity and Capital Resources” in this Quarterly Report.</w:t>
      </w:r>
    </w:p>
    <w:p>
      <w:pPr>
        <w:spacing w:after="0" w:line="149"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b w:val="1"/>
          <w:bCs w:val="1"/>
          <w:i w:val="1"/>
          <w:iCs w:val="1"/>
          <w:color w:val="231F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5"/>
          <w:szCs w:val="15"/>
          <w:color w:val="231F20"/>
        </w:rPr>
        <w:t>Under our current bylaws, unless we consent in writing to the selection of an alternative forum, the sole and exclusive forum will be a state court within the State of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231F20"/>
        </w:rPr>
        <w:t>Delaware (or, if no state court located within the State of Delaware has jurisdiction, the federal district court for the District of Delaware) for:</w:t>
      </w:r>
    </w:p>
    <w:p>
      <w:pPr>
        <w:spacing w:after="0" w:line="201" w:lineRule="exact"/>
        <w:rPr>
          <w:sz w:val="20"/>
          <w:szCs w:val="20"/>
          <w:color w:val="auto"/>
        </w:rPr>
      </w:pPr>
    </w:p>
    <w:p>
      <w:pPr>
        <w:ind w:left="600" w:hanging="304"/>
        <w:spacing w:after="0"/>
        <w:tabs>
          <w:tab w:leader="none" w:pos="60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any derivative action or proceeding brought on our behalf;</w:t>
      </w:r>
    </w:p>
    <w:p>
      <w:pPr>
        <w:spacing w:after="0" w:line="212" w:lineRule="exact"/>
        <w:rPr>
          <w:rFonts w:ascii="Arial" w:cs="Arial" w:eastAsia="Arial" w:hAnsi="Arial"/>
          <w:sz w:val="16"/>
          <w:szCs w:val="16"/>
          <w:color w:val="231F20"/>
        </w:rPr>
      </w:pPr>
    </w:p>
    <w:p>
      <w:pPr>
        <w:ind w:left="600" w:hanging="304"/>
        <w:spacing w:after="0"/>
        <w:tabs>
          <w:tab w:leader="none" w:pos="60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any action asserting a claim of breach of a fiduciary duty owed by any of our directors, officers or employees to us or our stockholders;</w:t>
      </w:r>
    </w:p>
    <w:p>
      <w:pPr>
        <w:spacing w:after="0" w:line="212" w:lineRule="exact"/>
        <w:rPr>
          <w:rFonts w:ascii="Arial" w:cs="Arial" w:eastAsia="Arial" w:hAnsi="Arial"/>
          <w:sz w:val="16"/>
          <w:szCs w:val="16"/>
          <w:color w:val="231F20"/>
        </w:rPr>
      </w:pPr>
    </w:p>
    <w:p>
      <w:pPr>
        <w:ind w:left="600" w:right="140" w:hanging="304"/>
        <w:spacing w:after="0" w:line="290" w:lineRule="auto"/>
        <w:tabs>
          <w:tab w:leader="none" w:pos="60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any action asserting a claim against us or any of our directors or officers or other employees governed by the internal affairs doctrine.</w:t>
      </w:r>
    </w:p>
    <w:p>
      <w:pPr>
        <w:spacing w:after="0" w:line="212" w:lineRule="exact"/>
        <w:rPr>
          <w:sz w:val="20"/>
          <w:szCs w:val="20"/>
          <w:color w:val="auto"/>
        </w:rPr>
      </w:pPr>
    </w:p>
    <w:p>
      <w:pPr>
        <w:ind w:firstLine="297"/>
        <w:spacing w:after="0" w:line="279" w:lineRule="auto"/>
        <w:rPr>
          <w:sz w:val="20"/>
          <w:szCs w:val="20"/>
          <w:color w:val="auto"/>
        </w:rPr>
      </w:pPr>
      <w:r>
        <w:rPr>
          <w:rFonts w:ascii="Arial" w:cs="Arial" w:eastAsia="Arial" w:hAnsi="Arial"/>
          <w:sz w:val="15"/>
          <w:szCs w:val="15"/>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3"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6"/>
          <w:szCs w:val="16"/>
          <w:color w:val="231F20"/>
        </w:rPr>
        <w:t>Our current certificate of incorporation and our current bylaws provide for, among other things:</w:t>
      </w:r>
    </w:p>
    <w:p>
      <w:pPr>
        <w:spacing w:after="0" w:line="212" w:lineRule="exact"/>
        <w:rPr>
          <w:sz w:val="20"/>
          <w:szCs w:val="20"/>
          <w:color w:val="auto"/>
        </w:rPr>
      </w:pPr>
    </w:p>
    <w:p>
      <w:pPr>
        <w:ind w:left="600" w:hanging="304"/>
        <w:spacing w:after="0" w:line="290" w:lineRule="auto"/>
        <w:tabs>
          <w:tab w:leader="none" w:pos="60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49" w:lineRule="exact"/>
        <w:rPr>
          <w:rFonts w:ascii="Arial" w:cs="Arial" w:eastAsia="Arial" w:hAnsi="Arial"/>
          <w:sz w:val="16"/>
          <w:szCs w:val="16"/>
          <w:color w:val="231F20"/>
        </w:rPr>
      </w:pPr>
    </w:p>
    <w:p>
      <w:pPr>
        <w:ind w:left="600" w:right="20" w:hanging="304"/>
        <w:spacing w:after="0" w:line="290" w:lineRule="auto"/>
        <w:tabs>
          <w:tab w:leader="none" w:pos="60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subject to the Investor Rights Agreement, advance notice for nominations of directors by stockholders and for stockholders to include matters to be considered at stockholder meetings; and</w:t>
      </w:r>
    </w:p>
    <w:p>
      <w:pPr>
        <w:spacing w:after="0" w:line="149" w:lineRule="exact"/>
        <w:rPr>
          <w:rFonts w:ascii="Arial" w:cs="Arial" w:eastAsia="Arial" w:hAnsi="Arial"/>
          <w:sz w:val="16"/>
          <w:szCs w:val="16"/>
          <w:color w:val="231F20"/>
        </w:rPr>
      </w:pPr>
    </w:p>
    <w:p>
      <w:pPr>
        <w:ind w:left="600" w:hanging="304"/>
        <w:spacing w:after="0"/>
        <w:tabs>
          <w:tab w:leader="none" w:pos="60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certain limitations on convening special stockholder meetings.</w:t>
      </w:r>
    </w:p>
    <w:p>
      <w:pPr>
        <w:spacing w:after="0" w:line="212" w:lineRule="exact"/>
        <w:rPr>
          <w:sz w:val="20"/>
          <w:szCs w:val="20"/>
          <w:color w:val="auto"/>
        </w:rPr>
      </w:pPr>
    </w:p>
    <w:p>
      <w:pPr>
        <w:ind w:right="100" w:firstLine="297"/>
        <w:spacing w:after="0" w:line="274" w:lineRule="auto"/>
        <w:rPr>
          <w:sz w:val="20"/>
          <w:szCs w:val="20"/>
          <w:color w:val="auto"/>
        </w:rPr>
      </w:pPr>
      <w:r>
        <w:rPr>
          <w:rFonts w:ascii="Arial" w:cs="Arial" w:eastAsia="Arial" w:hAnsi="Arial"/>
          <w:sz w:val="16"/>
          <w:szCs w:val="16"/>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62" w:lineRule="exact"/>
        <w:rPr>
          <w:sz w:val="20"/>
          <w:szCs w:val="20"/>
          <w:color w:val="auto"/>
        </w:rPr>
      </w:pPr>
    </w:p>
    <w:p>
      <w:pPr>
        <w:jc w:val="center"/>
        <w:ind w:left="5540" w:right="280" w:hanging="5244"/>
        <w:spacing w:after="0" w:line="807" w:lineRule="auto"/>
        <w:tabs>
          <w:tab w:leader="none" w:pos="585" w:val="left"/>
        </w:tabs>
        <w:numPr>
          <w:ilvl w:val="0"/>
          <w:numId w:val="42"/>
        </w:numPr>
        <w:rPr>
          <w:rFonts w:ascii="Arial" w:cs="Arial" w:eastAsia="Arial" w:hAnsi="Arial"/>
          <w:sz w:val="16"/>
          <w:szCs w:val="16"/>
          <w:color w:val="231F20"/>
        </w:rPr>
      </w:pPr>
      <w:r>
        <w:rPr>
          <w:rFonts w:ascii="Arial" w:cs="Arial" w:eastAsia="Arial" w:hAnsi="Arial"/>
          <w:sz w:val="16"/>
          <w:szCs w:val="16"/>
          <w:color w:val="231F20"/>
        </w:rPr>
        <w:t xml:space="preserve">prior to such time, the Board approved either the business combination or the transaction that resulted in the stockholder becoming an interested stockholder; </w:t>
      </w:r>
      <w:r>
        <w:rPr>
          <w:rFonts w:ascii="Arial" w:cs="Arial" w:eastAsia="Arial" w:hAnsi="Arial"/>
          <w:sz w:val="16"/>
          <w:szCs w:val="16"/>
          <w:color w:val="000000"/>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4375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9" w:name="page90"/>
    <w:bookmarkEnd w:id="89"/>
    <w:p>
      <w:pPr>
        <w:ind w:left="600" w:right="380" w:hanging="304"/>
        <w:spacing w:after="0" w:line="290" w:lineRule="auto"/>
        <w:tabs>
          <w:tab w:leader="none" w:pos="600" w:val="left"/>
        </w:tabs>
        <w:numPr>
          <w:ilvl w:val="0"/>
          <w:numId w:val="43"/>
        </w:numPr>
        <w:rPr>
          <w:rFonts w:ascii="Arial" w:cs="Arial" w:eastAsia="Arial" w:hAnsi="Arial"/>
          <w:sz w:val="16"/>
          <w:szCs w:val="16"/>
          <w:color w:val="231F20"/>
        </w:rPr>
      </w:pPr>
      <w:r>
        <w:rPr>
          <w:rFonts w:ascii="Arial" w:cs="Arial" w:eastAsia="Arial" w:hAnsi="Arial"/>
          <w:sz w:val="16"/>
          <w:szCs w:val="16"/>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49" w:lineRule="exact"/>
        <w:rPr>
          <w:rFonts w:ascii="Arial" w:cs="Arial" w:eastAsia="Arial" w:hAnsi="Arial"/>
          <w:sz w:val="16"/>
          <w:szCs w:val="16"/>
          <w:color w:val="231F20"/>
        </w:rPr>
      </w:pPr>
    </w:p>
    <w:p>
      <w:pPr>
        <w:ind w:left="600" w:right="140" w:hanging="304"/>
        <w:spacing w:after="0" w:line="290" w:lineRule="auto"/>
        <w:tabs>
          <w:tab w:leader="none" w:pos="600" w:val="left"/>
        </w:tabs>
        <w:numPr>
          <w:ilvl w:val="0"/>
          <w:numId w:val="43"/>
        </w:numPr>
        <w:rPr>
          <w:rFonts w:ascii="Arial" w:cs="Arial" w:eastAsia="Arial" w:hAnsi="Arial"/>
          <w:sz w:val="16"/>
          <w:szCs w:val="16"/>
          <w:color w:val="231F20"/>
        </w:rPr>
      </w:pPr>
      <w:r>
        <w:rPr>
          <w:rFonts w:ascii="Arial" w:cs="Arial" w:eastAsia="Arial" w:hAnsi="Arial"/>
          <w:sz w:val="16"/>
          <w:szCs w:val="16"/>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49" w:lineRule="exact"/>
        <w:rPr>
          <w:sz w:val="20"/>
          <w:szCs w:val="20"/>
          <w:color w:val="auto"/>
        </w:rPr>
      </w:pPr>
    </w:p>
    <w:p>
      <w:pPr>
        <w:ind w:right="80" w:firstLine="297"/>
        <w:spacing w:after="0" w:line="269" w:lineRule="auto"/>
        <w:rPr>
          <w:sz w:val="20"/>
          <w:szCs w:val="20"/>
          <w:color w:val="auto"/>
        </w:rPr>
      </w:pPr>
      <w:r>
        <w:rPr>
          <w:rFonts w:ascii="Arial" w:cs="Arial" w:eastAsia="Arial" w:hAnsi="Arial"/>
          <w:sz w:val="16"/>
          <w:szCs w:val="16"/>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65"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69" w:lineRule="exact"/>
        <w:rPr>
          <w:sz w:val="20"/>
          <w:szCs w:val="20"/>
          <w:color w:val="auto"/>
        </w:rPr>
      </w:pPr>
    </w:p>
    <w:p>
      <w:pPr>
        <w:ind w:right="20" w:firstLine="297"/>
        <w:spacing w:after="0" w:line="266" w:lineRule="auto"/>
        <w:rPr>
          <w:sz w:val="20"/>
          <w:szCs w:val="20"/>
          <w:color w:val="auto"/>
        </w:rPr>
      </w:pPr>
      <w:r>
        <w:rPr>
          <w:rFonts w:ascii="Arial" w:cs="Arial" w:eastAsia="Arial" w:hAnsi="Arial"/>
          <w:sz w:val="16"/>
          <w:szCs w:val="16"/>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69" w:lineRule="exact"/>
        <w:rPr>
          <w:sz w:val="20"/>
          <w:szCs w:val="20"/>
          <w:color w:val="auto"/>
        </w:rPr>
      </w:pPr>
    </w:p>
    <w:p>
      <w:pPr>
        <w:ind w:right="580"/>
        <w:spacing w:after="0" w:line="326" w:lineRule="auto"/>
        <w:rPr>
          <w:sz w:val="20"/>
          <w:szCs w:val="20"/>
          <w:color w:val="auto"/>
        </w:rPr>
      </w:pPr>
      <w:r>
        <w:rPr>
          <w:rFonts w:ascii="Arial" w:cs="Arial" w:eastAsia="Arial" w:hAnsi="Arial"/>
          <w:sz w:val="15"/>
          <w:szCs w:val="15"/>
          <w:b w:val="1"/>
          <w:bCs w:val="1"/>
          <w:i w:val="1"/>
          <w:iCs w:val="1"/>
          <w:color w:val="231F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25" w:lineRule="exact"/>
        <w:rPr>
          <w:sz w:val="20"/>
          <w:szCs w:val="20"/>
          <w:color w:val="auto"/>
        </w:rPr>
      </w:pPr>
    </w:p>
    <w:p>
      <w:pPr>
        <w:ind w:firstLine="297"/>
        <w:spacing w:after="0" w:line="292" w:lineRule="auto"/>
        <w:rPr>
          <w:sz w:val="20"/>
          <w:szCs w:val="20"/>
          <w:color w:val="auto"/>
        </w:rPr>
      </w:pPr>
      <w:r>
        <w:rPr>
          <w:rFonts w:ascii="Arial" w:cs="Arial" w:eastAsia="Arial" w:hAnsi="Arial"/>
          <w:sz w:val="15"/>
          <w:szCs w:val="15"/>
          <w:color w:val="231F20"/>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3"/>
        </w:trPr>
        <w:tc>
          <w:tcPr>
            <w:tcW w:w="7160" w:type="dxa"/>
            <w:vAlign w:val="bottom"/>
            <w:gridSpan w:val="25"/>
          </w:tcPr>
          <w:p>
            <w:pPr>
              <w:spacing w:after="0"/>
              <w:rPr>
                <w:sz w:val="20"/>
                <w:szCs w:val="20"/>
                <w:color w:val="auto"/>
              </w:rPr>
            </w:pPr>
            <w:r>
              <w:rPr>
                <w:rFonts w:ascii="Arial" w:cs="Arial" w:eastAsia="Arial" w:hAnsi="Arial"/>
                <w:sz w:val="16"/>
                <w:szCs w:val="16"/>
                <w:b w:val="1"/>
                <w:bCs w:val="1"/>
                <w:color w:val="auto"/>
              </w:rPr>
              <w:t>Item 6. Exhibits.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27"/>
          </w:tcPr>
          <w:p>
            <w:pPr>
              <w:jc w:val="center"/>
              <w:spacing w:after="0"/>
              <w:rPr>
                <w:sz w:val="20"/>
                <w:szCs w:val="20"/>
                <w:color w:val="auto"/>
              </w:rPr>
            </w:pPr>
            <w:r>
              <w:rPr>
                <w:rFonts w:ascii="Arial" w:cs="Arial" w:eastAsia="Arial" w:hAnsi="Arial"/>
                <w:sz w:val="16"/>
                <w:szCs w:val="16"/>
                <w:color w:val="auto"/>
                <w:w w:val="94"/>
              </w:rPr>
              <w:t>The exhibits listed on the Exhibit Index to this Form 10-Q are filed herewith or incorporated by reference herein:</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13"/>
          </w:tcPr>
          <w:p>
            <w:pPr>
              <w:ind w:left="160"/>
              <w:spacing w:after="0"/>
              <w:rPr>
                <w:sz w:val="20"/>
                <w:szCs w:val="20"/>
                <w:color w:val="auto"/>
              </w:rPr>
            </w:pPr>
            <w:r>
              <w:rPr>
                <w:rFonts w:ascii="Arial" w:cs="Arial" w:eastAsia="Arial" w:hAnsi="Arial"/>
                <w:sz w:val="16"/>
                <w:szCs w:val="16"/>
                <w:b w:val="1"/>
                <w:bCs w:val="1"/>
                <w:color w:val="auto"/>
              </w:rPr>
              <w:t>EXHIBIT INDEX</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60" w:type="dxa"/>
            <w:vAlign w:val="bottom"/>
            <w:gridSpan w:val="6"/>
            <w:vMerge w:val="restart"/>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File</w:t>
            </w: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Filing</w:t>
            </w:r>
          </w:p>
        </w:tc>
        <w:tc>
          <w:tcPr>
            <w:tcW w:w="860" w:type="dxa"/>
            <w:vAlign w:val="bottom"/>
            <w:gridSpan w:val="3"/>
          </w:tcPr>
          <w:p>
            <w:pPr>
              <w:jc w:val="center"/>
              <w:ind w:left="18"/>
              <w:spacing w:after="0" w:line="162" w:lineRule="exact"/>
              <w:rPr>
                <w:sz w:val="20"/>
                <w:szCs w:val="20"/>
                <w:color w:val="auto"/>
              </w:rPr>
            </w:pPr>
            <w:r>
              <w:rPr>
                <w:rFonts w:ascii="Arial" w:cs="Arial" w:eastAsia="Arial" w:hAnsi="Arial"/>
                <w:sz w:val="16"/>
                <w:szCs w:val="16"/>
                <w:b w:val="1"/>
                <w:bCs w:val="1"/>
                <w:color w:val="auto"/>
                <w:w w:val="97"/>
              </w:rPr>
              <w:t>Exhibit</w:t>
            </w:r>
          </w:p>
        </w:tc>
        <w:tc>
          <w:tcPr>
            <w:tcW w:w="76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9"/>
              </w:rPr>
              <w:t>Number</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0" w:type="dxa"/>
            <w:vAlign w:val="bottom"/>
            <w:gridSpan w:val="16"/>
          </w:tcPr>
          <w:p>
            <w:pPr>
              <w:jc w:val="center"/>
              <w:ind w:right="1500"/>
              <w:spacing w:after="0"/>
              <w:rPr>
                <w:sz w:val="20"/>
                <w:szCs w:val="20"/>
                <w:color w:val="auto"/>
              </w:rPr>
            </w:pPr>
            <w:r>
              <w:rPr>
                <w:rFonts w:ascii="Arial" w:cs="Arial" w:eastAsia="Arial" w:hAnsi="Arial"/>
                <w:sz w:val="16"/>
                <w:szCs w:val="16"/>
                <w:b w:val="1"/>
                <w:bCs w:val="1"/>
                <w:color w:val="auto"/>
                <w:w w:val="94"/>
              </w:rPr>
              <w:t>Exhibit Description</w:t>
            </w:r>
          </w:p>
        </w:tc>
        <w:tc>
          <w:tcPr>
            <w:tcW w:w="6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Number</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860" w:type="dxa"/>
            <w:vAlign w:val="bottom"/>
            <w:gridSpan w:val="3"/>
          </w:tcPr>
          <w:p>
            <w:pPr>
              <w:jc w:val="center"/>
              <w:ind w:left="38"/>
              <w:spacing w:after="0"/>
              <w:rPr>
                <w:sz w:val="20"/>
                <w:szCs w:val="20"/>
                <w:color w:val="auto"/>
              </w:rPr>
            </w:pPr>
            <w:r>
              <w:rPr>
                <w:rFonts w:ascii="Arial" w:cs="Arial" w:eastAsia="Arial" w:hAnsi="Arial"/>
                <w:sz w:val="16"/>
                <w:szCs w:val="16"/>
                <w:b w:val="1"/>
                <w:bCs w:val="1"/>
                <w:color w:val="auto"/>
                <w:w w:val="95"/>
              </w:rPr>
              <w:t>Number</w:t>
            </w:r>
          </w:p>
        </w:tc>
        <w:tc>
          <w:tcPr>
            <w:tcW w:w="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Borders>
              <w:top w:val="single" w:sz="8" w:color="auto"/>
            </w:tcBorders>
            <w:gridSpan w:val="4"/>
          </w:tcPr>
          <w:p>
            <w:pPr>
              <w:jc w:val="center"/>
              <w:ind w:left="98"/>
              <w:spacing w:after="0" w:line="155" w:lineRule="exact"/>
              <w:rPr>
                <w:rFonts w:ascii="Arial" w:cs="Arial" w:eastAsia="Arial" w:hAnsi="Arial"/>
                <w:sz w:val="16"/>
                <w:szCs w:val="16"/>
                <w:color w:val="0000EE"/>
                <w:w w:val="89"/>
              </w:rPr>
            </w:pPr>
            <w:hyperlink r:id="rId138">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w:t>
              </w:r>
            </w:hyperlink>
          </w:p>
        </w:tc>
        <w:tc>
          <w:tcPr>
            <w:tcW w:w="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40" w:type="dxa"/>
            <w:vAlign w:val="bottom"/>
            <w:tcBorders>
              <w:top w:val="single" w:sz="8" w:color="auto"/>
            </w:tcBorders>
            <w:gridSpan w:val="17"/>
          </w:tcPr>
          <w:p>
            <w:pPr>
              <w:spacing w:after="0" w:line="155" w:lineRule="exact"/>
              <w:rPr>
                <w:rFonts w:ascii="Arial" w:cs="Arial" w:eastAsia="Arial" w:hAnsi="Arial"/>
                <w:sz w:val="16"/>
                <w:szCs w:val="16"/>
                <w:color w:val="0000EE"/>
              </w:rPr>
            </w:pPr>
            <w:hyperlink r:id="rId138">
              <w:r>
                <w:rPr>
                  <w:rFonts w:ascii="Arial" w:cs="Arial" w:eastAsia="Arial" w:hAnsi="Arial"/>
                  <w:sz w:val="16"/>
                  <w:szCs w:val="16"/>
                  <w:color w:val="0000EE"/>
                </w:rPr>
                <w:t>Letter of Undertaking, dated as of April 20, 2022, between Lucid LLC and Ministry of</w:t>
              </w:r>
            </w:hyperlink>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4"/>
          </w:tcPr>
          <w:p>
            <w:pPr>
              <w:jc w:val="center"/>
              <w:ind w:right="200"/>
              <w:spacing w:after="0" w:line="155" w:lineRule="exact"/>
              <w:rPr>
                <w:rFonts w:ascii="Arial" w:cs="Arial" w:eastAsia="Arial" w:hAnsi="Arial"/>
                <w:sz w:val="16"/>
                <w:szCs w:val="16"/>
                <w:color w:val="0000EE"/>
                <w:w w:val="95"/>
              </w:rPr>
            </w:pPr>
            <w:hyperlink r:id="rId138">
              <w:r>
                <w:rPr>
                  <w:rFonts w:ascii="Arial" w:cs="Arial" w:eastAsia="Arial" w:hAnsi="Arial"/>
                  <w:sz w:val="16"/>
                  <w:szCs w:val="16"/>
                  <w:color w:val="0000EE"/>
                  <w:w w:val="95"/>
                </w:rPr>
                <w:t>10-Q</w:t>
              </w:r>
            </w:hyperlink>
          </w:p>
        </w:tc>
        <w:tc>
          <w:tcPr>
            <w:tcW w:w="940" w:type="dxa"/>
            <w:vAlign w:val="bottom"/>
            <w:tcBorders>
              <w:top w:val="single" w:sz="8" w:color="auto"/>
            </w:tcBorders>
            <w:gridSpan w:val="2"/>
          </w:tcPr>
          <w:p>
            <w:pPr>
              <w:jc w:val="center"/>
              <w:ind w:right="220"/>
              <w:spacing w:after="0" w:line="155" w:lineRule="exact"/>
              <w:rPr>
                <w:rFonts w:ascii="Arial" w:cs="Arial" w:eastAsia="Arial" w:hAnsi="Arial"/>
                <w:sz w:val="16"/>
                <w:szCs w:val="16"/>
                <w:color w:val="0000EE"/>
                <w:w w:val="94"/>
              </w:rPr>
            </w:pPr>
            <w:hyperlink r:id="rId138">
              <w:r>
                <w:rPr>
                  <w:rFonts w:ascii="Arial" w:cs="Arial" w:eastAsia="Arial" w:hAnsi="Arial"/>
                  <w:sz w:val="16"/>
                  <w:szCs w:val="16"/>
                  <w:color w:val="0000EE"/>
                  <w:w w:val="94"/>
                </w:rPr>
                <w:t>001-39408</w:t>
              </w:r>
            </w:hyperlink>
          </w:p>
        </w:tc>
        <w:tc>
          <w:tcPr>
            <w:tcW w:w="880" w:type="dxa"/>
            <w:vAlign w:val="bottom"/>
            <w:tcBorders>
              <w:top w:val="single" w:sz="8" w:color="auto"/>
            </w:tcBorders>
          </w:tcPr>
          <w:p>
            <w:pPr>
              <w:jc w:val="center"/>
              <w:spacing w:after="0" w:line="155" w:lineRule="exact"/>
              <w:rPr>
                <w:rFonts w:ascii="Arial" w:cs="Arial" w:eastAsia="Arial" w:hAnsi="Arial"/>
                <w:sz w:val="16"/>
                <w:szCs w:val="16"/>
                <w:color w:val="0000EE"/>
                <w:w w:val="95"/>
              </w:rPr>
            </w:pPr>
            <w:hyperlink r:id="rId138">
              <w:r>
                <w:rPr>
                  <w:rFonts w:ascii="Arial" w:cs="Arial" w:eastAsia="Arial" w:hAnsi="Arial"/>
                  <w:sz w:val="16"/>
                  <w:szCs w:val="16"/>
                  <w:color w:val="0000EE"/>
                  <w:w w:val="95"/>
                </w:rPr>
                <w:t>May 5, 2022</w:t>
              </w:r>
            </w:hyperlink>
          </w:p>
        </w:tc>
        <w:tc>
          <w:tcPr>
            <w:tcW w:w="860" w:type="dxa"/>
            <w:vAlign w:val="bottom"/>
            <w:tcBorders>
              <w:top w:val="single" w:sz="8" w:color="auto"/>
            </w:tcBorders>
            <w:gridSpan w:val="3"/>
          </w:tcPr>
          <w:p>
            <w:pPr>
              <w:jc w:val="center"/>
              <w:ind w:left="18"/>
              <w:spacing w:after="0" w:line="155" w:lineRule="exact"/>
              <w:rPr>
                <w:rFonts w:ascii="Arial" w:cs="Arial" w:eastAsia="Arial" w:hAnsi="Arial"/>
                <w:sz w:val="16"/>
                <w:szCs w:val="16"/>
                <w:color w:val="0000EE"/>
                <w:w w:val="89"/>
              </w:rPr>
            </w:pPr>
            <w:hyperlink r:id="rId138">
              <w:r>
                <w:rPr>
                  <w:rFonts w:ascii="Arial" w:cs="Arial" w:eastAsia="Arial" w:hAnsi="Arial"/>
                  <w:sz w:val="16"/>
                  <w:szCs w:val="16"/>
                  <w:color w:val="0000EE"/>
                  <w:w w:val="89"/>
                </w:rPr>
                <w:t>10.3</w:t>
              </w:r>
            </w:hyperlink>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20" w:type="dxa"/>
            <w:vAlign w:val="bottom"/>
            <w:tcBorders>
              <w:top w:val="single" w:sz="8" w:color="0000EE"/>
              <w:bottom w:val="single" w:sz="8" w:color="0000EE"/>
            </w:tcBorders>
            <w:gridSpan w:val="5"/>
          </w:tcPr>
          <w:p>
            <w:pPr>
              <w:spacing w:after="0" w:line="178" w:lineRule="exact"/>
              <w:rPr>
                <w:rFonts w:ascii="Arial" w:cs="Arial" w:eastAsia="Arial" w:hAnsi="Arial"/>
                <w:sz w:val="16"/>
                <w:szCs w:val="16"/>
                <w:color w:val="0000EE"/>
                <w:w w:val="95"/>
              </w:rPr>
            </w:pPr>
            <w:hyperlink r:id="rId138">
              <w:r>
                <w:rPr>
                  <w:rFonts w:ascii="Arial" w:cs="Arial" w:eastAsia="Arial" w:hAnsi="Arial"/>
                  <w:sz w:val="16"/>
                  <w:szCs w:val="16"/>
                  <w:color w:val="0000EE"/>
                  <w:w w:val="95"/>
                </w:rPr>
                <w:t>Finance of the Kingdom of Saudi Arabia (English version only)</w:t>
              </w:r>
            </w:hyperlink>
          </w:p>
        </w:tc>
        <w:tc>
          <w:tcPr>
            <w:tcW w:w="1500" w:type="dxa"/>
            <w:vAlign w:val="bottom"/>
            <w:tcBorders>
              <w:top w:val="single" w:sz="8" w:color="0000EE"/>
            </w:tcBorders>
            <w:gridSpan w:val="4"/>
          </w:tcPr>
          <w:p>
            <w:pPr>
              <w:spacing w:after="0"/>
              <w:rPr>
                <w:sz w:val="15"/>
                <w:szCs w:val="15"/>
                <w:color w:val="auto"/>
              </w:rPr>
            </w:pPr>
          </w:p>
        </w:tc>
        <w:tc>
          <w:tcPr>
            <w:tcW w:w="52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2</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6"/>
              </w:rPr>
            </w:pPr>
            <w:hyperlink w:anchor="page93">
              <w:r>
                <w:rPr>
                  <w:rFonts w:ascii="Arial" w:cs="Arial" w:eastAsia="Arial" w:hAnsi="Arial"/>
                  <w:sz w:val="16"/>
                  <w:szCs w:val="16"/>
                  <w:color w:val="0000EE"/>
                  <w:w w:val="96"/>
                </w:rPr>
                <w:t>Facilities Letter, entered into as of April 29, 2022, between Lucid LLC and Gulf International</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6"/>
                <w:szCs w:val="16"/>
                <w:color w:val="0000EE"/>
              </w:rPr>
            </w:pPr>
            <w:hyperlink w:anchor="page93">
              <w:r>
                <w:rPr>
                  <w:rFonts w:ascii="Arial" w:cs="Arial" w:eastAsia="Arial" w:hAnsi="Arial"/>
                  <w:sz w:val="16"/>
                  <w:szCs w:val="16"/>
                  <w:color w:val="0000EE"/>
                </w:rPr>
                <w:t>X</w:t>
              </w:r>
            </w:hyperlink>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2"/>
          </w:tcPr>
          <w:p>
            <w:pPr>
              <w:spacing w:after="0" w:line="178" w:lineRule="exact"/>
              <w:rPr>
                <w:rFonts w:ascii="Arial" w:cs="Arial" w:eastAsia="Arial" w:hAnsi="Arial"/>
                <w:sz w:val="16"/>
                <w:szCs w:val="16"/>
                <w:color w:val="0000EE"/>
                <w:w w:val="95"/>
              </w:rPr>
            </w:pPr>
            <w:hyperlink w:anchor="page93">
              <w:r>
                <w:rPr>
                  <w:rFonts w:ascii="Arial" w:cs="Arial" w:eastAsia="Arial" w:hAnsi="Arial"/>
                  <w:sz w:val="16"/>
                  <w:szCs w:val="16"/>
                  <w:color w:val="0000EE"/>
                  <w:w w:val="95"/>
                </w:rPr>
                <w:t>Bank Saudi Arabia (English version only)</w:t>
              </w:r>
            </w:hyperlink>
          </w:p>
        </w:tc>
        <w:tc>
          <w:tcPr>
            <w:tcW w:w="3400" w:type="dxa"/>
            <w:vAlign w:val="bottom"/>
            <w:tcBorders>
              <w:top w:val="single" w:sz="8" w:color="0000EE"/>
            </w:tcBorders>
            <w:gridSpan w:val="14"/>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89"/>
              </w:rPr>
            </w:pPr>
            <w:hyperlink r:id="rId139">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3</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rPr>
            </w:pPr>
            <w:hyperlink r:id="rId139">
              <w:r>
                <w:rPr>
                  <w:rFonts w:ascii="Arial" w:cs="Arial" w:eastAsia="Arial" w:hAnsi="Arial"/>
                  <w:sz w:val="16"/>
                  <w:szCs w:val="16"/>
                  <w:color w:val="0000EE"/>
                </w:rPr>
                <w:t>Credit Agreement, dated as of June 9, 2022, by and among Lucid Group, Inc., as the</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jc w:val="center"/>
              <w:ind w:right="240"/>
              <w:spacing w:after="0"/>
              <w:rPr>
                <w:rFonts w:ascii="Arial" w:cs="Arial" w:eastAsia="Arial" w:hAnsi="Arial"/>
                <w:sz w:val="16"/>
                <w:szCs w:val="16"/>
                <w:color w:val="0000EE"/>
              </w:rPr>
            </w:pPr>
            <w:hyperlink r:id="rId139">
              <w:r>
                <w:rPr>
                  <w:rFonts w:ascii="Arial" w:cs="Arial" w:eastAsia="Arial" w:hAnsi="Arial"/>
                  <w:sz w:val="16"/>
                  <w:szCs w:val="16"/>
                  <w:color w:val="0000EE"/>
                </w:rPr>
                <w:t>8-K</w:t>
              </w:r>
            </w:hyperlink>
          </w:p>
        </w:tc>
        <w:tc>
          <w:tcPr>
            <w:tcW w:w="940" w:type="dxa"/>
            <w:vAlign w:val="bottom"/>
            <w:gridSpan w:val="2"/>
          </w:tcPr>
          <w:p>
            <w:pPr>
              <w:jc w:val="center"/>
              <w:ind w:right="220"/>
              <w:spacing w:after="0"/>
              <w:rPr>
                <w:rFonts w:ascii="Arial" w:cs="Arial" w:eastAsia="Arial" w:hAnsi="Arial"/>
                <w:sz w:val="16"/>
                <w:szCs w:val="16"/>
                <w:color w:val="0000EE"/>
                <w:w w:val="94"/>
              </w:rPr>
            </w:pPr>
            <w:hyperlink r:id="rId139">
              <w:r>
                <w:rPr>
                  <w:rFonts w:ascii="Arial" w:cs="Arial" w:eastAsia="Arial" w:hAnsi="Arial"/>
                  <w:sz w:val="16"/>
                  <w:szCs w:val="16"/>
                  <w:color w:val="0000EE"/>
                  <w:w w:val="94"/>
                </w:rPr>
                <w:t>001-39408</w:t>
              </w:r>
            </w:hyperlink>
          </w:p>
        </w:tc>
        <w:tc>
          <w:tcPr>
            <w:tcW w:w="880" w:type="dxa"/>
            <w:vAlign w:val="bottom"/>
          </w:tcPr>
          <w:p>
            <w:pPr>
              <w:jc w:val="center"/>
              <w:spacing w:after="0"/>
              <w:rPr>
                <w:rFonts w:ascii="Arial" w:cs="Arial" w:eastAsia="Arial" w:hAnsi="Arial"/>
                <w:sz w:val="16"/>
                <w:szCs w:val="16"/>
                <w:color w:val="0000EE"/>
                <w:w w:val="86"/>
              </w:rPr>
            </w:pPr>
            <w:hyperlink r:id="rId139">
              <w:r>
                <w:rPr>
                  <w:rFonts w:ascii="Arial" w:cs="Arial" w:eastAsia="Arial" w:hAnsi="Arial"/>
                  <w:sz w:val="16"/>
                  <w:szCs w:val="16"/>
                  <w:color w:val="0000EE"/>
                  <w:w w:val="86"/>
                </w:rPr>
                <w:t>June 15, 2022</w:t>
              </w:r>
            </w:hyperlink>
          </w:p>
        </w:tc>
        <w:tc>
          <w:tcPr>
            <w:tcW w:w="860" w:type="dxa"/>
            <w:vAlign w:val="bottom"/>
            <w:gridSpan w:val="3"/>
          </w:tcPr>
          <w:p>
            <w:pPr>
              <w:jc w:val="center"/>
              <w:ind w:left="18"/>
              <w:spacing w:after="0"/>
              <w:rPr>
                <w:rFonts w:ascii="Arial" w:cs="Arial" w:eastAsia="Arial" w:hAnsi="Arial"/>
                <w:sz w:val="16"/>
                <w:szCs w:val="16"/>
                <w:color w:val="0000EE"/>
                <w:w w:val="89"/>
              </w:rPr>
            </w:pPr>
            <w:hyperlink r:id="rId139">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0" w:type="dxa"/>
            <w:vAlign w:val="bottom"/>
            <w:tcBorders>
              <w:bottom w:val="single" w:sz="8" w:color="0000EE"/>
            </w:tcBorders>
            <w:gridSpan w:val="12"/>
          </w:tcPr>
          <w:p>
            <w:pPr>
              <w:spacing w:after="0" w:line="178" w:lineRule="exact"/>
              <w:rPr>
                <w:rFonts w:ascii="Arial" w:cs="Arial" w:eastAsia="Arial" w:hAnsi="Arial"/>
                <w:sz w:val="16"/>
                <w:szCs w:val="16"/>
                <w:color w:val="0000EE"/>
                <w:w w:val="93"/>
              </w:rPr>
            </w:pPr>
            <w:hyperlink r:id="rId139">
              <w:r>
                <w:rPr>
                  <w:rFonts w:ascii="Arial" w:cs="Arial" w:eastAsia="Arial" w:hAnsi="Arial"/>
                  <w:sz w:val="16"/>
                  <w:szCs w:val="16"/>
                  <w:color w:val="0000EE"/>
                  <w:w w:val="93"/>
                </w:rPr>
                <w:t>Borrower Representative, the other Borrowers party thereto from time to time, the Lenders</w:t>
              </w:r>
            </w:hyperlink>
          </w:p>
        </w:tc>
        <w:tc>
          <w:tcPr>
            <w:tcW w:w="24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80" w:type="dxa"/>
            <w:vAlign w:val="bottom"/>
            <w:tcBorders>
              <w:bottom w:val="single" w:sz="8" w:color="0000EE"/>
            </w:tcBorders>
            <w:gridSpan w:val="7"/>
          </w:tcPr>
          <w:p>
            <w:pPr>
              <w:spacing w:after="0" w:line="178" w:lineRule="exact"/>
              <w:rPr>
                <w:rFonts w:ascii="Arial" w:cs="Arial" w:eastAsia="Arial" w:hAnsi="Arial"/>
                <w:sz w:val="16"/>
                <w:szCs w:val="16"/>
                <w:color w:val="0000EE"/>
                <w:w w:val="94"/>
              </w:rPr>
            </w:pPr>
            <w:hyperlink r:id="rId139">
              <w:r>
                <w:rPr>
                  <w:rFonts w:ascii="Arial" w:cs="Arial" w:eastAsia="Arial" w:hAnsi="Arial"/>
                  <w:sz w:val="16"/>
                  <w:szCs w:val="16"/>
                  <w:color w:val="0000EE"/>
                  <w:w w:val="94"/>
                </w:rPr>
                <w:t>and Issuing Banks from time to time party thereto and Bank of America, N.A., as</w:t>
              </w:r>
            </w:hyperlink>
          </w:p>
        </w:tc>
        <w:tc>
          <w:tcPr>
            <w:tcW w:w="86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bottom w:val="single" w:sz="8" w:color="0000EE"/>
            </w:tcBorders>
          </w:tcPr>
          <w:p>
            <w:pPr>
              <w:spacing w:after="0" w:line="178" w:lineRule="exact"/>
              <w:rPr>
                <w:rFonts w:ascii="Arial" w:cs="Arial" w:eastAsia="Arial" w:hAnsi="Arial"/>
                <w:sz w:val="16"/>
                <w:szCs w:val="16"/>
                <w:color w:val="0000EE"/>
                <w:w w:val="96"/>
              </w:rPr>
            </w:pPr>
            <w:hyperlink r:id="rId139">
              <w:r>
                <w:rPr>
                  <w:rFonts w:ascii="Arial" w:cs="Arial" w:eastAsia="Arial" w:hAnsi="Arial"/>
                  <w:sz w:val="16"/>
                  <w:szCs w:val="16"/>
                  <w:color w:val="0000EE"/>
                  <w:w w:val="96"/>
                </w:rPr>
                <w:t>Administrative Agent</w:t>
              </w:r>
            </w:hyperlink>
          </w:p>
        </w:tc>
        <w:tc>
          <w:tcPr>
            <w:tcW w:w="4800" w:type="dxa"/>
            <w:vAlign w:val="bottom"/>
            <w:gridSpan w:val="16"/>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93"/>
              </w:rPr>
            </w:pPr>
            <w:hyperlink r:id="rId140">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4^</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9"/>
              </w:rPr>
            </w:pPr>
            <w:hyperlink r:id="rId140">
              <w:r>
                <w:rPr>
                  <w:rFonts w:ascii="Arial" w:cs="Arial" w:eastAsia="Arial" w:hAnsi="Arial"/>
                  <w:sz w:val="16"/>
                  <w:szCs w:val="16"/>
                  <w:color w:val="0000EE"/>
                  <w:w w:val="99"/>
                </w:rPr>
                <w:t>Lucid Group, Inc. Amended and Restated 2021 Stock Incentive Plan (including the Lucid</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jc w:val="center"/>
              <w:ind w:right="240"/>
              <w:spacing w:after="0"/>
              <w:rPr>
                <w:rFonts w:ascii="Arial" w:cs="Arial" w:eastAsia="Arial" w:hAnsi="Arial"/>
                <w:sz w:val="16"/>
                <w:szCs w:val="16"/>
                <w:color w:val="0000EE"/>
              </w:rPr>
            </w:pPr>
            <w:hyperlink r:id="rId140">
              <w:r>
                <w:rPr>
                  <w:rFonts w:ascii="Arial" w:cs="Arial" w:eastAsia="Arial" w:hAnsi="Arial"/>
                  <w:sz w:val="16"/>
                  <w:szCs w:val="16"/>
                  <w:color w:val="0000EE"/>
                </w:rPr>
                <w:t>8-K</w:t>
              </w:r>
            </w:hyperlink>
          </w:p>
        </w:tc>
        <w:tc>
          <w:tcPr>
            <w:tcW w:w="940" w:type="dxa"/>
            <w:vAlign w:val="bottom"/>
            <w:gridSpan w:val="2"/>
          </w:tcPr>
          <w:p>
            <w:pPr>
              <w:jc w:val="center"/>
              <w:ind w:right="220"/>
              <w:spacing w:after="0"/>
              <w:rPr>
                <w:rFonts w:ascii="Arial" w:cs="Arial" w:eastAsia="Arial" w:hAnsi="Arial"/>
                <w:sz w:val="16"/>
                <w:szCs w:val="16"/>
                <w:color w:val="0000EE"/>
                <w:w w:val="94"/>
              </w:rPr>
            </w:pPr>
            <w:hyperlink r:id="rId140">
              <w:r>
                <w:rPr>
                  <w:rFonts w:ascii="Arial" w:cs="Arial" w:eastAsia="Arial" w:hAnsi="Arial"/>
                  <w:sz w:val="16"/>
                  <w:szCs w:val="16"/>
                  <w:color w:val="0000EE"/>
                  <w:w w:val="94"/>
                </w:rPr>
                <w:t>001-39408</w:t>
              </w:r>
            </w:hyperlink>
          </w:p>
        </w:tc>
        <w:tc>
          <w:tcPr>
            <w:tcW w:w="880" w:type="dxa"/>
            <w:vAlign w:val="bottom"/>
          </w:tcPr>
          <w:p>
            <w:pPr>
              <w:jc w:val="center"/>
              <w:spacing w:after="0"/>
              <w:rPr>
                <w:rFonts w:ascii="Arial" w:cs="Arial" w:eastAsia="Arial" w:hAnsi="Arial"/>
                <w:sz w:val="16"/>
                <w:szCs w:val="16"/>
                <w:color w:val="0000EE"/>
                <w:w w:val="86"/>
              </w:rPr>
            </w:pPr>
            <w:hyperlink r:id="rId140">
              <w:r>
                <w:rPr>
                  <w:rFonts w:ascii="Arial" w:cs="Arial" w:eastAsia="Arial" w:hAnsi="Arial"/>
                  <w:sz w:val="16"/>
                  <w:szCs w:val="16"/>
                  <w:color w:val="0000EE"/>
                  <w:w w:val="86"/>
                </w:rPr>
                <w:t>June 13, 2022</w:t>
              </w:r>
            </w:hyperlink>
          </w:p>
        </w:tc>
        <w:tc>
          <w:tcPr>
            <w:tcW w:w="860" w:type="dxa"/>
            <w:vAlign w:val="bottom"/>
            <w:gridSpan w:val="3"/>
          </w:tcPr>
          <w:p>
            <w:pPr>
              <w:jc w:val="center"/>
              <w:ind w:left="18"/>
              <w:spacing w:after="0"/>
              <w:rPr>
                <w:rFonts w:ascii="Arial" w:cs="Arial" w:eastAsia="Arial" w:hAnsi="Arial"/>
                <w:sz w:val="16"/>
                <w:szCs w:val="16"/>
                <w:color w:val="0000EE"/>
                <w:w w:val="89"/>
              </w:rPr>
            </w:pPr>
            <w:hyperlink r:id="rId140">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6"/>
          </w:tcPr>
          <w:p>
            <w:pPr>
              <w:spacing w:after="0" w:line="178" w:lineRule="exact"/>
              <w:rPr>
                <w:rFonts w:ascii="Arial" w:cs="Arial" w:eastAsia="Arial" w:hAnsi="Arial"/>
                <w:sz w:val="16"/>
                <w:szCs w:val="16"/>
                <w:color w:val="0000EE"/>
                <w:w w:val="92"/>
              </w:rPr>
            </w:pPr>
            <w:hyperlink r:id="rId140">
              <w:r>
                <w:rPr>
                  <w:rFonts w:ascii="Arial" w:cs="Arial" w:eastAsia="Arial" w:hAnsi="Arial"/>
                  <w:sz w:val="16"/>
                  <w:szCs w:val="16"/>
                  <w:color w:val="0000EE"/>
                  <w:w w:val="92"/>
                </w:rPr>
                <w:t>Group, Inc. 2021 Employee Stock Purchase Plan, attached thereto)</w:t>
              </w:r>
            </w:hyperlink>
          </w:p>
        </w:tc>
        <w:tc>
          <w:tcPr>
            <w:tcW w:w="1500" w:type="dxa"/>
            <w:vAlign w:val="bottom"/>
            <w:tcBorders>
              <w:top w:val="single" w:sz="8" w:color="0000EE"/>
            </w:tcBorders>
            <w:gridSpan w:val="4"/>
          </w:tcPr>
          <w:p>
            <w:pPr>
              <w:spacing w:after="0"/>
              <w:rPr>
                <w:sz w:val="15"/>
                <w:szCs w:val="15"/>
                <w:color w:val="auto"/>
              </w:rPr>
            </w:pPr>
          </w:p>
        </w:tc>
        <w:tc>
          <w:tcPr>
            <w:tcW w:w="32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1</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6"/>
              </w:rPr>
            </w:pPr>
            <w:hyperlink w:anchor="page109">
              <w:r>
                <w:rPr>
                  <w:rFonts w:ascii="Arial" w:cs="Arial" w:eastAsia="Arial" w:hAnsi="Arial"/>
                  <w:sz w:val="16"/>
                  <w:szCs w:val="16"/>
                  <w:color w:val="0000EE"/>
                  <w:w w:val="96"/>
                </w:rPr>
                <w:t>Certification of Principal Executive Officer Required Under Rule 13a-14(a) and 15d-14(a) of</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6"/>
                <w:szCs w:val="16"/>
                <w:color w:val="0000EE"/>
              </w:rPr>
            </w:pPr>
            <w:hyperlink w:anchor="page109">
              <w:r>
                <w:rPr>
                  <w:rFonts w:ascii="Arial" w:cs="Arial" w:eastAsia="Arial" w:hAnsi="Arial"/>
                  <w:sz w:val="16"/>
                  <w:szCs w:val="16"/>
                  <w:color w:val="0000EE"/>
                </w:rPr>
                <w:t>X</w:t>
              </w:r>
            </w:hyperlink>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91"/>
              </w:rPr>
            </w:pPr>
            <w:hyperlink w:anchor="page109">
              <w:r>
                <w:rPr>
                  <w:rFonts w:ascii="Arial" w:cs="Arial" w:eastAsia="Arial" w:hAnsi="Arial"/>
                  <w:sz w:val="16"/>
                  <w:szCs w:val="16"/>
                  <w:color w:val="0000EE"/>
                  <w:w w:val="91"/>
                </w:rPr>
                <w:t>the Securities Exchange Act of 1934, as amended</w:t>
              </w:r>
            </w:hyperlink>
          </w:p>
        </w:tc>
        <w:tc>
          <w:tcPr>
            <w:tcW w:w="2860" w:type="dxa"/>
            <w:vAlign w:val="bottom"/>
            <w:tcBorders>
              <w:top w:val="single" w:sz="8" w:color="0000EE"/>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89"/>
              </w:rPr>
            </w:pPr>
            <w:hyperlink w:anchor="page110">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2</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7"/>
              </w:rPr>
            </w:pPr>
            <w:hyperlink w:anchor="page110">
              <w:r>
                <w:rPr>
                  <w:rFonts w:ascii="Arial" w:cs="Arial" w:eastAsia="Arial" w:hAnsi="Arial"/>
                  <w:sz w:val="16"/>
                  <w:szCs w:val="16"/>
                  <w:color w:val="0000EE"/>
                  <w:w w:val="97"/>
                </w:rPr>
                <w:t>Certification of Principal Financial Officer Required Under Rule 13a-14(a) and 15d-14(a) of</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6"/>
                <w:szCs w:val="16"/>
                <w:color w:val="0000EE"/>
              </w:rPr>
            </w:pPr>
            <w:hyperlink w:anchor="page110">
              <w:r>
                <w:rPr>
                  <w:rFonts w:ascii="Arial" w:cs="Arial" w:eastAsia="Arial" w:hAnsi="Arial"/>
                  <w:sz w:val="16"/>
                  <w:szCs w:val="16"/>
                  <w:color w:val="0000EE"/>
                </w:rPr>
                <w:t>X</w:t>
              </w:r>
            </w:hyperlink>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91"/>
              </w:rPr>
            </w:pPr>
            <w:hyperlink w:anchor="page110">
              <w:r>
                <w:rPr>
                  <w:rFonts w:ascii="Arial" w:cs="Arial" w:eastAsia="Arial" w:hAnsi="Arial"/>
                  <w:sz w:val="16"/>
                  <w:szCs w:val="16"/>
                  <w:color w:val="0000EE"/>
                  <w:w w:val="91"/>
                </w:rPr>
                <w:t>the Securities Exchange Act of 1934, as amended</w:t>
              </w:r>
            </w:hyperlink>
          </w:p>
        </w:tc>
        <w:tc>
          <w:tcPr>
            <w:tcW w:w="2820" w:type="dxa"/>
            <w:vAlign w:val="bottom"/>
            <w:tcBorders>
              <w:top w:val="single" w:sz="8" w:color="0000EE"/>
            </w:tcBorders>
            <w:gridSpan w:val="11"/>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560" w:type="dxa"/>
            <w:vAlign w:val="bottom"/>
            <w:gridSpan w:val="5"/>
          </w:tcPr>
          <w:p>
            <w:pPr>
              <w:jc w:val="center"/>
              <w:ind w:left="118"/>
              <w:spacing w:after="0"/>
              <w:rPr>
                <w:rFonts w:ascii="Arial" w:cs="Arial" w:eastAsia="Arial" w:hAnsi="Arial"/>
                <w:sz w:val="16"/>
                <w:szCs w:val="16"/>
                <w:color w:val="0000EE"/>
                <w:w w:val="89"/>
              </w:rPr>
            </w:pPr>
            <w:hyperlink w:anchor="page111">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1</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7"/>
              </w:rPr>
            </w:pPr>
            <w:hyperlink w:anchor="page111">
              <w:r>
                <w:rPr>
                  <w:rFonts w:ascii="Arial" w:cs="Arial" w:eastAsia="Arial" w:hAnsi="Arial"/>
                  <w:sz w:val="16"/>
                  <w:szCs w:val="16"/>
                  <w:color w:val="0000EE"/>
                  <w:w w:val="97"/>
                </w:rPr>
                <w:t>Certification of Principal Executive Officer pursuant to 18 U.S.C. Section 1350, as adopted</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6"/>
                <w:szCs w:val="16"/>
                <w:color w:val="0000EE"/>
              </w:rPr>
            </w:pPr>
            <w:hyperlink w:anchor="page111">
              <w:r>
                <w:rPr>
                  <w:rFonts w:ascii="Arial" w:cs="Arial" w:eastAsia="Arial" w:hAnsi="Arial"/>
                  <w:sz w:val="16"/>
                  <w:szCs w:val="16"/>
                  <w:color w:val="0000EE"/>
                </w:rPr>
                <w:t>X</w:t>
              </w:r>
            </w:hyperlink>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20" w:type="dxa"/>
            <w:vAlign w:val="bottom"/>
            <w:tcBorders>
              <w:top w:val="single" w:sz="8" w:color="0000EE"/>
            </w:tcBorders>
            <w:gridSpan w:val="13"/>
          </w:tcPr>
          <w:p>
            <w:pPr>
              <w:spacing w:after="0" w:line="178" w:lineRule="exact"/>
              <w:rPr>
                <w:rFonts w:ascii="Arial" w:cs="Arial" w:eastAsia="Arial" w:hAnsi="Arial"/>
                <w:sz w:val="16"/>
                <w:szCs w:val="16"/>
                <w:color w:val="0000EE"/>
              </w:rPr>
            </w:pPr>
            <w:hyperlink w:anchor="page111">
              <w:r>
                <w:rPr>
                  <w:rFonts w:ascii="Arial" w:cs="Arial" w:eastAsia="Arial" w:hAnsi="Arial"/>
                  <w:sz w:val="16"/>
                  <w:szCs w:val="16"/>
                  <w:color w:val="0000EE"/>
                </w:rPr>
                <w:t>pursuant to Section 906 of the Sarbanes-Oxley Act of 2002</w:t>
              </w:r>
            </w:hyperlink>
          </w:p>
        </w:tc>
        <w:tc>
          <w:tcPr>
            <w:tcW w:w="22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0" w:type="dxa"/>
            <w:vAlign w:val="bottom"/>
            <w:gridSpan w:val="5"/>
          </w:tcPr>
          <w:p>
            <w:pPr>
              <w:jc w:val="center"/>
              <w:ind w:left="118"/>
              <w:spacing w:after="0"/>
              <w:rPr>
                <w:rFonts w:ascii="Arial" w:cs="Arial" w:eastAsia="Arial" w:hAnsi="Arial"/>
                <w:sz w:val="16"/>
                <w:szCs w:val="16"/>
                <w:color w:val="0000EE"/>
                <w:w w:val="89"/>
              </w:rPr>
            </w:pPr>
            <w:hyperlink w:anchor="page112">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2</w:t>
              </w:r>
            </w:hyperlink>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6"/>
                <w:szCs w:val="16"/>
                <w:color w:val="0000EE"/>
                <w:w w:val="98"/>
              </w:rPr>
            </w:pPr>
            <w:hyperlink w:anchor="page112">
              <w:r>
                <w:rPr>
                  <w:rFonts w:ascii="Arial" w:cs="Arial" w:eastAsia="Arial" w:hAnsi="Arial"/>
                  <w:sz w:val="16"/>
                  <w:szCs w:val="16"/>
                  <w:color w:val="0000EE"/>
                  <w:w w:val="98"/>
                </w:rPr>
                <w:t>Certification of Principal Financial Officer pursuant to 18 U.S.C. Section 1350, as adopted</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6"/>
                <w:szCs w:val="16"/>
                <w:color w:val="0000EE"/>
              </w:rPr>
            </w:pPr>
            <w:hyperlink w:anchor="page112">
              <w:r>
                <w:rPr>
                  <w:rFonts w:ascii="Arial" w:cs="Arial" w:eastAsia="Arial" w:hAnsi="Arial"/>
                  <w:sz w:val="16"/>
                  <w:szCs w:val="16"/>
                  <w:color w:val="0000EE"/>
                </w:rPr>
                <w:t>X</w:t>
              </w:r>
            </w:hyperlink>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980" w:type="dxa"/>
            <w:vAlign w:val="bottom"/>
            <w:tcBorders>
              <w:top w:val="single" w:sz="8" w:color="0000EE"/>
            </w:tcBorders>
            <w:gridSpan w:val="11"/>
          </w:tcPr>
          <w:p>
            <w:pPr>
              <w:spacing w:after="0" w:line="158" w:lineRule="exact"/>
              <w:rPr>
                <w:rFonts w:ascii="Arial" w:cs="Arial" w:eastAsia="Arial" w:hAnsi="Arial"/>
                <w:sz w:val="16"/>
                <w:szCs w:val="16"/>
                <w:color w:val="0000EE"/>
              </w:rPr>
            </w:pPr>
            <w:hyperlink w:anchor="page112">
              <w:r>
                <w:rPr>
                  <w:rFonts w:ascii="Arial" w:cs="Arial" w:eastAsia="Arial" w:hAnsi="Arial"/>
                  <w:sz w:val="16"/>
                  <w:szCs w:val="16"/>
                  <w:color w:val="0000EE"/>
                </w:rPr>
                <w:t>pursuant to Section 906 of the Sarbanes-Oxley Act of 2002</w:t>
              </w:r>
            </w:hyperlink>
          </w:p>
        </w:tc>
        <w:tc>
          <w:tcPr>
            <w:tcW w:w="26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860" w:type="dxa"/>
            <w:vAlign w:val="bottom"/>
            <w:gridSpan w:val="6"/>
          </w:tcPr>
          <w:p>
            <w:pPr>
              <w:jc w:val="center"/>
              <w:ind w:right="140"/>
              <w:spacing w:after="0"/>
              <w:rPr>
                <w:sz w:val="20"/>
                <w:szCs w:val="20"/>
                <w:color w:val="auto"/>
              </w:rPr>
            </w:pPr>
            <w:r>
              <w:rPr>
                <w:rFonts w:ascii="Arial" w:cs="Arial" w:eastAsia="Arial" w:hAnsi="Arial"/>
                <w:sz w:val="16"/>
                <w:szCs w:val="16"/>
                <w:color w:val="auto"/>
                <w:w w:val="96"/>
              </w:rPr>
              <w:t>101.INS</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w w:val="97"/>
              </w:rPr>
              <w:t>Inline XBRL Instance Document (the instance document does not appear in the Interactive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60" w:type="dxa"/>
            <w:vAlign w:val="bottom"/>
            <w:gridSpan w:val="6"/>
          </w:tcPr>
          <w:p>
            <w:pPr>
              <w:jc w:val="center"/>
              <w:ind w:right="140"/>
              <w:spacing w:after="0"/>
              <w:rPr>
                <w:sz w:val="20"/>
                <w:szCs w:val="20"/>
                <w:color w:val="auto"/>
              </w:rPr>
            </w:pPr>
            <w:r>
              <w:rPr>
                <w:rFonts w:ascii="Arial" w:cs="Arial" w:eastAsia="Arial" w:hAnsi="Arial"/>
                <w:sz w:val="16"/>
                <w:szCs w:val="16"/>
                <w:color w:val="auto"/>
                <w:w w:val="92"/>
              </w:rPr>
              <w:t>101.SCH</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Inline XBRL Taxonomy Schema Linkbase Document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60" w:type="dxa"/>
            <w:vAlign w:val="bottom"/>
            <w:gridSpan w:val="6"/>
          </w:tcPr>
          <w:p>
            <w:pPr>
              <w:jc w:val="center"/>
              <w:ind w:right="120"/>
              <w:spacing w:after="0"/>
              <w:rPr>
                <w:sz w:val="20"/>
                <w:szCs w:val="20"/>
                <w:color w:val="auto"/>
              </w:rPr>
            </w:pPr>
            <w:r>
              <w:rPr>
                <w:rFonts w:ascii="Arial" w:cs="Arial" w:eastAsia="Arial" w:hAnsi="Arial"/>
                <w:sz w:val="16"/>
                <w:szCs w:val="16"/>
                <w:color w:val="auto"/>
                <w:w w:val="99"/>
              </w:rPr>
              <w:t>101.CAL</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Inline XBRL Taxonomy Calculation Linkbase Document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60" w:type="dxa"/>
            <w:vAlign w:val="bottom"/>
            <w:gridSpan w:val="6"/>
          </w:tcPr>
          <w:p>
            <w:pPr>
              <w:jc w:val="center"/>
              <w:ind w:right="140"/>
              <w:spacing w:after="0"/>
              <w:rPr>
                <w:sz w:val="20"/>
                <w:szCs w:val="20"/>
                <w:color w:val="auto"/>
              </w:rPr>
            </w:pPr>
            <w:r>
              <w:rPr>
                <w:rFonts w:ascii="Arial" w:cs="Arial" w:eastAsia="Arial" w:hAnsi="Arial"/>
                <w:sz w:val="16"/>
                <w:szCs w:val="16"/>
                <w:color w:val="auto"/>
                <w:w w:val="94"/>
              </w:rPr>
              <w:t>101.DEF</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Inline XBRL Taxonomy Definition Linkbase Document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60" w:type="dxa"/>
            <w:vAlign w:val="bottom"/>
            <w:gridSpan w:val="6"/>
          </w:tcPr>
          <w:p>
            <w:pPr>
              <w:jc w:val="center"/>
              <w:ind w:right="120"/>
              <w:spacing w:after="0"/>
              <w:rPr>
                <w:sz w:val="20"/>
                <w:szCs w:val="20"/>
                <w:color w:val="auto"/>
              </w:rPr>
            </w:pPr>
            <w:r>
              <w:rPr>
                <w:rFonts w:ascii="Arial" w:cs="Arial" w:eastAsia="Arial" w:hAnsi="Arial"/>
                <w:sz w:val="16"/>
                <w:szCs w:val="16"/>
                <w:color w:val="auto"/>
              </w:rPr>
              <w:t>101.LAB</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Inline XBRL Taxonomy Labels Linkbase Document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60" w:type="dxa"/>
            <w:vAlign w:val="bottom"/>
            <w:gridSpan w:val="6"/>
          </w:tcPr>
          <w:p>
            <w:pPr>
              <w:jc w:val="center"/>
              <w:ind w:right="140"/>
              <w:spacing w:after="0"/>
              <w:rPr>
                <w:sz w:val="20"/>
                <w:szCs w:val="20"/>
                <w:color w:val="auto"/>
              </w:rPr>
            </w:pPr>
            <w:r>
              <w:rPr>
                <w:rFonts w:ascii="Arial" w:cs="Arial" w:eastAsia="Arial" w:hAnsi="Arial"/>
                <w:sz w:val="16"/>
                <w:szCs w:val="16"/>
                <w:color w:val="auto"/>
                <w:w w:val="93"/>
              </w:rPr>
              <w:t>101.PRE</w:t>
            </w: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rPr>
              <w:t>Inline XBRL Taxonomy Presentation Linkbase Document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6"/>
        </w:trPr>
        <w:tc>
          <w:tcPr>
            <w:tcW w:w="520" w:type="dxa"/>
            <w:vAlign w:val="bottom"/>
            <w:gridSpan w:val="4"/>
          </w:tcPr>
          <w:p>
            <w:pPr>
              <w:jc w:val="center"/>
              <w:ind w:left="158"/>
              <w:spacing w:after="0"/>
              <w:rPr>
                <w:sz w:val="20"/>
                <w:szCs w:val="20"/>
                <w:color w:val="auto"/>
              </w:rPr>
            </w:pPr>
            <w:r>
              <w:rPr>
                <w:rFonts w:ascii="Arial" w:cs="Arial" w:eastAsia="Arial" w:hAnsi="Arial"/>
                <w:sz w:val="16"/>
                <w:szCs w:val="16"/>
                <w:color w:val="auto"/>
                <w:w w:val="89"/>
              </w:rPr>
              <w:t>104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Arial" w:cs="Arial" w:eastAsia="Arial" w:hAnsi="Arial"/>
                <w:sz w:val="16"/>
                <w:szCs w:val="16"/>
                <w:color w:val="auto"/>
                <w:w w:val="98"/>
              </w:rPr>
              <w:t>Cover Page Interactive Data File (formatted as inline XBRL and contained in Exhibit 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SIGNATURES</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7760" w:type="dxa"/>
            <w:vAlign w:val="bottom"/>
            <w:gridSpan w:val="2"/>
          </w:tcPr>
          <w:p>
            <w:pPr>
              <w:ind w:left="2160"/>
              <w:spacing w:after="0"/>
              <w:rPr>
                <w:sz w:val="20"/>
                <w:szCs w:val="20"/>
                <w:color w:val="auto"/>
              </w:rPr>
            </w:pPr>
            <w:r>
              <w:rPr>
                <w:rFonts w:ascii="Arial" w:cs="Arial" w:eastAsia="Arial" w:hAnsi="Arial"/>
                <w:sz w:val="16"/>
                <w:szCs w:val="16"/>
                <w:b w:val="1"/>
                <w:bCs w:val="1"/>
                <w:color w:val="auto"/>
              </w:rPr>
              <w:t>LUCID GROUP, INC.</w:t>
            </w:r>
          </w:p>
        </w:tc>
      </w:tr>
      <w:tr>
        <w:trPr>
          <w:trHeight w:val="397"/>
        </w:trPr>
        <w:tc>
          <w:tcPr>
            <w:tcW w:w="3480" w:type="dxa"/>
            <w:vAlign w:val="bottom"/>
          </w:tcPr>
          <w:p>
            <w:pPr>
              <w:spacing w:after="0"/>
              <w:rPr>
                <w:sz w:val="20"/>
                <w:szCs w:val="20"/>
                <w:color w:val="auto"/>
              </w:rPr>
            </w:pPr>
            <w:r>
              <w:rPr>
                <w:rFonts w:ascii="Arial" w:cs="Arial" w:eastAsia="Arial" w:hAnsi="Arial"/>
                <w:sz w:val="16"/>
                <w:szCs w:val="16"/>
                <w:color w:val="auto"/>
              </w:rPr>
              <w:t>Date: August 3, 2022</w:t>
            </w:r>
          </w:p>
        </w:tc>
        <w:tc>
          <w:tcPr>
            <w:tcW w:w="7760" w:type="dxa"/>
            <w:vAlign w:val="bottom"/>
            <w:gridSpan w:val="2"/>
          </w:tcPr>
          <w:p>
            <w:pPr>
              <w:ind w:left="2160"/>
              <w:spacing w:after="0"/>
              <w:rPr>
                <w:sz w:val="20"/>
                <w:szCs w:val="20"/>
                <w:color w:val="auto"/>
              </w:rPr>
            </w:pPr>
            <w:r>
              <w:rPr>
                <w:rFonts w:ascii="Arial" w:cs="Arial" w:eastAsia="Arial" w:hAnsi="Arial"/>
                <w:sz w:val="16"/>
                <w:szCs w:val="16"/>
                <w:color w:val="auto"/>
              </w:rPr>
              <w:t>By: /s/ Sherry House</w:t>
            </w:r>
          </w:p>
        </w:tc>
      </w:tr>
      <w:tr>
        <w:trPr>
          <w:trHeight w:val="179"/>
        </w:trPr>
        <w:tc>
          <w:tcPr>
            <w:tcW w:w="3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8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Sherry House</w:t>
            </w:r>
          </w:p>
        </w:tc>
      </w:tr>
      <w:tr>
        <w:trPr>
          <w:trHeight w:val="209"/>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9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91</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10.2</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This Agreement has been executed in English and Arabic; Arabic version has been omitted for purposes of this filing.</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Lucid Limited Company</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Date: 27/07/1443H</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Corresponding to: 28/02/2022G</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Dear Sirs,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Credit Facility of SAR1,000,000,000/-</w:t>
      </w:r>
    </w:p>
    <w:p>
      <w:pPr>
        <w:spacing w:after="0" w:line="212" w:lineRule="exact"/>
        <w:rPr>
          <w:sz w:val="20"/>
          <w:szCs w:val="20"/>
          <w:color w:val="auto"/>
        </w:rPr>
      </w:pPr>
    </w:p>
    <w:p>
      <w:pPr>
        <w:jc w:val="both"/>
        <w:ind w:left="1"/>
        <w:spacing w:after="0" w:line="281" w:lineRule="auto"/>
        <w:rPr>
          <w:sz w:val="20"/>
          <w:szCs w:val="20"/>
          <w:color w:val="auto"/>
        </w:rPr>
      </w:pPr>
      <w:r>
        <w:rPr>
          <w:rFonts w:ascii="Arial" w:cs="Arial" w:eastAsia="Arial" w:hAnsi="Arial"/>
          <w:sz w:val="15"/>
          <w:szCs w:val="15"/>
          <w:color w:val="auto"/>
        </w:rPr>
        <w:t xml:space="preserve">We refer to the various discussions between </w:t>
      </w:r>
      <w:r>
        <w:rPr>
          <w:rFonts w:ascii="Arial" w:cs="Arial" w:eastAsia="Arial" w:hAnsi="Arial"/>
          <w:sz w:val="15"/>
          <w:szCs w:val="15"/>
          <w:b w:val="1"/>
          <w:bCs w:val="1"/>
          <w:color w:val="auto"/>
        </w:rPr>
        <w:t>Gulf International Bank Saudi Arabia</w:t>
      </w:r>
      <w:r>
        <w:rPr>
          <w:rFonts w:ascii="Arial" w:cs="Arial" w:eastAsia="Arial" w:hAnsi="Arial"/>
          <w:sz w:val="15"/>
          <w:szCs w:val="15"/>
          <w:color w:val="auto"/>
        </w:rPr>
        <w:t>, a Saudi closed joint-stock company with a capital of SAR7,500,000,000; commercial registration No. 2052001920 and unified No. 7001399042 ; P.O. Box 93413; zip code 11673; telephone: +966138664000; website www.gib.com; license number 2007 and operating under the Saudi Central Bank control and supervision (the "</w:t>
      </w:r>
      <w:r>
        <w:rPr>
          <w:rFonts w:ascii="Arial" w:cs="Arial" w:eastAsia="Arial" w:hAnsi="Arial"/>
          <w:sz w:val="15"/>
          <w:szCs w:val="15"/>
          <w:b w:val="1"/>
          <w:bCs w:val="1"/>
          <w:color w:val="auto"/>
        </w:rPr>
        <w:t>Bank</w:t>
      </w:r>
      <w:r>
        <w:rPr>
          <w:rFonts w:ascii="Arial" w:cs="Arial" w:eastAsia="Arial" w:hAnsi="Arial"/>
          <w:sz w:val="15"/>
          <w:szCs w:val="15"/>
          <w:color w:val="auto"/>
        </w:rPr>
        <w:t xml:space="preserve">") and </w:t>
      </w:r>
      <w:r>
        <w:rPr>
          <w:rFonts w:ascii="Arial" w:cs="Arial" w:eastAsia="Arial" w:hAnsi="Arial"/>
          <w:sz w:val="15"/>
          <w:szCs w:val="15"/>
          <w:b w:val="1"/>
          <w:bCs w:val="1"/>
          <w:color w:val="auto"/>
        </w:rPr>
        <w:t>Lucid Limited Company</w:t>
      </w:r>
      <w:r>
        <w:rPr>
          <w:rFonts w:ascii="Arial" w:cs="Arial" w:eastAsia="Arial" w:hAnsi="Arial"/>
          <w:sz w:val="15"/>
          <w:szCs w:val="15"/>
          <w:color w:val="auto"/>
        </w:rPr>
        <w:t>, Foreign Limited Liability company organized and existing and doing business under the laws of the Kingdom of Saudi Arabia with Commercial Registration No. 1010716475 and unified No. 7023376614, dated 24/09/1442H, issued in Riyadh with its Head Office at Riyadh ,Kingdom of Saudi Arabia (the "</w:t>
      </w:r>
      <w:r>
        <w:rPr>
          <w:rFonts w:ascii="Arial" w:cs="Arial" w:eastAsia="Arial" w:hAnsi="Arial"/>
          <w:sz w:val="15"/>
          <w:szCs w:val="15"/>
          <w:b w:val="1"/>
          <w:bCs w:val="1"/>
          <w:color w:val="auto"/>
        </w:rPr>
        <w:t>Borrower</w:t>
      </w:r>
      <w:r>
        <w:rPr>
          <w:rFonts w:ascii="Arial" w:cs="Arial" w:eastAsia="Arial" w:hAnsi="Arial"/>
          <w:sz w:val="15"/>
          <w:szCs w:val="15"/>
          <w:color w:val="auto"/>
        </w:rPr>
        <w:t>"), in relation to the provision of certain banking facilities. The Bank is pleased to offer to the Borrower the banking facilities outlined below (the "</w:t>
      </w:r>
      <w:r>
        <w:rPr>
          <w:rFonts w:ascii="Arial" w:cs="Arial" w:eastAsia="Arial" w:hAnsi="Arial"/>
          <w:sz w:val="15"/>
          <w:szCs w:val="15"/>
          <w:b w:val="1"/>
          <w:bCs w:val="1"/>
          <w:color w:val="auto"/>
        </w:rPr>
        <w:t>Facilities</w:t>
      </w:r>
      <w:r>
        <w:rPr>
          <w:rFonts w:ascii="Arial" w:cs="Arial" w:eastAsia="Arial" w:hAnsi="Arial"/>
          <w:sz w:val="15"/>
          <w:szCs w:val="15"/>
          <w:color w:val="auto"/>
        </w:rPr>
        <w:t>"), upon and subject to the terms and conditions contained in this facilities letter (the "</w:t>
      </w:r>
      <w:r>
        <w:rPr>
          <w:rFonts w:ascii="Arial" w:cs="Arial" w:eastAsia="Arial" w:hAnsi="Arial"/>
          <w:sz w:val="15"/>
          <w:szCs w:val="15"/>
          <w:b w:val="1"/>
          <w:bCs w:val="1"/>
          <w:color w:val="auto"/>
        </w:rPr>
        <w:t>Facilities Letter</w:t>
      </w:r>
      <w:r>
        <w:rPr>
          <w:rFonts w:ascii="Arial" w:cs="Arial" w:eastAsia="Arial" w:hAnsi="Arial"/>
          <w:sz w:val="15"/>
          <w:szCs w:val="15"/>
          <w:color w:val="auto"/>
        </w:rPr>
        <w:t>") and the applicable terms and conditions contained in the Master Terms and Conditions for the Facilities which is attached hereto as the First Schedule (the "</w:t>
      </w:r>
      <w:r>
        <w:rPr>
          <w:rFonts w:ascii="Arial" w:cs="Arial" w:eastAsia="Arial" w:hAnsi="Arial"/>
          <w:sz w:val="15"/>
          <w:szCs w:val="15"/>
          <w:b w:val="1"/>
          <w:bCs w:val="1"/>
          <w:color w:val="auto"/>
        </w:rPr>
        <w:t>Master Terms</w:t>
      </w:r>
      <w:r>
        <w:rPr>
          <w:rFonts w:ascii="Arial" w:cs="Arial" w:eastAsia="Arial" w:hAnsi="Arial"/>
          <w:sz w:val="15"/>
          <w:szCs w:val="15"/>
          <w:color w:val="auto"/>
        </w:rPr>
        <w:t>") and any annex (the "</w:t>
      </w:r>
      <w:r>
        <w:rPr>
          <w:rFonts w:ascii="Arial" w:cs="Arial" w:eastAsia="Arial" w:hAnsi="Arial"/>
          <w:sz w:val="15"/>
          <w:szCs w:val="15"/>
          <w:b w:val="1"/>
          <w:bCs w:val="1"/>
          <w:color w:val="auto"/>
        </w:rPr>
        <w:t>Annex</w:t>
      </w:r>
      <w:r>
        <w:rPr>
          <w:rFonts w:ascii="Arial" w:cs="Arial" w:eastAsia="Arial" w:hAnsi="Arial"/>
          <w:sz w:val="15"/>
          <w:szCs w:val="15"/>
          <w:color w:val="auto"/>
        </w:rPr>
        <w:t>") relating to a particular facility. The Master Terms and the relevant Annex are incorporated herein by reference, and save as amended hereby, form an integral part of this Facilities Letter (the Facilities Letter, the relevant Annex (in relation to a particular facility) and the Master Terms as amended or restated from time to time shall collectively hereinafter be referred to as the "</w:t>
      </w:r>
      <w:r>
        <w:rPr>
          <w:rFonts w:ascii="Arial" w:cs="Arial" w:eastAsia="Arial" w:hAnsi="Arial"/>
          <w:sz w:val="15"/>
          <w:szCs w:val="15"/>
          <w:b w:val="1"/>
          <w:bCs w:val="1"/>
          <w:color w:val="auto"/>
        </w:rPr>
        <w:t>Agreement</w:t>
      </w:r>
      <w:r>
        <w:rPr>
          <w:rFonts w:ascii="Arial" w:cs="Arial" w:eastAsia="Arial" w:hAnsi="Arial"/>
          <w:sz w:val="15"/>
          <w:szCs w:val="15"/>
          <w:color w:val="auto"/>
        </w:rPr>
        <w:t>").</w:t>
      </w:r>
    </w:p>
    <w:p>
      <w:pPr>
        <w:spacing w:after="0" w:line="163" w:lineRule="exact"/>
        <w:rPr>
          <w:sz w:val="20"/>
          <w:szCs w:val="20"/>
          <w:color w:val="auto"/>
        </w:rPr>
      </w:pPr>
    </w:p>
    <w:p>
      <w:pPr>
        <w:jc w:val="both"/>
        <w:ind w:left="1"/>
        <w:spacing w:after="0" w:line="290" w:lineRule="auto"/>
        <w:rPr>
          <w:sz w:val="20"/>
          <w:szCs w:val="20"/>
          <w:color w:val="auto"/>
        </w:rPr>
      </w:pPr>
      <w:r>
        <w:rPr>
          <w:rFonts w:ascii="Arial" w:cs="Arial" w:eastAsia="Arial" w:hAnsi="Arial"/>
          <w:sz w:val="16"/>
          <w:szCs w:val="16"/>
          <w:color w:val="auto"/>
        </w:rPr>
        <w:t>Unless the context requires otherwise, terms and expressions defined in the Master Terms and used in this Facilities Letter shall bear the meaning ascribed to them in the Master Terms. In the event of any conflict between this Facilities Letter and the Master Terms, the Facilities Letter shall prevail.</w:t>
      </w:r>
    </w:p>
    <w:p>
      <w:pPr>
        <w:spacing w:after="0" w:line="145" w:lineRule="exact"/>
        <w:rPr>
          <w:sz w:val="20"/>
          <w:szCs w:val="20"/>
          <w:color w:val="auto"/>
        </w:rPr>
      </w:pPr>
    </w:p>
    <w:p>
      <w:pPr>
        <w:ind w:left="381" w:hanging="381"/>
        <w:spacing w:after="0"/>
        <w:tabs>
          <w:tab w:leader="none" w:pos="381"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p>
      <w:pPr>
        <w:ind w:left="1"/>
        <w:spacing w:after="0" w:line="290" w:lineRule="auto"/>
        <w:rPr>
          <w:sz w:val="20"/>
          <w:szCs w:val="20"/>
          <w:color w:val="auto"/>
        </w:rPr>
      </w:pPr>
      <w:r>
        <w:rPr>
          <w:rFonts w:ascii="Arial" w:cs="Arial" w:eastAsia="Arial" w:hAnsi="Arial"/>
          <w:sz w:val="16"/>
          <w:szCs w:val="16"/>
          <w:color w:val="auto"/>
        </w:rPr>
        <w:t>Committed Revolving, Facility. The Facilities are provided on a committed basis and Clause 22 (</w:t>
      </w:r>
      <w:r>
        <w:rPr>
          <w:rFonts w:ascii="Arial" w:cs="Arial" w:eastAsia="Arial" w:hAnsi="Arial"/>
          <w:sz w:val="16"/>
          <w:szCs w:val="16"/>
          <w:i w:val="1"/>
          <w:iCs w:val="1"/>
          <w:color w:val="auto"/>
        </w:rPr>
        <w:t>Termination</w:t>
      </w:r>
      <w:r>
        <w:rPr>
          <w:rFonts w:ascii="Arial" w:cs="Arial" w:eastAsia="Arial" w:hAnsi="Arial"/>
          <w:sz w:val="16"/>
          <w:szCs w:val="16"/>
          <w:color w:val="auto"/>
        </w:rPr>
        <w:t>) of the Master Terms shall not apply. The facilities can only be terminated pursuant to Clause 21 (</w:t>
      </w:r>
      <w:r>
        <w:rPr>
          <w:rFonts w:ascii="Arial" w:cs="Arial" w:eastAsia="Arial" w:hAnsi="Arial"/>
          <w:sz w:val="16"/>
          <w:szCs w:val="16"/>
          <w:i w:val="1"/>
          <w:iCs w:val="1"/>
          <w:color w:val="auto"/>
        </w:rPr>
        <w:t>Events of Default</w:t>
      </w:r>
      <w:r>
        <w:rPr>
          <w:rFonts w:ascii="Arial" w:cs="Arial" w:eastAsia="Arial" w:hAnsi="Arial"/>
          <w:sz w:val="16"/>
          <w:szCs w:val="16"/>
          <w:color w:val="auto"/>
        </w:rPr>
        <w:t>) of the Master Terms.</w:t>
      </w:r>
    </w:p>
    <w:p>
      <w:pPr>
        <w:spacing w:after="0" w:line="145" w:lineRule="exact"/>
        <w:rPr>
          <w:sz w:val="20"/>
          <w:szCs w:val="20"/>
          <w:color w:val="auto"/>
        </w:rPr>
      </w:pPr>
    </w:p>
    <w:p>
      <w:pPr>
        <w:ind w:left="1"/>
        <w:spacing w:after="0"/>
        <w:tabs>
          <w:tab w:leader="none" w:pos="401"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Total Facilities Limit: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SAR1,000,000,000/- (sub-limits specified for each facility in this Facilities Letter, shall be a sub-limit of the Total Facilities Limit for such facility)</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Termination Date: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Three years from agreement date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Obligors: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Order Notes: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Shall be required with respect to the amount of the Total Facilities Limit, and renewable annually</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Conditions:</w:t>
      </w:r>
    </w:p>
    <w:p>
      <w:pPr>
        <w:spacing w:after="0" w:line="21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4760" w:type="dxa"/>
            <w:vAlign w:val="bottom"/>
          </w:tcPr>
          <w:p>
            <w:pPr>
              <w:ind w:left="900"/>
              <w:spacing w:after="0"/>
              <w:rPr>
                <w:sz w:val="20"/>
                <w:szCs w:val="20"/>
                <w:color w:val="auto"/>
              </w:rPr>
            </w:pPr>
            <w:r>
              <w:rPr>
                <w:rFonts w:ascii="Arial" w:cs="Arial" w:eastAsia="Arial" w:hAnsi="Arial"/>
                <w:sz w:val="16"/>
                <w:szCs w:val="16"/>
                <w:color w:val="auto"/>
                <w:w w:val="99"/>
              </w:rPr>
              <w:t>•   upon requesting the issuance Letter of Credit below</w:t>
            </w:r>
          </w:p>
        </w:tc>
        <w:tc>
          <w:tcPr>
            <w:tcW w:w="6480" w:type="dxa"/>
            <w:vAlign w:val="bottom"/>
          </w:tcPr>
          <w:p>
            <w:pPr>
              <w:ind w:left="140"/>
              <w:spacing w:after="0"/>
              <w:rPr>
                <w:sz w:val="20"/>
                <w:szCs w:val="20"/>
                <w:color w:val="auto"/>
              </w:rPr>
            </w:pPr>
            <w:r>
              <w:rPr>
                <w:rFonts w:ascii="Arial" w:cs="Arial" w:eastAsia="Arial" w:hAnsi="Arial"/>
                <w:sz w:val="16"/>
                <w:szCs w:val="16"/>
                <w:color w:val="auto"/>
                <w:w w:val="94"/>
              </w:rPr>
              <w:t>SAR500,000.00 (Saudi Riyals Five Hundred Thousand), the Bank will charge processing fee of</w:t>
            </w:r>
          </w:p>
        </w:tc>
      </w:tr>
      <w:tr>
        <w:trPr>
          <w:trHeight w:val="209"/>
        </w:trPr>
        <w:tc>
          <w:tcPr>
            <w:tcW w:w="4760" w:type="dxa"/>
            <w:vAlign w:val="bottom"/>
          </w:tcPr>
          <w:p>
            <w:pPr>
              <w:ind w:left="1180"/>
              <w:spacing w:after="0"/>
              <w:rPr>
                <w:sz w:val="20"/>
                <w:szCs w:val="20"/>
                <w:color w:val="auto"/>
              </w:rPr>
            </w:pPr>
            <w:r>
              <w:rPr>
                <w:rFonts w:ascii="Arial" w:cs="Arial" w:eastAsia="Arial" w:hAnsi="Arial"/>
                <w:sz w:val="16"/>
                <w:szCs w:val="16"/>
                <w:color w:val="auto"/>
              </w:rPr>
              <w:t>SAR1,000/- (Saudi Riyals One Thousand).</w:t>
            </w:r>
          </w:p>
        </w:tc>
        <w:tc>
          <w:tcPr>
            <w:tcW w:w="6480" w:type="dxa"/>
            <w:vAlign w:val="bottom"/>
          </w:tcPr>
          <w:p>
            <w:pPr>
              <w:spacing w:after="0"/>
              <w:rPr>
                <w:sz w:val="18"/>
                <w:szCs w:val="18"/>
                <w:color w:val="auto"/>
              </w:rPr>
            </w:pPr>
          </w:p>
        </w:tc>
      </w:tr>
      <w:tr>
        <w:trPr>
          <w:trHeight w:val="620"/>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1"/>
          </w:cols>
          <w:pgMar w:left="319" w:top="841" w:right="339" w:bottom="1440" w:gutter="0" w:footer="0" w:header="0"/>
        </w:sectPr>
      </w:pPr>
    </w:p>
    <w:bookmarkStart w:id="93" w:name="page94"/>
    <w:bookmarkEnd w:id="93"/>
    <w:p>
      <w:pPr>
        <w:ind w:left="1181" w:hanging="290"/>
        <w:spacing w:after="0" w:line="290" w:lineRule="auto"/>
        <w:tabs>
          <w:tab w:leader="none" w:pos="1181"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any Loan of amount of less than SAR500,000/- (Saudi Riyals Five Hundred Thousand), the Bank will charge processing fee of SAR2,000/- (Saudi Riyals two Thousand)</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Administration Fees</w:t>
      </w:r>
      <w:r>
        <w:rPr>
          <w:rFonts w:ascii="Arial" w:cs="Arial" w:eastAsia="Arial" w:hAnsi="Arial"/>
          <w:sz w:val="16"/>
          <w:szCs w:val="16"/>
          <w:b w:val="1"/>
          <w:bCs w:val="1"/>
          <w:color w:val="auto"/>
        </w:rPr>
        <w: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Customer shall pay to the Bank administrative fee at the rate of (0.1%) of the Facility amount payable in advance.</w:t>
      </w:r>
    </w:p>
    <w:p>
      <w:pPr>
        <w:spacing w:after="0" w:line="197"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Bridge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Total Facility:</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 650,000,000/-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Purpose: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To grant CAPEX bridge financing to the company.</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Note: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Incoming funds disbursed by MISA &amp; SIDF will be utilized, in full towards, settlement of all outstanding amount under this limit.</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Commitment Fees: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(0.15%) flat, payable quarterly in arrears, on the unutilized amount of the Facility.</w:t>
      </w:r>
    </w:p>
    <w:p>
      <w:pPr>
        <w:spacing w:after="0" w:line="197" w:lineRule="exact"/>
        <w:rPr>
          <w:sz w:val="20"/>
          <w:szCs w:val="20"/>
          <w:color w:val="auto"/>
        </w:rPr>
      </w:pPr>
    </w:p>
    <w:p>
      <w:pPr>
        <w:ind w:left="601" w:hanging="601"/>
        <w:spacing w:after="0"/>
        <w:tabs>
          <w:tab w:leader="none" w:pos="60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Short Term Advance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Sub-Limit: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SAR650,000,000/-.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Drawdown Procedures: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must deliver to the Bank a Notice of Drawdown.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Margin:</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(1.25%) per annum over (3) Months </w:t>
      </w:r>
      <w:r>
        <w:rPr>
          <w:rFonts w:ascii="Arial" w:cs="Arial" w:eastAsia="Arial" w:hAnsi="Arial"/>
          <w:sz w:val="16"/>
          <w:szCs w:val="16"/>
          <w:b w:val="1"/>
          <w:bCs w:val="1"/>
          <w:color w:val="auto"/>
        </w:rPr>
        <w:t>SAIBOR</w:t>
      </w:r>
      <w:r>
        <w:rPr>
          <w:rFonts w:ascii="Arial" w:cs="Arial" w:eastAsia="Arial" w:hAnsi="Arial"/>
          <w:sz w:val="16"/>
          <w:szCs w:val="16"/>
          <w:color w:val="auto"/>
        </w:rPr>
        <w:t>.</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Tenor:</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maximum tenor of a Short Term Advance shall be (12) Months.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Commission and Commission Periods: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shall pay commission on each Advance, in accordance with the Master Terms. The Commission Periods shall be (3) months.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Repayment: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shall repay each Advance in accordance with the Master Terms.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94" w:name="page95"/>
    <w:bookmarkEnd w:id="94"/>
    <w:p>
      <w:pPr>
        <w:ind w:left="601" w:hanging="601"/>
        <w:spacing w:after="0"/>
        <w:tabs>
          <w:tab w:leader="none" w:pos="60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LC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Sub-Limit: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SAR650,000,000/-.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Letter of Credit: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Sight, Usance, or Acceptance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Term:</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Documents must be submitted under an LC within (12) Months of the date of opening of the relevant LC.</w:t>
      </w:r>
    </w:p>
    <w:p>
      <w:pPr>
        <w:spacing w:after="0" w:line="201" w:lineRule="exact"/>
        <w:rPr>
          <w:sz w:val="20"/>
          <w:szCs w:val="20"/>
          <w:color w:val="auto"/>
        </w:rPr>
      </w:pPr>
    </w:p>
    <w:p>
      <w:pPr>
        <w:jc w:val="both"/>
        <w:ind w:left="1"/>
        <w:spacing w:after="0" w:line="290" w:lineRule="auto"/>
        <w:rPr>
          <w:sz w:val="20"/>
          <w:szCs w:val="20"/>
          <w:color w:val="auto"/>
        </w:rPr>
      </w:pPr>
      <w:r>
        <w:rPr>
          <w:rFonts w:ascii="Arial" w:cs="Arial" w:eastAsia="Arial" w:hAnsi="Arial"/>
          <w:sz w:val="16"/>
          <w:szCs w:val="16"/>
          <w:color w:val="auto"/>
        </w:rPr>
        <w:t>Drafts which are drawn under or pursuant to a usance LC must become payable by no later than the date falling (12) Months after acceptance for LC door to door and acceptance not to exceed (12) months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Fee: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Issuing/Opening Fee</w:t>
      </w:r>
      <w:r>
        <w:rPr>
          <w:rFonts w:ascii="Arial" w:cs="Arial" w:eastAsia="Arial" w:hAnsi="Arial"/>
          <w:sz w:val="16"/>
          <w:szCs w:val="16"/>
          <w:color w:val="auto"/>
        </w:rPr>
        <w:t>: (0.25%) per annum payable in advance, subject to a minimum charge of SAR1,000/-.</w:t>
      </w:r>
    </w:p>
    <w:p>
      <w:pPr>
        <w:spacing w:after="0" w:line="197" w:lineRule="exact"/>
        <w:rPr>
          <w:sz w:val="20"/>
          <w:szCs w:val="20"/>
          <w:color w:val="auto"/>
        </w:rPr>
      </w:pPr>
    </w:p>
    <w:p>
      <w:pPr>
        <w:jc w:val="both"/>
        <w:ind w:left="1"/>
        <w:spacing w:after="0" w:line="296" w:lineRule="auto"/>
        <w:rPr>
          <w:sz w:val="20"/>
          <w:szCs w:val="20"/>
          <w:color w:val="auto"/>
        </w:rPr>
      </w:pPr>
      <w:r>
        <w:rPr>
          <w:rFonts w:ascii="Arial" w:cs="Arial" w:eastAsia="Arial" w:hAnsi="Arial"/>
          <w:sz w:val="16"/>
          <w:szCs w:val="16"/>
          <w:b w:val="1"/>
          <w:bCs w:val="1"/>
          <w:color w:val="auto"/>
        </w:rPr>
        <w:t>Acceptance Fee for usance LC</w:t>
      </w:r>
      <w:r>
        <w:rPr>
          <w:rFonts w:ascii="Arial" w:cs="Arial" w:eastAsia="Arial" w:hAnsi="Arial"/>
          <w:sz w:val="16"/>
          <w:szCs w:val="16"/>
          <w:color w:val="auto"/>
        </w:rPr>
        <w:t>: (0.25%) per annum payable in advance for the period commencing on the date of acceptance of a Draft and ending on its Maturity</w:t>
      </w:r>
      <w:r>
        <w:rPr>
          <w:rFonts w:ascii="Arial" w:cs="Arial" w:eastAsia="Arial" w:hAnsi="Arial"/>
          <w:sz w:val="16"/>
          <w:szCs w:val="16"/>
          <w:b w:val="1"/>
          <w:bCs w:val="1"/>
          <w:color w:val="auto"/>
        </w:rPr>
        <w:t xml:space="preserve"> </w:t>
      </w:r>
      <w:r>
        <w:rPr>
          <w:rFonts w:ascii="Arial" w:cs="Arial" w:eastAsia="Arial" w:hAnsi="Arial"/>
          <w:sz w:val="16"/>
          <w:szCs w:val="16"/>
          <w:color w:val="auto"/>
        </w:rPr>
        <w:t>Date. subject to a minimum charge of SAR1,000/-.</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Amendment Fee</w:t>
      </w:r>
      <w:r>
        <w:rPr>
          <w:rFonts w:ascii="Arial" w:cs="Arial" w:eastAsia="Arial" w:hAnsi="Arial"/>
          <w:sz w:val="16"/>
          <w:szCs w:val="16"/>
          <w:color w:val="auto"/>
        </w:rPr>
        <w:t>: In accordance with the Bank’s standard tariff.</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Application Procedures: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must deliver an Application for the issuance of LC</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Local Charges:</w:t>
      </w:r>
    </w:p>
    <w:p>
      <w:pPr>
        <w:spacing w:after="0" w:line="2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The Bank may, instead of issuing an LC itself, procure that such LC is issued by a local issuing bank, in which case the obligations of the Borrower under this Facilities Letter or any Application in respect of such LC shall extend to such LC and to any counter indemnity issued by the Bank in favour of the local issuing bank in connection therewith.</w:t>
      </w:r>
    </w:p>
    <w:p>
      <w:pPr>
        <w:spacing w:after="0" w:line="163" w:lineRule="exact"/>
        <w:rPr>
          <w:sz w:val="20"/>
          <w:szCs w:val="20"/>
          <w:color w:val="auto"/>
        </w:rPr>
      </w:pPr>
    </w:p>
    <w:p>
      <w:pPr>
        <w:ind w:left="1"/>
        <w:spacing w:after="0"/>
        <w:tabs>
          <w:tab w:leader="none" w:pos="581"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5"/>
          <w:szCs w:val="15"/>
          <w:b w:val="1"/>
          <w:bCs w:val="1"/>
          <w:color w:val="auto"/>
        </w:rPr>
        <w:t>Working Capital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Total Facility:</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 350,000,000/-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Purpose: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For general corporate purposes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Commitment Fees: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(0.15%) flat, payable quarterly in arrears, on the unutilized amount of the Facility.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95" w:name="page96"/>
    <w:bookmarkEnd w:id="95"/>
    <w:p>
      <w:pPr>
        <w:ind w:left="601" w:hanging="601"/>
        <w:spacing w:after="0"/>
        <w:tabs>
          <w:tab w:leader="none" w:pos="60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Short Term Advance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Sub-Limit: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SAR350,000,000/-.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Drawdown Procedures: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must deliver to the Bank a Notice of Drawdown.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Margin:</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(1.70%) per annum over (3) Months </w:t>
      </w:r>
      <w:r>
        <w:rPr>
          <w:rFonts w:ascii="Arial" w:cs="Arial" w:eastAsia="Arial" w:hAnsi="Arial"/>
          <w:sz w:val="16"/>
          <w:szCs w:val="16"/>
          <w:b w:val="1"/>
          <w:bCs w:val="1"/>
          <w:color w:val="auto"/>
        </w:rPr>
        <w:t>SAIBOR</w:t>
      </w:r>
      <w:r>
        <w:rPr>
          <w:rFonts w:ascii="Arial" w:cs="Arial" w:eastAsia="Arial" w:hAnsi="Arial"/>
          <w:sz w:val="16"/>
          <w:szCs w:val="16"/>
          <w:color w:val="auto"/>
        </w:rPr>
        <w:t>.</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Tenor:</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maximum tenor of a Short Term Advance shall be (12) Months.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Commission and Commission Periods: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shall pay commission on each Advance, in accordance with the Master Terms. The Commission Periods shall be (3) months.</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Repayment: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shall repay each Advance in accordance with the Master Terms.</w:t>
      </w:r>
    </w:p>
    <w:p>
      <w:pPr>
        <w:spacing w:after="0" w:line="197" w:lineRule="exact"/>
        <w:rPr>
          <w:sz w:val="20"/>
          <w:szCs w:val="20"/>
          <w:color w:val="auto"/>
        </w:rPr>
      </w:pPr>
    </w:p>
    <w:p>
      <w:pPr>
        <w:ind w:left="601" w:hanging="601"/>
        <w:spacing w:after="0"/>
        <w:tabs>
          <w:tab w:leader="none" w:pos="601"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LC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Sub-Limit: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A maximum aggregate amount of SAR350,000,000/-.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Letter of Credit:</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Sight, Usance, or Acceptance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Term:</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Documents must be submitted under an LC within (12) Months of the date of opening of the relevant LC.</w:t>
      </w:r>
    </w:p>
    <w:p>
      <w:pPr>
        <w:spacing w:after="0" w:line="201" w:lineRule="exact"/>
        <w:rPr>
          <w:sz w:val="20"/>
          <w:szCs w:val="20"/>
          <w:color w:val="auto"/>
        </w:rPr>
      </w:pPr>
    </w:p>
    <w:p>
      <w:pPr>
        <w:ind w:left="1"/>
        <w:spacing w:after="0" w:line="290" w:lineRule="auto"/>
        <w:rPr>
          <w:sz w:val="20"/>
          <w:szCs w:val="20"/>
          <w:color w:val="auto"/>
        </w:rPr>
      </w:pPr>
      <w:r>
        <w:rPr>
          <w:rFonts w:ascii="Arial" w:cs="Arial" w:eastAsia="Arial" w:hAnsi="Arial"/>
          <w:sz w:val="16"/>
          <w:szCs w:val="16"/>
          <w:color w:val="auto"/>
        </w:rPr>
        <w:t>Drafts which are drawn under or pursuant to a usance LC must become payable by no later than the date falling (12) Months after acceptance for LC door to door and acceptance not to exceed (12) months</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Fee:</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Issuing/Opening Fee</w:t>
      </w:r>
      <w:r>
        <w:rPr>
          <w:rFonts w:ascii="Arial" w:cs="Arial" w:eastAsia="Arial" w:hAnsi="Arial"/>
          <w:sz w:val="16"/>
          <w:szCs w:val="16"/>
          <w:color w:val="auto"/>
        </w:rPr>
        <w:t>: (0.25%) per annum payable in advance, subject to a minimum charge of SAR1,000/-.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Acceptance Fee for usance LC</w:t>
      </w:r>
      <w:r>
        <w:rPr>
          <w:rFonts w:ascii="Arial" w:cs="Arial" w:eastAsia="Arial" w:hAnsi="Arial"/>
          <w:sz w:val="14"/>
          <w:szCs w:val="14"/>
          <w:color w:val="auto"/>
        </w:rPr>
        <w:t>: (0.25%) per annum payable in advance for the period commencing on the date of acceptance of a Draft and ending on its Maturity Date.</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6"/>
          <w:szCs w:val="16"/>
          <w:color w:val="auto"/>
        </w:rPr>
        <w:t>subject to a minimum charge of SAR1,000/-.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Amendment Fee</w:t>
      </w:r>
      <w:r>
        <w:rPr>
          <w:rFonts w:ascii="Arial" w:cs="Arial" w:eastAsia="Arial" w:hAnsi="Arial"/>
          <w:sz w:val="16"/>
          <w:szCs w:val="16"/>
          <w:color w:val="auto"/>
        </w:rPr>
        <w:t>: In accordance with the Bank’s standard tariff.</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Application Procedures:</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Borrower must deliver an application for the issuance of LC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96" w:name="page97"/>
    <w:bookmarkEnd w:id="96"/>
    <w:p>
      <w:pPr>
        <w:ind w:left="1"/>
        <w:spacing w:after="0"/>
        <w:rPr>
          <w:sz w:val="20"/>
          <w:szCs w:val="20"/>
          <w:color w:val="auto"/>
        </w:rPr>
      </w:pPr>
      <w:r>
        <w:rPr>
          <w:rFonts w:ascii="Arial" w:cs="Arial" w:eastAsia="Arial" w:hAnsi="Arial"/>
          <w:sz w:val="16"/>
          <w:szCs w:val="16"/>
          <w:b w:val="1"/>
          <w:bCs w:val="1"/>
          <w:u w:val="single" w:color="auto"/>
          <w:color w:val="auto"/>
        </w:rPr>
        <w:t>Local Charges:</w:t>
      </w:r>
    </w:p>
    <w:p>
      <w:pPr>
        <w:spacing w:after="0" w:line="2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The Bank may, instead of issuing an LC itself, procure that such LC is issued by a local issuing bank, in which case the obligations of the Borrower under this Facilities Letter or any Application in respect of such LC shall extend to such LC and to any counter indemnity issued by the Bank in favour of the local issuing bank in connection therewith.</w:t>
      </w:r>
    </w:p>
    <w:p>
      <w:pPr>
        <w:spacing w:after="0" w:line="163" w:lineRule="exact"/>
        <w:rPr>
          <w:sz w:val="20"/>
          <w:szCs w:val="20"/>
          <w:color w:val="auto"/>
        </w:rPr>
      </w:pPr>
    </w:p>
    <w:p>
      <w:pPr>
        <w:ind w:left="601" w:hanging="601"/>
        <w:spacing w:after="0"/>
        <w:tabs>
          <w:tab w:leader="none" w:pos="601"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financial information will be applicable for the purposes of Clause 18 (</w:t>
      </w:r>
      <w:r>
        <w:rPr>
          <w:rFonts w:ascii="Arial" w:cs="Arial" w:eastAsia="Arial" w:hAnsi="Arial"/>
          <w:sz w:val="16"/>
          <w:szCs w:val="16"/>
          <w:i w:val="1"/>
          <w:iCs w:val="1"/>
          <w:color w:val="auto"/>
        </w:rPr>
        <w:t>Financial Information</w:t>
      </w:r>
      <w:r>
        <w:rPr>
          <w:rFonts w:ascii="Arial" w:cs="Arial" w:eastAsia="Arial" w:hAnsi="Arial"/>
          <w:sz w:val="16"/>
          <w:szCs w:val="16"/>
          <w:color w:val="auto"/>
        </w:rPr>
        <w:t>) of the Master Terms:</w:t>
      </w:r>
    </w:p>
    <w:p>
      <w:pPr>
        <w:spacing w:after="0" w:line="208" w:lineRule="exact"/>
        <w:rPr>
          <w:sz w:val="20"/>
          <w:szCs w:val="20"/>
          <w:color w:val="auto"/>
        </w:rPr>
      </w:pPr>
    </w:p>
    <w:p>
      <w:pPr>
        <w:ind w:left="601" w:hanging="593"/>
        <w:spacing w:after="0" w:line="296" w:lineRule="auto"/>
        <w:tabs>
          <w:tab w:leader="none" w:pos="581"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b w:val="1"/>
          <w:bCs w:val="1"/>
          <w:color w:val="auto"/>
        </w:rPr>
        <w:t xml:space="preserve">Annual Audited Statements </w:t>
      </w:r>
      <w:r>
        <w:rPr>
          <w:rFonts w:ascii="Arial" w:cs="Arial" w:eastAsia="Arial" w:hAnsi="Arial"/>
          <w:sz w:val="16"/>
          <w:szCs w:val="16"/>
          <w:color w:val="auto"/>
        </w:rPr>
        <w:t>- The Borrower shall, as soon as the same become available, but in any event within</w:t>
      </w:r>
      <w:r>
        <w:rPr>
          <w:rFonts w:ascii="Arial" w:cs="Arial" w:eastAsia="Arial" w:hAnsi="Arial"/>
          <w:sz w:val="16"/>
          <w:szCs w:val="16"/>
          <w:b w:val="1"/>
          <w:bCs w:val="1"/>
          <w:color w:val="auto"/>
        </w:rPr>
        <w:t xml:space="preserve"> 120 </w:t>
      </w:r>
      <w:r>
        <w:rPr>
          <w:rFonts w:ascii="Arial" w:cs="Arial" w:eastAsia="Arial" w:hAnsi="Arial"/>
          <w:sz w:val="16"/>
          <w:szCs w:val="16"/>
          <w:color w:val="auto"/>
        </w:rPr>
        <w:t>days after the end of each of its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deliver to the Bank its financial statements, for such financial year.</w:t>
      </w:r>
    </w:p>
    <w:p>
      <w:pPr>
        <w:spacing w:after="0" w:line="140" w:lineRule="exact"/>
        <w:rPr>
          <w:sz w:val="20"/>
          <w:szCs w:val="20"/>
          <w:color w:val="auto"/>
        </w:rPr>
      </w:pPr>
    </w:p>
    <w:p>
      <w:pPr>
        <w:ind w:left="601" w:hanging="593"/>
        <w:spacing w:after="0" w:line="296" w:lineRule="auto"/>
        <w:tabs>
          <w:tab w:leader="none" w:pos="581"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b w:val="1"/>
          <w:bCs w:val="1"/>
          <w:color w:val="auto"/>
        </w:rPr>
        <w:t xml:space="preserve">Quarter Annual Statements </w:t>
      </w:r>
      <w:r>
        <w:rPr>
          <w:rFonts w:ascii="Arial" w:cs="Arial" w:eastAsia="Arial" w:hAnsi="Arial"/>
          <w:sz w:val="16"/>
          <w:szCs w:val="16"/>
          <w:color w:val="auto"/>
        </w:rPr>
        <w:t>- The Borrower shall, as soon as the same become available, but in any event within</w:t>
      </w:r>
      <w:r>
        <w:rPr>
          <w:rFonts w:ascii="Arial" w:cs="Arial" w:eastAsia="Arial" w:hAnsi="Arial"/>
          <w:sz w:val="16"/>
          <w:szCs w:val="16"/>
          <w:b w:val="1"/>
          <w:bCs w:val="1"/>
          <w:color w:val="auto"/>
        </w:rPr>
        <w:t xml:space="preserve"> 60 </w:t>
      </w:r>
      <w:r>
        <w:rPr>
          <w:rFonts w:ascii="Arial" w:cs="Arial" w:eastAsia="Arial" w:hAnsi="Arial"/>
          <w:sz w:val="16"/>
          <w:szCs w:val="16"/>
          <w:color w:val="auto"/>
        </w:rPr>
        <w:t>days after the end of each quarter of 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years, deliver to the Bank its financial statements, for such period.</w:t>
      </w:r>
    </w:p>
    <w:p>
      <w:pPr>
        <w:spacing w:after="0" w:line="140" w:lineRule="exact"/>
        <w:rPr>
          <w:sz w:val="20"/>
          <w:szCs w:val="20"/>
          <w:color w:val="auto"/>
        </w:rPr>
      </w:pPr>
    </w:p>
    <w:p>
      <w:pPr>
        <w:ind w:left="601" w:hanging="601"/>
        <w:spacing w:after="0"/>
        <w:tabs>
          <w:tab w:leader="none" w:pos="60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p>
      <w:pPr>
        <w:ind w:left="601" w:hanging="601"/>
        <w:spacing w:after="0"/>
        <w:tabs>
          <w:tab w:leader="none" w:pos="6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Covenants:</w:t>
      </w:r>
    </w:p>
    <w:p>
      <w:pPr>
        <w:spacing w:after="0" w:line="212" w:lineRule="exact"/>
        <w:rPr>
          <w:sz w:val="20"/>
          <w:szCs w:val="20"/>
          <w:color w:val="auto"/>
        </w:rPr>
      </w:pPr>
    </w:p>
    <w:p>
      <w:pPr>
        <w:ind w:left="601"/>
        <w:spacing w:after="0" w:line="290" w:lineRule="auto"/>
        <w:rPr>
          <w:sz w:val="20"/>
          <w:szCs w:val="20"/>
          <w:color w:val="auto"/>
        </w:rPr>
      </w:pPr>
      <w:r>
        <w:rPr>
          <w:rFonts w:ascii="Arial" w:cs="Arial" w:eastAsia="Arial" w:hAnsi="Arial"/>
          <w:sz w:val="16"/>
          <w:szCs w:val="16"/>
          <w:color w:val="auto"/>
        </w:rPr>
        <w:t>The Borrower undertakes to the Bank in this paragraph (a) (Covenants) throughout the term of the Facilities, and as long as any sum is or may become payable under any Facility Document as follows:</w:t>
      </w:r>
    </w:p>
    <w:p>
      <w:pPr>
        <w:spacing w:after="0" w:line="145" w:lineRule="exact"/>
        <w:rPr>
          <w:sz w:val="20"/>
          <w:szCs w:val="20"/>
          <w:color w:val="auto"/>
        </w:rPr>
      </w:pPr>
    </w:p>
    <w:p>
      <w:pPr>
        <w:ind w:left="601" w:hanging="601"/>
        <w:spacing w:after="0"/>
        <w:tabs>
          <w:tab w:leader="none" w:pos="601"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No Change in Ownership </w:t>
      </w:r>
      <w:r>
        <w:rPr>
          <w:rFonts w:ascii="Arial" w:cs="Arial" w:eastAsia="Arial" w:hAnsi="Arial"/>
          <w:sz w:val="16"/>
          <w:szCs w:val="16"/>
          <w:color w:val="auto"/>
        </w:rPr>
        <w:t>- There shall be no change in the shareholding of the Borrower without the prior written consent of the Bank.</w:t>
      </w:r>
    </w:p>
    <w:p>
      <w:pPr>
        <w:spacing w:after="0" w:line="216" w:lineRule="exact"/>
        <w:rPr>
          <w:rFonts w:ascii="Arial" w:cs="Arial" w:eastAsia="Arial" w:hAnsi="Arial"/>
          <w:sz w:val="16"/>
          <w:szCs w:val="16"/>
          <w:color w:val="auto"/>
        </w:rPr>
      </w:pPr>
    </w:p>
    <w:p>
      <w:pPr>
        <w:ind w:left="601" w:hanging="601"/>
        <w:spacing w:after="0"/>
        <w:tabs>
          <w:tab w:leader="none" w:pos="6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Borrower, to remain majority directly or indirectly owned by Lucid Group Inc throughout availability of the facilities.</w:t>
      </w:r>
    </w:p>
    <w:p>
      <w:pPr>
        <w:spacing w:after="0" w:line="212" w:lineRule="exact"/>
        <w:rPr>
          <w:rFonts w:ascii="Arial" w:cs="Arial" w:eastAsia="Arial" w:hAnsi="Arial"/>
          <w:sz w:val="16"/>
          <w:szCs w:val="16"/>
          <w:color w:val="auto"/>
        </w:rPr>
      </w:pPr>
    </w:p>
    <w:p>
      <w:pPr>
        <w:ind w:left="601" w:hanging="601"/>
        <w:spacing w:after="0"/>
        <w:tabs>
          <w:tab w:leader="none" w:pos="6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Conditions related to 1.2 Bridge Loan:</w:t>
      </w:r>
    </w:p>
    <w:p>
      <w:pPr>
        <w:spacing w:after="0" w:line="212" w:lineRule="exact"/>
        <w:rPr>
          <w:rFonts w:ascii="Arial" w:cs="Arial" w:eastAsia="Arial" w:hAnsi="Arial"/>
          <w:sz w:val="16"/>
          <w:szCs w:val="16"/>
          <w:color w:val="auto"/>
        </w:rPr>
      </w:pPr>
    </w:p>
    <w:p>
      <w:pPr>
        <w:jc w:val="both"/>
        <w:ind w:left="1181" w:hanging="290"/>
        <w:spacing w:after="0" w:line="274" w:lineRule="auto"/>
        <w:tabs>
          <w:tab w:leader="none" w:pos="118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Aggregate value of undisbursed amounts under the SIDF &amp; MISA agreements to provide, at a minimum, 100% coverage of the limit and/or outstanding exposure. Facility limit will start adjusting downward, as the aggregate amount of undisbursed SIDF / MISA facilities reduces below SAR 650 million, such that a 100% coverage is always maintained.</w:t>
      </w:r>
    </w:p>
    <w:p>
      <w:pPr>
        <w:spacing w:after="0" w:line="161" w:lineRule="exact"/>
        <w:rPr>
          <w:rFonts w:ascii="Arial" w:cs="Arial" w:eastAsia="Arial" w:hAnsi="Arial"/>
          <w:sz w:val="16"/>
          <w:szCs w:val="16"/>
          <w:color w:val="auto"/>
        </w:rPr>
      </w:pPr>
    </w:p>
    <w:p>
      <w:pPr>
        <w:ind w:left="1181" w:hanging="290"/>
        <w:spacing w:after="0"/>
        <w:tabs>
          <w:tab w:leader="none" w:pos="1181" w:val="left"/>
        </w:tabs>
        <w:numPr>
          <w:ilvl w:val="1"/>
          <w:numId w:val="53"/>
        </w:numPr>
        <w:rPr>
          <w:rFonts w:ascii="Arial" w:cs="Arial" w:eastAsia="Arial" w:hAnsi="Arial"/>
          <w:sz w:val="16"/>
          <w:szCs w:val="16"/>
          <w:color w:val="auto"/>
        </w:rPr>
      </w:pPr>
      <w:r>
        <w:rPr>
          <w:rFonts w:ascii="Arial" w:cs="Arial" w:eastAsia="Arial" w:hAnsi="Arial"/>
          <w:sz w:val="16"/>
          <w:szCs w:val="16"/>
          <w:color w:val="auto"/>
        </w:rPr>
        <w:t>Quarterly updates on project status and progression to be provided, in a form to be agreed between the parties</w:t>
      </w:r>
    </w:p>
    <w:p>
      <w:pPr>
        <w:spacing w:after="0" w:line="212" w:lineRule="exact"/>
        <w:rPr>
          <w:rFonts w:ascii="Arial" w:cs="Arial" w:eastAsia="Arial" w:hAnsi="Arial"/>
          <w:sz w:val="16"/>
          <w:szCs w:val="16"/>
          <w:color w:val="auto"/>
        </w:rPr>
      </w:pPr>
    </w:p>
    <w:p>
      <w:pPr>
        <w:ind w:left="901" w:hanging="901"/>
        <w:spacing w:after="0" w:line="290" w:lineRule="auto"/>
        <w:tabs>
          <w:tab w:leader="none" w:pos="4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Bank shall have a right to match if the Borrower decides to enter into any hedging arrangements as it may deem fit to protect its commission rate exposure under the facilities and the SIDF facility.</w:t>
      </w:r>
    </w:p>
    <w:p>
      <w:pPr>
        <w:spacing w:after="0" w:line="145" w:lineRule="exact"/>
        <w:rPr>
          <w:sz w:val="20"/>
          <w:szCs w:val="20"/>
          <w:color w:val="auto"/>
        </w:rPr>
      </w:pPr>
    </w:p>
    <w:p>
      <w:pPr>
        <w:ind w:left="601" w:hanging="601"/>
        <w:spacing w:after="0"/>
        <w:tabs>
          <w:tab w:leader="none" w:pos="601"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the Master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p>
      <w:pPr>
        <w:ind w:left="1"/>
        <w:spacing w:after="0" w:line="290" w:lineRule="auto"/>
        <w:rPr>
          <w:sz w:val="20"/>
          <w:szCs w:val="20"/>
          <w:color w:val="auto"/>
        </w:rPr>
      </w:pPr>
      <w:r>
        <w:rPr>
          <w:rFonts w:ascii="Arial" w:cs="Arial" w:eastAsia="Arial" w:hAnsi="Arial"/>
          <w:sz w:val="16"/>
          <w:szCs w:val="16"/>
          <w:color w:val="auto"/>
        </w:rPr>
        <w:t>The provisions set out in the Addendum hereto shall be deemed to replace the equivalently numbered provisions set out in the Master Terms for the Facilities for the purposes of the Facilities Letter.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97" w:name="page98"/>
    <w:bookmarkEnd w:id="97"/>
    <w:p>
      <w:pPr>
        <w:ind w:left="601" w:hanging="601"/>
        <w:spacing w:after="0"/>
        <w:tabs>
          <w:tab w:leader="none" w:pos="601"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p>
      <w:pPr>
        <w:ind w:left="1"/>
        <w:spacing w:after="0" w:line="290" w:lineRule="auto"/>
        <w:rPr>
          <w:sz w:val="20"/>
          <w:szCs w:val="20"/>
          <w:color w:val="auto"/>
        </w:rPr>
      </w:pPr>
      <w:r>
        <w:rPr>
          <w:rFonts w:ascii="Arial" w:cs="Arial" w:eastAsia="Arial" w:hAnsi="Arial"/>
          <w:sz w:val="16"/>
          <w:szCs w:val="16"/>
          <w:color w:val="auto"/>
        </w:rPr>
        <w:t>Save as the Bank may otherwise agree, the Borrower may not deliver any Notice of Drawdown or Application hereunder less the Bank has received the following documents and each is in form and substance, satisfactory to the Bank:</w:t>
      </w:r>
    </w:p>
    <w:p>
      <w:pPr>
        <w:spacing w:after="0" w:line="149" w:lineRule="exact"/>
        <w:rPr>
          <w:sz w:val="20"/>
          <w:szCs w:val="20"/>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relation to each of the Obligors:</w:t>
      </w:r>
    </w:p>
    <w:p>
      <w:pPr>
        <w:spacing w:after="0" w:line="212" w:lineRule="exact"/>
        <w:rPr>
          <w:rFonts w:ascii="Arial" w:cs="Arial" w:eastAsia="Arial" w:hAnsi="Arial"/>
          <w:sz w:val="16"/>
          <w:szCs w:val="16"/>
          <w:color w:val="auto"/>
        </w:rPr>
      </w:pPr>
    </w:p>
    <w:p>
      <w:pPr>
        <w:ind w:left="901" w:hanging="604"/>
        <w:spacing w:after="0" w:line="290" w:lineRule="auto"/>
        <w:tabs>
          <w:tab w:leader="none" w:pos="9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certified true up to date copies of its constitutive documents including its commercial registration certificate and articles of association, and any amendments thereto; and</w:t>
      </w:r>
    </w:p>
    <w:p>
      <w:pPr>
        <w:spacing w:after="0" w:line="149" w:lineRule="exact"/>
        <w:rPr>
          <w:rFonts w:ascii="Arial" w:cs="Arial" w:eastAsia="Arial" w:hAnsi="Arial"/>
          <w:sz w:val="16"/>
          <w:szCs w:val="16"/>
          <w:color w:val="auto"/>
        </w:rPr>
      </w:pPr>
    </w:p>
    <w:p>
      <w:pPr>
        <w:ind w:left="901" w:hanging="604"/>
        <w:spacing w:after="0" w:line="290" w:lineRule="auto"/>
        <w:tabs>
          <w:tab w:leader="none" w:pos="9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Evidence in form and substance satisfactory to the Bank that the person or persons signing this Agreement and any other documents to be delivered pursuant to this Agreement have the authority to do so, along with their specimen signatures.</w:t>
      </w:r>
    </w:p>
    <w:p>
      <w:pPr>
        <w:spacing w:after="0" w:line="149" w:lineRule="exact"/>
        <w:rPr>
          <w:rFonts w:ascii="Arial" w:cs="Arial" w:eastAsia="Arial" w:hAnsi="Arial"/>
          <w:sz w:val="16"/>
          <w:szCs w:val="16"/>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Order Note in an amount equal to the Total Facilities Limit.</w:t>
      </w:r>
    </w:p>
    <w:p>
      <w:pPr>
        <w:spacing w:after="0" w:line="212" w:lineRule="exact"/>
        <w:rPr>
          <w:rFonts w:ascii="Arial" w:cs="Arial" w:eastAsia="Arial" w:hAnsi="Arial"/>
          <w:sz w:val="16"/>
          <w:szCs w:val="16"/>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copy, certified a true copy by a duly authorised officer of the Borrower, of the Original Financial Statements of the Borrower.</w:t>
      </w:r>
    </w:p>
    <w:p>
      <w:pPr>
        <w:spacing w:after="0" w:line="212" w:lineRule="exact"/>
        <w:rPr>
          <w:rFonts w:ascii="Arial" w:cs="Arial" w:eastAsia="Arial" w:hAnsi="Arial"/>
          <w:sz w:val="16"/>
          <w:szCs w:val="16"/>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Facilities Letter, each Annex, the Master Terms and any other Facility Document duly signed by the appropriate Obligor.</w:t>
      </w:r>
    </w:p>
    <w:p>
      <w:pPr>
        <w:spacing w:after="0" w:line="212" w:lineRule="exact"/>
        <w:rPr>
          <w:rFonts w:ascii="Arial" w:cs="Arial" w:eastAsia="Arial" w:hAnsi="Arial"/>
          <w:sz w:val="16"/>
          <w:szCs w:val="16"/>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other documents required by the Bank and which are necessary for the Bank to comply with any "know your customer" requirements.</w:t>
      </w:r>
    </w:p>
    <w:p>
      <w:pPr>
        <w:spacing w:after="0" w:line="212" w:lineRule="exact"/>
        <w:rPr>
          <w:rFonts w:ascii="Arial" w:cs="Arial" w:eastAsia="Arial" w:hAnsi="Arial"/>
          <w:sz w:val="16"/>
          <w:szCs w:val="16"/>
          <w:color w:val="auto"/>
        </w:rPr>
      </w:pPr>
    </w:p>
    <w:p>
      <w:pPr>
        <w:ind w:left="601" w:hanging="601"/>
        <w:spacing w:after="0"/>
        <w:tabs>
          <w:tab w:leader="none" w:pos="6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Conditions related to 1.2 Bridge Loan:</w:t>
      </w:r>
    </w:p>
    <w:p>
      <w:pPr>
        <w:spacing w:after="0" w:line="212" w:lineRule="exact"/>
        <w:rPr>
          <w:sz w:val="20"/>
          <w:szCs w:val="20"/>
          <w:color w:val="auto"/>
        </w:rPr>
      </w:pPr>
    </w:p>
    <w:p>
      <w:pPr>
        <w:ind w:left="601" w:hanging="304"/>
        <w:spacing w:after="0"/>
        <w:tabs>
          <w:tab w:leader="none" w:pos="6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copy of the final signed agreement between the Borrower and SIDF.</w:t>
      </w:r>
    </w:p>
    <w:p>
      <w:pPr>
        <w:spacing w:after="0" w:line="212" w:lineRule="exact"/>
        <w:rPr>
          <w:rFonts w:ascii="Arial" w:cs="Arial" w:eastAsia="Arial" w:hAnsi="Arial"/>
          <w:sz w:val="16"/>
          <w:szCs w:val="16"/>
          <w:color w:val="auto"/>
        </w:rPr>
      </w:pPr>
    </w:p>
    <w:p>
      <w:pPr>
        <w:ind w:left="601" w:hanging="304"/>
        <w:spacing w:after="0"/>
        <w:tabs>
          <w:tab w:leader="none" w:pos="6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copy of the final signed agreement between the Borrower and MISA.</w:t>
      </w:r>
    </w:p>
    <w:p>
      <w:pPr>
        <w:spacing w:after="0" w:line="21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231F20"/>
        </w:rPr>
        <w:t xml:space="preserve">•   </w:t>
      </w:r>
      <w:r>
        <w:rPr>
          <w:rFonts w:ascii="Arial" w:cs="Arial" w:eastAsia="Arial" w:hAnsi="Arial"/>
          <w:sz w:val="16"/>
          <w:szCs w:val="16"/>
          <w:color w:val="000000"/>
        </w:rPr>
        <w:t>Acknowledgement from SIDF of proceeds.</w:t>
      </w:r>
    </w:p>
    <w:p>
      <w:pPr>
        <w:spacing w:after="0" w:line="21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   Acknowledgement from MISA of proceeds.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98" w:name="page99"/>
    <w:bookmarkEnd w:id="98"/>
    <w:p>
      <w:pPr>
        <w:jc w:val="both"/>
        <w:spacing w:after="0" w:line="274" w:lineRule="auto"/>
        <w:rPr>
          <w:sz w:val="20"/>
          <w:szCs w:val="20"/>
          <w:color w:val="auto"/>
        </w:rPr>
      </w:pPr>
      <w:r>
        <w:rPr>
          <w:rFonts w:ascii="Arial" w:cs="Arial" w:eastAsia="Arial" w:hAnsi="Arial"/>
          <w:sz w:val="16"/>
          <w:szCs w:val="16"/>
          <w:color w:val="auto"/>
        </w:rPr>
        <w:t>Please indicate your agreement to the foregoing terms and conditions and the Master Terms, and all Facility Documents by signing the enclosed copy of this Facilities Letter and returning the same to the Bank [marked for attention of Mr. Tristan Kermadec by no later than One month, failing which the offer of facilities set out in this Facilities Letter shall lapse without any further notice.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Gulf International Bank 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43750" cy="125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Tristan Kermadec</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Name: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Tristan Kermadec</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Relationship Manager</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Department:</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Wholesale Banking</w:t>
            </w:r>
          </w:p>
        </w:tc>
      </w:tr>
      <w:tr>
        <w:trPr>
          <w:trHeight w:val="585"/>
        </w:trPr>
        <w:tc>
          <w:tcPr>
            <w:tcW w:w="170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Ahmed Al Attas</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Name: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Ahmed Al Attas</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Head</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Department:</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Wholesale Banking</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Encl.: </w:t>
      </w:r>
      <w:r>
        <w:rPr>
          <w:rFonts w:ascii="Arial" w:cs="Arial" w:eastAsia="Arial" w:hAnsi="Arial"/>
          <w:sz w:val="16"/>
          <w:szCs w:val="16"/>
          <w:color w:val="auto"/>
        </w:rPr>
        <w:t>Master Terms, Order Note and other Facility Documents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9" w:name="page100"/>
    <w:bookmarkEnd w:id="99"/>
    <w:p>
      <w:pPr>
        <w:jc w:val="both"/>
        <w:ind w:left="1"/>
        <w:spacing w:after="0" w:line="277" w:lineRule="auto"/>
        <w:rPr>
          <w:sz w:val="20"/>
          <w:szCs w:val="20"/>
          <w:color w:val="auto"/>
        </w:rPr>
      </w:pPr>
      <w:r>
        <w:rPr>
          <w:rFonts w:ascii="Arial" w:cs="Arial" w:eastAsia="Arial" w:hAnsi="Arial"/>
          <w:sz w:val="16"/>
          <w:szCs w:val="16"/>
          <w:b w:val="1"/>
          <w:bCs w:val="1"/>
          <w:color w:val="auto"/>
        </w:rPr>
        <w:t>WE, THE BORROWER, ACCEPT AND AGREE TO THE TERMS SET OUT IN THIS AGREEMENT AND ACKNOWLEDGE THAT WE HAVE FULLY READ AND UNDERSTOOD THE FACILITIES LETTER AND THE TERMS AND CONDITIONS SET OUT IN THE MASTER TERMS AND THE RELEVANT ANNEXES AND AGREE TO BE BOUND BY THEM.</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Lucid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6"/>
                <w:szCs w:val="16"/>
                <w:color w:val="auto"/>
              </w:rPr>
              <w:t>Authorised Officer</w:t>
            </w:r>
          </w:p>
        </w:tc>
        <w:tc>
          <w:tcPr>
            <w:tcW w:w="3940" w:type="dxa"/>
            <w:vAlign w:val="bottom"/>
          </w:tcPr>
          <w:p>
            <w:pPr>
              <w:spacing w:after="0"/>
              <w:rPr>
                <w:sz w:val="17"/>
                <w:szCs w:val="17"/>
                <w:color w:val="auto"/>
              </w:rPr>
            </w:pPr>
          </w:p>
        </w:tc>
      </w:tr>
      <w:tr>
        <w:trPr>
          <w:trHeight w:val="209"/>
        </w:trPr>
        <w:tc>
          <w:tcPr>
            <w:tcW w:w="1700" w:type="dxa"/>
            <w:vAlign w:val="bottom"/>
          </w:tcPr>
          <w:p>
            <w:pPr>
              <w:spacing w:after="0"/>
              <w:rPr>
                <w:sz w:val="20"/>
                <w:szCs w:val="20"/>
                <w:color w:val="auto"/>
              </w:rPr>
            </w:pPr>
            <w:r>
              <w:rPr>
                <w:rFonts w:ascii="Arial" w:cs="Arial" w:eastAsia="Arial" w:hAnsi="Arial"/>
                <w:sz w:val="16"/>
                <w:szCs w:val="16"/>
                <w:color w:val="auto"/>
              </w:rPr>
              <w:t>Signature: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Faisal Sultan</w:t>
            </w:r>
          </w:p>
        </w:tc>
      </w:tr>
      <w:tr>
        <w:trPr>
          <w:trHeight w:val="229"/>
        </w:trPr>
        <w:tc>
          <w:tcPr>
            <w:tcW w:w="1700" w:type="dxa"/>
            <w:vAlign w:val="bottom"/>
          </w:tcPr>
          <w:p>
            <w:pPr>
              <w:spacing w:after="0"/>
              <w:rPr>
                <w:sz w:val="20"/>
                <w:szCs w:val="20"/>
                <w:color w:val="auto"/>
              </w:rPr>
            </w:pPr>
            <w:r>
              <w:rPr>
                <w:rFonts w:ascii="Arial" w:cs="Arial" w:eastAsia="Arial" w:hAnsi="Arial"/>
                <w:sz w:val="16"/>
                <w:szCs w:val="16"/>
                <w:color w:val="auto"/>
              </w:rPr>
              <w:t>Signature Date</w:t>
            </w:r>
          </w:p>
        </w:tc>
        <w:tc>
          <w:tcPr>
            <w:tcW w:w="3940" w:type="dxa"/>
            <w:vAlign w:val="bottom"/>
            <w:tcBorders>
              <w:bottom w:val="single" w:sz="8" w:color="auto"/>
            </w:tcBorders>
          </w:tcPr>
          <w:p>
            <w:pPr>
              <w:spacing w:after="0" w:line="228" w:lineRule="exact"/>
              <w:rPr>
                <w:sz w:val="20"/>
                <w:szCs w:val="20"/>
                <w:color w:val="auto"/>
              </w:rPr>
            </w:pPr>
            <w:r>
              <w:rPr>
                <w:rFonts w:ascii="Arial" w:cs="Arial" w:eastAsia="Arial" w:hAnsi="Arial"/>
                <w:sz w:val="16"/>
                <w:szCs w:val="16"/>
                <w:color w:val="auto"/>
              </w:rPr>
              <w:t>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April 2022</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Name: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Faisal Sultan</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Address:</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3074 Prince Muhammad Ibn Abdulaziz Rd</w:t>
            </w:r>
          </w:p>
        </w:tc>
      </w:tr>
      <w:tr>
        <w:trPr>
          <w:trHeight w:val="201"/>
        </w:trPr>
        <w:tc>
          <w:tcPr>
            <w:tcW w:w="17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Al Olaya, Riyadh, KSA</w:t>
            </w:r>
          </w:p>
        </w:tc>
      </w:tr>
    </w:tbl>
    <w:p>
      <w:pPr>
        <w:spacing w:after="0" w:line="175" w:lineRule="exact"/>
        <w:rPr>
          <w:sz w:val="20"/>
          <w:szCs w:val="20"/>
          <w:color w:val="auto"/>
        </w:rPr>
      </w:pPr>
    </w:p>
    <w:p>
      <w:pPr>
        <w:ind w:left="1" w:hanging="1"/>
        <w:spacing w:after="0" w:line="290" w:lineRule="auto"/>
        <w:tabs>
          <w:tab w:leader="none" w:pos="2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the undersigned, employee of Gulf International Bank Saudi Arabia hereby confirm that the above signatory (ies) as authorised signatory (ies) of the Borrower signed this Agreement in my presence.</w:t>
      </w:r>
    </w:p>
    <w:p>
      <w:pPr>
        <w:spacing w:after="0" w:line="340"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1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/s/ Salah AlMhqani</w:t>
            </w: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Name: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Salah AlMhqani</w:t>
            </w:r>
          </w:p>
        </w:tc>
      </w:tr>
      <w:tr>
        <w:trPr>
          <w:trHeight w:val="228"/>
        </w:trPr>
        <w:tc>
          <w:tcPr>
            <w:tcW w:w="1700" w:type="dxa"/>
            <w:vAlign w:val="bottom"/>
          </w:tcPr>
          <w:p>
            <w:pPr>
              <w:spacing w:after="0"/>
              <w:rPr>
                <w:sz w:val="20"/>
                <w:szCs w:val="20"/>
                <w:color w:val="auto"/>
              </w:rPr>
            </w:pPr>
            <w:r>
              <w:rPr>
                <w:rFonts w:ascii="Arial" w:cs="Arial" w:eastAsia="Arial" w:hAnsi="Arial"/>
                <w:sz w:val="16"/>
                <w:szCs w:val="16"/>
                <w:color w:val="auto"/>
              </w:rPr>
              <w:t>Date:</w:t>
            </w:r>
          </w:p>
        </w:tc>
        <w:tc>
          <w:tcPr>
            <w:tcW w:w="3940" w:type="dxa"/>
            <w:vAlign w:val="bottom"/>
            <w:tcBorders>
              <w:bottom w:val="single" w:sz="8" w:color="auto"/>
            </w:tcBorders>
          </w:tcPr>
          <w:p>
            <w:pPr>
              <w:spacing w:after="0" w:line="227" w:lineRule="exact"/>
              <w:rPr>
                <w:sz w:val="20"/>
                <w:szCs w:val="20"/>
                <w:color w:val="auto"/>
              </w:rPr>
            </w:pPr>
            <w:r>
              <w:rPr>
                <w:rFonts w:ascii="Arial" w:cs="Arial" w:eastAsia="Arial" w:hAnsi="Arial"/>
                <w:sz w:val="16"/>
                <w:szCs w:val="16"/>
                <w:color w:val="auto"/>
              </w:rPr>
              <w:t>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April 2022</w:t>
            </w: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100" w:name="page101"/>
    <w:bookmarkEnd w:id="100"/>
    <w:p>
      <w:pPr>
        <w:jc w:val="both"/>
        <w:ind w:left="1"/>
        <w:spacing w:after="0" w:line="296" w:lineRule="auto"/>
        <w:rPr>
          <w:sz w:val="20"/>
          <w:szCs w:val="20"/>
          <w:color w:val="auto"/>
        </w:rPr>
      </w:pPr>
      <w:r>
        <w:rPr>
          <w:rFonts w:ascii="Arial" w:cs="Arial" w:eastAsia="Arial" w:hAnsi="Arial"/>
          <w:sz w:val="16"/>
          <w:szCs w:val="16"/>
          <w:b w:val="1"/>
          <w:bCs w:val="1"/>
          <w:color w:val="auto"/>
        </w:rPr>
        <w:t>Addendum to Facilities Letter dated 27/07/1443H Corresponding to 28/02/2022G (the “Facility Letter”) between Lucid Limited Company and Gulf International Bank – Saudi Arabia</w:t>
      </w:r>
    </w:p>
    <w:p>
      <w:pPr>
        <w:spacing w:after="0" w:line="144" w:lineRule="exact"/>
        <w:rPr>
          <w:sz w:val="20"/>
          <w:szCs w:val="20"/>
          <w:color w:val="auto"/>
        </w:rPr>
      </w:pPr>
    </w:p>
    <w:p>
      <w:pPr>
        <w:jc w:val="both"/>
        <w:ind w:left="1"/>
        <w:spacing w:after="0" w:line="290" w:lineRule="auto"/>
        <w:rPr>
          <w:sz w:val="20"/>
          <w:szCs w:val="20"/>
          <w:color w:val="auto"/>
        </w:rPr>
      </w:pPr>
      <w:r>
        <w:rPr>
          <w:rFonts w:ascii="Arial" w:cs="Arial" w:eastAsia="Arial" w:hAnsi="Arial"/>
          <w:sz w:val="16"/>
          <w:szCs w:val="16"/>
          <w:color w:val="auto"/>
        </w:rPr>
        <w:t>The provisions set out below shall be deemed to replace the equivalently numbered provisions set out in the Master Terms and Conditions for the Facilities for the purposes of the Facility Letter</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color w:val="auto"/>
        </w:rPr>
        <w:t>2. THE FACILITIES</w:t>
      </w:r>
    </w:p>
    <w:p>
      <w:pPr>
        <w:spacing w:after="0" w:line="25" w:lineRule="exact"/>
        <w:rPr>
          <w:sz w:val="20"/>
          <w:szCs w:val="20"/>
          <w:color w:val="auto"/>
        </w:rPr>
      </w:pPr>
    </w:p>
    <w:p>
      <w:pPr>
        <w:jc w:val="both"/>
        <w:ind w:left="1"/>
        <w:spacing w:after="0" w:line="311" w:lineRule="auto"/>
        <w:rPr>
          <w:sz w:val="20"/>
          <w:szCs w:val="20"/>
          <w:color w:val="auto"/>
        </w:rPr>
      </w:pPr>
      <w:r>
        <w:rPr>
          <w:rFonts w:ascii="Arial" w:cs="Arial" w:eastAsia="Arial" w:hAnsi="Arial"/>
          <w:sz w:val="15"/>
          <w:szCs w:val="15"/>
          <w:b w:val="1"/>
          <w:bCs w:val="1"/>
          <w:i w:val="1"/>
          <w:iCs w:val="1"/>
          <w:color w:val="auto"/>
        </w:rPr>
        <w:t xml:space="preserve">Grant and Application of the Facilities. </w:t>
      </w:r>
      <w:r>
        <w:rPr>
          <w:rFonts w:ascii="Arial" w:cs="Arial" w:eastAsia="Arial" w:hAnsi="Arial"/>
          <w:sz w:val="15"/>
          <w:szCs w:val="15"/>
          <w:color w:val="auto"/>
        </w:rPr>
        <w:t>The Bank grants to the Borrower through the Facility Office, upon the terms and subject to the conditions hereof, working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facilities provided in accordance with the terms of the Facilities Letter. The Bank shall not be obliged to concern itself with the application of proceeds of the Facilities.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6"/>
          <w:szCs w:val="16"/>
          <w:color w:val="auto"/>
        </w:rPr>
        <w:t>3. SECURITY FOR FACILITIES</w:t>
      </w:r>
    </w:p>
    <w:p>
      <w:pPr>
        <w:spacing w:after="0" w:line="25"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b w:val="1"/>
          <w:bCs w:val="1"/>
          <w:i w:val="1"/>
          <w:iCs w:val="1"/>
          <w:color w:val="auto"/>
        </w:rPr>
        <w:t>Security</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security for the performance of the Borrower's obligations under the Facility Documents, the Borrower shall execute, and shall procure that any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relevant Obligor executes, the Security Documents applicable to it. The Bank may at its discretion acting reasonably require the Borrower (or another Obligor) to: execute such further deeds and documents for the purpose of more fully securing and/ or perfecting the security created or to be created in favour of the Bank. The Bank may enforce and exercise the rights over the property the subject of any Security Document pursuant to this Agreement directly following the Bank’s application for, and receipt of, a certificate of direct enforcement issued by the Unified Register pursuant to the Rights on Movable Assets Security Law.</w:t>
      </w:r>
    </w:p>
    <w:p>
      <w:pPr>
        <w:spacing w:after="0" w:line="2" w:lineRule="exact"/>
        <w:rPr>
          <w:sz w:val="20"/>
          <w:szCs w:val="20"/>
          <w:color w:val="auto"/>
        </w:rPr>
      </w:pPr>
    </w:p>
    <w:p>
      <w:pPr>
        <w:jc w:val="both"/>
        <w:ind w:left="1"/>
        <w:spacing w:after="0" w:line="284" w:lineRule="auto"/>
        <w:rPr>
          <w:sz w:val="20"/>
          <w:szCs w:val="20"/>
          <w:color w:val="auto"/>
        </w:rPr>
      </w:pPr>
      <w:r>
        <w:rPr>
          <w:rFonts w:ascii="Arial" w:cs="Arial" w:eastAsia="Arial" w:hAnsi="Arial"/>
          <w:sz w:val="15"/>
          <w:szCs w:val="15"/>
          <w:b w:val="1"/>
          <w:bCs w:val="1"/>
          <w:i w:val="1"/>
          <w:iCs w:val="1"/>
          <w:color w:val="auto"/>
        </w:rPr>
        <w:t xml:space="preserve">Registration. </w:t>
      </w:r>
      <w:r>
        <w:rPr>
          <w:rFonts w:ascii="Arial" w:cs="Arial" w:eastAsia="Arial" w:hAnsi="Arial"/>
          <w:sz w:val="15"/>
          <w:szCs w:val="15"/>
          <w:color w:val="auto"/>
        </w:rPr>
        <w:t>The Bank acknowledges that it is responsible for filing a registration of the security interests contemplated or created under the Security Documents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Unified Register. Following any such filing by the Bank, the Borrower shall promptly (and at the request of the Bank) take all necessary steps within its control to effect the registration of such security interest and the Borrower shall not object to any such filing by the Bank unless there is any error in respect of the filing and such error is promptly notified to the Bank by the Borrower. The Borrower shall reimburse the Bank within 15 Business Days of written demand for all costs and expenses reasonably incurred by the Bank in registering the security interests contemplated or created by the Security Documents with the Unified Register.</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color w:val="auto"/>
        </w:rPr>
        <w:t>4. ADVANCE FACILITIES</w:t>
      </w:r>
    </w:p>
    <w:p>
      <w:pPr>
        <w:spacing w:after="0" w:line="25" w:lineRule="exact"/>
        <w:rPr>
          <w:sz w:val="20"/>
          <w:szCs w:val="20"/>
          <w:color w:val="auto"/>
        </w:rPr>
      </w:pPr>
    </w:p>
    <w:p>
      <w:pPr>
        <w:jc w:val="both"/>
        <w:ind w:left="1"/>
        <w:spacing w:after="0" w:line="22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i w:val="1"/>
          <w:iCs w:val="1"/>
          <w:color w:val="auto"/>
        </w:rPr>
        <w:t>Utilisation.</w:t>
      </w:r>
      <w:r>
        <w:rPr>
          <w:rFonts w:ascii="Arial" w:cs="Arial" w:eastAsia="Arial" w:hAnsi="Arial"/>
          <w:sz w:val="16"/>
          <w:szCs w:val="16"/>
          <w:color w:val="auto"/>
        </w:rPr>
        <w:t xml:space="preserve"> An Advance may</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be made by the Bank to the Borrower provided the Borrower delivers to the Bank a duly completed Notice of Drawdown therefor, which shall comply with the terms mentioned in the Facilities Letter, not more than ten (10) nor less than three (3) business days before the proposed date for the making of such Advance:</w:t>
      </w:r>
    </w:p>
    <w:p>
      <w:pPr>
        <w:spacing w:after="0" w:line="1" w:lineRule="exact"/>
        <w:rPr>
          <w:sz w:val="20"/>
          <w:szCs w:val="20"/>
          <w:color w:val="auto"/>
        </w:rPr>
      </w:pPr>
    </w:p>
    <w:p>
      <w:pPr>
        <w:ind w:left="1" w:hanging="1"/>
        <w:spacing w:after="0" w:line="258" w:lineRule="auto"/>
        <w:tabs>
          <w:tab w:leader="none" w:pos="24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Suppliers Invoice Advance, a copy, certified a true copy by a duly authorised officer of the Borrower, of the Supplier Invoice against which such Supplier Invoice Advance is requested to be made is provided; and</w:t>
      </w:r>
    </w:p>
    <w:p>
      <w:pPr>
        <w:ind w:left="1" w:hanging="1"/>
        <w:spacing w:after="0" w:line="258" w:lineRule="auto"/>
        <w:tabs>
          <w:tab w:leader="none" w:pos="2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Refinancing Advance, the proposed amount of such Refinancing Advance is an amount equal to the Required Amount which is to be refinanced by such Refinancing Advance;</w:t>
      </w:r>
    </w:p>
    <w:p>
      <w:pPr>
        <w:ind w:left="1"/>
        <w:spacing w:after="0" w:line="276" w:lineRule="auto"/>
        <w:rPr>
          <w:rFonts w:ascii="Arial" w:cs="Arial" w:eastAsia="Arial" w:hAnsi="Arial"/>
          <w:sz w:val="16"/>
          <w:szCs w:val="16"/>
          <w:color w:val="auto"/>
        </w:rPr>
      </w:pPr>
      <w:r>
        <w:rPr>
          <w:rFonts w:ascii="Arial" w:cs="Arial" w:eastAsia="Arial" w:hAnsi="Arial"/>
          <w:sz w:val="16"/>
          <w:szCs w:val="16"/>
          <w:color w:val="auto"/>
        </w:rPr>
        <w:t>Receipt by the Bank of the Notice of Drawdown shall oblige the Borrower to borrow the amount therein requested on the date therein stated upon the terms and subject to the conditions contained herein.</w:t>
      </w:r>
    </w:p>
    <w:p>
      <w:pPr>
        <w:spacing w:after="0" w:line="160" w:lineRule="exact"/>
        <w:rPr>
          <w:sz w:val="20"/>
          <w:szCs w:val="20"/>
          <w:color w:val="auto"/>
        </w:rPr>
      </w:pPr>
    </w:p>
    <w:p>
      <w:pPr>
        <w:ind w:left="161" w:hanging="161"/>
        <w:spacing w:after="0"/>
        <w:tabs>
          <w:tab w:leader="none" w:pos="161"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USED] 7. [NOT USED] 8. [NOT USED]9. [NOT USED]</w:t>
      </w:r>
    </w:p>
    <w:p>
      <w:pPr>
        <w:spacing w:after="0" w:line="212" w:lineRule="exact"/>
        <w:rPr>
          <w:rFonts w:ascii="Arial" w:cs="Arial" w:eastAsia="Arial" w:hAnsi="Arial"/>
          <w:sz w:val="16"/>
          <w:szCs w:val="16"/>
          <w:color w:val="auto"/>
        </w:rPr>
      </w:pPr>
    </w:p>
    <w:p>
      <w:pPr>
        <w:ind w:left="241" w:hanging="241"/>
        <w:spacing w:after="0"/>
        <w:tabs>
          <w:tab w:leader="none" w:pos="241" w:val="left"/>
        </w:tabs>
        <w:numPr>
          <w:ilvl w:val="0"/>
          <w:numId w:val="61"/>
        </w:numPr>
        <w:rPr>
          <w:rFonts w:ascii="Arial" w:cs="Arial" w:eastAsia="Arial" w:hAnsi="Arial"/>
          <w:sz w:val="16"/>
          <w:szCs w:val="16"/>
          <w:color w:val="auto"/>
        </w:rPr>
      </w:pPr>
      <w:r>
        <w:rPr>
          <w:rFonts w:ascii="Arial" w:cs="Arial" w:eastAsia="Arial" w:hAnsi="Arial"/>
          <w:sz w:val="16"/>
          <w:szCs w:val="16"/>
          <w:color w:val="auto"/>
        </w:rPr>
        <w:t>UTILISATION OF THE BANK UNDERTAKING FACILITY</w:t>
      </w:r>
    </w:p>
    <w:p>
      <w:pPr>
        <w:spacing w:after="0" w:line="212" w:lineRule="exact"/>
        <w:rPr>
          <w:sz w:val="20"/>
          <w:szCs w:val="20"/>
          <w:color w:val="auto"/>
        </w:rPr>
      </w:pPr>
    </w:p>
    <w:p>
      <w:pPr>
        <w:jc w:val="both"/>
        <w:ind w:left="1"/>
        <w:spacing w:after="0" w:line="261" w:lineRule="auto"/>
        <w:rPr>
          <w:sz w:val="20"/>
          <w:szCs w:val="20"/>
          <w:color w:val="auto"/>
        </w:rPr>
      </w:pPr>
      <w:r>
        <w:rPr>
          <w:rFonts w:ascii="Arial" w:cs="Arial" w:eastAsia="Arial" w:hAnsi="Arial"/>
          <w:sz w:val="16"/>
          <w:szCs w:val="16"/>
          <w:b w:val="1"/>
          <w:bCs w:val="1"/>
          <w:i w:val="1"/>
          <w:iCs w:val="1"/>
          <w:color w:val="auto"/>
        </w:rPr>
        <w:t xml:space="preserve">10.1 Delivery and Contents of Application. </w:t>
      </w:r>
      <w:r>
        <w:rPr>
          <w:rFonts w:ascii="Arial" w:cs="Arial" w:eastAsia="Arial" w:hAnsi="Arial"/>
          <w:sz w:val="16"/>
          <w:szCs w:val="16"/>
          <w:color w:val="auto"/>
        </w:rPr>
        <w:t>The Bank may issue a Bank Undertaking, provided the Borrower delivers to the Bank a duly completed Application therefor,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shall comply with the terms mentioned in the Facilities Letter, terms mentioned in the Facilities Letter, not more than ten (10) nor less than three (3) business days before the proposed Issue Date for such Bank Undertaking. Each Application delivered to the Bank pursuant to this Clause shall be irrevocable and shall specify, among other things, the details as may be required by the Bank to enable it to issue the Bank Undertaking and the proposed form of the Bank Undertaking the proposed form of the Bank Undertaking requested, which shall be acceptable to the Bank in its sole discretion.</w:t>
      </w:r>
    </w:p>
    <w:p>
      <w:pPr>
        <w:spacing w:after="0" w:line="1" w:lineRule="exact"/>
        <w:rPr>
          <w:sz w:val="20"/>
          <w:szCs w:val="20"/>
          <w:color w:val="auto"/>
        </w:rPr>
      </w:pPr>
    </w:p>
    <w:p>
      <w:pPr>
        <w:jc w:val="both"/>
        <w:ind w:left="1"/>
        <w:spacing w:after="0" w:line="27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i w:val="1"/>
          <w:iCs w:val="1"/>
          <w:color w:val="auto"/>
        </w:rPr>
        <w:t>Amendments and Waivers</w:t>
      </w:r>
      <w:r>
        <w:rPr>
          <w:rFonts w:ascii="Arial" w:cs="Arial" w:eastAsia="Arial" w:hAnsi="Arial"/>
          <w:sz w:val="16"/>
          <w:szCs w:val="16"/>
          <w:color w:val="auto"/>
        </w:rPr>
        <w:t>. Notwithstanding the foregoing and for the avoidance of doubt, the Bank may, at any time in its sole discretion and without giving notice to the Borrower, waive or amend any of the conditions set forth in this Clause.</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13. TAX</w:t>
      </w:r>
    </w:p>
    <w:p>
      <w:pPr>
        <w:spacing w:after="0" w:line="25" w:lineRule="exact"/>
        <w:rPr>
          <w:sz w:val="20"/>
          <w:szCs w:val="20"/>
          <w:color w:val="auto"/>
        </w:rPr>
      </w:pPr>
    </w:p>
    <w:p>
      <w:pPr>
        <w:jc w:val="both"/>
        <w:ind w:left="1"/>
        <w:spacing w:after="0" w:line="26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i w:val="1"/>
          <w:iCs w:val="1"/>
          <w:color w:val="auto"/>
        </w:rPr>
        <w:t>Gross-up</w:t>
      </w:r>
      <w:r>
        <w:rPr>
          <w:rFonts w:ascii="Arial" w:cs="Arial" w:eastAsia="Arial" w:hAnsi="Arial"/>
          <w:sz w:val="16"/>
          <w:szCs w:val="16"/>
          <w:color w:val="auto"/>
        </w:rPr>
        <w:t>. All payments (including without limitation, in relation to fees) to be made by in relation to fees) to be made by an Obligor to the Bank hereunder and under each transaction shall be made free and clear of and without deduction for or on account of tax or VAT. If any Tax Deduction is required by law, that Obligor shall increase the payment to the Bank to ensure that, after the making of the required deduction or withholding, the Bank receives and retains a net sum equal to the sum which it would have received and so retained had no such deduction or withholding been made or required to be deduction or withholding been made or required to be made. The relevant Obligor shall provide evidence shall provide evidence satisfactory to the Bank acting reasonably of the payment of such taxes to the relevant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78371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115" w:lineRule="exact"/>
        <w:rPr>
          <w:sz w:val="20"/>
          <w:szCs w:val="20"/>
          <w:color w:val="auto"/>
        </w:rPr>
      </w:pPr>
    </w:p>
    <w:p>
      <w:pPr>
        <w:ind w:left="101" w:hanging="101"/>
        <w:spacing w:after="0"/>
        <w:tabs>
          <w:tab w:leader="none" w:pos="101" w:val="left"/>
        </w:tabs>
        <w:numPr>
          <w:ilvl w:val="0"/>
          <w:numId w:val="62"/>
        </w:numPr>
        <w:rPr>
          <w:rFonts w:ascii="Arial" w:cs="Arial" w:eastAsia="Arial" w:hAnsi="Arial"/>
          <w:sz w:val="27"/>
          <w:szCs w:val="27"/>
          <w:color w:val="auto"/>
          <w:vertAlign w:val="superscript"/>
        </w:rPr>
      </w:pPr>
      <w:r>
        <w:rPr>
          <w:rFonts w:ascii="Arial" w:cs="Arial" w:eastAsia="Arial" w:hAnsi="Arial"/>
          <w:sz w:val="16"/>
          <w:szCs w:val="16"/>
          <w:color w:val="auto"/>
        </w:rPr>
        <w:t>Committed not uncommitted.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437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1" w:right="339" w:bottom="1440" w:gutter="0" w:footer="0" w:header="0"/>
        </w:sectPr>
      </w:pPr>
    </w:p>
    <w:bookmarkStart w:id="101" w:name="page102"/>
    <w:bookmarkEnd w:id="101"/>
    <w:p>
      <w:pPr>
        <w:jc w:val="both"/>
        <w:ind w:left="1"/>
        <w:spacing w:after="0" w:line="265"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i w:val="1"/>
          <w:iCs w:val="1"/>
          <w:color w:val="auto"/>
        </w:rPr>
        <w:t>Obligation to notify the Bank</w:t>
      </w:r>
      <w:r>
        <w:rPr>
          <w:rFonts w:ascii="Arial" w:cs="Arial" w:eastAsia="Arial" w:hAnsi="Arial"/>
          <w:sz w:val="16"/>
          <w:szCs w:val="16"/>
          <w:color w:val="auto"/>
        </w:rPr>
        <w:t>. The Borrower shall promptly upon becoming aware that an Obligor must make a Tax Deduction (or that there is any change in the rate or the basis of a Tax Deduction) notify the Bank accordingly.</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i w:val="1"/>
          <w:iCs w:val="1"/>
          <w:color w:val="auto"/>
        </w:rPr>
        <w:t>Tax Payments</w:t>
      </w:r>
      <w:r>
        <w:rPr>
          <w:rFonts w:ascii="Arial" w:cs="Arial" w:eastAsia="Arial" w:hAnsi="Arial"/>
          <w:sz w:val="16"/>
          <w:szCs w:val="16"/>
          <w:color w:val="auto"/>
        </w:rPr>
        <w:t>. For the avoidance of doubt, any applicable tax or VAT shall be charged to, and payable by, the relevant Obligor in addition to any fees or other amounts payable under the Facility Documents, subject (in the case of VAT) to the provision of a valid VAT invoice by the Bank. If an Obligor is required to make a Tax Deduction, that Obligor shall make that Tax Deduction and any payment required in connection with that Tax Deduction within the time allowed and in the minimum amount required by law.</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i w:val="1"/>
          <w:iCs w:val="1"/>
          <w:color w:val="auto"/>
        </w:rPr>
        <w:t>Indemnity</w:t>
      </w:r>
      <w:r>
        <w:rPr>
          <w:rFonts w:ascii="Arial" w:cs="Arial" w:eastAsia="Arial" w:hAnsi="Arial"/>
          <w:sz w:val="16"/>
          <w:szCs w:val="16"/>
          <w:color w:val="auto"/>
        </w:rPr>
        <w:t>. Without prejudice prejudice to the foregoing, if the Bank is required to make any payment on account of tax or VAT (not being a tax or VAT imposed on and calculated by reference to its income or zakat) or otherwise on or in relation to any sum received or receivable by it hereunder or any liability in respect of any such payment is asserted, imposed, levied or assessed against the Bank, the relevant Obligor shall, upon shall, upon demand of the Bank, promptly indemnify the Bank against such payment or liability, together with any against such payment or liability, together with any commission, penalties, costs and expenses payable or incurred in connection therewith, save to the extent resulting from the gross negligence, fraud or willful misconduct of the Bank.</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i w:val="1"/>
          <w:iCs w:val="1"/>
          <w:color w:val="auto"/>
        </w:rPr>
        <w:t>VAT.</w:t>
      </w:r>
      <w:r>
        <w:rPr>
          <w:rFonts w:ascii="Arial" w:cs="Arial" w:eastAsia="Arial" w:hAnsi="Arial"/>
          <w:sz w:val="16"/>
          <w:szCs w:val="16"/>
          <w:color w:val="auto"/>
        </w:rPr>
        <w:t xml:space="preserve"> Where an Obligor is required to reimburse or indemnify the Bank for any cost or expense, that Obligor shall reimburse or indemnify (as the case may be) the Bank for the full amount of such cost or expense, including such part thereof as represents VAT, save to the extent that the Bank reasonably determines that it is entitled to credit or repayment in respect of such VAT from the relevant tax authority.</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b w:val="1"/>
          <w:bCs w:val="1"/>
          <w:i w:val="1"/>
          <w:iCs w:val="1"/>
          <w:color w:val="auto"/>
        </w:rPr>
        <w:t>VAT Registration.</w:t>
      </w:r>
      <w:r>
        <w:rPr>
          <w:rFonts w:ascii="Arial" w:cs="Arial" w:eastAsia="Arial" w:hAnsi="Arial"/>
          <w:sz w:val="16"/>
          <w:szCs w:val="16"/>
          <w:color w:val="auto"/>
        </w:rPr>
        <w:t xml:space="preserve"> In relation to any supply made by the Bank to any Obligor under a Finance Document, if reasonably requested by the Bank, that Obligor must promptly provide the Bank with details of that Obligor’s VAT registration and such other information as is reasonably requested in connection with the Bank 's VAT reporting requirements in relation to such supply.</w:t>
      </w:r>
    </w:p>
    <w:p>
      <w:pPr>
        <w:spacing w:after="0" w:line="1"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i w:val="1"/>
          <w:iCs w:val="1"/>
          <w:color w:val="auto"/>
        </w:rPr>
        <w:t>Stamp Taxes.</w:t>
      </w:r>
      <w:r>
        <w:rPr>
          <w:rFonts w:ascii="Arial" w:cs="Arial" w:eastAsia="Arial" w:hAnsi="Arial"/>
          <w:sz w:val="16"/>
          <w:szCs w:val="16"/>
          <w:color w:val="auto"/>
        </w:rPr>
        <w:t xml:space="preserve"> The Borrower shall pay all stamp, registration and other taxes to which any of the Facility Documents and the Security Documents or any judgment given in connection therewith is or at any time may be subject and shall, from time to time on demand of the Bank, indemnify the Bank against any liabilities, costs, claims and expenses resulting from any failure to pay or any delay in paying any such tax.</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color w:val="auto"/>
        </w:rPr>
        <w:t>14. INCREASED COSTS</w:t>
      </w:r>
    </w:p>
    <w:p>
      <w:pPr>
        <w:spacing w:after="0" w:line="25"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14.1 The Borrower shall, within 15 Business Days of a demand by the Bank, pay the Bank the amount of any Increased Costs incurred by the Bank or any of its affiliates as a result of (i) the introduction of or any change in (or in the interpretation, administration or application of) any law or regulation or (ii) compliance with any law or regulation made after the date of this Agreement.</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14.2 Paragraph 14.1 above does not apply to the extent any Increased Cost is:</w:t>
      </w:r>
    </w:p>
    <w:p>
      <w:pPr>
        <w:spacing w:after="0" w:line="14" w:lineRule="exact"/>
        <w:rPr>
          <w:sz w:val="20"/>
          <w:szCs w:val="20"/>
          <w:color w:val="auto"/>
        </w:rPr>
      </w:pPr>
    </w:p>
    <w:p>
      <w:pPr>
        <w:ind w:left="221" w:hanging="221"/>
        <w:spacing w:after="0"/>
        <w:tabs>
          <w:tab w:leader="none" w:pos="221"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attributable to a Tax Deduction required by law to be made by an Obligor;</w:t>
      </w:r>
    </w:p>
    <w:p>
      <w:pPr>
        <w:spacing w:after="0" w:line="14" w:lineRule="exact"/>
        <w:rPr>
          <w:rFonts w:ascii="Arial" w:cs="Arial" w:eastAsia="Arial" w:hAnsi="Arial"/>
          <w:sz w:val="16"/>
          <w:szCs w:val="16"/>
          <w:color w:val="auto"/>
        </w:rPr>
      </w:pPr>
    </w:p>
    <w:p>
      <w:pPr>
        <w:ind w:left="241" w:hanging="241"/>
        <w:spacing w:after="0"/>
        <w:tabs>
          <w:tab w:leader="none" w:pos="241"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compensated for by Clause 13.4 (Indemnity) (or would have been compensated for under Clause 13.4 (Indemnity); or</w:t>
      </w:r>
    </w:p>
    <w:p>
      <w:pPr>
        <w:spacing w:after="0" w:line="14" w:lineRule="exact"/>
        <w:rPr>
          <w:rFonts w:ascii="Arial" w:cs="Arial" w:eastAsia="Arial" w:hAnsi="Arial"/>
          <w:sz w:val="16"/>
          <w:szCs w:val="16"/>
          <w:color w:val="auto"/>
        </w:rPr>
      </w:pPr>
    </w:p>
    <w:p>
      <w:pPr>
        <w:ind w:left="221" w:hanging="221"/>
        <w:spacing w:after="0"/>
        <w:tabs>
          <w:tab w:leader="none" w:pos="221"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relates to the implementation of Basel II.</w:t>
      </w:r>
    </w:p>
    <w:p>
      <w:pPr>
        <w:spacing w:after="0" w:line="201" w:lineRule="exact"/>
        <w:rPr>
          <w:sz w:val="20"/>
          <w:szCs w:val="20"/>
          <w:color w:val="auto"/>
        </w:rPr>
      </w:pPr>
    </w:p>
    <w:p>
      <w:pPr>
        <w:ind w:left="241" w:hanging="241"/>
        <w:spacing w:after="0"/>
        <w:tabs>
          <w:tab w:leader="none" w:pos="241"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 USED]</w:t>
      </w:r>
    </w:p>
    <w:p>
      <w:pPr>
        <w:spacing w:after="0" w:line="212" w:lineRule="exact"/>
        <w:rPr>
          <w:rFonts w:ascii="Arial" w:cs="Arial" w:eastAsia="Arial" w:hAnsi="Arial"/>
          <w:sz w:val="16"/>
          <w:szCs w:val="16"/>
          <w:color w:val="auto"/>
        </w:rPr>
      </w:pPr>
    </w:p>
    <w:p>
      <w:pPr>
        <w:ind w:left="241" w:hanging="241"/>
        <w:spacing w:after="0"/>
        <w:tabs>
          <w:tab w:leader="none" w:pos="241"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REPRESENTATIONS</w:t>
      </w:r>
    </w:p>
    <w:p>
      <w:pPr>
        <w:spacing w:after="0" w:line="25"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The Borrower makes the following representations and warranties on its and each Obligor’s behalf and acknowledges that the Bank has entered into the Facility Documents in reliance on those representations and warranties. Each of the following Representations shall be made on the date of these Master Terms and, shall be deemed to be repeated by the Borrower, on each day any amounts (actual or contingent) are owing by the Obligors (whether as principal or as surety) to the Bank:</w:t>
      </w:r>
    </w:p>
    <w:p>
      <w:pPr>
        <w:spacing w:after="0" w:line="1"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16.1 Status and Due Authorisation. Each Obligor is a legal entity duly organised under the laws of its establishment with power to enter into each of the Facility Documents and to exercise its rights and perform its obligations under the Facility Documents; subject to generally applicable principles of applicable law, the obligations expressed to be assumed by it in each of the Facility Documents are legal and valid obligations binding on it in accordance with the terms thereof; and all corporate and other action required to authorise its execution of each Facility Document and its performance of its obligations thereunder has been duly taken.</w:t>
      </w:r>
    </w:p>
    <w:p>
      <w:pPr>
        <w:spacing w:after="0" w:line="2"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16.2 Claims Pari Passu. Under the laws of each Obligor’s jurisdiction of establishment and business in force at the date hereof, the claims of the Bank against it under each of the Facility Documents will rank at least pari passu with the claims of all its other unsecured creditors save those whose claims are preferred solely by any bankruptcy, insolvency, liquidation or other similar laws of general application.</w:t>
      </w:r>
    </w:p>
    <w:p>
      <w:pPr>
        <w:spacing w:after="0" w:line="1"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16.3 Admissibility in Evidence. All acts, conditions and things required to be done, fulfilled and performed in order to make each of the Facility Documents admissible in evidence in its jurisdiction of incorporation or business (other than translation thereof into Arabic (if required)) have been done, fulfilled and performed.</w:t>
      </w:r>
    </w:p>
    <w:p>
      <w:pPr>
        <w:spacing w:after="0" w:line="1"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16.4 No Winding-up. No member of the Group has taken any corporate action nor have any other steps been taken or legal proceedings been started or (to the best of its knowledge and belief) threatened against any member of the Group for its winding-up, dissolution or administration or for the appointment of a receiver, administrator, administrative receiver, trustee or similar officer of it or of any or all of its assets or revenues.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102" w:name="page103"/>
    <w:bookmarkEnd w:id="102"/>
    <w:p>
      <w:pPr>
        <w:jc w:val="both"/>
        <w:ind w:left="1"/>
        <w:spacing w:after="0" w:line="261" w:lineRule="auto"/>
        <w:rPr>
          <w:sz w:val="20"/>
          <w:szCs w:val="20"/>
          <w:color w:val="auto"/>
        </w:rPr>
      </w:pPr>
      <w:r>
        <w:rPr>
          <w:rFonts w:ascii="Arial" w:cs="Arial" w:eastAsia="Arial" w:hAnsi="Arial"/>
          <w:sz w:val="16"/>
          <w:szCs w:val="16"/>
          <w:color w:val="auto"/>
        </w:rPr>
        <w:t>16.5 No Material Adverse Change. Since publication of the Original Financial Statements of the Obligors, there has been no material adverse change in its business or financial condition which materially adversely affects or is likely to materially adversely affect its ability to meet any obligations under the Facility Document , nor any action or administrative proceeding of or before any court or agency which might have such a material adverse effect , has been started or threatened which has not been notified to the Bank.</w:t>
      </w:r>
    </w:p>
    <w:p>
      <w:pPr>
        <w:spacing w:after="0" w:line="3"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16.6 Full Disclosure. All of the written information supplied by any member of the Group to the Bank in connection herewith is true, complete and accurate in all material respects and it is not aware of any material facts or circumstances that have not been disclosed to the Bank and which might, if disclosed, adversely affect the decision of a person considering whether or not to provide finance to the Borrower or to provide such finance against the security of a guarantee issued by the Guarantor (if any).</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16.7 Encumbrances. Other than the permitted encumbrance, no encumbrance exists over all or any of the present or future revenues or assets of any member of the Group other than security granted in favour of the Saudi Industrial Development Fund or otherwise where the principal amount secured by such encumbrance does not exceed SAR50,000,000.</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16.11 Governing Law and Judgments. Subject to any generally applicable principles of Saudi Arabian law, in any proceedings taken in its jurisdiction of incorporation or business in relation to the Facility Documents, the choice of the governing law and any judgment obtained in the jurisdiction referred to in Clause 26 (Law and Jurisdiction) will be recognised and enforced.</w:t>
      </w:r>
    </w:p>
    <w:p>
      <w:pPr>
        <w:spacing w:after="0" w:line="1"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16.13 Execution of the Documents. Its execution of each of the Facility Documents, the Security Documents and its exercise of its rights and performance of its obligations thereunder do not and will not: (a) conflict with any agreement, mortgage, bond or other instrument or treaty or which is binding upon it or any of its assets;</w:t>
      </w:r>
    </w:p>
    <w:p>
      <w:pPr>
        <w:spacing w:after="0" w:line="1" w:lineRule="exact"/>
        <w:rPr>
          <w:sz w:val="20"/>
          <w:szCs w:val="20"/>
          <w:color w:val="auto"/>
        </w:rPr>
      </w:pPr>
    </w:p>
    <w:p>
      <w:pPr>
        <w:ind w:left="1" w:hanging="1"/>
        <w:spacing w:after="0" w:line="276" w:lineRule="auto"/>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conflict with its constitutive documents and rules and regulations; or (c) conflict with (subject to any generally applicable rules of Saudi Arabian law) any applicable law, regulation or official or judicial order, each in any material respect.</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17. UNDERTAKINGS</w:t>
      </w:r>
    </w:p>
    <w:p>
      <w:pPr>
        <w:spacing w:after="0" w:line="25"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17.1 The Borrower shall promptly notify the Bank should it be reasonably likely that an Obligor will either be required to enter into, or will apply to the relevant authorities to enter into, a composition with its creditors or any similar regulatory arrangement.</w:t>
      </w:r>
    </w:p>
    <w:p>
      <w:pPr>
        <w:jc w:val="both"/>
        <w:ind w:left="1"/>
        <w:spacing w:after="0" w:line="258" w:lineRule="auto"/>
        <w:rPr>
          <w:sz w:val="20"/>
          <w:szCs w:val="20"/>
          <w:color w:val="auto"/>
        </w:rPr>
      </w:pPr>
      <w:r>
        <w:rPr>
          <w:rFonts w:ascii="Arial" w:cs="Arial" w:eastAsia="Arial" w:hAnsi="Arial"/>
          <w:sz w:val="16"/>
          <w:szCs w:val="16"/>
          <w:color w:val="auto"/>
        </w:rPr>
        <w:t>16.8 Issues of Shares. The Borrower shall ensure that, without the prior written consent of the Bank, issue any further shares or alter any rights attaching to its issued shares in existence at the date hereof.</w:t>
      </w:r>
    </w:p>
    <w:p>
      <w:pPr>
        <w:jc w:val="both"/>
        <w:ind w:left="1"/>
        <w:spacing w:after="0" w:line="258" w:lineRule="auto"/>
        <w:rPr>
          <w:sz w:val="20"/>
          <w:szCs w:val="20"/>
          <w:color w:val="auto"/>
        </w:rPr>
      </w:pPr>
      <w:r>
        <w:rPr>
          <w:rFonts w:ascii="Arial" w:cs="Arial" w:eastAsia="Arial" w:hAnsi="Arial"/>
          <w:sz w:val="16"/>
          <w:szCs w:val="16"/>
          <w:color w:val="auto"/>
        </w:rPr>
        <w:t>16.9 Loans and Guarantees. The Borrower guarantee to ensure that shall not, without the prior written consent of the Bank, make any loans, grant any credit (save in the ordinary course of business) or give any guarantee or indemnity (except as required hereby) to or for the benefit of any person or otherwise voluntarily assume any liability, whether actual or contingent, in respect of any obligation of any other person.</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16.10 Insurances. Sufficient insurances on and in relation to its business and assets are maintained by the Group, with reputable underwriters or insurance companies against such risks and to such extent as is usual for companies carrying on a business such as that carried on by such member of the Group.</w:t>
      </w:r>
    </w:p>
    <w:p>
      <w:pPr>
        <w:jc w:val="both"/>
        <w:ind w:left="1"/>
        <w:spacing w:after="0" w:line="258" w:lineRule="auto"/>
        <w:rPr>
          <w:sz w:val="20"/>
          <w:szCs w:val="20"/>
          <w:color w:val="auto"/>
        </w:rPr>
      </w:pPr>
      <w:r>
        <w:rPr>
          <w:rFonts w:ascii="Arial" w:cs="Arial" w:eastAsia="Arial" w:hAnsi="Arial"/>
          <w:sz w:val="16"/>
          <w:szCs w:val="16"/>
          <w:color w:val="auto"/>
        </w:rPr>
        <w:t>16.11 Further Acts The Obligor undertakes to sign all assignments, subrogations and any other documents that the Bank reasonably requires and to execute such instruments in order to establish and secure its rights arising under the Facility Documents. The Obligor authorises the Bank to sign on its behalf all documents needed to be signed in order to give effect to its obligations under the Facility Documents.</w:t>
      </w:r>
    </w:p>
    <w:p>
      <w:pPr>
        <w:spacing w:after="0" w:line="1" w:lineRule="exact"/>
        <w:rPr>
          <w:sz w:val="20"/>
          <w:szCs w:val="20"/>
          <w:color w:val="auto"/>
        </w:rPr>
      </w:pPr>
    </w:p>
    <w:p>
      <w:pPr>
        <w:jc w:val="both"/>
        <w:ind w:left="1"/>
        <w:spacing w:after="0" w:line="264" w:lineRule="auto"/>
        <w:rPr>
          <w:sz w:val="20"/>
          <w:szCs w:val="20"/>
          <w:color w:val="auto"/>
        </w:rPr>
      </w:pPr>
      <w:r>
        <w:rPr>
          <w:rFonts w:ascii="Arial" w:cs="Arial" w:eastAsia="Arial" w:hAnsi="Arial"/>
          <w:sz w:val="16"/>
          <w:szCs w:val="16"/>
          <w:color w:val="auto"/>
        </w:rPr>
        <w:t>17.2 To the maximum extent permitted by law the Borrower shall, in circumstances where it is in a process under the Insolvency Law, comply with the instructions of the Bank in relation to the extension of the term of any financing granted by the Bank to the Borrower, including for the extension of any Bank Undertaking (except that any such extension or renewal of such financing or Bank Undertaking shall not be considered a new Facility or a new utilisation under an existing Facility or the issuance of a new Bank Undertaking and shall be a continuation of an existing Facility that has been utilised).</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color w:val="auto"/>
        </w:rPr>
        <w:t>18. FINANCIAL INFORMATION</w:t>
      </w:r>
    </w:p>
    <w:p>
      <w:pPr>
        <w:spacing w:after="0" w:line="25"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18.1 Financial Information The Borrower shall and shall procure that each of the Obligors shall furnish the financial information as required pursuant to the Facilities Letter and shall from time to time about the business and financial condition of the Group as the Bank may reasonably require.</w:t>
      </w:r>
    </w:p>
    <w:p>
      <w:pPr>
        <w:jc w:val="both"/>
        <w:ind w:left="1"/>
        <w:spacing w:after="0" w:line="278" w:lineRule="auto"/>
        <w:rPr>
          <w:sz w:val="20"/>
          <w:szCs w:val="20"/>
          <w:color w:val="auto"/>
        </w:rPr>
      </w:pPr>
      <w:r>
        <w:rPr>
          <w:rFonts w:ascii="Arial" w:cs="Arial" w:eastAsia="Arial" w:hAnsi="Arial"/>
          <w:sz w:val="15"/>
          <w:szCs w:val="15"/>
          <w:color w:val="auto"/>
        </w:rPr>
        <w:t>18.2 Requirements as to Financial Statements The Borrower shall and shall procure that each of the Obligors shall ensure that each set of financial statements delivered by it pursuant to this Clause: (a) is prepared on the same basis as was used in the is prepared on the same basis as was used in the preparation of its Original Financial Statements and in accordance with accounting principles generally accepted in the country of its incorporation and business and consistently applied; (b) is certified by a duly authorised officer (including the managing director or equivalent person) of such Obligor as giving a true and fair view of its financial condition (or, in the case of financial statements of the Guarantor, the financial condition of the Group) as at the end of the period to which those financial statements relate and of the results of its (or, as the case may be, the Group's) operations during such case may be, the Group's) operations during such period and confirming that there are no liabilities confirming that there are no liabilities (contingent or otherwise) which were not disclosed thereby (or by the notes thereto) reserved against therein nor were there at that date any unrealised or anticipated losses arising from commitments entered into by it which were not so disclosed or reserved against; (c) to the extent that the Facilities Agreement sets out financial condition ratios to be complied with, a Compliance Certificate setting out (in reasonable detail) computations as to compliance with reasonable detail) computations as to compliance with Clause 19 (Financial Condition) of the Master Terms and paragraph as at the date as at which those financial statements were drawn up; each Compliance Certificate (to the extent one is required to be delivered) shall be signed by a duly authorised officer Certificate shall be signed by a duly authorised officer (including the Chief Financial Officer or equivalent person) of the relevant Obligors and, if required to be to be delivered with the financial statements delivered pursuant to Clause 2.1 (Annual Statements) of the Facilities Letter, shall be reported on by the relevant Facilities Letter, shall be reported on by the relevant Obligor's auditors; and (d) each set of financial statements delivered by it pursuant to Clause 2.1 (Annual Statements) of the Facilities Letter has been audited by an internationally recognised firm of audited by an internationally recognised firm of independent auditors licensed to practise in the relevant jurisdiction.</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1043" w:right="339" w:bottom="1440" w:gutter="0" w:footer="0" w:header="0"/>
        </w:sectPr>
      </w:pPr>
    </w:p>
    <w:bookmarkStart w:id="103" w:name="page104"/>
    <w:bookmarkEnd w:id="103"/>
    <w:p>
      <w:pPr>
        <w:ind w:left="1"/>
        <w:spacing w:after="0"/>
        <w:rPr>
          <w:sz w:val="20"/>
          <w:szCs w:val="20"/>
          <w:color w:val="auto"/>
        </w:rPr>
      </w:pPr>
      <w:r>
        <w:rPr>
          <w:rFonts w:ascii="Arial" w:cs="Arial" w:eastAsia="Arial" w:hAnsi="Arial"/>
          <w:sz w:val="16"/>
          <w:szCs w:val="16"/>
          <w:color w:val="auto"/>
        </w:rPr>
        <w:t>19. FINANCIAL CONDITION</w:t>
      </w:r>
    </w:p>
    <w:p>
      <w:pPr>
        <w:spacing w:after="0" w:line="25"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19.1 Financial Condition. At all times, the consolidated financial condition, as evidenced by financial statements prepared on the same basis as was used in the preparation of its Original Financial Statements, shall be as prescribed in the Facilities Letter (but only to the extent that the Facilities Letter sets out specific requirements in relation to financial condition).</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color w:val="auto"/>
        </w:rPr>
        <w:t>21. EVENTS OF DEFAULT</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color w:val="auto"/>
        </w:rPr>
        <w:t>Events of Default provisions detailed in Schedule 2 (Events of Default) attached to these Master Terms, shall apply the Facilities granted hereunder.</w:t>
      </w:r>
    </w:p>
    <w:p>
      <w:pPr>
        <w:spacing w:after="0" w:line="212" w:lineRule="exact"/>
        <w:rPr>
          <w:sz w:val="20"/>
          <w:szCs w:val="20"/>
          <w:color w:val="auto"/>
        </w:rPr>
      </w:pPr>
    </w:p>
    <w:p>
      <w:pPr>
        <w:ind w:left="241" w:hanging="241"/>
        <w:spacing w:after="0"/>
        <w:tabs>
          <w:tab w:leader="none" w:pos="2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 USED]</w:t>
      </w:r>
    </w:p>
    <w:p>
      <w:pPr>
        <w:spacing w:after="0" w:line="212" w:lineRule="exact"/>
        <w:rPr>
          <w:rFonts w:ascii="Arial" w:cs="Arial" w:eastAsia="Arial" w:hAnsi="Arial"/>
          <w:sz w:val="16"/>
          <w:szCs w:val="16"/>
          <w:color w:val="auto"/>
        </w:rPr>
      </w:pPr>
    </w:p>
    <w:p>
      <w:pPr>
        <w:ind w:left="241" w:hanging="241"/>
        <w:spacing w:after="0"/>
        <w:tabs>
          <w:tab w:leader="none" w:pos="2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JOINT AND SEVERAL LIABILITY</w:t>
      </w:r>
    </w:p>
    <w:p>
      <w:pPr>
        <w:spacing w:after="0" w:line="25"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23.1 Joint and Several Liability. The obligations of the Borrowers hereunder (in case there are multiple Borrowers hereunder (in case there are multiple Borrowers) are joint and several and the term "the Borrowers) are joint and several and the term "the Borrower" when used herein means each of the Borrowers jointly and severally.</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23.2 No Impairment. The rights of the Bank against a Borrower shall not be revoked or impaired by (a) any contingency affecting the other Borrowers, (b) time or any indulgence being granted or agreed to be granted to the other Borrowers in respect of their obligations hereunder, (c) any invalidity, voidability, ineffectiveness or unenforceability of this agreement as against the other Borrowers for any reason as against the other Borrowers for any reason whatsoever, whether or not known to the or any other person or (d) the revocation or release of any or release of any liabilities hereunder of the other Borrowers.</w:t>
      </w:r>
    </w:p>
    <w:p>
      <w:pPr>
        <w:spacing w:after="0" w:line="1" w:lineRule="exact"/>
        <w:rPr>
          <w:sz w:val="20"/>
          <w:szCs w:val="20"/>
          <w:color w:val="auto"/>
        </w:rPr>
      </w:pPr>
    </w:p>
    <w:p>
      <w:pPr>
        <w:jc w:val="both"/>
        <w:ind w:left="1"/>
        <w:spacing w:after="0" w:line="264" w:lineRule="auto"/>
        <w:rPr>
          <w:sz w:val="20"/>
          <w:szCs w:val="20"/>
          <w:color w:val="auto"/>
        </w:rPr>
      </w:pPr>
      <w:r>
        <w:rPr>
          <w:rFonts w:ascii="Arial" w:cs="Arial" w:eastAsia="Arial" w:hAnsi="Arial"/>
          <w:sz w:val="16"/>
          <w:szCs w:val="16"/>
          <w:color w:val="auto"/>
        </w:rPr>
        <w:t>23.3 No Right of Contribution. None of the Borrowers shall, without the prior written consent of the Bank, exercise any right to claim any contribution from the other Borrowers in respect of its obligations hereunder until none of the Borrowers are under any further actual or contingent liability of any nature hereunder, and to the extent that any of the Borrowers do exercise such rights, it will hold the proceeds of every such claim in trust for the Bank to be applied in such claim in trust for the Bank to be applied in satisfaction of the obligations of the Borrowers hereunder.</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color w:val="auto"/>
        </w:rPr>
        <w:t>24. MISCELLANEOUS</w:t>
      </w:r>
    </w:p>
    <w:p>
      <w:pPr>
        <w:spacing w:after="0" w:line="25"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24.1 Default Commission Periods. If any sum due and payable by any of the Obligors hereunder is not paid on the due date therefor in accordance with the provisions of this Agreement or under any judgment of any court in connection herewith is not paid on the date of such judgment (such unpaid amount being herein referred to as an "unpaid sum"), such unpaid sum shall bear commission at the rate of three (3%) per annum over the rate which would have been applicable (based on SAIBOR and margin under the Facility Agreement) had the overdue sum been an Advance over the period for which it was overdue . Any commission in respect of an unpaid sum shall be due and payable by the Obligor owing such unpaid sum on the dates specified by the Bank.</w:t>
      </w:r>
    </w:p>
    <w:p>
      <w:pPr>
        <w:spacing w:after="0" w:line="1"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24.2 Broken Periods. If the Bank receives or recovers all or any part of an Advance otherwise than on the last day of the Term relating to that Advance, the Borrower shall pay to the Bank within 15 business days demand by the Bank, an amount equal to the amount (if any) by which (a) the additional commission which would have been payable on the amount so received or recovered had it been received or recovered on the last day of that Term exceeds (b) the amount of commission which in the opinion of the Bank would have been payable to the Bank on the last day of that Term in respect of a riyal deposit equal to the amount so received or recovered placed by it with a prime bank in London for a period starting on the business day following the date of such receipt or recovery and ending on the last day of that Term. The Bank shall promptly account to the Borrower for any break gain resulting from such early recovery.</w:t>
      </w:r>
    </w:p>
    <w:p>
      <w:pPr>
        <w:spacing w:after="0" w:line="1" w:lineRule="exact"/>
        <w:rPr>
          <w:sz w:val="20"/>
          <w:szCs w:val="20"/>
          <w:color w:val="auto"/>
        </w:rPr>
      </w:pPr>
    </w:p>
    <w:p>
      <w:pPr>
        <w:jc w:val="both"/>
        <w:ind w:left="1"/>
        <w:spacing w:after="0" w:line="275" w:lineRule="auto"/>
        <w:rPr>
          <w:sz w:val="20"/>
          <w:szCs w:val="20"/>
          <w:color w:val="auto"/>
        </w:rPr>
      </w:pPr>
      <w:r>
        <w:rPr>
          <w:rFonts w:ascii="Arial" w:cs="Arial" w:eastAsia="Arial" w:hAnsi="Arial"/>
          <w:sz w:val="15"/>
          <w:szCs w:val="15"/>
          <w:color w:val="auto"/>
        </w:rPr>
        <w:t>24.3 Borrower's Indemnity. The Borrower undertakes to indemnify the Bank within 15 business days of demand by the Bank against: (a) any cost, claim, loss, expense (including reasonably and properly incurred legal fees) or liability together with any tax or VAT thereon, which it may sustain or incur as a result of any Default by any of the Obligors in the performance of any of the obligations under any Facility Document; and (b) any loss it may suffer or incur as a result of its funding or making arrangements to fund an Advance requested by the Borrower hereunder but not made by reason of the operation of any one or more of the provisions hereof, save to the extent (in the case of either (a) or (b)) caused by the gross negligence, fraud or willful default of the Bank and subject to the Bank providing reasonably supporting evidence in relation to the sums claimed, taking reasonable steps to mitigate any loss and (for the avoidance of doubt) excluding Bank management time .</w:t>
      </w:r>
    </w:p>
    <w:p>
      <w:pPr>
        <w:spacing w:after="0" w:line="2" w:lineRule="exact"/>
        <w:rPr>
          <w:sz w:val="20"/>
          <w:szCs w:val="20"/>
          <w:color w:val="auto"/>
        </w:rPr>
      </w:pPr>
    </w:p>
    <w:p>
      <w:pPr>
        <w:jc w:val="both"/>
        <w:ind w:left="1"/>
        <w:spacing w:after="0" w:line="264" w:lineRule="auto"/>
        <w:rPr>
          <w:sz w:val="20"/>
          <w:szCs w:val="20"/>
          <w:color w:val="auto"/>
        </w:rPr>
      </w:pPr>
      <w:r>
        <w:rPr>
          <w:rFonts w:ascii="Arial" w:cs="Arial" w:eastAsia="Arial" w:hAnsi="Arial"/>
          <w:sz w:val="16"/>
          <w:szCs w:val="16"/>
          <w:color w:val="auto"/>
        </w:rPr>
        <w:t>24.4 Currency of Payment. (a) each payment in respect of costs and expenses shall be made in the currency in which the same were incurred; (b) each payment of commission shall be made in the currency in which the sum in respect of which such commission is payable is denominated; (c) each payment in respect of a Discounting Instrument or Bank Undertaking shall be made in the currency in which the Bank is required to make payment under such Discounting Instrument or Bank Undertaking; and (d) each payment pursuant to Clause 13 (Tax) shall be made in SAR.</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16"/>
          <w:szCs w:val="16"/>
          <w:color w:val="auto"/>
        </w:rPr>
        <w:t>24.5 Currency Indemnity. In case any sums due by an Obligor hereunder, whether before or after judgment, has to be converted from one currency to another, for any purpose whatsoever, the Bank shall be entitled to convert such currency at rate or rates of exchange at which the Bank may in the ordinary course of business purchase such currency. The Borrower shall indemnify and hold harmless the Bank from and against any loss suffered or incurred as a result of any discrepancy between (i) the rate of exchange used for such purpose to convert the sum in question from one currency into another and (ii) the rate or rates of exchange at which the Bank may in the ordinary course of business purchase such currency with the other currency upon receipt of a sum paid to it in satisfaction of amounts due to the Bank, save to the extent resulting from the gross negligence, fraud or willful default of the Bank.</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24.6 Payments to the Bank. On each date on which any of the Facility Documents requires an amount to be paid by any of the Obligors, such Obligor shall make the same available to the Bank for account of the Facility Office by payment in same day funds to such account as the Bank may have specified for this purpose.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24.7 Payments to the Borrower. On each date on which any of the Facility Documents requires an amount to be paid by the Bank to the Borrower hereunder, the Bank shall make the same available by application: (a) first, in or towards payment the same day of any first, in or towards payment the same day of any amount then due from the Borrower to the Bank; and amount then due from the Borrower to the Bank; and (b) secondly, in payment to the Borrower to such bank (b) secondly, in payment to the Borrower to such bank and account as the Borrower may have specified for nt as the Borrower may have specified for this purpose.</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24.8 Alternative Payment Arrangements. If, at any time, it shall become impracticable (by reason of any action of any governmental authority or any change in law, exchange control regulations or any similar event) for any of the Obligors to make any payments hereunder in the manner specified in Clause 24.6 (Payments to the Bank), then such Obligor may agree with the Bank alternative arrangements for such payments to be made, provided that, in the absence of any such agreement, such Obligor shall be obliged to make all payments due to the Bank in the manner specified herein.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24.9 No Set-off. All payments required to be made by any of the Obligors shall be calculated and be made without (and free of and clear of any deduction for) any set-off or counterclaim.</w:t>
      </w:r>
    </w:p>
    <w:p>
      <w:pPr>
        <w:jc w:val="both"/>
        <w:spacing w:after="0" w:line="275" w:lineRule="auto"/>
        <w:rPr>
          <w:sz w:val="20"/>
          <w:szCs w:val="20"/>
          <w:color w:val="auto"/>
        </w:rPr>
      </w:pPr>
      <w:r>
        <w:rPr>
          <w:rFonts w:ascii="Arial" w:cs="Arial" w:eastAsia="Arial" w:hAnsi="Arial"/>
          <w:sz w:val="15"/>
          <w:szCs w:val="15"/>
          <w:color w:val="auto"/>
        </w:rPr>
        <w:t>24.10 Contractual Set-off. Each of the Obligors authorises the Bank to apply any credit balance to which such Obligor is entitled on any account of such Obligor with the Bank or any of its branches or subsidiaries in any jurisdiction, in satisfaction of any sum due and payable from such Obligor to the Bank, regardless of the place of payment, booking branch or currency of either obligation; for this purpose, the Bank is authorised to purchase with the moneys standing to the credit of any such account such other currencies as may be necessary to effect such application. Furthermore, without prior notice, the Bank shall sell any securities or property of the Obligors held by the Bank and retain from the proceeds the total amount remaining unpaid, including all expenses arising from such sale, and the Obligors shall be responsible to the Bank for any deficiency and will pay on demand to the Bank the amount of such deficiency. The Bank’s rights under this section are in addition to any other rights the Bank may have. The Bank shall not be obliged to exercise any right given to it in this Clause.</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24.11 Transaction Expenses. The Borrower shall, from time to time on demand of the Bank, reimburse the Bank for all reasonably costs and expenses (including reasonably and properly incurred legal fees) together with any tax or VAT thereon incurred by it in connection with the negotiation, preparation and execution of each of the Facility Documents and the Security Documents and the completion of the transactions therein contemplated (it being acknowledged that no such transaction expenses are required to be reimbursed as at the date of the Facility Letter).</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24.12 Preservation and Enforcement of Rights. The Borrower shall, from time to time on demand of the Bank, reimburse the Bank the amount of all reasonably and properly incurred costs and expenses (including reasonably and properly incurred legal fees) together with any tax or VAT thereon incurred in or in connection with the preservation and/or enforcement of any of its rights under any of the Facility Documents and the Security Documents.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24.13 Bank's Costs. The Borrower shall, from time to time within 15 business days of demand by the Bank (and without prejudice to the provisions of Clause 24.12 (Preservation and Enforcement of Rights) compensate the Bank for out of pocket costs (excluding management time) and reasonably and properly incurred legal fees incurred by the Bank in connection with its taking such action as it may reasonably deem appropriate or in complying with any request by the Obligors or any of them in connection with: (a) the granting or proposed granting of any waiver or consent requested under any of the Facility Documents or the Security Documents by the Obligors or any of them; (b) any ted breach by the Obligors or any of them of its obligations under any of the Facility Documents or the Security Documents; or (c) any amendment or proposed amendment to any of the Facility Documents or the Security Documents requested by the Obligors or any of them.</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24.14 Binding Agreement. These Master Terms shall be binding upon and ensure to the benefit of each party hereto or identified in the Facilities Letter to whom the terms of the Master Term apply and its or any subsequent successors and assigns.</w:t>
      </w:r>
    </w:p>
    <w:p>
      <w:pPr>
        <w:jc w:val="both"/>
        <w:spacing w:after="0" w:line="258" w:lineRule="auto"/>
        <w:rPr>
          <w:sz w:val="20"/>
          <w:szCs w:val="20"/>
          <w:color w:val="auto"/>
        </w:rPr>
      </w:pPr>
      <w:r>
        <w:rPr>
          <w:rFonts w:ascii="Arial" w:cs="Arial" w:eastAsia="Arial" w:hAnsi="Arial"/>
          <w:sz w:val="16"/>
          <w:szCs w:val="16"/>
          <w:color w:val="auto"/>
        </w:rPr>
        <w:t>24.15 Assignments and Transfers. None of the Obligors shall be entitled to assign or transfer all or any of its rights, benefits and obligations hereunder. The Bank may at any time assign any or all of its rights or transfer any or all of its rights and obligations hereunder or any other Facility Documents to any third party which is a licensed bank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24.16 [Not Used].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5" w:name="page106"/>
    <w:bookmarkEnd w:id="105"/>
    <w:p>
      <w:pPr>
        <w:ind w:left="1"/>
        <w:spacing w:after="0" w:line="265" w:lineRule="auto"/>
        <w:rPr>
          <w:sz w:val="20"/>
          <w:szCs w:val="20"/>
          <w:color w:val="auto"/>
        </w:rPr>
      </w:pPr>
      <w:r>
        <w:rPr>
          <w:rFonts w:ascii="Arial" w:cs="Arial" w:eastAsia="Arial" w:hAnsi="Arial"/>
          <w:sz w:val="16"/>
          <w:szCs w:val="16"/>
          <w:color w:val="auto"/>
        </w:rPr>
        <w:t>24.17 Disclosure of Information. Each of the Obligors hereby irrevocably and unconditionally authorises the Bank to disclose to any member of the Bank Group and their officers, directors, employees, agents, representatives, professional advisors and auditors and any other person:</w:t>
      </w:r>
    </w:p>
    <w:p>
      <w:pPr>
        <w:spacing w:after="0" w:line="1" w:lineRule="exact"/>
        <w:rPr>
          <w:sz w:val="20"/>
          <w:szCs w:val="20"/>
          <w:color w:val="auto"/>
        </w:rPr>
      </w:pPr>
    </w:p>
    <w:p>
      <w:pPr>
        <w:ind w:left="1" w:hanging="1"/>
        <w:spacing w:after="0" w:line="258" w:lineRule="auto"/>
        <w:tabs>
          <w:tab w:leader="none" w:pos="23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(or through) whom the Bank assigns or transfers (or may potentially assign or transfer) all or any of its rights and obligations under any other Facility Documents, subject to such person having first entered into a confidentiality agreement on reasonably market standard terms ;</w:t>
      </w:r>
    </w:p>
    <w:p>
      <w:pPr>
        <w:jc w:val="both"/>
        <w:ind w:left="1" w:hanging="1"/>
        <w:spacing w:after="0" w:line="258" w:lineRule="auto"/>
        <w:tabs>
          <w:tab w:leader="none" w:pos="2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with (or through) whom the Bank enters into (or may potentially enter into) any sub--participation in relation to, or any other transaction under which payments are to be made by reference to, or any payments are to be made by reference to, or any other Facility Documents or the Borrower, subject to such person having entered into a confidentiality agreement on reasonably market standard terms;</w:t>
      </w:r>
    </w:p>
    <w:p>
      <w:pPr>
        <w:jc w:val="both"/>
        <w:ind w:left="1" w:hanging="1"/>
        <w:spacing w:after="0" w:line="275" w:lineRule="auto"/>
        <w:tabs>
          <w:tab w:leader="none" w:pos="228"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where requested or required by any court of competent jurisdiction or any competent judicial, governmental, supervisory or regulatory body, (ii) where required by the rules of any stock exchange on which the shares or other securities of any on which the shares or other securities of any member of the Bank Group are listed or</w:t>
      </w:r>
    </w:p>
    <w:p>
      <w:pPr>
        <w:ind w:left="281" w:hanging="281"/>
        <w:spacing w:after="0"/>
        <w:tabs>
          <w:tab w:leader="none" w:pos="28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where required by the laws or regulations of any country jurisdiction over the affairs of any member of the Bank Group;</w:t>
      </w:r>
    </w:p>
    <w:p>
      <w:pPr>
        <w:spacing w:after="0" w:line="14" w:lineRule="exact"/>
        <w:rPr>
          <w:rFonts w:ascii="Arial" w:cs="Arial" w:eastAsia="Arial" w:hAnsi="Arial"/>
          <w:sz w:val="16"/>
          <w:szCs w:val="16"/>
          <w:color w:val="auto"/>
        </w:rPr>
      </w:pPr>
    </w:p>
    <w:p>
      <w:pPr>
        <w:ind w:left="1" w:hanging="1"/>
        <w:spacing w:after="0" w:line="258" w:lineRule="auto"/>
        <w:tabs>
          <w:tab w:leader="none" w:pos="24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connection with any legal, arbitral or other similar proceedings relating to any other Facility similar proceedings relating to any other Facility Documents and the Security Documents; or</w:t>
      </w:r>
    </w:p>
    <w:p>
      <w:pPr>
        <w:jc w:val="both"/>
        <w:ind w:left="1" w:hanging="1"/>
        <w:spacing w:after="0" w:line="258" w:lineRule="auto"/>
        <w:tabs>
          <w:tab w:leader="none" w:pos="2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who may reasonably require information for the purpose of performing their services in relation to any Facility Documents and the Security Documents or to provide advice to the Bank in advice to the Bank in relation to any of the Facility Documents and relation to any of the Facility Documents and Security Documents subject to any such person being under an obligation of confidentiality ,</w:t>
      </w:r>
    </w:p>
    <w:p>
      <w:pPr>
        <w:ind w:left="201" w:hanging="201"/>
        <w:spacing w:after="0"/>
        <w:tabs>
          <w:tab w:leader="none" w:pos="201"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 the prior written consent of the consent of the relevant Obligors, or</w:t>
      </w:r>
    </w:p>
    <w:p>
      <w:pPr>
        <w:spacing w:after="0" w:line="201" w:lineRule="exact"/>
        <w:rPr>
          <w:rFonts w:ascii="Arial" w:cs="Arial" w:eastAsia="Arial" w:hAnsi="Arial"/>
          <w:sz w:val="16"/>
          <w:szCs w:val="16"/>
          <w:color w:val="auto"/>
        </w:rPr>
      </w:pPr>
    </w:p>
    <w:p>
      <w:pPr>
        <w:jc w:val="both"/>
        <w:ind w:left="1" w:hanging="1"/>
        <w:spacing w:after="0" w:line="263" w:lineRule="auto"/>
        <w:tabs>
          <w:tab w:leader="none" w:pos="2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rating agency (to any rating agency (including its professional its professional advisers), any information about such Obligor, any member of the Group, the Facility Documents and the Security Documents or any other document relating to these Master Terms as the Bank shall consider appropriate. For the purposes of this Clause, "Bank Group" means the Bank and any of its branches, subsidiaries or affiliates in any jurisdiction.</w:t>
      </w:r>
    </w:p>
    <w:p>
      <w:pPr>
        <w:jc w:val="both"/>
        <w:ind w:left="1"/>
        <w:spacing w:after="0" w:line="275" w:lineRule="auto"/>
        <w:rPr>
          <w:rFonts w:ascii="Arial" w:cs="Arial" w:eastAsia="Arial" w:hAnsi="Arial"/>
          <w:sz w:val="16"/>
          <w:szCs w:val="16"/>
          <w:color w:val="auto"/>
        </w:rPr>
      </w:pPr>
      <w:r>
        <w:rPr>
          <w:rFonts w:ascii="Arial" w:cs="Arial" w:eastAsia="Arial" w:hAnsi="Arial"/>
          <w:sz w:val="15"/>
          <w:szCs w:val="15"/>
          <w:color w:val="auto"/>
        </w:rPr>
        <w:t>24.18 Additional Borrower Provided that it is expressly permitted in the Facilities Letter and subject to compliance with Clause 20.3 (KYC on Additional Borrower), the Borrower may request that any of its subsidiaries becomes an Additional Borrower. That subsidiary shall (provided that the Bank agrees) become an Additional Borrower if: (a) the Borrower and subsidiary deliver to the Bank a duly completed and executed Accession Letter; and (b) the Bank has received all of the documents and other evidence as listed in Clause 6 of the Facilities Letter (Conditions Precedent) in relation to that Additional Borrower, each in form and substance satisfactory to the Bank.</w:t>
      </w:r>
    </w:p>
    <w:p>
      <w:pPr>
        <w:spacing w:after="0" w:line="1" w:lineRule="exact"/>
        <w:rPr>
          <w:rFonts w:ascii="Arial" w:cs="Arial" w:eastAsia="Arial" w:hAnsi="Arial"/>
          <w:sz w:val="16"/>
          <w:szCs w:val="16"/>
          <w:color w:val="auto"/>
        </w:rPr>
      </w:pPr>
    </w:p>
    <w:p>
      <w:pPr>
        <w:ind w:left="1"/>
        <w:spacing w:after="0" w:line="258" w:lineRule="auto"/>
        <w:rPr>
          <w:rFonts w:ascii="Arial" w:cs="Arial" w:eastAsia="Arial" w:hAnsi="Arial"/>
          <w:sz w:val="16"/>
          <w:szCs w:val="16"/>
          <w:color w:val="auto"/>
        </w:rPr>
      </w:pPr>
      <w:r>
        <w:rPr>
          <w:rFonts w:ascii="Arial" w:cs="Arial" w:eastAsia="Arial" w:hAnsi="Arial"/>
          <w:sz w:val="16"/>
          <w:szCs w:val="16"/>
          <w:color w:val="auto"/>
        </w:rPr>
        <w:t>24.19 Basis of Accrual. Any commission or fee shall accrue from day to day and shall be calculated on the basis of a year of 360 days (or, in any case where market practice differs, in accordance with market practice) and the actual number of days elapsed.</w:t>
      </w:r>
    </w:p>
    <w:p>
      <w:pPr>
        <w:jc w:val="both"/>
        <w:ind w:left="1"/>
        <w:spacing w:after="0" w:line="258" w:lineRule="auto"/>
        <w:rPr>
          <w:rFonts w:ascii="Arial" w:cs="Arial" w:eastAsia="Arial" w:hAnsi="Arial"/>
          <w:sz w:val="16"/>
          <w:szCs w:val="16"/>
          <w:color w:val="auto"/>
        </w:rPr>
      </w:pPr>
      <w:r>
        <w:rPr>
          <w:rFonts w:ascii="Arial" w:cs="Arial" w:eastAsia="Arial" w:hAnsi="Arial"/>
          <w:sz w:val="16"/>
          <w:szCs w:val="16"/>
          <w:color w:val="auto"/>
        </w:rPr>
        <w:t>24.20 Evidence of Debt. The Bank shall maintain in accordance with its usual practice accounts evidencing the amounts from time to time lent by and owing to it hereunder; in any legal action or proceeding arising out of or in connection with these Master Terms, the entries made in such accounts shall be prima facie evidence of the existence and amounts of the obligations of the Obligors therein recorded.</w:t>
      </w:r>
    </w:p>
    <w:p>
      <w:pPr>
        <w:jc w:val="both"/>
        <w:ind w:left="1"/>
        <w:spacing w:after="0" w:line="258" w:lineRule="auto"/>
        <w:rPr>
          <w:rFonts w:ascii="Arial" w:cs="Arial" w:eastAsia="Arial" w:hAnsi="Arial"/>
          <w:sz w:val="16"/>
          <w:szCs w:val="16"/>
          <w:color w:val="auto"/>
        </w:rPr>
      </w:pPr>
      <w:r>
        <w:rPr>
          <w:rFonts w:ascii="Arial" w:cs="Arial" w:eastAsia="Arial" w:hAnsi="Arial"/>
          <w:sz w:val="16"/>
          <w:szCs w:val="16"/>
          <w:color w:val="auto"/>
        </w:rPr>
        <w:t>24.21 Order Notes. If an Order Note delivered pursuant to the Facility Documents (an "Expiring Note") remains in issue on the date which falls eleven (11) months after the date on which it was issued (or such other period as the Bank may determine) the Borrower shall deliver to the Bank by such date a substitute Order Note in the same amount as the Expiring Note.</w:t>
      </w:r>
    </w:p>
    <w:p>
      <w:pPr>
        <w:jc w:val="both"/>
        <w:ind w:left="1"/>
        <w:spacing w:after="0" w:line="258" w:lineRule="auto"/>
        <w:rPr>
          <w:rFonts w:ascii="Arial" w:cs="Arial" w:eastAsia="Arial" w:hAnsi="Arial"/>
          <w:sz w:val="16"/>
          <w:szCs w:val="16"/>
          <w:color w:val="auto"/>
        </w:rPr>
      </w:pPr>
      <w:r>
        <w:rPr>
          <w:rFonts w:ascii="Arial" w:cs="Arial" w:eastAsia="Arial" w:hAnsi="Arial"/>
          <w:sz w:val="16"/>
          <w:szCs w:val="16"/>
          <w:color w:val="auto"/>
        </w:rPr>
        <w:t>24.22 Remedies and Waivers. Neither failure by the Bank to exercise, nor any delay by the Bank in exercising, any right or remedy hereunder shall operate as a waiver thereof or constitute an election to affirm this document, nor shall any single or partial exercise of any right or remedy prevent any further or other exercise thereof or the exercise of any other right or remedy. No election to affirm this document on the part of the Bank shall be effective unless it is in writing. The rights and remedies herein provided are cumulative and not exclusive of any rights or remedies provided by law.</w:t>
      </w:r>
    </w:p>
    <w:p>
      <w:pPr>
        <w:jc w:val="both"/>
        <w:ind w:left="1"/>
        <w:spacing w:after="0" w:line="258" w:lineRule="auto"/>
        <w:rPr>
          <w:rFonts w:ascii="Arial" w:cs="Arial" w:eastAsia="Arial" w:hAnsi="Arial"/>
          <w:sz w:val="16"/>
          <w:szCs w:val="16"/>
          <w:color w:val="auto"/>
        </w:rPr>
      </w:pPr>
      <w:r>
        <w:rPr>
          <w:rFonts w:ascii="Arial" w:cs="Arial" w:eastAsia="Arial" w:hAnsi="Arial"/>
          <w:sz w:val="16"/>
          <w:szCs w:val="16"/>
          <w:color w:val="auto"/>
        </w:rPr>
        <w:t>24.23 Partial Invalidity. 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w:t>
      </w:r>
    </w:p>
    <w:p>
      <w:pPr>
        <w:ind w:left="1"/>
        <w:spacing w:after="0" w:line="276" w:lineRule="auto"/>
        <w:rPr>
          <w:rFonts w:ascii="Arial" w:cs="Arial" w:eastAsia="Arial" w:hAnsi="Arial"/>
          <w:sz w:val="16"/>
          <w:szCs w:val="16"/>
          <w:color w:val="auto"/>
        </w:rPr>
      </w:pPr>
      <w:r>
        <w:rPr>
          <w:rFonts w:ascii="Arial" w:cs="Arial" w:eastAsia="Arial" w:hAnsi="Arial"/>
          <w:sz w:val="16"/>
          <w:szCs w:val="16"/>
          <w:color w:val="auto"/>
        </w:rPr>
        <w:t>24.24 Complaints. If the Borrower has any complaint with regard to the services provided by the Bank, the Borrower may refer to the Bank’s complaint handling procedures available at www.gib.com.</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25. NOTICES</w:t>
      </w:r>
    </w:p>
    <w:p>
      <w:pPr>
        <w:spacing w:after="0" w:line="25" w:lineRule="exact"/>
        <w:rPr>
          <w:sz w:val="20"/>
          <w:szCs w:val="20"/>
          <w:color w:val="auto"/>
        </w:rPr>
      </w:pPr>
    </w:p>
    <w:p>
      <w:pPr>
        <w:ind w:left="1"/>
        <w:spacing w:after="0" w:line="311" w:lineRule="auto"/>
        <w:rPr>
          <w:sz w:val="20"/>
          <w:szCs w:val="20"/>
          <w:color w:val="auto"/>
        </w:rPr>
      </w:pPr>
      <w:r>
        <w:rPr>
          <w:rFonts w:ascii="Arial" w:cs="Arial" w:eastAsia="Arial" w:hAnsi="Arial"/>
          <w:sz w:val="15"/>
          <w:szCs w:val="15"/>
          <w:color w:val="auto"/>
        </w:rPr>
        <w:t>25.4 Arabic Language. Each communication and document made or delivered by one party to another pursuant to these Master Terms shall be in the English language or accompanied by a translation thereof into English certified (by an officer of the person making or delivering the same) as being a true and accurate translation thereof.</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6"/>
          <w:szCs w:val="16"/>
          <w:color w:val="auto"/>
        </w:rPr>
        <w:t>SCHEDULE 1</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color w:val="auto"/>
        </w:rPr>
        <w:t>1. Definitions and Interpretation</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color w:val="auto"/>
        </w:rPr>
        <w:t>"Compliance Certificate" means a certificate in form and substance satisfactory to the Bank acting reasonably.</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"Finance Document" means these Master Terms and Conditions and the Facility Letter.</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106" w:name="page107"/>
    <w:bookmarkEnd w:id="106"/>
    <w:p>
      <w:pPr>
        <w:ind w:left="1"/>
        <w:spacing w:after="0"/>
        <w:rPr>
          <w:sz w:val="20"/>
          <w:szCs w:val="20"/>
          <w:color w:val="auto"/>
        </w:rPr>
      </w:pPr>
      <w:r>
        <w:rPr>
          <w:rFonts w:ascii="Arial" w:cs="Arial" w:eastAsia="Arial" w:hAnsi="Arial"/>
          <w:sz w:val="16"/>
          <w:szCs w:val="16"/>
          <w:color w:val="auto"/>
        </w:rPr>
        <w:t>2. Interpretation. Any reference in these Master Terms to:</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color w:val="auto"/>
        </w:rPr>
        <w:t>an Event of Default is "continuing" if it has not been remedied or waived.</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SCHEDULE 2</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6"/>
          <w:szCs w:val="16"/>
          <w:color w:val="auto"/>
        </w:rPr>
        <w:t>Events of Default</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color w:val="auto"/>
        </w:rPr>
        <w:t>1. Events of Default. Each of the following events and circumstances shall be an Event of Default:</w:t>
      </w:r>
    </w:p>
    <w:p>
      <w:pPr>
        <w:spacing w:after="0" w:line="25" w:lineRule="exact"/>
        <w:rPr>
          <w:sz w:val="20"/>
          <w:szCs w:val="20"/>
          <w:color w:val="auto"/>
        </w:rPr>
      </w:pPr>
    </w:p>
    <w:p>
      <w:pPr>
        <w:ind w:left="1" w:hanging="1"/>
        <w:spacing w:after="0" w:line="258" w:lineRule="auto"/>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Obligor fails to pay any sum payable by it to the Bank in in respect of any the Borrower’s liabilities within five (5) business days of its due date where the delay is due to payments system failure or administrative error, or otherwise on its due date ;</w:t>
      </w:r>
    </w:p>
    <w:p>
      <w:pPr>
        <w:jc w:val="both"/>
        <w:ind w:left="1" w:hanging="1"/>
        <w:spacing w:after="0" w:line="258" w:lineRule="auto"/>
        <w:tabs>
          <w:tab w:leader="none" w:pos="2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Obligor or any Security Provider fails duly perform or comply with any of its/his respective obligations under any Facility Document, these Master Terms or any Security Document, these Master Terms or any Security Document (other than those which are the subject of Clause 1 (Events of Default) and, in respect only of a failure which is capable of remedy, does not remedy such failure within 21 days (or such longer period as the Bank may approve) from the first to occur of (i) the Borrower becoming aware of the relevant failure and (ii) receipt of written notice from the Bank requiring it to do so;</w:t>
      </w:r>
    </w:p>
    <w:p>
      <w:pPr>
        <w:jc w:val="both"/>
        <w:ind w:left="1" w:hanging="1"/>
        <w:spacing w:after="0" w:line="258" w:lineRule="auto"/>
        <w:tabs>
          <w:tab w:leader="none" w:pos="22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representation or warranty made or deemed to be made by any Obligor or any Security Provider in or in connection with any Facility Document, these Master Terms or any Security Document proves to have been incorrect or misleading in any respect which is material and which is not remedied within 30 days (or such longer period as the Bank may approve) from the first to occur of (i) the Borrower becoming aware of the relevant misrepresentation and (ii) receipt of written notice from the Bank requiring it to do so;</w:t>
      </w:r>
    </w:p>
    <w:p>
      <w:pPr>
        <w:ind w:left="1" w:hanging="1"/>
        <w:spacing w:after="0" w:line="258" w:lineRule="auto"/>
        <w:tabs>
          <w:tab w:leader="none" w:pos="23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indebtedness of any Obligor in an aggregate amount exceeding SAR 150,000,000 becomes payable or capable of being declared payable before its or capable of being declared payable before its stated maturity or is not paid when due;</w:t>
      </w:r>
    </w:p>
    <w:p>
      <w:pPr>
        <w:ind w:left="221" w:hanging="221"/>
        <w:spacing w:after="0"/>
        <w:tabs>
          <w:tab w:leader="none" w:pos="2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occurrence of a Liability Event.</w:t>
      </w:r>
    </w:p>
    <w:p>
      <w:pPr>
        <w:spacing w:after="0" w:line="14" w:lineRule="exact"/>
        <w:rPr>
          <w:rFonts w:ascii="Arial" w:cs="Arial" w:eastAsia="Arial" w:hAnsi="Arial"/>
          <w:sz w:val="16"/>
          <w:szCs w:val="16"/>
          <w:color w:val="auto"/>
        </w:rPr>
      </w:pPr>
    </w:p>
    <w:p>
      <w:pPr>
        <w:ind w:left="1" w:hanging="1"/>
        <w:spacing w:after="0" w:line="258" w:lineRule="auto"/>
        <w:tabs>
          <w:tab w:leader="none" w:pos="21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execution, attachment or other legal process or other legal process is made or enforced against all or any part the business or assets of an Obligor and is not complied with or discharged within 60 days;</w:t>
      </w:r>
    </w:p>
    <w:p>
      <w:pPr>
        <w:jc w:val="both"/>
        <w:ind w:left="1" w:hanging="1"/>
        <w:spacing w:after="0" w:line="275" w:lineRule="auto"/>
        <w:tabs>
          <w:tab w:leader="none" w:pos="243"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Including pursuant to the Insolvency Regulations, a petition is presented or a proceeding is commenced or an order is made or an effective resolution is passed or a notice is issued convening any meeting for the purpose of passing any resolution or any other step is taken for the winding--up, insolvency, bankruptcy, up, insolvency, bankruptcy, reorganisation or reconstruction of an Obligor , or for the appointment of a liquidator, for the appointment of a liquidator, receiver, trustee or similar officer of an Obligor or of all or any part of its business or assets save where there is a petition which is being contested in good faith which is dismissed within 60 days;</w:t>
      </w:r>
    </w:p>
    <w:p>
      <w:pPr>
        <w:spacing w:after="0" w:line="1" w:lineRule="exact"/>
        <w:rPr>
          <w:rFonts w:ascii="Arial" w:cs="Arial" w:eastAsia="Arial" w:hAnsi="Arial"/>
          <w:sz w:val="15"/>
          <w:szCs w:val="15"/>
          <w:color w:val="auto"/>
        </w:rPr>
      </w:pPr>
    </w:p>
    <w:p>
      <w:pPr>
        <w:jc w:val="both"/>
        <w:ind w:left="1" w:hanging="1"/>
        <w:spacing w:after="0" w:line="258" w:lineRule="auto"/>
        <w:tabs>
          <w:tab w:leader="none" w:pos="23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Obligor stops or suspends payments to its creditors or any class of its creditors, or is unable or under applicable law is deemed to be unable or to be unable or admits its inability to pay its debts as they fall due, or seeks to enter into any composition or other arrangement with its creditors or any class of its creditors or commences any process for the relief of debtors, or is or is declared or becomes insolvent or bankrupt;</w:t>
      </w:r>
    </w:p>
    <w:p>
      <w:pPr>
        <w:jc w:val="both"/>
        <w:ind w:left="1" w:hanging="1"/>
        <w:spacing w:after="0" w:line="258" w:lineRule="auto"/>
        <w:tabs>
          <w:tab w:leader="none" w:pos="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 Obligor ceases to carry on all or any substantial part of its business (save that the Borrower changing the number or types of electric vehicle models it manufactures, or switching between semi knock-down and complete build up operations, or changes to its research and development activities, shall not constitute ceasing to carry on a substantial part of the business);</w:t>
      </w:r>
    </w:p>
    <w:p>
      <w:pPr>
        <w:jc w:val="both"/>
        <w:ind w:left="1" w:hanging="1"/>
        <w:spacing w:after="0" w:line="258" w:lineRule="auto"/>
        <w:tabs>
          <w:tab w:leader="none" w:pos="27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of the authorisations required in connection with the entry into, performance, validity and enforceability of any Facility Document, the enforceability of any Facility Document, the Master Terms, the Order Notes and Master Terms, the Order Notes and the Security Documents and the transactions contemplated hereby and thereby ceases to be in full force and effect in a respect which is material and is not remedied with 30 days from the first to occur of (i) the Borrower becoming aware of the relevant issue and (ii) receipt of written notice from the Bank requiring it to do so,;</w:t>
      </w:r>
    </w:p>
    <w:p>
      <w:pPr>
        <w:jc w:val="both"/>
        <w:ind w:left="1" w:hanging="1"/>
        <w:spacing w:after="0" w:line="279" w:lineRule="auto"/>
        <w:tabs>
          <w:tab w:leader="none" w:pos="23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Any change in any law or regulation, does or purports to vary (in a respect which is adverse to the Bank), suspend, terminate or excuse performance by the Borrower or any other Obligor of any of its respective obligations under as under any Facility Document in a respect which is material, these Master Terms, any Order Note or any Security Document, or any material provision hereof or thereof ceases for any reason to be in full force effect or becomes unenforceable, , it becomes unlawful or impossible, in a respect which is material, for the Borrower or any other Obligor to perform any of its respective obligations under any Facility Document, these Master Terms, any Order Note or Document, these Master Terms, any Order Note or any Security Document or for the Bank to exercise all or any of its rights, powers and all or any of its rights, powers and remedies hereunder or thereunder which, in the case of any of the foregoing, is not remedied within 30 days from the first to occur of (i) the Borrower becoming aware of the relevant issue and (ii) receipt of written notice from the Bank requiring it to do so, or the Borrower or any other Obligor disputes the validity or other Obligor disputes the validity or enforceability of or purports to terminate or repudiates any Facility Document, these Master Terms, any Order Note or any Security Document, or the Borrower or any other Obligor disputes the validity repudiates any Facility Document, these Master Terms, any Order Note or any Security Document in any material respect as constituting its legal, valid and binding obligations (excluding interpretative disputes about the meaning of provisions or their application to a particular set of facts);</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107" w:name="page108"/>
    <w:bookmarkEnd w:id="107"/>
    <w:p>
      <w:pPr>
        <w:jc w:val="both"/>
        <w:ind w:left="1" w:hanging="1"/>
        <w:spacing w:after="0" w:line="263" w:lineRule="auto"/>
        <w:tabs>
          <w:tab w:leader="none" w:pos="21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event occurs which materially adversely affects the ability of an Obligor or Security Provider to perform its obligations under any Facility Document or any Security Document or the enforceability or priority of the security under any Facility Document or ay Security Document has been or will be materially and adversely affected; and/or</w:t>
      </w:r>
    </w:p>
    <w:p>
      <w:pPr>
        <w:ind w:left="1" w:hanging="1"/>
        <w:spacing w:after="0" w:line="276" w:lineRule="auto"/>
        <w:tabs>
          <w:tab w:leader="none" w:pos="2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By or under the authority of the government of Saudi Arabia, equity, board or management control is taken over any Obligor the whole or any part (the book value of which is 60 per cent or more of the book value of the whole) of its revenues or assets are seized, nationalised, expropriated or compulsorily acquired.</w:t>
      </w:r>
    </w:p>
    <w:p>
      <w:pPr>
        <w:spacing w:after="0" w:line="160" w:lineRule="exact"/>
        <w:rPr>
          <w:sz w:val="20"/>
          <w:szCs w:val="20"/>
          <w:color w:val="auto"/>
        </w:rPr>
      </w:pPr>
    </w:p>
    <w:p>
      <w:pPr>
        <w:jc w:val="both"/>
        <w:ind w:left="1" w:hanging="1"/>
        <w:spacing w:after="0" w:line="266" w:lineRule="auto"/>
        <w:tabs>
          <w:tab w:leader="none" w:pos="16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Acceleration and Cancellation. At any time when an Event of Default has occurred and is continuing the Bank shall be entitled, notwithstanding any provision, express or implied, in any Facility Document, by notice to the Obligor: (a) require the Obligors immediately to pay all amounts payable by the Borrower under any relevant Facility Document, where upon they shall become immediately due and payable; and/or (b) require an Obligor to place and maintain on deposit in an account designated for this purpose by the Bank such amount by way of cash cover as the Bank considers in its absolute discretion will be sufficient to meet the Borrower liabilities to the Bank; and/or (c) exercise its right against an Obligor or under a guarantee or a Security Document.</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37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Peter Rawlinson, certify that: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 have reviewed this Quarterly Report on Form 10-Q of Lucid Group, Inc.;</w:t>
      </w:r>
    </w:p>
    <w:p>
      <w:pPr>
        <w:spacing w:after="0" w:line="212" w:lineRule="exact"/>
        <w:rPr>
          <w:sz w:val="20"/>
          <w:szCs w:val="20"/>
          <w:color w:val="auto"/>
        </w:rPr>
      </w:pPr>
    </w:p>
    <w:p>
      <w:pPr>
        <w:ind w:left="600" w:hanging="304"/>
        <w:spacing w:after="0" w:line="326" w:lineRule="auto"/>
        <w:tabs>
          <w:tab w:leader="none" w:pos="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00" w:hanging="304"/>
        <w:spacing w:after="0" w:line="290"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jc w:val="both"/>
        <w:ind w:left="600" w:hanging="304"/>
        <w:spacing w:after="0" w:line="274" w:lineRule="auto"/>
        <w:tabs>
          <w:tab w:leader="none" w:pos="600" w:val="left"/>
        </w:tabs>
        <w:numPr>
          <w:ilvl w:val="0"/>
          <w:numId w:val="74"/>
        </w:numPr>
        <w:rPr>
          <w:rFonts w:ascii="Arial" w:cs="Arial" w:eastAsia="Arial" w:hAnsi="Arial"/>
          <w:sz w:val="16"/>
          <w:szCs w:val="16"/>
          <w:color w:val="231F20"/>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231F20"/>
        </w:rPr>
      </w:pPr>
    </w:p>
    <w:p>
      <w:pPr>
        <w:jc w:val="both"/>
        <w:ind w:left="1180" w:hanging="290"/>
        <w:spacing w:after="0" w:line="274" w:lineRule="auto"/>
        <w:tabs>
          <w:tab w:leader="none" w:pos="11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jc w:val="both"/>
        <w:ind w:left="1180" w:hanging="290"/>
        <w:spacing w:after="0" w:line="274" w:lineRule="auto"/>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1180" w:hanging="290"/>
        <w:spacing w:after="0" w:line="290" w:lineRule="auto"/>
        <w:tabs>
          <w:tab w:leader="none" w:pos="1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sz w:val="20"/>
          <w:szCs w:val="20"/>
          <w:color w:val="auto"/>
        </w:rPr>
      </w:pPr>
    </w:p>
    <w:p>
      <w:pPr>
        <w:jc w:val="both"/>
        <w:ind w:left="1180" w:hanging="290"/>
        <w:spacing w:after="0" w:line="274" w:lineRule="auto"/>
        <w:tabs>
          <w:tab w:leader="none" w:pos="11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600" w:hanging="304"/>
        <w:spacing w:after="0" w:line="290"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left="1180" w:hanging="290"/>
        <w:spacing w:after="0" w:line="290"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sz w:val="20"/>
          <w:szCs w:val="20"/>
          <w:color w:val="auto"/>
        </w:rPr>
      </w:pPr>
    </w:p>
    <w:p>
      <w:pPr>
        <w:ind w:left="1180" w:hanging="290"/>
        <w:spacing w:after="0" w:line="290" w:lineRule="auto"/>
        <w:tabs>
          <w:tab w:leader="none" w:pos="1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20"/>
                <w:szCs w:val="20"/>
                <w:color w:val="auto"/>
              </w:rPr>
            </w:pPr>
            <w:r>
              <w:rPr>
                <w:rFonts w:ascii="Arial" w:cs="Arial" w:eastAsia="Arial" w:hAnsi="Arial"/>
                <w:sz w:val="16"/>
                <w:szCs w:val="16"/>
                <w:color w:val="auto"/>
              </w:rPr>
              <w:t>Date: August 3,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Rawlinson</w:t>
            </w:r>
          </w:p>
        </w:tc>
      </w:tr>
      <w:tr>
        <w:trPr>
          <w:trHeight w:val="179"/>
        </w:trPr>
        <w:tc>
          <w:tcPr>
            <w:tcW w:w="5640" w:type="dxa"/>
            <w:vAlign w:val="bottom"/>
          </w:tcPr>
          <w:p>
            <w:pPr>
              <w:spacing w:after="0"/>
              <w:rPr>
                <w:sz w:val="15"/>
                <w:szCs w:val="15"/>
                <w:color w:val="auto"/>
              </w:rPr>
            </w:pPr>
          </w:p>
        </w:tc>
        <w:tc>
          <w:tcPr>
            <w:tcW w:w="5600" w:type="dxa"/>
            <w:vAlign w:val="bottom"/>
          </w:tcPr>
          <w:p>
            <w:pPr>
              <w:spacing w:after="0" w:line="179" w:lineRule="exact"/>
              <w:rPr>
                <w:sz w:val="20"/>
                <w:szCs w:val="20"/>
                <w:color w:val="auto"/>
              </w:rPr>
            </w:pPr>
            <w:r>
              <w:rPr>
                <w:rFonts w:ascii="Arial" w:cs="Arial" w:eastAsia="Arial" w:hAnsi="Arial"/>
                <w:sz w:val="16"/>
                <w:szCs w:val="16"/>
                <w:color w:val="auto"/>
              </w:rPr>
              <w:t>Peter Rawlinson</w:t>
            </w:r>
          </w:p>
        </w:tc>
      </w:tr>
      <w:tr>
        <w:trPr>
          <w:trHeight w:val="198"/>
        </w:trPr>
        <w:tc>
          <w:tcPr>
            <w:tcW w:w="56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620"/>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Sherry House, certify that: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 have reviewed this Quarterly Report on Form 10-Q of Lucid Group, Inc.;</w:t>
      </w:r>
    </w:p>
    <w:p>
      <w:pPr>
        <w:spacing w:after="0" w:line="212" w:lineRule="exact"/>
        <w:rPr>
          <w:sz w:val="20"/>
          <w:szCs w:val="20"/>
          <w:color w:val="auto"/>
        </w:rPr>
      </w:pPr>
    </w:p>
    <w:p>
      <w:pPr>
        <w:ind w:left="600" w:hanging="304"/>
        <w:spacing w:after="0" w:line="326" w:lineRule="auto"/>
        <w:tabs>
          <w:tab w:leader="none" w:pos="6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00" w:hanging="304"/>
        <w:spacing w:after="0" w:line="290" w:lineRule="auto"/>
        <w:tabs>
          <w:tab w:leader="none" w:pos="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jc w:val="both"/>
        <w:ind w:left="600" w:hanging="304"/>
        <w:spacing w:after="0" w:line="274" w:lineRule="auto"/>
        <w:tabs>
          <w:tab w:leader="none" w:pos="600" w:val="left"/>
        </w:tabs>
        <w:numPr>
          <w:ilvl w:val="0"/>
          <w:numId w:val="80"/>
        </w:numPr>
        <w:rPr>
          <w:rFonts w:ascii="Arial" w:cs="Arial" w:eastAsia="Arial" w:hAnsi="Arial"/>
          <w:sz w:val="16"/>
          <w:szCs w:val="16"/>
          <w:color w:val="231F20"/>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6"/>
          <w:szCs w:val="16"/>
          <w:color w:val="231F20"/>
        </w:rPr>
      </w:pPr>
    </w:p>
    <w:p>
      <w:pPr>
        <w:jc w:val="both"/>
        <w:ind w:left="1180" w:hanging="290"/>
        <w:spacing w:after="0" w:line="274" w:lineRule="auto"/>
        <w:tabs>
          <w:tab w:leader="none" w:pos="11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jc w:val="both"/>
        <w:ind w:left="1180" w:hanging="290"/>
        <w:spacing w:after="0" w:line="274" w:lineRule="auto"/>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1180" w:hanging="290"/>
        <w:spacing w:after="0" w:line="290" w:lineRule="auto"/>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sz w:val="20"/>
          <w:szCs w:val="20"/>
          <w:color w:val="auto"/>
        </w:rPr>
      </w:pPr>
    </w:p>
    <w:p>
      <w:pPr>
        <w:jc w:val="both"/>
        <w:ind w:left="1180" w:hanging="290"/>
        <w:spacing w:after="0" w:line="274" w:lineRule="auto"/>
        <w:tabs>
          <w:tab w:leader="none" w:pos="11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600" w:hanging="304"/>
        <w:spacing w:after="0" w:line="290"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left="1180" w:hanging="290"/>
        <w:spacing w:after="0" w:line="290"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sz w:val="20"/>
          <w:szCs w:val="20"/>
          <w:color w:val="auto"/>
        </w:rPr>
      </w:pPr>
    </w:p>
    <w:p>
      <w:pPr>
        <w:ind w:left="1180" w:hanging="290"/>
        <w:spacing w:after="0" w:line="290"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20"/>
                <w:szCs w:val="20"/>
                <w:color w:val="auto"/>
              </w:rPr>
            </w:pPr>
            <w:r>
              <w:rPr>
                <w:rFonts w:ascii="Arial" w:cs="Arial" w:eastAsia="Arial" w:hAnsi="Arial"/>
                <w:sz w:val="16"/>
                <w:szCs w:val="16"/>
                <w:color w:val="auto"/>
              </w:rPr>
              <w:t>Date: August 3,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Sherry House</w:t>
            </w:r>
          </w:p>
        </w:tc>
      </w:tr>
      <w:tr>
        <w:trPr>
          <w:trHeight w:val="179"/>
        </w:trPr>
        <w:tc>
          <w:tcPr>
            <w:tcW w:w="5640" w:type="dxa"/>
            <w:vAlign w:val="bottom"/>
          </w:tcPr>
          <w:p>
            <w:pPr>
              <w:spacing w:after="0"/>
              <w:rPr>
                <w:sz w:val="15"/>
                <w:szCs w:val="15"/>
                <w:color w:val="auto"/>
              </w:rPr>
            </w:pPr>
          </w:p>
        </w:tc>
        <w:tc>
          <w:tcPr>
            <w:tcW w:w="5600" w:type="dxa"/>
            <w:vAlign w:val="bottom"/>
          </w:tcPr>
          <w:p>
            <w:pPr>
              <w:spacing w:after="0" w:line="179" w:lineRule="exact"/>
              <w:rPr>
                <w:sz w:val="20"/>
                <w:szCs w:val="20"/>
                <w:color w:val="auto"/>
              </w:rPr>
            </w:pPr>
            <w:r>
              <w:rPr>
                <w:rFonts w:ascii="Arial" w:cs="Arial" w:eastAsia="Arial" w:hAnsi="Arial"/>
                <w:sz w:val="16"/>
                <w:szCs w:val="16"/>
                <w:color w:val="auto"/>
              </w:rPr>
              <w:t>Sherry House</w:t>
            </w:r>
          </w:p>
        </w:tc>
      </w:tr>
      <w:tr>
        <w:trPr>
          <w:trHeight w:val="198"/>
        </w:trPr>
        <w:tc>
          <w:tcPr>
            <w:tcW w:w="56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620"/>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 (FURNISHED HEREWITH)</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 Peter Rawlinson, Chief Executive Officer of Lucid Group, Inc. (the “Company”), certify, as of the date hereof and solely for purposes of and pursuant to 18</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U.S.C. Section 1350 as adopted pursuant to Section 906 of the Sarbanes-Oxley Act of 2002, that, to my knowledge:</w:t>
      </w:r>
    </w:p>
    <w:p>
      <w:pPr>
        <w:spacing w:after="0" w:line="201"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The Quarterly Report on Form 10-Q of the Company for the fiscal quarter ended June 30, 2022 (the “Report”) fully complies with the requirements of Section 13(a) or 15(d), as applicable, of the Securities Exchange Act of 1934; and</w:t>
      </w:r>
    </w:p>
    <w:p>
      <w:pPr>
        <w:spacing w:after="0" w:line="149" w:lineRule="exact"/>
        <w:rPr>
          <w:sz w:val="20"/>
          <w:szCs w:val="20"/>
          <w:color w:val="auto"/>
        </w:rPr>
      </w:pPr>
    </w:p>
    <w:p>
      <w:pPr>
        <w:ind w:left="740" w:hanging="147"/>
        <w:spacing w:after="0" w:line="290" w:lineRule="auto"/>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20"/>
                <w:szCs w:val="20"/>
                <w:color w:val="auto"/>
              </w:rPr>
            </w:pPr>
            <w:r>
              <w:rPr>
                <w:rFonts w:ascii="Arial" w:cs="Arial" w:eastAsia="Arial" w:hAnsi="Arial"/>
                <w:sz w:val="16"/>
                <w:szCs w:val="16"/>
                <w:color w:val="auto"/>
              </w:rPr>
              <w:t>Date: August 3,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Rawlinson</w:t>
            </w:r>
          </w:p>
        </w:tc>
      </w:tr>
      <w:tr>
        <w:trPr>
          <w:trHeight w:val="179"/>
        </w:trPr>
        <w:tc>
          <w:tcPr>
            <w:tcW w:w="5640" w:type="dxa"/>
            <w:vAlign w:val="bottom"/>
          </w:tcPr>
          <w:p>
            <w:pPr>
              <w:spacing w:after="0"/>
              <w:rPr>
                <w:sz w:val="15"/>
                <w:szCs w:val="15"/>
                <w:color w:val="auto"/>
              </w:rPr>
            </w:pPr>
          </w:p>
        </w:tc>
        <w:tc>
          <w:tcPr>
            <w:tcW w:w="5600" w:type="dxa"/>
            <w:vAlign w:val="bottom"/>
          </w:tcPr>
          <w:p>
            <w:pPr>
              <w:spacing w:after="0" w:line="179" w:lineRule="exact"/>
              <w:rPr>
                <w:sz w:val="20"/>
                <w:szCs w:val="20"/>
                <w:color w:val="auto"/>
              </w:rPr>
            </w:pPr>
            <w:r>
              <w:rPr>
                <w:rFonts w:ascii="Arial" w:cs="Arial" w:eastAsia="Arial" w:hAnsi="Arial"/>
                <w:sz w:val="16"/>
                <w:szCs w:val="16"/>
                <w:color w:val="auto"/>
              </w:rPr>
              <w:t>Peter Rawlinson</w:t>
            </w:r>
          </w:p>
        </w:tc>
      </w:tr>
      <w:tr>
        <w:trPr>
          <w:trHeight w:val="198"/>
        </w:trPr>
        <w:tc>
          <w:tcPr>
            <w:tcW w:w="56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620"/>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 (FURNISHED HEREWITH)</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 Sherry House, Chief Financial Officer of Lucid Group, Inc. (the “Company”), certify, as of the date hereof and solely for purposes of and pursuant to 18</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U.S.C. Section 1350 as adopted pursuant to Section 906 of the Sarbanes-Oxley Act of 2002, that, to my knowledge:</w:t>
      </w:r>
    </w:p>
    <w:p>
      <w:pPr>
        <w:spacing w:after="0" w:line="201"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The Quarterly Report on Form 10-Q of the Company for the fiscal quarter ended June 30, 2022 (the “Report”) fully complies with the requirements of Section 13(a) or 15(d), as applicable, of the Securities Exchange Act of 1934; and</w:t>
      </w:r>
    </w:p>
    <w:p>
      <w:pPr>
        <w:spacing w:after="0" w:line="149" w:lineRule="exact"/>
        <w:rPr>
          <w:sz w:val="20"/>
          <w:szCs w:val="20"/>
          <w:color w:val="auto"/>
        </w:rPr>
      </w:pPr>
    </w:p>
    <w:p>
      <w:pPr>
        <w:ind w:left="740" w:hanging="147"/>
        <w:spacing w:after="0" w:line="290" w:lineRule="auto"/>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at the dates and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20"/>
                <w:szCs w:val="20"/>
                <w:color w:val="auto"/>
              </w:rPr>
            </w:pPr>
            <w:r>
              <w:rPr>
                <w:rFonts w:ascii="Arial" w:cs="Arial" w:eastAsia="Arial" w:hAnsi="Arial"/>
                <w:sz w:val="16"/>
                <w:szCs w:val="16"/>
                <w:color w:val="auto"/>
              </w:rPr>
              <w:t>Date: August 3,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Sherry House</w:t>
            </w:r>
          </w:p>
        </w:tc>
      </w:tr>
      <w:tr>
        <w:trPr>
          <w:trHeight w:val="179"/>
        </w:trPr>
        <w:tc>
          <w:tcPr>
            <w:tcW w:w="5640" w:type="dxa"/>
            <w:vAlign w:val="bottom"/>
          </w:tcPr>
          <w:p>
            <w:pPr>
              <w:spacing w:after="0"/>
              <w:rPr>
                <w:sz w:val="15"/>
                <w:szCs w:val="15"/>
                <w:color w:val="auto"/>
              </w:rPr>
            </w:pPr>
          </w:p>
        </w:tc>
        <w:tc>
          <w:tcPr>
            <w:tcW w:w="5600" w:type="dxa"/>
            <w:vAlign w:val="bottom"/>
          </w:tcPr>
          <w:p>
            <w:pPr>
              <w:spacing w:after="0" w:line="179" w:lineRule="exact"/>
              <w:rPr>
                <w:sz w:val="20"/>
                <w:szCs w:val="20"/>
                <w:color w:val="auto"/>
              </w:rPr>
            </w:pPr>
            <w:r>
              <w:rPr>
                <w:rFonts w:ascii="Arial" w:cs="Arial" w:eastAsia="Arial" w:hAnsi="Arial"/>
                <w:sz w:val="16"/>
                <w:szCs w:val="16"/>
                <w:color w:val="auto"/>
              </w:rPr>
              <w:t>Sherry House</w:t>
            </w:r>
          </w:p>
        </w:tc>
      </w:tr>
      <w:tr>
        <w:trPr>
          <w:trHeight w:val="198"/>
        </w:trPr>
        <w:tc>
          <w:tcPr>
            <w:tcW w:w="56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9"/>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620"/>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lowerLetter"/>
      <w:start w:val="2"/>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lowerRoman"/>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6"/>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upperLetter"/>
      <w:start w:val="1"/>
    </w:lvl>
  </w:abstractNum>
  <w:abstractNum w:abstractNumId="46">
    <w:nsid w:val="1F48EAA1"/>
    <w:multiLevelType w:val="hybridMultilevel"/>
    <w:lvl w:ilvl="0">
      <w:lvlJc w:val="left"/>
      <w:lvlText w:val="(%1)"/>
      <w:numFmt w:val="upperLetter"/>
      <w:start w:val="2"/>
    </w:lvl>
  </w:abstractNum>
  <w:abstractNum w:abstractNumId="47">
    <w:nsid w:val="1381823A"/>
    <w:multiLevelType w:val="hybridMultilevel"/>
    <w:lvl w:ilvl="0">
      <w:lvlJc w:val="left"/>
      <w:lvlText w:val="(%1)"/>
      <w:numFmt w:val="upperLetter"/>
      <w:start w:val="1"/>
    </w:lvl>
  </w:abstractNum>
  <w:abstractNum w:abstractNumId="48">
    <w:nsid w:val="5DB70AE5"/>
    <w:multiLevelType w:val="hybridMultilevel"/>
    <w:lvl w:ilvl="0">
      <w:lvlJc w:val="left"/>
      <w:lvlText w:val="(%1)"/>
      <w:numFmt w:val="upperLetter"/>
      <w:start w:val="2"/>
    </w:lvl>
  </w:abstractNum>
  <w:abstractNum w:abstractNumId="49">
    <w:nsid w:val="100F8FCA"/>
    <w:multiLevelType w:val="hybridMultilevel"/>
    <w:lvl w:ilvl="0">
      <w:lvlJc w:val="left"/>
      <w:lvlText w:val="%1."/>
      <w:numFmt w:val="decimal"/>
      <w:start w:val="2"/>
    </w:lvl>
  </w:abstractNum>
  <w:abstractNum w:abstractNumId="50">
    <w:nsid w:val="6590700B"/>
    <w:multiLevelType w:val="hybridMultilevel"/>
    <w:lvl w:ilvl="0">
      <w:lvlJc w:val="left"/>
      <w:lvlText w:val="%1."/>
      <w:numFmt w:val="decimal"/>
      <w:start w:val="3"/>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Roman"/>
      <w:start w:val="1"/>
    </w:lvl>
    <w:lvl w:ilvl="1">
      <w:lvlJc w:val="left"/>
      <w:lvlText w:val="•"/>
      <w:numFmt w:val="bullet"/>
      <w:start w:val="1"/>
    </w:lvl>
  </w:abstractNum>
  <w:abstractNum w:abstractNumId="53">
    <w:nsid w:val="98A3148"/>
    <w:multiLevelType w:val="hybridMultilevel"/>
    <w:lvl w:ilvl="0">
      <w:lvlJc w:val="left"/>
      <w:lvlText w:val="%1."/>
      <w:numFmt w:val="decimal"/>
      <w:start w:val="4"/>
    </w:lvl>
  </w:abstractNum>
  <w:abstractNum w:abstractNumId="54">
    <w:nsid w:val="799D0247"/>
    <w:multiLevelType w:val="hybridMultilevel"/>
    <w:lvl w:ilvl="0">
      <w:lvlJc w:val="left"/>
      <w:lvlText w:val="%1."/>
      <w:numFmt w:val="decimal"/>
      <w:start w:val="5"/>
    </w:lvl>
  </w:abstractNum>
  <w:abstractNum w:abstractNumId="55">
    <w:nsid w:val="6B94764"/>
    <w:multiLevelType w:val="hybridMultilevel"/>
    <w:lvl w:ilvl="0">
      <w:lvlJc w:val="left"/>
      <w:lvlText w:val="(%1)"/>
      <w:numFmt w:val="lowerLetter"/>
      <w:start w:val="1"/>
    </w:lvl>
    <w:lvl w:ilvl="1">
      <w:lvlJc w:val="left"/>
      <w:lvlText w:val="(%2)"/>
      <w:numFmt w:val="lowerRoman"/>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decimal"/>
      <w:start w:val="6"/>
    </w:lvl>
  </w:abstractNum>
  <w:abstractNum w:abstractNumId="60">
    <w:nsid w:val="5DC79EA8"/>
    <w:multiLevelType w:val="hybridMultilevel"/>
    <w:lvl w:ilvl="0">
      <w:lvlJc w:val="left"/>
      <w:lvlText w:val="%1."/>
      <w:numFmt w:val="decimal"/>
      <w:start w:val="10"/>
    </w:lvl>
  </w:abstractNum>
  <w:abstractNum w:abstractNumId="61">
    <w:nsid w:val="540A471C"/>
    <w:multiLevelType w:val="hybridMultilevel"/>
    <w:lvl w:ilvl="0">
      <w:lvlJc w:val="left"/>
      <w:lvlText w:val="1"/>
      <w:numFmt w:val="bullet"/>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decimal"/>
      <w:start w:val="15"/>
    </w:lvl>
  </w:abstractNum>
  <w:abstractNum w:abstractNumId="64">
    <w:nsid w:val="613EFDC5"/>
    <w:multiLevelType w:val="hybridMultilevel"/>
    <w:lvl w:ilvl="0">
      <w:lvlJc w:val="left"/>
      <w:lvlText w:val="(%1)"/>
      <w:numFmt w:val="lowerLetter"/>
      <w:start w:val="2"/>
    </w:lvl>
  </w:abstractNum>
  <w:abstractNum w:abstractNumId="65">
    <w:nsid w:val="BF72B14"/>
    <w:multiLevelType w:val="hybridMultilevel"/>
    <w:lvl w:ilvl="0">
      <w:lvlJc w:val="left"/>
      <w:lvlText w:val="%1."/>
      <w:numFmt w:val="decimal"/>
      <w:start w:val="22"/>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61"/>
    </w:lvl>
  </w:abstractNum>
  <w:abstractNum w:abstractNumId="68">
    <w:nsid w:val="A0382C5"/>
    <w:multiLevelType w:val="hybridMultilevel"/>
    <w:lvl w:ilvl="0">
      <w:lvlJc w:val="left"/>
      <w:lvlText w:val="(%1)"/>
      <w:numFmt w:val="lowerLetter"/>
      <w:start w:val="4"/>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2"/>
    </w:lvl>
  </w:abstractNum>
  <w:abstractNum w:abstractNumId="71">
    <w:nsid w:val="3B0FD379"/>
    <w:multiLevelType w:val="hybridMultilevel"/>
    <w:lvl w:ilvl="0">
      <w:lvlJc w:val="left"/>
      <w:lvlText w:val="(%1)"/>
      <w:numFmt w:val="lowerLetter"/>
      <w:start w:val="14"/>
    </w:lvl>
  </w:abstractNum>
  <w:abstractNum w:abstractNumId="72">
    <w:nsid w:val="68EB2F63"/>
    <w:multiLevelType w:val="hybridMultilevel"/>
    <w:lvl w:ilvl="0">
      <w:lvlJc w:val="left"/>
      <w:lvlText w:val="%1."/>
      <w:numFmt w:val="decimal"/>
      <w:start w:val="2"/>
    </w:lvl>
  </w:abstractNum>
  <w:abstractNum w:abstractNumId="73">
    <w:nsid w:val="4962813B"/>
    <w:multiLevelType w:val="hybridMultilevel"/>
    <w:lvl w:ilvl="0">
      <w:lvlJc w:val="left"/>
      <w:lvlText w:val="•"/>
      <w:numFmt w:val="bullet"/>
      <w:start w:val="1"/>
    </w:lvl>
    <w:lvl w:ilvl="1">
      <w:lvlJc w:val="left"/>
      <w:lvlText w:val="%2."/>
      <w:numFmt w:val="decimal"/>
      <w:start w:val="3"/>
    </w:lvl>
  </w:abstractNum>
  <w:abstractNum w:abstractNumId="74">
    <w:nsid w:val="60B6DF70"/>
    <w:multiLevelType w:val="hybridMultilevel"/>
    <w:lvl w:ilvl="0">
      <w:lvlJc w:val="left"/>
      <w:lvlText w:val="%1."/>
      <w:numFmt w:val="decimal"/>
      <w:start w:val="2"/>
    </w:lvl>
  </w:abstractNum>
  <w:abstractNum w:abstractNumId="75">
    <w:nsid w:val="6A5EE64"/>
    <w:multiLevelType w:val="hybridMultilevel"/>
    <w:lvl w:ilvl="0">
      <w:lvlJc w:val="left"/>
      <w:lvlText w:val="(%1)"/>
      <w:numFmt w:val="lowerRoman"/>
      <w:start w:val="5"/>
    </w:lvl>
  </w:abstractNum>
  <w:abstractNum w:abstractNumId="76">
    <w:nsid w:val="14330624"/>
    <w:multiLevelType w:val="hybridMultilevel"/>
    <w:lvl w:ilvl="0">
      <w:lvlJc w:val="left"/>
      <w:lvlText w:val="•"/>
      <w:numFmt w:val="bullet"/>
      <w:start w:val="1"/>
    </w:lvl>
    <w:lvl w:ilvl="1">
      <w:lvlJc w:val="left"/>
      <w:lvlText w:val="•"/>
      <w:numFmt w:val="bullet"/>
      <w:start w:val="1"/>
    </w:lvl>
  </w:abstractNum>
  <w:abstractNum w:abstractNumId="77">
    <w:nsid w:val="7FFFCA11"/>
    <w:multiLevelType w:val="hybridMultilevel"/>
    <w:lvl w:ilvl="0">
      <w:lvlJc w:val="left"/>
      <w:lvlText w:val="(%1)"/>
      <w:numFmt w:val="lowerRoman"/>
      <w:start w:val="3"/>
    </w:lvl>
  </w:abstractNum>
  <w:abstractNum w:abstractNumId="78">
    <w:nsid w:val="1A27709E"/>
    <w:multiLevelType w:val="hybridMultilevel"/>
    <w:lvl w:ilvl="0">
      <w:lvlJc w:val="left"/>
      <w:lvlText w:val="(%1)"/>
      <w:numFmt w:val="lowerRoman"/>
      <w:start w:val="2"/>
    </w:lvl>
  </w:abstractNum>
  <w:abstractNum w:abstractNumId="79">
    <w:nsid w:val="71EA1109"/>
    <w:multiLevelType w:val="hybridMultilevel"/>
    <w:lvl w:ilvl="0">
      <w:lvlJc w:val="left"/>
      <w:lvlText w:val="•"/>
      <w:numFmt w:val="bullet"/>
      <w:start w:val="1"/>
    </w:lvl>
    <w:lvl w:ilvl="1">
      <w:lvlJc w:val="left"/>
      <w:lvlText w:val="%2."/>
      <w:numFmt w:val="decimal"/>
      <w:start w:val="4"/>
    </w:lvl>
  </w:abstractNum>
  <w:abstractNum w:abstractNumId="80">
    <w:nsid w:val="100F59DC"/>
    <w:multiLevelType w:val="hybridMultilevel"/>
    <w:lvl w:ilvl="0">
      <w:lvlJc w:val="left"/>
      <w:lvlText w:val="%1."/>
      <w:numFmt w:val="decimal"/>
      <w:start w:val="3"/>
    </w:lvl>
  </w:abstractNum>
  <w:abstractNum w:abstractNumId="81">
    <w:nsid w:val="7FB7E0AA"/>
    <w:multiLevelType w:val="hybridMultilevel"/>
    <w:lvl w:ilvl="0">
      <w:lvlJc w:val="left"/>
      <w:lvlText w:val="(%1)"/>
      <w:numFmt w:val="lowerRoman"/>
      <w:start w:val="6"/>
    </w:lvl>
  </w:abstractNum>
  <w:abstractNum w:abstractNumId="82">
    <w:nsid w:val="6EB5BD4"/>
    <w:multiLevelType w:val="hybridMultilevel"/>
    <w:lvl w:ilvl="0">
      <w:lvlJc w:val="left"/>
      <w:lvlText w:val="•"/>
      <w:numFmt w:val="bullet"/>
      <w:start w:val="1"/>
    </w:lvl>
    <w:lvl w:ilvl="1">
      <w:lvlJc w:val="left"/>
      <w:lvlText w:val="•"/>
      <w:numFmt w:val="bullet"/>
      <w:start w:val="1"/>
    </w:lvl>
  </w:abstractNum>
  <w:abstractNum w:abstractNumId="83">
    <w:nsid w:val="6F6DD9AC"/>
    <w:multiLevelType w:val="hybridMultilevel"/>
    <w:lvl w:ilvl="0">
      <w:lvlJc w:val="left"/>
      <w:lvlText w:val="(%1)"/>
      <w:numFmt w:val="lowerRoman"/>
      <w:start w:val="4"/>
    </w:lvl>
  </w:abstractNum>
  <w:abstractNum w:abstractNumId="84">
    <w:nsid w:val="94211F2"/>
    <w:multiLevelType w:val="hybridMultilevel"/>
    <w:lvl w:ilvl="0">
      <w:lvlJc w:val="left"/>
      <w:lvlText w:val="(%1)"/>
      <w:numFmt w:val="lowerRoman"/>
      <w:start w:val="3"/>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38" Type="http://schemas.openxmlformats.org/officeDocument/2006/relationships/hyperlink" Target="https://www.sec.gov/Archives/edgar/data/1811210/000162828022012681/q12210q-ex103.htm" TargetMode="External"/><Relationship Id="rId139" Type="http://schemas.openxmlformats.org/officeDocument/2006/relationships/hyperlink" Target="https://www.sec.gov/Archives/edgar/data/1811210/000110465922071262/tm2218210d4_ex10-1.htm" TargetMode="External"/><Relationship Id="rId140" Type="http://schemas.openxmlformats.org/officeDocument/2006/relationships/hyperlink" Target="https://www.sec.gov/Archives/edgar/data/1811210/000110465922070525/tm221821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2022-08-04T05:23:55Z</dcterms:created>
  <dcterms:modified xsi:type="dcterms:W3CDTF">2022-08-04T05:23:55Z</dcterms:modified>
</cp:coreProperties>
</file>