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48260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0"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23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001-39408</w:t>
            </w:r>
          </w:p>
        </w:tc>
        <w:tc>
          <w:tcPr>
            <w:tcW w:w="25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0"/>
              </w:rPr>
              <w:t>(State or other</w:t>
            </w:r>
          </w:p>
        </w:tc>
        <w:tc>
          <w:tcPr>
            <w:tcW w:w="3780" w:type="dxa"/>
            <w:vAlign w:val="bottom"/>
          </w:tcPr>
          <w:p>
            <w:pPr>
              <w:jc w:val="center"/>
              <w:ind w:left="30"/>
              <w:spacing w:after="0"/>
              <w:rPr>
                <w:sz w:val="20"/>
                <w:szCs w:val="20"/>
                <w:color w:val="auto"/>
              </w:rPr>
            </w:pPr>
            <w:r>
              <w:rPr>
                <w:rFonts w:ascii="Arial" w:cs="Arial" w:eastAsia="Arial" w:hAnsi="Arial"/>
                <w:sz w:val="18"/>
                <w:szCs w:val="18"/>
                <w:color w:val="auto"/>
                <w:w w:val="93"/>
              </w:rPr>
              <w:t>(Commission File</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2"/>
              </w:rPr>
              <w:t>(I.R.S. Employer</w:t>
            </w:r>
          </w:p>
        </w:tc>
      </w:tr>
      <w:tr>
        <w:trPr>
          <w:trHeight w:val="216"/>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5"/>
              </w:rPr>
              <w:t>jurisdiction of</w:t>
            </w:r>
          </w:p>
        </w:tc>
        <w:tc>
          <w:tcPr>
            <w:tcW w:w="3780" w:type="dxa"/>
            <w:vAlign w:val="bottom"/>
          </w:tcPr>
          <w:p>
            <w:pPr>
              <w:jc w:val="center"/>
              <w:ind w:left="10"/>
              <w:spacing w:after="0"/>
              <w:rPr>
                <w:sz w:val="20"/>
                <w:szCs w:val="20"/>
                <w:color w:val="auto"/>
              </w:rPr>
            </w:pPr>
            <w:r>
              <w:rPr>
                <w:rFonts w:ascii="Arial" w:cs="Arial" w:eastAsia="Arial" w:hAnsi="Arial"/>
                <w:sz w:val="18"/>
                <w:szCs w:val="18"/>
                <w:color w:val="auto"/>
                <w:w w:val="91"/>
              </w:rPr>
              <w:t>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4"/>
              </w:rPr>
              <w:t>incorporation)</w:t>
            </w:r>
          </w:p>
        </w:tc>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198" w:lineRule="exact"/>
        <w:rPr>
          <w:sz w:val="24"/>
          <w:szCs w:val="24"/>
          <w:color w:val="auto"/>
        </w:rPr>
      </w:pPr>
    </w:p>
    <w:p>
      <w:pPr>
        <w:sectPr>
          <w:pgSz w:w="11900" w:h="16838" w:orient="portrait"/>
          <w:cols w:equalWidth="0" w:num="1">
            <w:col w:w="11240"/>
          </w:cols>
          <w:pgMar w:left="320" w:top="225" w:right="339" w:bottom="1440" w:gutter="0" w:footer="0" w:header="0"/>
        </w:sectPr>
      </w:pPr>
    </w:p>
    <w:p>
      <w:pPr>
        <w:jc w:val="center"/>
        <w:ind w:right="1700"/>
        <w:spacing w:after="0"/>
        <w:rPr>
          <w:sz w:val="20"/>
          <w:szCs w:val="20"/>
          <w:color w:val="auto"/>
        </w:rPr>
      </w:pPr>
      <w:r>
        <w:rPr>
          <w:rFonts w:ascii="Arial" w:cs="Arial" w:eastAsia="Arial" w:hAnsi="Arial"/>
          <w:sz w:val="18"/>
          <w:szCs w:val="18"/>
          <w:b w:val="1"/>
          <w:bCs w:val="1"/>
          <w:color w:val="auto"/>
        </w:rPr>
        <w:t>7373 Gateway Blvd</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320" w:space="720"/>
            <w:col w:w="3200"/>
          </w:cols>
          <w:pgMar w:left="320" w:top="225" w:right="339" w:bottom="1440" w:gutter="0" w:footer="0" w:header="0"/>
          <w:type w:val="continuous"/>
        </w:sectPr>
      </w:pP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(510) 648-3553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4380" w:type="dxa"/>
            <w:vAlign w:val="bottom"/>
          </w:tcPr>
          <w:p>
            <w:pPr>
              <w:spacing w:after="0"/>
              <w:rPr>
                <w:sz w:val="18"/>
                <w:szCs w:val="18"/>
                <w:color w:val="auto"/>
              </w:rPr>
            </w:pPr>
          </w:p>
        </w:tc>
      </w:tr>
      <w:tr>
        <w:trPr>
          <w:trHeight w:val="248"/>
        </w:trPr>
        <w:tc>
          <w:tcPr>
            <w:tcW w:w="4600" w:type="dxa"/>
            <w:vAlign w:val="bottom"/>
            <w:tcBorders>
              <w:bottom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w:t>
            </w:r>
          </w:p>
        </w:tc>
        <w:tc>
          <w:tcPr>
            <w:tcW w:w="43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600" w:type="dxa"/>
            <w:vAlign w:val="bottom"/>
          </w:tcPr>
          <w:p>
            <w:pPr>
              <w:jc w:val="center"/>
              <w:ind w:right="690"/>
              <w:spacing w:after="0"/>
              <w:rPr>
                <w:sz w:val="20"/>
                <w:szCs w:val="20"/>
                <w:color w:val="auto"/>
              </w:rPr>
            </w:pPr>
            <w:r>
              <w:rPr>
                <w:rFonts w:ascii="Arial" w:cs="Arial" w:eastAsia="Arial" w:hAnsi="Arial"/>
                <w:sz w:val="18"/>
                <w:szCs w:val="18"/>
                <w:color w:val="auto"/>
                <w:w w:val="89"/>
              </w:rPr>
              <w:t>Class A Common Stock, $0.0001 par value per share</w:t>
            </w:r>
          </w:p>
        </w:tc>
        <w:tc>
          <w:tcPr>
            <w:tcW w:w="2260" w:type="dxa"/>
            <w:vAlign w:val="bottom"/>
          </w:tcPr>
          <w:p>
            <w:pPr>
              <w:jc w:val="center"/>
              <w:spacing w:after="0"/>
              <w:rPr>
                <w:sz w:val="20"/>
                <w:szCs w:val="20"/>
                <w:color w:val="auto"/>
              </w:rPr>
            </w:pPr>
            <w:r>
              <w:rPr>
                <w:rFonts w:ascii="Arial" w:cs="Arial" w:eastAsia="Arial" w:hAnsi="Arial"/>
                <w:sz w:val="18"/>
                <w:szCs w:val="18"/>
                <w:color w:val="auto"/>
              </w:rPr>
              <w:t>LCID</w:t>
            </w:r>
          </w:p>
        </w:tc>
        <w:tc>
          <w:tcPr>
            <w:tcW w:w="4380" w:type="dxa"/>
            <w:vAlign w:val="bottom"/>
          </w:tcPr>
          <w:p>
            <w:pPr>
              <w:jc w:val="center"/>
              <w:ind w:left="590"/>
              <w:spacing w:after="0"/>
              <w:rPr>
                <w:sz w:val="20"/>
                <w:szCs w:val="20"/>
                <w:color w:val="auto"/>
              </w:rPr>
            </w:pPr>
            <w:r>
              <w:rPr>
                <w:rFonts w:ascii="Arial" w:cs="Arial" w:eastAsia="Arial" w:hAnsi="Arial"/>
                <w:sz w:val="18"/>
                <w:szCs w:val="18"/>
                <w:color w:val="auto"/>
                <w:w w:val="91"/>
              </w:rPr>
              <w:t>The Nasdaq Stock Market LLC</w:t>
            </w:r>
          </w:p>
        </w:tc>
      </w:tr>
      <w:tr>
        <w:trPr>
          <w:trHeight w:val="403"/>
        </w:trPr>
        <w:tc>
          <w:tcPr>
            <w:tcW w:w="4600" w:type="dxa"/>
            <w:vAlign w:val="bottom"/>
          </w:tcPr>
          <w:p>
            <w:pPr>
              <w:jc w:val="center"/>
              <w:ind w:right="670"/>
              <w:spacing w:after="0"/>
              <w:rPr>
                <w:sz w:val="20"/>
                <w:szCs w:val="20"/>
                <w:color w:val="auto"/>
              </w:rPr>
            </w:pPr>
            <w:r>
              <w:rPr>
                <w:rFonts w:ascii="Arial" w:cs="Arial" w:eastAsia="Arial" w:hAnsi="Arial"/>
                <w:sz w:val="18"/>
                <w:szCs w:val="18"/>
                <w:color w:val="auto"/>
                <w:w w:val="89"/>
              </w:rPr>
              <w:t>Warrants, each exercisable for one share of Class A</w:t>
            </w:r>
          </w:p>
        </w:tc>
        <w:tc>
          <w:tcPr>
            <w:tcW w:w="22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16"/>
        </w:trPr>
        <w:tc>
          <w:tcPr>
            <w:tcW w:w="4600" w:type="dxa"/>
            <w:vAlign w:val="bottom"/>
          </w:tcPr>
          <w:p>
            <w:pPr>
              <w:jc w:val="center"/>
              <w:ind w:right="670"/>
              <w:spacing w:after="0"/>
              <w:rPr>
                <w:sz w:val="20"/>
                <w:szCs w:val="20"/>
                <w:color w:val="auto"/>
              </w:rPr>
            </w:pPr>
            <w:r>
              <w:rPr>
                <w:rFonts w:ascii="Arial" w:cs="Arial" w:eastAsia="Arial" w:hAnsi="Arial"/>
                <w:sz w:val="18"/>
                <w:szCs w:val="18"/>
                <w:color w:val="auto"/>
                <w:w w:val="90"/>
              </w:rPr>
              <w:t>Common Stock at an exercise price of $11.50 per</w:t>
            </w:r>
          </w:p>
        </w:tc>
        <w:tc>
          <w:tcPr>
            <w:tcW w:w="226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0"/>
        </w:trPr>
        <w:tc>
          <w:tcPr>
            <w:tcW w:w="4600" w:type="dxa"/>
            <w:vAlign w:val="bottom"/>
          </w:tcPr>
          <w:p>
            <w:pPr>
              <w:jc w:val="center"/>
              <w:ind w:right="690"/>
              <w:spacing w:after="0"/>
              <w:rPr>
                <w:sz w:val="20"/>
                <w:szCs w:val="20"/>
                <w:color w:val="auto"/>
              </w:rPr>
            </w:pPr>
            <w:r>
              <w:rPr>
                <w:rFonts w:ascii="Arial" w:cs="Arial" w:eastAsia="Arial" w:hAnsi="Arial"/>
                <w:sz w:val="18"/>
                <w:szCs w:val="18"/>
                <w:color w:val="auto"/>
                <w:w w:val="84"/>
              </w:rPr>
              <w:t>share</w:t>
            </w:r>
          </w:p>
        </w:tc>
        <w:tc>
          <w:tcPr>
            <w:tcW w:w="2260" w:type="dxa"/>
            <w:vAlign w:val="bottom"/>
          </w:tcPr>
          <w:p>
            <w:pPr>
              <w:jc w:val="center"/>
              <w:ind w:right="10"/>
              <w:spacing w:after="0"/>
              <w:rPr>
                <w:sz w:val="20"/>
                <w:szCs w:val="20"/>
                <w:color w:val="auto"/>
              </w:rPr>
            </w:pPr>
            <w:r>
              <w:rPr>
                <w:rFonts w:ascii="Arial" w:cs="Arial" w:eastAsia="Arial" w:hAnsi="Arial"/>
                <w:sz w:val="18"/>
                <w:szCs w:val="18"/>
                <w:color w:val="auto"/>
              </w:rPr>
              <w:t>LCIDW</w:t>
            </w:r>
          </w:p>
        </w:tc>
        <w:tc>
          <w:tcPr>
            <w:tcW w:w="4380" w:type="dxa"/>
            <w:vAlign w:val="bottom"/>
          </w:tcPr>
          <w:p>
            <w:pPr>
              <w:jc w:val="center"/>
              <w:ind w:left="590"/>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September 15, 2021, the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of Lucid Group, Inc. (the “</w:t>
      </w:r>
      <w:r>
        <w:rPr>
          <w:rFonts w:ascii="Arial" w:cs="Arial" w:eastAsia="Arial" w:hAnsi="Arial"/>
          <w:sz w:val="18"/>
          <w:szCs w:val="18"/>
          <w:b w:val="1"/>
          <w:bCs w:val="1"/>
          <w:color w:val="auto"/>
        </w:rPr>
        <w:t>Company</w:t>
      </w:r>
      <w:r>
        <w:rPr>
          <w:rFonts w:ascii="Arial" w:cs="Arial" w:eastAsia="Arial" w:hAnsi="Arial"/>
          <w:sz w:val="18"/>
          <w:szCs w:val="18"/>
          <w:color w:val="auto"/>
        </w:rPr>
        <w:t>”) approved revised compensation packages, set forth below, for certain of the Company’s senior executives, including the Company’s Chief Executive Officer, Chief Financial Officer and its other named executive officers (collectively, the “</w:t>
      </w:r>
      <w:r>
        <w:rPr>
          <w:rFonts w:ascii="Arial" w:cs="Arial" w:eastAsia="Arial" w:hAnsi="Arial"/>
          <w:sz w:val="18"/>
          <w:szCs w:val="18"/>
          <w:b w:val="1"/>
          <w:bCs w:val="1"/>
          <w:color w:val="auto"/>
        </w:rPr>
        <w:t>NEOs</w:t>
      </w:r>
      <w:r>
        <w:rPr>
          <w:rFonts w:ascii="Arial" w:cs="Arial" w:eastAsia="Arial" w:hAnsi="Arial"/>
          <w:sz w:val="18"/>
          <w:szCs w:val="18"/>
          <w:color w:val="auto"/>
        </w:rPr>
        <w:t>”). The new annual base salaries are effective retroactively as of August 2, 2021 and target incentive compensation levels are effective for the 2022 fiscal year.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Base</w:t>
            </w:r>
          </w:p>
        </w:tc>
        <w:tc>
          <w:tcPr>
            <w:tcW w:w="1940" w:type="dxa"/>
            <w:vAlign w:val="bottom"/>
            <w:gridSpan w:val="2"/>
          </w:tcPr>
          <w:p>
            <w:pPr>
              <w:jc w:val="right"/>
              <w:ind w:right="330"/>
              <w:spacing w:after="0"/>
              <w:rPr>
                <w:sz w:val="20"/>
                <w:szCs w:val="20"/>
                <w:color w:val="auto"/>
              </w:rPr>
            </w:pPr>
            <w:r>
              <w:rPr>
                <w:rFonts w:ascii="Arial" w:cs="Arial" w:eastAsia="Arial" w:hAnsi="Arial"/>
                <w:sz w:val="18"/>
                <w:szCs w:val="18"/>
                <w:color w:val="auto"/>
              </w:rPr>
              <w:t>Target Incentive</w:t>
            </w:r>
          </w:p>
        </w:tc>
      </w:tr>
      <w:tr>
        <w:trPr>
          <w:trHeight w:val="230"/>
        </w:trPr>
        <w:tc>
          <w:tcPr>
            <w:tcW w:w="7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Salary</w:t>
            </w:r>
          </w:p>
        </w:tc>
        <w:tc>
          <w:tcPr>
            <w:tcW w:w="1940" w:type="dxa"/>
            <w:vAlign w:val="bottom"/>
            <w:gridSpan w:val="2"/>
          </w:tcPr>
          <w:p>
            <w:pPr>
              <w:jc w:val="right"/>
              <w:ind w:right="390"/>
              <w:spacing w:after="0"/>
              <w:rPr>
                <w:sz w:val="20"/>
                <w:szCs w:val="20"/>
                <w:color w:val="auto"/>
              </w:rPr>
            </w:pPr>
            <w:r>
              <w:rPr>
                <w:rFonts w:ascii="Arial" w:cs="Arial" w:eastAsia="Arial" w:hAnsi="Arial"/>
                <w:sz w:val="18"/>
                <w:szCs w:val="18"/>
                <w:color w:val="auto"/>
              </w:rPr>
              <w:t>Compensation</w:t>
            </w:r>
          </w:p>
        </w:tc>
      </w:tr>
      <w:tr>
        <w:trPr>
          <w:trHeight w:val="182"/>
        </w:trPr>
        <w:tc>
          <w:tcPr>
            <w:tcW w:w="7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Peter Rawlinson</w:t>
            </w: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575,000</w:t>
            </w:r>
          </w:p>
        </w:tc>
        <w:tc>
          <w:tcPr>
            <w:tcW w:w="2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4"/>
              </w:rPr>
              <w:t>%</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 Chief Technology Officer</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i w:val="1"/>
                <w:iCs w:val="1"/>
                <w:color w:val="auto"/>
              </w:rPr>
              <w:t>Sherry House</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500,000</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30"/>
        </w:trPr>
        <w:tc>
          <w:tcPr>
            <w:tcW w:w="73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Eric Bach</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450,000</w:t>
            </w:r>
          </w:p>
        </w:tc>
        <w:tc>
          <w:tcPr>
            <w:tcW w:w="1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75%</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Product and Chief Engineer</w:t>
            </w: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7300" w:type="dxa"/>
            <w:vAlign w:val="bottom"/>
          </w:tcPr>
          <w:p>
            <w:pPr>
              <w:spacing w:after="0" w:line="201" w:lineRule="exact"/>
              <w:rPr>
                <w:sz w:val="20"/>
                <w:szCs w:val="20"/>
                <w:color w:val="auto"/>
              </w:rPr>
            </w:pPr>
            <w:r>
              <w:rPr>
                <w:rFonts w:ascii="Arial" w:cs="Arial" w:eastAsia="Arial" w:hAnsi="Arial"/>
                <w:sz w:val="18"/>
                <w:szCs w:val="18"/>
                <w:i w:val="1"/>
                <w:iCs w:val="1"/>
                <w:color w:val="auto"/>
              </w:rPr>
              <w:t>Michael Smuts</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360,000</w:t>
            </w:r>
          </w:p>
        </w:tc>
        <w:tc>
          <w:tcPr>
            <w:tcW w:w="19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7300" w:type="dxa"/>
            <w:vAlign w:val="bottom"/>
          </w:tcPr>
          <w:p>
            <w:pPr>
              <w:spacing w:after="0"/>
              <w:rPr>
                <w:sz w:val="20"/>
                <w:szCs w:val="20"/>
                <w:color w:val="auto"/>
              </w:rPr>
            </w:pPr>
            <w:r>
              <w:rPr>
                <w:rFonts w:ascii="Arial" w:cs="Arial" w:eastAsia="Arial" w:hAnsi="Arial"/>
                <w:sz w:val="18"/>
                <w:szCs w:val="18"/>
                <w:i w:val="1"/>
                <w:iCs w:val="1"/>
                <w:color w:val="auto"/>
              </w:rPr>
              <w:t>Vice President, Finance</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September 15, 2021, the Committee approved the severance levels, set forth below, that will apply to certain executives, including the NEOs, under the previously approved and disclosed Lucid Group, Inc. Executive Severance Benefit Plan (the </w:t>
      </w:r>
      <w:r>
        <w:rPr>
          <w:rFonts w:ascii="Arial" w:cs="Arial" w:eastAsia="Arial" w:hAnsi="Arial"/>
          <w:sz w:val="18"/>
          <w:szCs w:val="18"/>
          <w:b w:val="1"/>
          <w:bCs w:val="1"/>
          <w:color w:val="auto"/>
        </w:rPr>
        <w:t>“Executive Severance Plan”</w:t>
      </w:r>
      <w:r>
        <w:rPr>
          <w:rFonts w:ascii="Arial" w:cs="Arial" w:eastAsia="Arial" w:hAnsi="Arial"/>
          <w:sz w:val="18"/>
          <w:szCs w:val="18"/>
          <w:color w:val="auto"/>
        </w:rPr>
        <w:t>). Each of the NEOs is entitled to salary continuation and payment of their health insurance premiums in the event of certain qualifying terminations of employment pursuant to the Executive Severance Plan. The NEOs are also entitled to enhanced severance entitlements in the event certain qualifying terminations occur in connection with a “change of control.”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Salary and Benefits</w:t>
            </w:r>
          </w:p>
        </w:tc>
        <w:tc>
          <w:tcPr>
            <w:tcW w:w="202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Continuation Not in</w:t>
            </w:r>
          </w:p>
        </w:tc>
        <w:tc>
          <w:tcPr>
            <w:tcW w:w="2020" w:type="dxa"/>
            <w:vAlign w:val="bottom"/>
          </w:tcPr>
          <w:p>
            <w:pPr>
              <w:jc w:val="right"/>
              <w:ind w:right="210"/>
              <w:spacing w:after="0"/>
              <w:rPr>
                <w:sz w:val="20"/>
                <w:szCs w:val="20"/>
                <w:color w:val="auto"/>
              </w:rPr>
            </w:pPr>
            <w:r>
              <w:rPr>
                <w:rFonts w:ascii="Arial" w:cs="Arial" w:eastAsia="Arial" w:hAnsi="Arial"/>
                <w:sz w:val="18"/>
                <w:szCs w:val="18"/>
                <w:color w:val="auto"/>
              </w:rPr>
              <w:t>Salary and Benefits</w:t>
            </w:r>
          </w:p>
        </w:tc>
      </w:tr>
      <w:tr>
        <w:trPr>
          <w:trHeight w:val="216"/>
        </w:trPr>
        <w:tc>
          <w:tcPr>
            <w:tcW w:w="698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Connection with a Change of</w:t>
            </w:r>
          </w:p>
        </w:tc>
        <w:tc>
          <w:tcPr>
            <w:tcW w:w="2020" w:type="dxa"/>
            <w:vAlign w:val="bottom"/>
          </w:tcPr>
          <w:p>
            <w:pPr>
              <w:jc w:val="right"/>
              <w:spacing w:after="0"/>
              <w:rPr>
                <w:sz w:val="20"/>
                <w:szCs w:val="20"/>
                <w:color w:val="auto"/>
              </w:rPr>
            </w:pPr>
            <w:r>
              <w:rPr>
                <w:rFonts w:ascii="Arial" w:cs="Arial" w:eastAsia="Arial" w:hAnsi="Arial"/>
                <w:sz w:val="18"/>
                <w:szCs w:val="18"/>
                <w:color w:val="auto"/>
                <w:w w:val="92"/>
              </w:rPr>
              <w:t>Continuation in Connection</w:t>
            </w:r>
          </w:p>
        </w:tc>
      </w:tr>
      <w:tr>
        <w:trPr>
          <w:trHeight w:val="230"/>
        </w:trPr>
        <w:tc>
          <w:tcPr>
            <w:tcW w:w="6980" w:type="dxa"/>
            <w:vAlign w:val="bottom"/>
          </w:tcPr>
          <w:p>
            <w:pPr>
              <w:spacing w:after="0"/>
              <w:rPr>
                <w:sz w:val="20"/>
                <w:szCs w:val="20"/>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Control</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w w:val="95"/>
              </w:rPr>
              <w:t>with a Change of Control</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Peter Rawlinson</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months</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months</w:t>
            </w:r>
          </w:p>
        </w:tc>
      </w:tr>
      <w:tr>
        <w:trPr>
          <w:trHeight w:val="216"/>
        </w:trPr>
        <w:tc>
          <w:tcPr>
            <w:tcW w:w="6980" w:type="dxa"/>
            <w:vAlign w:val="bottom"/>
          </w:tcPr>
          <w:p>
            <w:pPr>
              <w:spacing w:after="0"/>
              <w:rPr>
                <w:sz w:val="20"/>
                <w:szCs w:val="20"/>
                <w:color w:val="auto"/>
              </w:rPr>
            </w:pPr>
            <w:r>
              <w:rPr>
                <w:rFonts w:ascii="Arial" w:cs="Arial" w:eastAsia="Arial" w:hAnsi="Arial"/>
                <w:sz w:val="18"/>
                <w:szCs w:val="18"/>
                <w:i w:val="1"/>
                <w:iCs w:val="1"/>
                <w:color w:val="auto"/>
              </w:rPr>
              <w:t>Sherry House</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9 months</w:t>
            </w:r>
          </w:p>
        </w:tc>
        <w:tc>
          <w:tcPr>
            <w:tcW w:w="2020" w:type="dxa"/>
            <w:vAlign w:val="bottom"/>
          </w:tcPr>
          <w:p>
            <w:pPr>
              <w:jc w:val="right"/>
              <w:spacing w:after="0"/>
              <w:rPr>
                <w:sz w:val="20"/>
                <w:szCs w:val="20"/>
                <w:color w:val="auto"/>
              </w:rPr>
            </w:pPr>
            <w:r>
              <w:rPr>
                <w:rFonts w:ascii="Arial" w:cs="Arial" w:eastAsia="Arial" w:hAnsi="Arial"/>
                <w:sz w:val="18"/>
                <w:szCs w:val="18"/>
                <w:color w:val="auto"/>
              </w:rPr>
              <w:t>12 months</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Eric Bach</w:t>
            </w:r>
          </w:p>
        </w:tc>
        <w:tc>
          <w:tcPr>
            <w:tcW w:w="2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 months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months</w:t>
            </w:r>
          </w:p>
        </w:tc>
      </w:tr>
      <w:tr>
        <w:trPr>
          <w:trHeight w:val="230"/>
        </w:trPr>
        <w:tc>
          <w:tcPr>
            <w:tcW w:w="6980" w:type="dxa"/>
            <w:vAlign w:val="bottom"/>
          </w:tcPr>
          <w:p>
            <w:pPr>
              <w:spacing w:after="0"/>
              <w:rPr>
                <w:sz w:val="20"/>
                <w:szCs w:val="20"/>
                <w:color w:val="auto"/>
              </w:rPr>
            </w:pPr>
            <w:r>
              <w:rPr>
                <w:rFonts w:ascii="Arial" w:cs="Arial" w:eastAsia="Arial" w:hAnsi="Arial"/>
                <w:sz w:val="18"/>
                <w:szCs w:val="18"/>
                <w:i w:val="1"/>
                <w:iCs w:val="1"/>
                <w:color w:val="auto"/>
              </w:rPr>
              <w:t>Michael Smuts</w:t>
            </w:r>
          </w:p>
        </w:tc>
        <w:tc>
          <w:tcPr>
            <w:tcW w:w="2240" w:type="dxa"/>
            <w:vAlign w:val="bottom"/>
            <w:gridSpan w:val="2"/>
          </w:tcPr>
          <w:p>
            <w:pPr>
              <w:jc w:val="right"/>
              <w:ind w:right="100"/>
              <w:spacing w:after="0"/>
              <w:rPr>
                <w:sz w:val="20"/>
                <w:szCs w:val="20"/>
                <w:color w:val="auto"/>
              </w:rPr>
            </w:pPr>
            <w:r>
              <w:rPr>
                <w:rFonts w:ascii="Arial" w:cs="Arial" w:eastAsia="Arial" w:hAnsi="Arial"/>
                <w:sz w:val="18"/>
                <w:szCs w:val="18"/>
                <w:color w:val="auto"/>
              </w:rPr>
              <w:t>6 months</w:t>
            </w:r>
          </w:p>
        </w:tc>
        <w:tc>
          <w:tcPr>
            <w:tcW w:w="2020" w:type="dxa"/>
            <w:vAlign w:val="bottom"/>
          </w:tcPr>
          <w:p>
            <w:pPr>
              <w:jc w:val="right"/>
              <w:spacing w:after="0"/>
              <w:rPr>
                <w:sz w:val="20"/>
                <w:szCs w:val="20"/>
                <w:color w:val="auto"/>
              </w:rPr>
            </w:pPr>
            <w:r>
              <w:rPr>
                <w:rFonts w:ascii="Arial" w:cs="Arial" w:eastAsia="Arial" w:hAnsi="Arial"/>
                <w:sz w:val="18"/>
                <w:szCs w:val="18"/>
                <w:color w:val="auto"/>
              </w:rPr>
              <w:t>9 months</w:t>
            </w:r>
          </w:p>
        </w:tc>
      </w:tr>
    </w:tbl>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Committee also approved and adopted the Lucid Group, Inc. Vesting Acceleration Policy for Death and Disability (the “</w:t>
      </w:r>
      <w:r>
        <w:rPr>
          <w:rFonts w:ascii="Arial" w:cs="Arial" w:eastAsia="Arial" w:hAnsi="Arial"/>
          <w:sz w:val="18"/>
          <w:szCs w:val="18"/>
          <w:b w:val="1"/>
          <w:bCs w:val="1"/>
          <w:color w:val="auto"/>
        </w:rPr>
        <w:t>Acceleration</w:t>
      </w:r>
      <w:r>
        <w:rPr>
          <w:rFonts w:ascii="Arial" w:cs="Arial" w:eastAsia="Arial" w:hAnsi="Arial"/>
          <w:sz w:val="18"/>
          <w:szCs w:val="18"/>
          <w:color w:val="auto"/>
        </w:rPr>
        <w:t xml:space="preserve"> </w:t>
      </w:r>
      <w:r>
        <w:rPr>
          <w:rFonts w:ascii="Arial" w:cs="Arial" w:eastAsia="Arial" w:hAnsi="Arial"/>
          <w:sz w:val="18"/>
          <w:szCs w:val="18"/>
          <w:b w:val="1"/>
          <w:bCs w:val="1"/>
          <w:color w:val="auto"/>
        </w:rPr>
        <w:t>Policy</w:t>
      </w:r>
      <w:r>
        <w:rPr>
          <w:rFonts w:ascii="Arial" w:cs="Arial" w:eastAsia="Arial" w:hAnsi="Arial"/>
          <w:sz w:val="18"/>
          <w:szCs w:val="18"/>
          <w:color w:val="auto"/>
        </w:rPr>
        <w:t>”). The Acceleration Policy provides for the accelerated vesting of all outstanding unvested time-based and performance-based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equity awards held by the NEOs. The Acceleration Policy will apply to all outstanding equity awards issued under any equity plan maintained by the Company or its subsidiaries, except to the extent the policy would be inconsistent with the terms or provisions of any award agreement, employment agreement, or other plan or agreement. The Acceleration Policy will also not be applicable to any equity awards granted to Mr. Rawlinson prior to the date the Acceleration Policy was adopted.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21, 2021</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LUCID GROUP, INC.</w:t>
      </w:r>
    </w:p>
    <w:p>
      <w:pPr>
        <w:spacing w:after="0" w:line="200" w:lineRule="exact"/>
        <w:rPr>
          <w:sz w:val="20"/>
          <w:szCs w:val="20"/>
          <w:color w:val="auto"/>
        </w:rPr>
      </w:pPr>
    </w:p>
    <w:p>
      <w:pPr>
        <w:spacing w:after="0" w:line="227" w:lineRule="exact"/>
        <w:rPr>
          <w:sz w:val="20"/>
          <w:szCs w:val="20"/>
          <w:color w:val="auto"/>
        </w:rPr>
      </w:pPr>
    </w:p>
    <w:p>
      <w:pPr>
        <w:ind w:left="5980"/>
        <w:spacing w:after="0"/>
        <w:tabs>
          <w:tab w:leader="none" w:pos="6400" w:val="left"/>
        </w:tabs>
        <w:rPr>
          <w:sz w:val="20"/>
          <w:szCs w:val="20"/>
          <w:color w:val="auto"/>
        </w:rPr>
      </w:pPr>
      <w:r>
        <w:rPr>
          <w:rFonts w:ascii="Arial" w:cs="Arial" w:eastAsia="Arial" w:hAnsi="Arial"/>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Sherry House</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2021-09-21T15:16:08Z</dcterms:created>
  <dcterms:modified xsi:type="dcterms:W3CDTF">2021-09-21T15:16:08Z</dcterms:modified>
</cp:coreProperties>
</file>