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ind w:left="2700"/>
        <w:spacing w:after="0"/>
        <w:rPr>
          <w:sz w:val="20"/>
          <w:szCs w:val="20"/>
          <w:color w:val="auto"/>
        </w:rPr>
      </w:pPr>
      <w:r>
        <w:rPr>
          <w:rFonts w:ascii="Arial" w:cs="Arial" w:eastAsia="Arial" w:hAnsi="Arial"/>
          <w:sz w:val="17"/>
          <w:szCs w:val="17"/>
          <w:b w:val="1"/>
          <w:bCs w:val="1"/>
          <w:color w:val="auto"/>
        </w:rPr>
        <w:t>As filed with the U.S. Securities and Exchange Commission on July 14, 2020.</w:t>
      </w:r>
    </w:p>
    <w:p>
      <w:pPr>
        <w:spacing w:after="0" w:line="33" w:lineRule="exact"/>
        <w:rPr>
          <w:sz w:val="24"/>
          <w:szCs w:val="24"/>
          <w:color w:val="auto"/>
        </w:rPr>
      </w:pPr>
    </w:p>
    <w:p>
      <w:pPr>
        <w:ind w:left="86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40640</wp:posOffset>
            </wp:positionV>
            <wp:extent cx="61804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0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18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55880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FORM S-1</w:t>
      </w:r>
    </w:p>
    <w:p>
      <w:pPr>
        <w:jc w:val="center"/>
        <w:ind w:right="-459"/>
        <w:spacing w:after="0" w:line="221" w:lineRule="auto"/>
        <w:rPr>
          <w:sz w:val="20"/>
          <w:szCs w:val="20"/>
          <w:color w:val="auto"/>
        </w:rPr>
      </w:pPr>
      <w:r>
        <w:rPr>
          <w:rFonts w:ascii="Arial" w:cs="Arial" w:eastAsia="Arial" w:hAnsi="Arial"/>
          <w:sz w:val="18"/>
          <w:szCs w:val="18"/>
          <w:b w:val="1"/>
          <w:bCs w:val="1"/>
          <w:color w:val="auto"/>
        </w:rPr>
        <w:t>REGISTRATION STATEMENT</w:t>
      </w:r>
    </w:p>
    <w:p>
      <w:pPr>
        <w:jc w:val="center"/>
        <w:ind w:right="-459"/>
        <w:spacing w:after="0" w:line="219"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7" w:lineRule="exact"/>
        <w:rPr>
          <w:sz w:val="24"/>
          <w:szCs w:val="24"/>
          <w:color w:val="auto"/>
        </w:rPr>
      </w:pPr>
    </w:p>
    <w:p>
      <w:pPr>
        <w:ind w:left="3800"/>
        <w:spacing w:after="0"/>
        <w:rPr>
          <w:sz w:val="20"/>
          <w:szCs w:val="20"/>
          <w:color w:val="auto"/>
        </w:rPr>
      </w:pPr>
      <w:r>
        <w:rPr>
          <w:rFonts w:ascii="Arial" w:cs="Arial" w:eastAsia="Arial" w:hAnsi="Arial"/>
          <w:sz w:val="29"/>
          <w:szCs w:val="29"/>
          <w:b w:val="1"/>
          <w:bCs w:val="1"/>
          <w:color w:val="auto"/>
        </w:rPr>
        <w:t>Churchill Capital Corp IV</w:t>
      </w:r>
    </w:p>
    <w:p>
      <w:pPr>
        <w:spacing w:after="0" w:line="16"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73660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560" w:type="dxa"/>
            <w:vAlign w:val="bottom"/>
          </w:tcPr>
          <w:p>
            <w:pPr>
              <w:ind w:left="620"/>
              <w:spacing w:after="0"/>
              <w:rPr>
                <w:sz w:val="20"/>
                <w:szCs w:val="20"/>
                <w:color w:val="auto"/>
              </w:rPr>
            </w:pPr>
            <w:r>
              <w:rPr>
                <w:rFonts w:ascii="Arial" w:cs="Arial" w:eastAsia="Arial" w:hAnsi="Arial"/>
                <w:sz w:val="14"/>
                <w:szCs w:val="14"/>
                <w:b w:val="1"/>
                <w:bCs w:val="1"/>
                <w:color w:val="auto"/>
              </w:rPr>
              <w:t>Delaware</w:t>
            </w:r>
          </w:p>
        </w:tc>
        <w:tc>
          <w:tcPr>
            <w:tcW w:w="3380" w:type="dxa"/>
            <w:vAlign w:val="bottom"/>
          </w:tcPr>
          <w:p>
            <w:pPr>
              <w:jc w:val="right"/>
              <w:ind w:right="1528"/>
              <w:spacing w:after="0"/>
              <w:rPr>
                <w:sz w:val="20"/>
                <w:szCs w:val="20"/>
                <w:color w:val="auto"/>
              </w:rPr>
            </w:pPr>
            <w:r>
              <w:rPr>
                <w:rFonts w:ascii="Arial" w:cs="Arial" w:eastAsia="Arial" w:hAnsi="Arial"/>
                <w:sz w:val="14"/>
                <w:szCs w:val="14"/>
                <w:b w:val="1"/>
                <w:bCs w:val="1"/>
                <w:color w:val="auto"/>
              </w:rPr>
              <w:t>6770</w:t>
            </w:r>
          </w:p>
        </w:tc>
        <w:tc>
          <w:tcPr>
            <w:tcW w:w="2240" w:type="dxa"/>
            <w:vAlign w:val="bottom"/>
          </w:tcPr>
          <w:p>
            <w:pPr>
              <w:jc w:val="right"/>
              <w:ind w:right="288"/>
              <w:spacing w:after="0"/>
              <w:rPr>
                <w:sz w:val="20"/>
                <w:szCs w:val="20"/>
                <w:color w:val="auto"/>
              </w:rPr>
            </w:pPr>
            <w:r>
              <w:rPr>
                <w:rFonts w:ascii="Arial" w:cs="Arial" w:eastAsia="Arial" w:hAnsi="Arial"/>
                <w:sz w:val="14"/>
                <w:szCs w:val="14"/>
                <w:b w:val="1"/>
                <w:bCs w:val="1"/>
                <w:color w:val="auto"/>
              </w:rPr>
              <w:t>85-0891392</w:t>
            </w:r>
          </w:p>
        </w:tc>
      </w:tr>
      <w:tr>
        <w:trPr>
          <w:trHeight w:val="148"/>
        </w:trPr>
        <w:tc>
          <w:tcPr>
            <w:tcW w:w="2560" w:type="dxa"/>
            <w:vAlign w:val="bottom"/>
          </w:tcPr>
          <w:p>
            <w:pPr>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(Primary Standard Industrial</w:t>
            </w:r>
          </w:p>
        </w:tc>
        <w:tc>
          <w:tcPr>
            <w:tcW w:w="224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9"/>
              </w:rPr>
              <w:t>(I.R.S. Employer</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8"/>
              </w:rPr>
              <w:t>Classification Code Number)</w:t>
            </w:r>
          </w:p>
        </w:tc>
        <w:tc>
          <w:tcPr>
            <w:tcW w:w="2240" w:type="dxa"/>
            <w:vAlign w:val="bottom"/>
          </w:tcPr>
          <w:p>
            <w:pPr>
              <w:jc w:val="center"/>
              <w:ind w:left="788"/>
              <w:spacing w:after="0"/>
              <w:rPr>
                <w:sz w:val="20"/>
                <w:szCs w:val="20"/>
                <w:color w:val="auto"/>
              </w:rPr>
            </w:pPr>
            <w:r>
              <w:rPr>
                <w:rFonts w:ascii="Arial" w:cs="Arial" w:eastAsia="Arial" w:hAnsi="Arial"/>
                <w:sz w:val="14"/>
                <w:szCs w:val="14"/>
                <w:color w:val="auto"/>
              </w:rPr>
              <w:t>Identification Number)</w:t>
            </w:r>
          </w:p>
        </w:tc>
      </w:tr>
      <w:tr>
        <w:trPr>
          <w:trHeight w:val="205"/>
        </w:trPr>
        <w:tc>
          <w:tcPr>
            <w:tcW w:w="2560" w:type="dxa"/>
            <w:vAlign w:val="bottom"/>
          </w:tcPr>
          <w:p>
            <w:pPr>
              <w:spacing w:after="0"/>
              <w:rPr>
                <w:sz w:val="17"/>
                <w:szCs w:val="17"/>
                <w:color w:val="auto"/>
              </w:rPr>
            </w:pPr>
          </w:p>
        </w:tc>
        <w:tc>
          <w:tcPr>
            <w:tcW w:w="3380" w:type="dxa"/>
            <w:vAlign w:val="bottom"/>
          </w:tcPr>
          <w:p>
            <w:pPr>
              <w:jc w:val="center"/>
              <w:ind w:right="48"/>
              <w:spacing w:after="0" w:line="206" w:lineRule="exact"/>
              <w:rPr>
                <w:sz w:val="20"/>
                <w:szCs w:val="20"/>
                <w:color w:val="auto"/>
              </w:rPr>
            </w:pPr>
            <w:r>
              <w:rPr>
                <w:rFonts w:ascii="Arial" w:cs="Arial" w:eastAsia="Arial" w:hAnsi="Arial"/>
                <w:sz w:val="14"/>
                <w:szCs w:val="14"/>
                <w:b w:val="1"/>
                <w:bCs w:val="1"/>
                <w:color w:val="auto"/>
                <w:w w:val="88"/>
              </w:rPr>
              <w:t>640 Fifth Avenue, 12</w:t>
            </w:r>
            <w:r>
              <w:rPr>
                <w:rFonts w:ascii="Arial" w:cs="Arial" w:eastAsia="Arial" w:hAnsi="Arial"/>
                <w:sz w:val="21"/>
                <w:szCs w:val="21"/>
                <w:b w:val="1"/>
                <w:bCs w:val="1"/>
                <w:color w:val="auto"/>
                <w:w w:val="88"/>
                <w:vertAlign w:val="superscript"/>
              </w:rPr>
              <w:t>th</w:t>
            </w:r>
            <w:r>
              <w:rPr>
                <w:rFonts w:ascii="Arial" w:cs="Arial" w:eastAsia="Arial" w:hAnsi="Arial"/>
                <w:sz w:val="14"/>
                <w:szCs w:val="14"/>
                <w:b w:val="1"/>
                <w:bCs w:val="1"/>
                <w:color w:val="auto"/>
                <w:w w:val="88"/>
              </w:rPr>
              <w:t xml:space="preserve"> Floor</w:t>
            </w:r>
          </w:p>
        </w:tc>
        <w:tc>
          <w:tcPr>
            <w:tcW w:w="2240" w:type="dxa"/>
            <w:vAlign w:val="bottom"/>
          </w:tcPr>
          <w:p>
            <w:pPr>
              <w:spacing w:after="0"/>
              <w:rPr>
                <w:sz w:val="17"/>
                <w:szCs w:val="17"/>
                <w:color w:val="auto"/>
              </w:rPr>
            </w:pPr>
          </w:p>
        </w:tc>
      </w:tr>
      <w:tr>
        <w:trPr>
          <w:trHeight w:val="148"/>
        </w:trPr>
        <w:tc>
          <w:tcPr>
            <w:tcW w:w="2560" w:type="dxa"/>
            <w:vAlign w:val="bottom"/>
          </w:tcPr>
          <w:p>
            <w:pPr>
              <w:spacing w:after="0"/>
              <w:rPr>
                <w:sz w:val="12"/>
                <w:szCs w:val="12"/>
                <w:color w:val="auto"/>
              </w:rPr>
            </w:pP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2240" w:type="dxa"/>
            <w:vAlign w:val="bottom"/>
          </w:tcPr>
          <w:p>
            <w:pPr>
              <w:spacing w:after="0"/>
              <w:rPr>
                <w:sz w:val="12"/>
                <w:szCs w:val="12"/>
                <w:color w:val="auto"/>
              </w:rPr>
            </w:pPr>
          </w:p>
        </w:tc>
      </w:tr>
      <w:tr>
        <w:trPr>
          <w:trHeight w:val="164"/>
        </w:trPr>
        <w:tc>
          <w:tcPr>
            <w:tcW w:w="2560" w:type="dxa"/>
            <w:vAlign w:val="bottom"/>
          </w:tcPr>
          <w:p>
            <w:pPr>
              <w:spacing w:after="0"/>
              <w:rPr>
                <w:sz w:val="14"/>
                <w:szCs w:val="14"/>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Telephone: (212) 380-7500</w:t>
            </w:r>
          </w:p>
        </w:tc>
        <w:tc>
          <w:tcPr>
            <w:tcW w:w="2240" w:type="dxa"/>
            <w:vAlign w:val="bottom"/>
          </w:tcPr>
          <w:p>
            <w:pPr>
              <w:spacing w:after="0"/>
              <w:rPr>
                <w:sz w:val="14"/>
                <w:szCs w:val="14"/>
                <w:color w:val="auto"/>
              </w:rPr>
            </w:pPr>
          </w:p>
        </w:tc>
      </w:tr>
    </w:tbl>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Jay Taragin</w:t>
      </w:r>
    </w:p>
    <w:p>
      <w:pPr>
        <w:jc w:val="center"/>
        <w:ind w:right="-479"/>
        <w:spacing w:after="0" w:line="226" w:lineRule="auto"/>
        <w:rPr>
          <w:sz w:val="20"/>
          <w:szCs w:val="20"/>
          <w:color w:val="auto"/>
        </w:rPr>
      </w:pPr>
      <w:r>
        <w:rPr>
          <w:rFonts w:ascii="Arial" w:cs="Arial" w:eastAsia="Arial" w:hAnsi="Arial"/>
          <w:sz w:val="14"/>
          <w:szCs w:val="14"/>
          <w:b w:val="1"/>
          <w:bCs w:val="1"/>
          <w:color w:val="auto"/>
        </w:rPr>
        <w:t>c/o Churchill Capital Corp IV</w:t>
      </w:r>
    </w:p>
    <w:p>
      <w:pPr>
        <w:jc w:val="center"/>
        <w:ind w:right="-479"/>
        <w:spacing w:after="0" w:line="188" w:lineRule="auto"/>
        <w:rPr>
          <w:sz w:val="20"/>
          <w:szCs w:val="20"/>
          <w:color w:val="auto"/>
        </w:rPr>
      </w:pPr>
      <w:r>
        <w:rPr>
          <w:rFonts w:ascii="Arial" w:cs="Arial" w:eastAsia="Arial" w:hAnsi="Arial"/>
          <w:sz w:val="13"/>
          <w:szCs w:val="13"/>
          <w:b w:val="1"/>
          <w:bCs w:val="1"/>
          <w:color w:val="auto"/>
        </w:rPr>
        <w:t>640 Fifth Avenue, 12</w:t>
      </w:r>
      <w:r>
        <w:rPr>
          <w:rFonts w:ascii="Arial" w:cs="Arial" w:eastAsia="Arial" w:hAnsi="Arial"/>
          <w:sz w:val="18"/>
          <w:szCs w:val="18"/>
          <w:b w:val="1"/>
          <w:bCs w:val="1"/>
          <w:color w:val="auto"/>
          <w:vertAlign w:val="superscript"/>
        </w:rPr>
        <w:t>th</w:t>
      </w:r>
      <w:r>
        <w:rPr>
          <w:rFonts w:ascii="Arial" w:cs="Arial" w:eastAsia="Arial" w:hAnsi="Arial"/>
          <w:sz w:val="13"/>
          <w:szCs w:val="13"/>
          <w:b w:val="1"/>
          <w:bCs w:val="1"/>
          <w:color w:val="auto"/>
        </w:rPr>
        <w:t xml:space="preserve"> Floor</w:t>
      </w:r>
    </w:p>
    <w:p>
      <w:pPr>
        <w:jc w:val="center"/>
        <w:ind w:right="-479"/>
        <w:spacing w:after="0" w:line="221" w:lineRule="auto"/>
        <w:rPr>
          <w:sz w:val="20"/>
          <w:szCs w:val="20"/>
          <w:color w:val="auto"/>
        </w:rPr>
      </w:pPr>
      <w:r>
        <w:rPr>
          <w:rFonts w:ascii="Arial" w:cs="Arial" w:eastAsia="Arial" w:hAnsi="Arial"/>
          <w:sz w:val="14"/>
          <w:szCs w:val="14"/>
          <w:b w:val="1"/>
          <w:bCs w:val="1"/>
          <w:color w:val="auto"/>
        </w:rPr>
        <w:t>New York, NY 10019</w:t>
      </w:r>
    </w:p>
    <w:p>
      <w:pPr>
        <w:jc w:val="center"/>
        <w:ind w:right="-479"/>
        <w:spacing w:after="0" w:line="222" w:lineRule="auto"/>
        <w:rPr>
          <w:sz w:val="20"/>
          <w:szCs w:val="20"/>
          <w:color w:val="auto"/>
        </w:rPr>
      </w:pPr>
      <w:r>
        <w:rPr>
          <w:rFonts w:ascii="Arial" w:cs="Arial" w:eastAsia="Arial" w:hAnsi="Arial"/>
          <w:sz w:val="14"/>
          <w:szCs w:val="14"/>
          <w:b w:val="1"/>
          <w:bCs w:val="1"/>
          <w:color w:val="auto"/>
        </w:rPr>
        <w:t>Telephone: (212) 380-7500</w:t>
      </w: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64770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5"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4280" w:type="dxa"/>
            <w:vAlign w:val="bottom"/>
            <w:gridSpan w:val="2"/>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259"/>
        </w:trPr>
        <w:tc>
          <w:tcPr>
            <w:tcW w:w="29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Raphael M. Russo, Esq.</w:t>
            </w:r>
          </w:p>
        </w:tc>
        <w:tc>
          <w:tcPr>
            <w:tcW w:w="1940" w:type="dxa"/>
            <w:vAlign w:val="bottom"/>
          </w:tcPr>
          <w:p>
            <w:pPr>
              <w:spacing w:after="0"/>
              <w:rPr>
                <w:sz w:val="22"/>
                <w:szCs w:val="22"/>
                <w:color w:val="auto"/>
              </w:rPr>
            </w:pPr>
          </w:p>
        </w:tc>
        <w:tc>
          <w:tcPr>
            <w:tcW w:w="2340" w:type="dxa"/>
            <w:vAlign w:val="bottom"/>
          </w:tcPr>
          <w:p>
            <w:pPr>
              <w:jc w:val="center"/>
              <w:ind w:left="548"/>
              <w:spacing w:after="0"/>
              <w:rPr>
                <w:sz w:val="20"/>
                <w:szCs w:val="20"/>
                <w:color w:val="auto"/>
              </w:rPr>
            </w:pPr>
            <w:r>
              <w:rPr>
                <w:rFonts w:ascii="Arial" w:cs="Arial" w:eastAsia="Arial" w:hAnsi="Arial"/>
                <w:sz w:val="14"/>
                <w:szCs w:val="14"/>
                <w:b w:val="1"/>
                <w:bCs w:val="1"/>
                <w:color w:val="auto"/>
                <w:w w:val="88"/>
              </w:rPr>
              <w:t>Joel L. Rubinstein, Esq.</w:t>
            </w:r>
          </w:p>
        </w:tc>
      </w:tr>
      <w:tr>
        <w:trPr>
          <w:trHeight w:val="148"/>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Paul, Weiss, Rifkind, Wharton &amp; Garrison LLP</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87"/>
              </w:rPr>
              <w:t>Daniel E. Nussen, Esq.</w:t>
            </w:r>
          </w:p>
        </w:tc>
      </w:tr>
      <w:tr>
        <w:trPr>
          <w:trHeight w:val="149"/>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3"/>
              </w:rPr>
              <w:t>White &amp; Case LLP</w:t>
            </w:r>
          </w:p>
        </w:tc>
      </w:tr>
      <w:tr>
        <w:trPr>
          <w:trHeight w:val="148"/>
        </w:trPr>
        <w:tc>
          <w:tcPr>
            <w:tcW w:w="2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88"/>
              </w:rPr>
              <w:t>1221 Avenue of the Americas</w:t>
            </w:r>
          </w:p>
        </w:tc>
      </w:tr>
      <w:tr>
        <w:trPr>
          <w:trHeight w:val="148"/>
        </w:trPr>
        <w:tc>
          <w:tcPr>
            <w:tcW w:w="2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(212) 373-3000</w:t>
            </w:r>
          </w:p>
        </w:tc>
        <w:tc>
          <w:tcPr>
            <w:tcW w:w="1940" w:type="dxa"/>
            <w:vAlign w:val="bottom"/>
          </w:tcPr>
          <w:p>
            <w:pPr>
              <w:spacing w:after="0"/>
              <w:rPr>
                <w:sz w:val="12"/>
                <w:szCs w:val="12"/>
                <w:color w:val="auto"/>
              </w:rPr>
            </w:pPr>
          </w:p>
        </w:tc>
        <w:tc>
          <w:tcPr>
            <w:tcW w:w="23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New York, NY 10020</w:t>
            </w:r>
          </w:p>
        </w:tc>
      </w:tr>
      <w:tr>
        <w:trPr>
          <w:trHeight w:val="186"/>
        </w:trPr>
        <w:tc>
          <w:tcPr>
            <w:tcW w:w="2960" w:type="dxa"/>
            <w:vAlign w:val="bottom"/>
          </w:tcPr>
          <w:p>
            <w:pPr>
              <w:spacing w:after="0"/>
              <w:rPr>
                <w:sz w:val="16"/>
                <w:szCs w:val="16"/>
                <w:color w:val="auto"/>
              </w:rPr>
            </w:pPr>
          </w:p>
        </w:tc>
        <w:tc>
          <w:tcPr>
            <w:tcW w:w="4280" w:type="dxa"/>
            <w:vAlign w:val="bottom"/>
            <w:gridSpan w:val="2"/>
          </w:tcPr>
          <w:p>
            <w:pPr>
              <w:jc w:val="center"/>
              <w:ind w:left="2528"/>
              <w:spacing w:after="0"/>
              <w:rPr>
                <w:sz w:val="20"/>
                <w:szCs w:val="20"/>
                <w:color w:val="auto"/>
              </w:rPr>
            </w:pPr>
            <w:r>
              <w:rPr>
                <w:rFonts w:ascii="Arial" w:cs="Arial" w:eastAsia="Arial" w:hAnsi="Arial"/>
                <w:sz w:val="14"/>
                <w:szCs w:val="14"/>
                <w:b w:val="1"/>
                <w:bCs w:val="1"/>
                <w:color w:val="auto"/>
                <w:w w:val="91"/>
              </w:rPr>
              <w:t>(212) 819-8200</w:t>
            </w:r>
          </w:p>
        </w:tc>
      </w:tr>
      <w:tr>
        <w:trPr>
          <w:trHeight w:val="25"/>
        </w:trPr>
        <w:tc>
          <w:tcPr>
            <w:tcW w:w="29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r>
    </w:tbl>
    <w:p>
      <w:pPr>
        <w:spacing w:after="0" w:line="85"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ind w:left="860"/>
        <w:spacing w:after="0" w:line="23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w:t>
      </w:r>
    </w:p>
    <w:p>
      <w:pPr>
        <w:ind w:left="500"/>
        <w:spacing w:after="0" w:line="161" w:lineRule="exact"/>
        <w:rPr>
          <w:sz w:val="20"/>
          <w:szCs w:val="20"/>
          <w:color w:val="auto"/>
        </w:rPr>
      </w:pPr>
      <w:r>
        <w:rPr>
          <w:rFonts w:ascii="Arial" w:cs="Arial" w:eastAsia="Arial" w:hAnsi="Arial"/>
          <w:sz w:val="14"/>
          <w:szCs w:val="14"/>
          <w:color w:val="auto"/>
        </w:rPr>
        <w:t xml:space="preserve">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500" w:right="180" w:firstLine="36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2" w:lineRule="exact"/>
        <w:rPr>
          <w:sz w:val="24"/>
          <w:szCs w:val="24"/>
          <w:color w:val="auto"/>
        </w:rPr>
      </w:pPr>
    </w:p>
    <w:tbl>
      <w:tblPr>
        <w:tblLayout w:type="fixed"/>
        <w:tblInd w:w="86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6" w:lineRule="exact"/>
        <w:rPr>
          <w:sz w:val="24"/>
          <w:szCs w:val="24"/>
          <w:color w:val="auto"/>
        </w:rPr>
      </w:pPr>
    </w:p>
    <w:p>
      <w:pPr>
        <w:ind w:left="500" w:right="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57785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30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30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4"/>
                <w:szCs w:val="14"/>
                <w:b w:val="1"/>
                <w:bCs w:val="1"/>
                <w:color w:val="auto"/>
              </w:rPr>
              <w:t>Title of Each Class of Security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Amount Being</w:t>
            </w:r>
          </w:p>
        </w:tc>
        <w:tc>
          <w:tcPr>
            <w:tcW w:w="14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Proposed Maximum</w:t>
            </w:r>
          </w:p>
        </w:tc>
        <w:tc>
          <w:tcPr>
            <w:tcW w:w="14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Proposed Maximum</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3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auto"/>
              <w:right w:val="single" w:sz="8" w:color="auto"/>
            </w:tcBorders>
          </w:tcPr>
          <w:p>
            <w:pPr>
              <w:ind w:left="1600"/>
              <w:spacing w:after="0"/>
              <w:rPr>
                <w:sz w:val="20"/>
                <w:szCs w:val="20"/>
                <w:color w:val="auto"/>
              </w:rPr>
            </w:pPr>
            <w:r>
              <w:rPr>
                <w:rFonts w:ascii="Arial" w:cs="Arial" w:eastAsia="Arial" w:hAnsi="Arial"/>
                <w:sz w:val="14"/>
                <w:szCs w:val="14"/>
                <w:b w:val="1"/>
                <w:bCs w:val="1"/>
                <w:color w:val="auto"/>
              </w:rPr>
              <w:t>Being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4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6"/>
              </w:rPr>
              <w:t>per Security</w:t>
            </w:r>
            <w:r>
              <w:rPr>
                <w:rFonts w:ascii="Arial" w:cs="Arial" w:eastAsia="Arial" w:hAnsi="Arial"/>
                <w:sz w:val="20"/>
                <w:szCs w:val="20"/>
                <w:b w:val="1"/>
                <w:bCs w:val="1"/>
                <w:color w:val="auto"/>
                <w:w w:val="86"/>
                <w:vertAlign w:val="superscript"/>
              </w:rPr>
              <w:t>(1)</w:t>
            </w:r>
          </w:p>
        </w:tc>
        <w:tc>
          <w:tcPr>
            <w:tcW w:w="14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8"/>
              </w:rPr>
              <w:t>Offering Price</w:t>
            </w:r>
            <w:r>
              <w:rPr>
                <w:rFonts w:ascii="Arial" w:cs="Arial" w:eastAsia="Arial" w:hAnsi="Arial"/>
                <w:sz w:val="20"/>
                <w:szCs w:val="20"/>
                <w:b w:val="1"/>
                <w:bCs w:val="1"/>
                <w:color w:val="auto"/>
                <w:w w:val="88"/>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0" w:type="dxa"/>
            <w:vAlign w:val="bottom"/>
          </w:tcPr>
          <w:p>
            <w:pPr>
              <w:spacing w:after="0"/>
              <w:rPr>
                <w:sz w:val="1"/>
                <w:szCs w:val="1"/>
                <w:color w:val="auto"/>
              </w:rPr>
            </w:pPr>
          </w:p>
        </w:tc>
      </w:tr>
      <w:tr>
        <w:trPr>
          <w:trHeight w:val="128"/>
        </w:trPr>
        <w:tc>
          <w:tcPr>
            <w:tcW w:w="430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Units, each consisting of one share of Class A common stock,</w:t>
            </w:r>
          </w:p>
        </w:tc>
        <w:tc>
          <w:tcPr>
            <w:tcW w:w="1460" w:type="dxa"/>
            <w:vAlign w:val="bottom"/>
            <w:tcBorders>
              <w:right w:val="single" w:sz="8" w:color="auto"/>
            </w:tcBorders>
            <w:shd w:val="clear" w:color="auto" w:fill="CCEEFF"/>
          </w:tcPr>
          <w:p>
            <w:pPr>
              <w:spacing w:after="0"/>
              <w:rPr>
                <w:sz w:val="11"/>
                <w:szCs w:val="11"/>
                <w:color w:val="auto"/>
              </w:rPr>
            </w:pPr>
          </w:p>
        </w:tc>
        <w:tc>
          <w:tcPr>
            <w:tcW w:w="1440" w:type="dxa"/>
            <w:vAlign w:val="bottom"/>
            <w:tcBorders>
              <w:right w:val="single" w:sz="8" w:color="auto"/>
            </w:tcBorders>
            <w:shd w:val="clear" w:color="auto" w:fill="CCEEFF"/>
          </w:tcPr>
          <w:p>
            <w:pPr>
              <w:spacing w:after="0"/>
              <w:rPr>
                <w:sz w:val="11"/>
                <w:szCs w:val="11"/>
                <w:color w:val="auto"/>
              </w:rPr>
            </w:pPr>
          </w:p>
        </w:tc>
        <w:tc>
          <w:tcPr>
            <w:tcW w:w="1460" w:type="dxa"/>
            <w:vAlign w:val="bottom"/>
            <w:tcBorders>
              <w:right w:val="single" w:sz="8" w:color="auto"/>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300" w:type="dxa"/>
            <w:vAlign w:val="bottom"/>
            <w:tcBorders>
              <w:bottom w:val="single" w:sz="8" w:color="auto"/>
              <w:right w:val="single" w:sz="8" w:color="auto"/>
            </w:tcBorders>
            <w:shd w:val="clear" w:color="auto" w:fill="CCEEFF"/>
          </w:tcPr>
          <w:p>
            <w:pPr>
              <w:ind w:left="180"/>
              <w:spacing w:after="0" w:line="203" w:lineRule="exact"/>
              <w:rPr>
                <w:sz w:val="20"/>
                <w:szCs w:val="20"/>
                <w:color w:val="auto"/>
              </w:rPr>
            </w:pPr>
            <w:r>
              <w:rPr>
                <w:rFonts w:ascii="Arial" w:cs="Arial" w:eastAsia="Arial" w:hAnsi="Arial"/>
                <w:sz w:val="14"/>
                <w:szCs w:val="14"/>
                <w:color w:val="auto"/>
              </w:rPr>
              <w:t>$0.0001 par value, and one-fifth of one redeemable warrant</w:t>
            </w:r>
            <w:r>
              <w:rPr>
                <w:rFonts w:ascii="Arial" w:cs="Arial" w:eastAsia="Arial" w:hAnsi="Arial"/>
                <w:sz w:val="21"/>
                <w:szCs w:val="21"/>
                <w:color w:val="auto"/>
                <w:vertAlign w:val="superscript"/>
              </w:rPr>
              <w:t>(2)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115,000,000 Units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$10.00</w:t>
            </w:r>
          </w:p>
        </w:tc>
        <w:tc>
          <w:tcPr>
            <w:tcW w:w="146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$1,150,000,000</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$149,270</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3"/>
                <w:szCs w:val="13"/>
                <w:color w:val="auto"/>
              </w:rPr>
              <w:t>Shares of Class A common stock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115,000,000 Shares</w:t>
            </w:r>
          </w:p>
        </w:tc>
        <w:tc>
          <w:tcPr>
            <w:tcW w:w="1440" w:type="dxa"/>
            <w:vAlign w:val="bottom"/>
            <w:tcBorders>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3"/>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23,000,000 Warrants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$1,150,000,000</w:t>
            </w:r>
          </w:p>
        </w:tc>
        <w:tc>
          <w:tcPr>
            <w:tcW w:w="10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color w:val="auto"/>
              </w:rPr>
              <w:t>$149,270</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spacing w:after="0" w:line="11" w:lineRule="exact"/>
        <w:rPr>
          <w:rFonts w:ascii="Arial" w:cs="Arial" w:eastAsia="Arial" w:hAnsi="Arial"/>
          <w:sz w:val="13"/>
          <w:szCs w:val="13"/>
          <w:color w:val="auto"/>
        </w:rPr>
      </w:pPr>
    </w:p>
    <w:p>
      <w:pPr>
        <w:ind w:left="860" w:right="180" w:hanging="366"/>
        <w:spacing w:after="0" w:line="237"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15,000,000 units, consisting of 15,000,000 shares of Class A common stock and 3,000,000 redeemable warrants, which may be issued upon exercise of a 45-day option granted to the underwriters to cover over-allotments, if any.</w:t>
      </w:r>
    </w:p>
    <w:p>
      <w:pPr>
        <w:ind w:left="860" w:right="80" w:hanging="366"/>
        <w:spacing w:after="0" w:line="228"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3"/>
          <w:szCs w:val="13"/>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12" w:lineRule="exact"/>
        <w:rPr>
          <w:sz w:val="24"/>
          <w:szCs w:val="24"/>
          <w:color w:val="auto"/>
        </w:rPr>
      </w:pPr>
    </w:p>
    <w:p>
      <w:pPr>
        <w:ind w:left="500" w:firstLine="360"/>
        <w:spacing w:after="0" w:line="301"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180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74295</wp:posOffset>
            </wp:positionV>
            <wp:extent cx="61804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31" w:right="1359" w:bottom="1440" w:gutter="0" w:footer="0" w:header="0"/>
        </w:sectPr>
      </w:pP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98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offer or sale is</w:t>
            </w:r>
          </w:p>
        </w:tc>
      </w:tr>
      <w:tr>
        <w:trPr>
          <w:trHeight w:val="71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where the</w:t>
            </w:r>
          </w:p>
        </w:tc>
      </w:tr>
      <w:tr>
        <w:trPr>
          <w:trHeight w:val="45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204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to sell these securities and it</w:t>
            </w:r>
          </w:p>
        </w:tc>
      </w:t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is not an offer</w:t>
            </w:r>
          </w:p>
        </w:tc>
      </w:tr>
      <w:tr>
        <w:trPr>
          <w:trHeight w:val="36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1"/>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440"/>
        <w:spacing w:after="0"/>
        <w:rPr>
          <w:sz w:val="20"/>
          <w:szCs w:val="20"/>
          <w:color w:val="auto"/>
        </w:rPr>
      </w:pPr>
      <w:r>
        <w:rPr>
          <w:rFonts w:ascii="Arial" w:cs="Arial" w:eastAsia="Arial" w:hAnsi="Arial"/>
          <w:sz w:val="18"/>
          <w:szCs w:val="18"/>
          <w:color w:val="FC0014"/>
        </w:rPr>
        <w:t>SUBJECT TO COMPLETION, DATED JULY 14, 2020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$1,000,000,000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Churchill Capital Corp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100,000,000 Units</w:t>
      </w:r>
    </w:p>
    <w:p>
      <w:pPr>
        <w:spacing w:after="0" w:line="12" w:lineRule="exact"/>
        <w:rPr>
          <w:sz w:val="20"/>
          <w:szCs w:val="20"/>
          <w:color w:val="auto"/>
        </w:rPr>
      </w:pPr>
    </w:p>
    <w:p>
      <w:pPr>
        <w:ind w:right="20" w:firstLine="360"/>
        <w:spacing w:after="0" w:line="231" w:lineRule="auto"/>
        <w:rPr>
          <w:sz w:val="20"/>
          <w:szCs w:val="20"/>
          <w:color w:val="auto"/>
        </w:rPr>
      </w:pPr>
      <w:r>
        <w:rPr>
          <w:rFonts w:ascii="Arial" w:cs="Arial" w:eastAsia="Arial" w:hAnsi="Arial"/>
          <w:sz w:val="14"/>
          <w:szCs w:val="14"/>
          <w:color w:val="auto"/>
        </w:rPr>
        <w:t>Churchill Capital Corp IV is a newly incorporated blank check company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business or industry.</w:t>
      </w:r>
    </w:p>
    <w:p>
      <w:pPr>
        <w:spacing w:after="0" w:line="1" w:lineRule="exact"/>
        <w:rPr>
          <w:sz w:val="20"/>
          <w:szCs w:val="20"/>
          <w:color w:val="auto"/>
        </w:rPr>
      </w:pPr>
    </w:p>
    <w:p>
      <w:pPr>
        <w:ind w:firstLine="360"/>
        <w:spacing w:after="0" w:line="22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our Class A common stock and one-fifth of one redeemable warrant. Each whole warrant entitles the holder thereof to purchase one share of our Class A common stock at a price of $11.50 per share, subject to adjustment as described in this prospectus. Only whole warrants are exercisable. The warrants will become exercisable on the later of 30 days after the completion of our initial business combination and 12 months from the closing of this offering (the “warrant exercise date”), and will expire five years after the completion of our initial business combination or earlier upon redemption or liquidation (the “warrant expiration date”), as described in this prospectus. Subject to the terms and conditions described in this prospectus, we may redeem the warrants for cash once the warrants become exercisable. We have also granted the underwriters a 45-day option to purchase up to an additional 15,000,000 units to cover over-allotments, if any.</w:t>
      </w:r>
    </w:p>
    <w:p>
      <w:pPr>
        <w:spacing w:after="0" w:line="9" w:lineRule="exact"/>
        <w:rPr>
          <w:sz w:val="20"/>
          <w:szCs w:val="20"/>
          <w:color w:val="auto"/>
        </w:rPr>
      </w:pPr>
    </w:p>
    <w:p>
      <w:pPr>
        <w:ind w:right="20" w:firstLine="360"/>
        <w:spacing w:after="0" w:line="226"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our Class A common stock upon the completion of our initial business combination at a per share price, payable in cash, equal to the aggregate amount then on deposit in the trust account described below calculated as of two business days prior to the consummation of our initial business combination, including interest (net of amounts withdrawn to fund our working capital requirements, subject to an annual limit of $1,000,000, and/or to pay our taxes (“permitted withdrawals”)), divided by the number of then outstanding public shares, subject to the limitations described herein. If we are unable to complete our initial business combination within 24 months from the closing of this offering (or 27 months from the closing of this offering if we have executed a letter of intent, agreement in principle or definitive agreement for an initial business combination within 24 months from the closing of this offering),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as further described herein.</w:t>
      </w:r>
    </w:p>
    <w:p>
      <w:pPr>
        <w:spacing w:after="0" w:line="9" w:lineRule="exact"/>
        <w:rPr>
          <w:sz w:val="20"/>
          <w:szCs w:val="20"/>
          <w:color w:val="auto"/>
        </w:rPr>
      </w:pPr>
    </w:p>
    <w:p>
      <w:pPr>
        <w:ind w:right="20" w:firstLine="360"/>
        <w:spacing w:after="0" w:line="249" w:lineRule="auto"/>
        <w:rPr>
          <w:sz w:val="20"/>
          <w:szCs w:val="20"/>
          <w:color w:val="auto"/>
        </w:rPr>
      </w:pPr>
      <w:r>
        <w:rPr>
          <w:rFonts w:ascii="Arial" w:cs="Arial" w:eastAsia="Arial" w:hAnsi="Arial"/>
          <w:sz w:val="13"/>
          <w:szCs w:val="13"/>
          <w:color w:val="auto"/>
        </w:rPr>
        <w:t>Our sponsor, Churchill Sponsor IV LLC, is an affiliate of M. Klein and Company, LLC. Our sponsor has subscribed to purchase an aggregate of 21,250,000 warrants (or 24,250,000 warrants if the underwriters’ option to purchase additional units is exercised in full) at a price of $1.00 per warrant ( $21,250,000 in the aggregate, or $24,250,000 in the aggregate if the underwriters’ option to purchase additional units is exercised in full) in a private placement that will close simultaneously with the closing of this offering (the “Private Placement”). Each private placement warrant entitles the holder thereof to purchase one share of our Class A common stock at $11.50 per share, subject to adjustment as described in this prospectus.</w:t>
      </w:r>
    </w:p>
    <w:p>
      <w:pPr>
        <w:spacing w:after="0" w:line="1" w:lineRule="exact"/>
        <w:rPr>
          <w:sz w:val="20"/>
          <w:szCs w:val="20"/>
          <w:color w:val="auto"/>
        </w:rPr>
      </w:pPr>
    </w:p>
    <w:p>
      <w:pPr>
        <w:ind w:firstLine="360"/>
        <w:spacing w:after="0" w:line="228" w:lineRule="auto"/>
        <w:rPr>
          <w:sz w:val="20"/>
          <w:szCs w:val="20"/>
          <w:color w:val="auto"/>
        </w:rPr>
      </w:pPr>
      <w:r>
        <w:rPr>
          <w:rFonts w:ascii="Arial" w:cs="Arial" w:eastAsia="Arial" w:hAnsi="Arial"/>
          <w:sz w:val="14"/>
          <w:szCs w:val="14"/>
          <w:color w:val="auto"/>
        </w:rPr>
        <w:t>Our sponsor currently holds 28,750,000 shares of Class B common stock (up to 3,750,000 of which are subject to forfeiture depending on the extent to which the underwriters’ option to purchase additional units is exercised). The shares of Class B common stock will automatically convert into shares of Class A common stock at the time of our initial business combination on a one -for-one basis, subject to adjustment as provided herein.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w:t>
      </w:r>
    </w:p>
    <w:p>
      <w:pPr>
        <w:spacing w:after="0" w:line="7" w:lineRule="exact"/>
        <w:rPr>
          <w:sz w:val="20"/>
          <w:szCs w:val="20"/>
          <w:color w:val="auto"/>
        </w:rPr>
      </w:pPr>
    </w:p>
    <w:p>
      <w:pPr>
        <w:ind w:right="60" w:firstLine="360"/>
        <w:spacing w:after="0" w:line="232" w:lineRule="auto"/>
        <w:rPr>
          <w:sz w:val="20"/>
          <w:szCs w:val="20"/>
          <w:color w:val="auto"/>
        </w:rPr>
      </w:pPr>
      <w:r>
        <w:rPr>
          <w:rFonts w:ascii="Arial" w:cs="Arial" w:eastAsia="Arial" w:hAnsi="Arial"/>
          <w:sz w:val="13"/>
          <w:szCs w:val="13"/>
          <w:color w:val="auto"/>
        </w:rPr>
        <w:t>Prior to this offering, there has been no public market for our units, Class A common stock or warrants. We intend to apply to list our units on the New York Stock Exchange (the “NYSE”), under the symbol “CCIV.U” on or promptly after the date of this prospectus. We cannot guarantee that our securities will be approved for listing on the NYSE. The Class A common stock and warrants constituting the units will begin separate trading on the 52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day following the date of this prospectus, subject to certain conditions. Once the securities constituting the units begin separate trading, we expect that the Class A common stock and warrants will be listed on the NYSE under the symbols “CCIV” and “CCIV WS,” respectively.</w:t>
      </w:r>
    </w:p>
    <w:p>
      <w:pPr>
        <w:jc w:val="both"/>
        <w:ind w:right="120" w:firstLine="360"/>
        <w:spacing w:after="0" w:line="272"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under applicable federal securities laws and will be subject to reduced public company reporting requirements. Investing in our securities involves risks. Please see “Risk Factors” on page </w:t>
      </w:r>
      <w:hyperlink w:anchor="page35">
        <w:r>
          <w:rPr>
            <w:rFonts w:ascii="Arial" w:cs="Arial" w:eastAsia="Arial" w:hAnsi="Arial"/>
            <w:sz w:val="16"/>
            <w:szCs w:val="16"/>
            <w:b w:val="1"/>
            <w:bCs w:val="1"/>
            <w:u w:val="single" w:color="auto"/>
            <w:color w:val="0000EE"/>
          </w:rPr>
          <w:t>33</w:t>
        </w:r>
      </w:hyperlink>
      <w:r>
        <w:rPr>
          <w:rFonts w:ascii="Arial" w:cs="Arial" w:eastAsia="Arial" w:hAnsi="Arial"/>
          <w:sz w:val="16"/>
          <w:szCs w:val="16"/>
          <w:b w:val="1"/>
          <w:bCs w:val="1"/>
          <w:color w:val="auto"/>
        </w:rPr>
        <w:t>. Investors will not be entitled to protections normally afforded to investors in Rule 419 blank check offerings.</w:t>
      </w:r>
    </w:p>
    <w:p>
      <w:pPr>
        <w:spacing w:after="0" w:line="2" w:lineRule="exact"/>
        <w:rPr>
          <w:sz w:val="20"/>
          <w:szCs w:val="20"/>
          <w:color w:val="auto"/>
        </w:rPr>
      </w:pPr>
    </w:p>
    <w:p>
      <w:pPr>
        <w:ind w:right="60" w:firstLine="360"/>
        <w:spacing w:after="0" w:line="273" w:lineRule="auto"/>
        <w:rPr>
          <w:sz w:val="20"/>
          <w:szCs w:val="20"/>
          <w:color w:val="auto"/>
        </w:rPr>
      </w:pPr>
      <w:r>
        <w:rPr>
          <w:rFonts w:ascii="Arial" w:cs="Arial" w:eastAsia="Arial" w:hAnsi="Arial"/>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5"/>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Price to Public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1,000,000,000</w:t>
            </w:r>
          </w:p>
        </w:tc>
      </w:tr>
      <w:tr>
        <w:trPr>
          <w:trHeight w:val="203"/>
        </w:trPr>
        <w:tc>
          <w:tcPr>
            <w:tcW w:w="7400" w:type="dxa"/>
            <w:vAlign w:val="bottom"/>
          </w:tcPr>
          <w:p>
            <w:pPr>
              <w:spacing w:after="0" w:line="203"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0.55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55,000,000</w:t>
            </w:r>
          </w:p>
        </w:tc>
      </w:tr>
      <w:tr>
        <w:trPr>
          <w:trHeight w:val="189"/>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5177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360" w:hanging="358"/>
        <w:spacing w:after="0" w:line="267"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$35,000,000 (or up to $40,250,000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 Does not include certain fees and expenses payable to the underwriters in connection with this offering. See also “Underwriting” for a description of compensation and other items of value payable to the underwriters.</w:t>
      </w:r>
    </w:p>
    <w:p>
      <w:pPr>
        <w:spacing w:after="0" w:line="5" w:lineRule="exact"/>
        <w:rPr>
          <w:sz w:val="20"/>
          <w:szCs w:val="20"/>
          <w:color w:val="auto"/>
        </w:rPr>
      </w:pPr>
    </w:p>
    <w:p>
      <w:pPr>
        <w:jc w:val="both"/>
        <w:ind w:right="160" w:firstLine="360"/>
        <w:spacing w:after="0" w:line="238"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$1,000.0 million, or $1,150.0 million if the underwriters’ option to purchase additional units is exercised in full ($10.00 per unit in either case), will be deposited into a U.S.-based trust account with Continental Stock Transfer &amp; Trust Company acting as trustee.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about</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107950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134620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434340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900" w:space="240"/>
            <w:col w:w="9080"/>
          </w:cols>
          <w:pgMar w:left="320" w:top="131"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920" w:type="dxa"/>
            <w:vAlign w:val="bottom"/>
            <w:gridSpan w:val="3"/>
            <w:shd w:val="clear" w:color="auto" w:fill="CCEEFF"/>
          </w:tcPr>
          <w:p>
            <w:pPr>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tc>
        <w:tc>
          <w:tcPr>
            <w:tcW w:w="13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CAUTIONARY NOTE REGARDING FORWARD-LOOKING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USE OF PROCEEDS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DIVIDEND POLICY</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DILUTION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CAPITALIZATION</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MANAGEMENT’S DISCUSSION AND ANALYSIS OF FINANCIAL CONDITION AND</w:t>
              </w:r>
            </w:hyperlink>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gridSpan w:val="3"/>
          </w:tcPr>
          <w:p>
            <w:pPr>
              <w:ind w:left="18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RESULTS OF OPERATIONS</w:t>
              </w:r>
            </w:hyperlink>
          </w:p>
        </w:tc>
        <w:tc>
          <w:tcPr>
            <w:tcW w:w="132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72</w:t>
              </w:r>
            </w:hyperlink>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PROPOSED BUSINESS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79</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MANAGEMENT</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111</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PRINCIPAL STOCKHOLDERS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120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CERTAIN RELATIONSHIPS AND RELATED PARTY TRANSACTIONS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123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DESCRIPTION OF SECURITIES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UNITED STATES FEDERAL INCOME TAX CONSIDERATIONS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140</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UNDERWRITING</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LEGAL MATTERS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155</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EXPERTS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155</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WHERE YOU CAN FIND ADDITIONAL INFORMATION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155</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INDEX TO FINANCIAL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F-1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6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935" cy="816483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31" w:lineRule="exact"/>
        <w:rPr>
          <w:sz w:val="20"/>
          <w:szCs w:val="20"/>
          <w:color w:val="auto"/>
        </w:rPr>
      </w:pPr>
    </w:p>
    <w:p>
      <w:pPr>
        <w:ind w:left="2000" w:right="8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130" w:lineRule="exact"/>
        <w:rPr>
          <w:rFonts w:ascii="Arial" w:cs="Arial" w:eastAsia="Arial" w:hAnsi="Arial"/>
          <w:sz w:val="18"/>
          <w:szCs w:val="18"/>
          <w:color w:val="auto"/>
        </w:rPr>
      </w:pPr>
    </w:p>
    <w:p>
      <w:pPr>
        <w:ind w:left="2000" w:right="679" w:hanging="354"/>
        <w:spacing w:after="0" w:line="270"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“completion window” is the period following the completion of this offering at the end of which, if we have not completed our initial business combination,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and as further described herein. The completion window ends 24 months from the closing of this offering, or 27 months from the closing of this offering if we have executed a letter of intent, agreement in principle or definitive agreement for an initial business combination within 24 months from the closing of this offering;</w:t>
      </w:r>
    </w:p>
    <w:p>
      <w:pPr>
        <w:spacing w:after="0" w:line="72" w:lineRule="exact"/>
        <w:rPr>
          <w:rFonts w:ascii="Arial" w:cs="Arial" w:eastAsia="Arial" w:hAnsi="Arial"/>
          <w:sz w:val="17"/>
          <w:szCs w:val="17"/>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directors and director nominees;</w:t>
      </w:r>
    </w:p>
    <w:p>
      <w:pPr>
        <w:spacing w:after="0" w:line="130"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78" w:lineRule="exact"/>
        <w:rPr>
          <w:rFonts w:ascii="Arial" w:cs="Arial" w:eastAsia="Arial" w:hAnsi="Arial"/>
          <w:sz w:val="18"/>
          <w:szCs w:val="18"/>
          <w:color w:val="auto"/>
        </w:rPr>
      </w:pPr>
    </w:p>
    <w:p>
      <w:pPr>
        <w:ind w:left="2000" w:right="1059" w:hanging="354"/>
        <w:spacing w:after="0" w:line="263"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89" w:lineRule="exact"/>
        <w:rPr>
          <w:rFonts w:ascii="Arial" w:cs="Arial" w:eastAsia="Arial" w:hAnsi="Arial"/>
          <w:sz w:val="18"/>
          <w:szCs w:val="18"/>
          <w:color w:val="auto"/>
        </w:rPr>
      </w:pPr>
    </w:p>
    <w:p>
      <w:pPr>
        <w:ind w:left="2000" w:right="6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immediately prior to this offering;</w:t>
      </w:r>
    </w:p>
    <w:p>
      <w:pPr>
        <w:spacing w:after="0" w:line="62" w:lineRule="exact"/>
        <w:rPr>
          <w:rFonts w:ascii="Arial" w:cs="Arial" w:eastAsia="Arial" w:hAnsi="Arial"/>
          <w:sz w:val="18"/>
          <w:szCs w:val="18"/>
          <w:color w:val="auto"/>
        </w:rPr>
      </w:pPr>
    </w:p>
    <w:p>
      <w:pPr>
        <w:ind w:left="2000" w:right="9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the form of which is filed as an exhibit to the registration statement of which this prospectus forms a part;</w:t>
      </w:r>
    </w:p>
    <w:p>
      <w:pPr>
        <w:spacing w:after="0" w:line="75" w:lineRule="exact"/>
        <w:rPr>
          <w:rFonts w:ascii="Arial" w:cs="Arial" w:eastAsia="Arial" w:hAnsi="Arial"/>
          <w:sz w:val="18"/>
          <w:szCs w:val="18"/>
          <w:color w:val="auto"/>
        </w:rPr>
      </w:pPr>
    </w:p>
    <w:p>
      <w:pPr>
        <w:ind w:left="2000" w:right="12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 Klein and Company” are to M. Klein and Company, LLC, a Delaware limited liability company and its affiliates;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30"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“permitted withdrawals” means amounts withdrawn to fund our working capital requirements, subject to an annual limit of $1,000,000, and/or to pay our taxes;</w:t>
      </w:r>
    </w:p>
    <w:p>
      <w:pPr>
        <w:spacing w:after="0" w:line="62" w:lineRule="exact"/>
        <w:rPr>
          <w:rFonts w:ascii="Arial" w:cs="Arial" w:eastAsia="Arial" w:hAnsi="Arial"/>
          <w:sz w:val="18"/>
          <w:szCs w:val="18"/>
          <w:color w:val="auto"/>
        </w:rPr>
      </w:pPr>
    </w:p>
    <w:p>
      <w:pPr>
        <w:ind w:left="2000" w:right="699" w:hanging="354"/>
        <w:spacing w:after="0" w:line="25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a subscription of 21,250,000 warrants (or 24,250,000 warrants in the aggregate if the underwriters’ option to purchase additional units is exercised in full) at a price of $1.00 per warrant ($21,250,000 in the aggregate, or $24,250,000 in the aggregate if the underwriters’ option to purchase additional units is exercised in full) by our sponsor in a private placement that will close simultaneously with the closing of this offering.</w:t>
      </w:r>
    </w:p>
    <w:p>
      <w:pPr>
        <w:spacing w:after="0" w:line="93"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placement warrants” are to the warrants issued to our sponsor in the Private Placement;</w:t>
      </w:r>
    </w:p>
    <w:p>
      <w:pPr>
        <w:spacing w:after="0" w:line="128" w:lineRule="exact"/>
        <w:rPr>
          <w:rFonts w:ascii="Arial" w:cs="Arial" w:eastAsia="Arial" w:hAnsi="Arial"/>
          <w:sz w:val="17"/>
          <w:szCs w:val="17"/>
          <w:color w:val="auto"/>
        </w:rPr>
      </w:pPr>
    </w:p>
    <w:p>
      <w:pPr>
        <w:ind w:left="2000" w:right="6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ind w:left="2000" w:right="659" w:hanging="354"/>
        <w:spacing w:after="0" w:line="286"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ectPr>
          <w:pgSz w:w="11900" w:h="16838" w:orient="portrait"/>
          <w:cols w:equalWidth="0" w:num="1">
            <w:col w:w="10139"/>
          </w:cols>
          <w:pgMar w:left="320" w:top="132" w:right="1440" w:bottom="1440" w:gutter="0" w:footer="0" w:header="0"/>
          <w:type w:val="continuous"/>
        </w:sectPr>
      </w:pP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30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5935" cy="83019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69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“sponsor” are to Churchill Sponsor IV LLC, a Delaware limited liability company and an affiliate of M. Klein and Company;</w:t>
      </w:r>
    </w:p>
    <w:p>
      <w:pPr>
        <w:spacing w:after="0" w:line="62" w:lineRule="exact"/>
        <w:rPr>
          <w:rFonts w:ascii="Arial" w:cs="Arial" w:eastAsia="Arial" w:hAnsi="Arial"/>
          <w:sz w:val="18"/>
          <w:szCs w:val="18"/>
          <w:color w:val="auto"/>
        </w:rPr>
      </w:pPr>
    </w:p>
    <w:p>
      <w:pPr>
        <w:ind w:left="2000" w:right="103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“underwriters’ option to purchase additional units” are to the underwriters’ 45-day option to purchase up to an additional 15,000,000 units to cover over-allotments, if any;</w:t>
      </w:r>
    </w:p>
    <w:p>
      <w:pPr>
        <w:spacing w:after="0" w:line="62" w:lineRule="exact"/>
        <w:rPr>
          <w:rFonts w:ascii="Arial" w:cs="Arial" w:eastAsia="Arial" w:hAnsi="Arial"/>
          <w:sz w:val="18"/>
          <w:szCs w:val="18"/>
          <w:color w:val="auto"/>
        </w:rPr>
      </w:pPr>
    </w:p>
    <w:p>
      <w:pPr>
        <w:ind w:left="2000" w:right="8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“warrants” are to our warrants sold as part of the units in this offering (whether they are purchased in this offering or thereafter in the open market) and the private placement warrants;</w:t>
      </w:r>
    </w:p>
    <w:p>
      <w:pPr>
        <w:spacing w:after="0" w:line="38" w:lineRule="exact"/>
        <w:rPr>
          <w:rFonts w:ascii="Arial" w:cs="Arial" w:eastAsia="Arial" w:hAnsi="Arial"/>
          <w:sz w:val="17"/>
          <w:szCs w:val="17"/>
          <w:color w:val="auto"/>
        </w:rPr>
      </w:pPr>
    </w:p>
    <w:p>
      <w:pPr>
        <w:jc w:val="both"/>
        <w:ind w:left="2000" w:right="839" w:hanging="354"/>
        <w:spacing w:after="0" w:line="263"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“warrant exercise date” are to the date on which the warrants will become exercisable, which is the later of 30 days after the completion of our initial business combination and 12 months from the closing of this offering;</w:t>
      </w:r>
    </w:p>
    <w:p>
      <w:pPr>
        <w:spacing w:after="0" w:line="75" w:lineRule="exact"/>
        <w:rPr>
          <w:rFonts w:ascii="Arial" w:cs="Arial" w:eastAsia="Arial" w:hAnsi="Arial"/>
          <w:sz w:val="18"/>
          <w:szCs w:val="18"/>
          <w:color w:val="auto"/>
        </w:rPr>
      </w:pPr>
    </w:p>
    <w:p>
      <w:pPr>
        <w:ind w:left="2000" w:right="7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 expiration date” are to the date on which the warrants expire, which is five years after the completion of our initial business combination or earlier upon redemption or liquidation; and</w:t>
      </w:r>
    </w:p>
    <w:p>
      <w:pPr>
        <w:spacing w:after="0" w:line="38" w:lineRule="exact"/>
        <w:rPr>
          <w:rFonts w:ascii="Arial" w:cs="Arial" w:eastAsia="Arial" w:hAnsi="Arial"/>
          <w:sz w:val="17"/>
          <w:szCs w:val="17"/>
          <w:color w:val="auto"/>
        </w:rPr>
      </w:pPr>
    </w:p>
    <w:p>
      <w:pPr>
        <w:ind w:left="2000" w:right="133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Churchill Capital Corp IV, a Delaware corporation.</w:t>
      </w:r>
    </w:p>
    <w:p>
      <w:pPr>
        <w:spacing w:after="0" w:line="62"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3,750,000 founder shares.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8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 year career, including more than two decades at Citigroup Inc.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84" w:lineRule="exact"/>
        <w:rPr>
          <w:sz w:val="20"/>
          <w:szCs w:val="20"/>
          <w:color w:val="auto"/>
        </w:rPr>
      </w:pPr>
    </w:p>
    <w:p>
      <w:pPr>
        <w:ind w:left="1280" w:right="75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Churchill Capital Corp (“CCC”), a special purpose acquisition company that completed a $690 million initial public offering in September 2018 and merged in May 2019 with Clarivate Analytics (“Clarivate”), a leading provider of comprehensive intellectual property and scientific information, analytical tools, and services.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80" w:right="679" w:firstLine="360"/>
        <w:spacing w:after="0" w:line="272"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69"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(“Strategic Partners”). Such Strategic Partners may invest in our sponsor, thereby sharing in the appreciation of founder shares and private placement warrants, and assist M. Klein and Company in evaluating potential acquisition targets. In addition, Glenn R. August, the CEO and Founder of Oak Hill Advisors, L.P.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(“Operating Partners” and, together with our Strategic Partners, our “Strategic and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spacing w:after="0" w:line="286" w:lineRule="auto"/>
        <w:rPr>
          <w:sz w:val="20"/>
          <w:szCs w:val="20"/>
          <w:color w:val="auto"/>
        </w:rPr>
      </w:pPr>
      <w:r>
        <w:rPr>
          <w:rFonts w:ascii="Arial" w:cs="Arial" w:eastAsia="Arial" w:hAnsi="Arial"/>
          <w:sz w:val="17"/>
          <w:szCs w:val="17"/>
          <w:color w:val="auto"/>
        </w:rPr>
        <w:t>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5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74" w:lineRule="exact"/>
        <w:rPr>
          <w:sz w:val="20"/>
          <w:szCs w:val="20"/>
          <w:color w:val="auto"/>
        </w:rPr>
      </w:pPr>
    </w:p>
    <w:p>
      <w:pPr>
        <w:ind w:left="1280" w:right="89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strategy is to:</w:t>
      </w:r>
    </w:p>
    <w:p>
      <w:pPr>
        <w:spacing w:after="0" w:line="131" w:lineRule="exact"/>
        <w:rPr>
          <w:sz w:val="20"/>
          <w:szCs w:val="20"/>
          <w:color w:val="auto"/>
        </w:rPr>
      </w:pPr>
    </w:p>
    <w:p>
      <w:pPr>
        <w:ind w:left="2000" w:right="7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75"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30" w:lineRule="exact"/>
        <w:rPr>
          <w:rFonts w:ascii="Arial" w:cs="Arial" w:eastAsia="Arial" w:hAnsi="Arial"/>
          <w:sz w:val="18"/>
          <w:szCs w:val="18"/>
          <w:color w:val="auto"/>
        </w:rPr>
      </w:pPr>
    </w:p>
    <w:p>
      <w:pPr>
        <w:ind w:left="2000" w:right="8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31" w:lineRule="exact"/>
        <w:rPr>
          <w:sz w:val="20"/>
          <w:szCs w:val="20"/>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30"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30" w:lineRule="exact"/>
        <w:rPr>
          <w:rFonts w:ascii="Arial" w:cs="Arial" w:eastAsia="Arial" w:hAnsi="Arial"/>
          <w:sz w:val="18"/>
          <w:szCs w:val="18"/>
          <w:color w:val="auto"/>
        </w:rPr>
      </w:pPr>
    </w:p>
    <w:p>
      <w:pPr>
        <w:ind w:left="2000" w:right="81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75" w:lineRule="exact"/>
        <w:rPr>
          <w:rFonts w:ascii="Arial" w:cs="Arial" w:eastAsia="Arial" w:hAnsi="Arial"/>
          <w:sz w:val="18"/>
          <w:szCs w:val="18"/>
          <w:color w:val="auto"/>
        </w:rPr>
      </w:pPr>
    </w:p>
    <w:p>
      <w:pPr>
        <w:ind w:left="2000" w:right="77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17" w:lineRule="exact"/>
        <w:rPr>
          <w:sz w:val="20"/>
          <w:szCs w:val="20"/>
          <w:color w:val="auto"/>
        </w:rPr>
      </w:pPr>
    </w:p>
    <w:p>
      <w:pPr>
        <w:ind w:left="2000" w:right="879" w:hanging="354"/>
        <w:spacing w:after="0" w:line="277"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17" w:lineRule="exact"/>
        <w:rPr>
          <w:rFonts w:ascii="Arial" w:cs="Arial" w:eastAsia="Arial" w:hAnsi="Arial"/>
          <w:sz w:val="18"/>
          <w:szCs w:val="18"/>
          <w:color w:val="auto"/>
        </w:rPr>
      </w:pPr>
    </w:p>
    <w:p>
      <w:pPr>
        <w:jc w:val="both"/>
        <w:ind w:left="2000" w:right="1159" w:hanging="354"/>
        <w:spacing w:after="0" w:line="26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6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84" w:lineRule="exact"/>
        <w:rPr>
          <w:sz w:val="20"/>
          <w:szCs w:val="20"/>
          <w:color w:val="auto"/>
        </w:rPr>
      </w:pPr>
    </w:p>
    <w:p>
      <w:pPr>
        <w:ind w:left="2000" w:right="719" w:hanging="354"/>
        <w:spacing w:after="0" w:line="259"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 500 companies across multiple sectors and industries, will provide us a distinct advantage in being able to source, evaluate and consummate an attractive transaction.</w:t>
      </w:r>
    </w:p>
    <w:p>
      <w:pPr>
        <w:spacing w:after="0" w:line="78" w:lineRule="exact"/>
        <w:rPr>
          <w:rFonts w:ascii="Arial" w:cs="Arial" w:eastAsia="Arial" w:hAnsi="Arial"/>
          <w:sz w:val="18"/>
          <w:szCs w:val="18"/>
          <w:color w:val="auto"/>
        </w:rPr>
      </w:pPr>
    </w:p>
    <w:p>
      <w:pPr>
        <w:ind w:left="2000" w:right="699" w:hanging="354"/>
        <w:spacing w:after="0" w:line="25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86"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89" w:lineRule="exact"/>
        <w:rPr>
          <w:rFonts w:ascii="Arial" w:cs="Arial" w:eastAsia="Arial" w:hAnsi="Arial"/>
          <w:sz w:val="18"/>
          <w:szCs w:val="18"/>
          <w:color w:val="auto"/>
        </w:rPr>
      </w:pPr>
    </w:p>
    <w:p>
      <w:pPr>
        <w:ind w:left="2000" w:right="659" w:hanging="354"/>
        <w:spacing w:after="0" w:line="25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62" w:lineRule="exact"/>
        <w:rPr>
          <w:sz w:val="20"/>
          <w:szCs w:val="20"/>
          <w:color w:val="auto"/>
        </w:rPr>
      </w:pPr>
    </w:p>
    <w:p>
      <w:pPr>
        <w:ind w:left="2000" w:right="1279" w:hanging="354"/>
        <w:spacing w:after="0" w:line="342"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15" w:lineRule="exact"/>
        <w:rPr>
          <w:rFonts w:ascii="Arial" w:cs="Arial" w:eastAsia="Arial" w:hAnsi="Arial"/>
          <w:sz w:val="16"/>
          <w:szCs w:val="16"/>
          <w:color w:val="auto"/>
        </w:rPr>
      </w:pPr>
    </w:p>
    <w:p>
      <w:pPr>
        <w:ind w:left="2000" w:right="899" w:hanging="354"/>
        <w:spacing w:after="0" w:line="26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75"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8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80879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99" w:hanging="354"/>
        <w:spacing w:after="0" w:line="257"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52" w:lineRule="exact"/>
        <w:rPr>
          <w:rFonts w:ascii="Arial" w:cs="Arial" w:eastAsia="Arial" w:hAnsi="Arial"/>
          <w:sz w:val="18"/>
          <w:szCs w:val="18"/>
          <w:color w:val="auto"/>
        </w:rPr>
      </w:pPr>
    </w:p>
    <w:p>
      <w:pPr>
        <w:ind w:left="2000" w:right="1059" w:hanging="354"/>
        <w:spacing w:after="0" w:line="308"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pacing w:after="0" w:line="38"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80" w:right="109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ectPr>
          <w:pgSz w:w="11900" w:h="16838" w:orient="portrait"/>
          <w:cols w:equalWidth="0" w:num="1">
            <w:col w:w="10139"/>
          </w:cols>
          <w:pgMar w:left="320" w:top="131" w:right="1440" w:bottom="1440" w:gutter="0" w:footer="0" w:header="0"/>
          <w:type w:val="continuous"/>
        </w:sectPr>
      </w:pPr>
    </w:p>
    <w:p>
      <w:pPr>
        <w:spacing w:after="0" w:line="40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115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80" w:right="699"/>
        <w:spacing w:after="0" w:line="251" w:lineRule="auto"/>
        <w:rPr>
          <w:sz w:val="20"/>
          <w:szCs w:val="20"/>
          <w:color w:val="auto"/>
        </w:rPr>
      </w:pPr>
      <w:r>
        <w:rPr>
          <w:rFonts w:ascii="Arial" w:cs="Arial" w:eastAsia="Arial" w:hAnsi="Arial"/>
          <w:sz w:val="18"/>
          <w:szCs w:val="18"/>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8"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80" w:right="699" w:firstLine="360"/>
        <w:spacing w:after="0" w:line="293"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63" w:lineRule="auto"/>
        <w:rPr>
          <w:sz w:val="20"/>
          <w:szCs w:val="20"/>
          <w:color w:val="auto"/>
        </w:rPr>
      </w:pPr>
      <w:r>
        <w:rPr>
          <w:rFonts w:ascii="Arial" w:cs="Arial" w:eastAsia="Arial" w:hAnsi="Arial"/>
          <w:sz w:val="18"/>
          <w:szCs w:val="18"/>
          <w:color w:val="auto"/>
        </w:rPr>
        <w:t>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76" w:lineRule="exact"/>
        <w:rPr>
          <w:sz w:val="20"/>
          <w:szCs w:val="20"/>
          <w:color w:val="auto"/>
        </w:rPr>
      </w:pPr>
    </w:p>
    <w:p>
      <w:pPr>
        <w:ind w:left="1280" w:right="659" w:firstLine="36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7"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80" w:right="69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4" w:lineRule="exact"/>
        <w:rPr>
          <w:sz w:val="20"/>
          <w:szCs w:val="20"/>
          <w:color w:val="auto"/>
        </w:rPr>
      </w:pPr>
    </w:p>
    <w:p>
      <w:pPr>
        <w:ind w:left="1280" w:right="85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659" w:firstLine="6"/>
        <w:spacing w:after="0" w:line="265" w:lineRule="auto"/>
        <w:tabs>
          <w:tab w:leader="none" w:pos="15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80" w:right="101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40" w:lineRule="exact"/>
        <w:rPr>
          <w:sz w:val="20"/>
          <w:szCs w:val="20"/>
          <w:color w:val="auto"/>
        </w:rPr>
      </w:pPr>
    </w:p>
    <w:p>
      <w:pPr>
        <w:ind w:left="1280" w:right="839" w:firstLine="360"/>
        <w:spacing w:after="0" w:line="260"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8"/>
          <w:szCs w:val="18"/>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8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100,000,000 units (or 115,000,000 units if the underwriters’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option to purchase additional units is exercised in full), at $10.00</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per unit, each unit consisting of:</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 share of Class A common stock; and</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one-fifth of one redeemable warrant to purchase one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 of Class A common stock.</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jc w:val="center"/>
        <w:ind w:left="660"/>
        <w:spacing w:after="0"/>
        <w:rPr>
          <w:sz w:val="20"/>
          <w:szCs w:val="20"/>
          <w:color w:val="auto"/>
        </w:rPr>
      </w:pPr>
      <w:r>
        <w:rPr>
          <w:rFonts w:ascii="Arial" w:cs="Arial" w:eastAsia="Arial" w:hAnsi="Arial"/>
          <w:sz w:val="15"/>
          <w:szCs w:val="15"/>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60" w:right="40" w:hanging="179"/>
        <w:spacing w:after="0" w:line="314" w:lineRule="auto"/>
        <w:rPr>
          <w:sz w:val="20"/>
          <w:szCs w:val="20"/>
          <w:color w:val="auto"/>
        </w:rPr>
      </w:pPr>
      <w:r>
        <w:rPr>
          <w:rFonts w:ascii="Arial" w:cs="Arial" w:eastAsia="Arial" w:hAnsi="Arial"/>
          <w:sz w:val="16"/>
          <w:szCs w:val="16"/>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Units: “CCIV.U”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“CCIV”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 “CCIV WS”</w:t>
      </w:r>
    </w:p>
    <w:p>
      <w:pPr>
        <w:spacing w:after="0" w:line="200" w:lineRule="exact"/>
        <w:rPr>
          <w:sz w:val="20"/>
          <w:szCs w:val="20"/>
          <w:color w:val="auto"/>
        </w:rPr>
      </w:pPr>
    </w:p>
    <w:p>
      <w:pPr>
        <w:spacing w:after="0" w:line="349" w:lineRule="exact"/>
        <w:rPr>
          <w:sz w:val="20"/>
          <w:szCs w:val="20"/>
          <w:color w:val="auto"/>
        </w:rPr>
      </w:pPr>
    </w:p>
    <w:p>
      <w:pPr>
        <w:ind w:right="699"/>
        <w:spacing w:after="0" w:line="256" w:lineRule="auto"/>
        <w:rPr>
          <w:sz w:val="20"/>
          <w:szCs w:val="20"/>
          <w:color w:val="auto"/>
        </w:rPr>
      </w:pPr>
      <w:r>
        <w:rPr>
          <w:rFonts w:ascii="Arial" w:cs="Arial" w:eastAsia="Arial" w:hAnsi="Arial"/>
          <w:sz w:val="17"/>
          <w:szCs w:val="17"/>
          <w:color w:val="auto"/>
        </w:rPr>
        <w:t>The units are expected to begin trading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w:t>
      </w:r>
    </w:p>
    <w:p>
      <w:pPr>
        <w:spacing w:after="0" w:line="5" w:lineRule="exact"/>
        <w:rPr>
          <w:sz w:val="20"/>
          <w:szCs w:val="20"/>
          <w:color w:val="auto"/>
        </w:rPr>
      </w:pPr>
    </w:p>
    <w:p>
      <w:pPr>
        <w:ind w:right="719"/>
        <w:spacing w:after="0" w:line="252" w:lineRule="auto"/>
        <w:rPr>
          <w:sz w:val="20"/>
          <w:szCs w:val="20"/>
          <w:color w:val="auto"/>
        </w:rPr>
      </w:pPr>
      <w:r>
        <w:rPr>
          <w:rFonts w:ascii="Arial" w:cs="Arial" w:eastAsia="Arial" w:hAnsi="Arial"/>
          <w:sz w:val="18"/>
          <w:szCs w:val="18"/>
          <w:color w:val="auto"/>
        </w:rPr>
        <w:t>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84" w:lineRule="exact"/>
        <w:rPr>
          <w:sz w:val="20"/>
          <w:szCs w:val="20"/>
          <w:color w:val="auto"/>
        </w:rPr>
      </w:pPr>
    </w:p>
    <w:p>
      <w:pPr>
        <w:ind w:right="659"/>
        <w:spacing w:after="0" w:line="253"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0" w:lineRule="exact"/>
        <w:rPr>
          <w:sz w:val="20"/>
          <w:szCs w:val="20"/>
          <w:color w:val="auto"/>
        </w:rPr>
      </w:pPr>
    </w:p>
    <w:p>
      <w:pPr>
        <w:sectPr>
          <w:pgSz w:w="11900" w:h="16838" w:orient="portrait"/>
          <w:cols w:equalWidth="0" w:num="2">
            <w:col w:w="3740" w:space="720"/>
            <w:col w:w="567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820" w:right="20" w:hanging="179"/>
        <w:spacing w:after="0" w:line="266" w:lineRule="auto"/>
        <w:rPr>
          <w:sz w:val="20"/>
          <w:szCs w:val="20"/>
          <w:color w:val="auto"/>
        </w:rPr>
      </w:pPr>
      <w:r>
        <w:rPr>
          <w:rFonts w:ascii="Arial" w:cs="Arial" w:eastAsia="Arial" w:hAnsi="Arial"/>
          <w:sz w:val="18"/>
          <w:szCs w:val="18"/>
          <w:b w:val="1"/>
          <w:bCs w:val="1"/>
          <w:color w:val="auto"/>
        </w:rPr>
        <w:t>Number outstanding before this offering:</w:t>
      </w:r>
    </w:p>
    <w:p>
      <w:pPr>
        <w:spacing w:after="0" w:line="54"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1820" w:right="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67"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Number of private placement</w:t>
      </w:r>
    </w:p>
    <w:p>
      <w:pPr>
        <w:spacing w:after="0" w:line="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warrants to be sold in the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Private Placement:</w:t>
      </w:r>
    </w:p>
    <w:p>
      <w:pPr>
        <w:spacing w:after="0" w:line="112" w:lineRule="exact"/>
        <w:rPr>
          <w:sz w:val="20"/>
          <w:szCs w:val="20"/>
          <w:color w:val="auto"/>
        </w:rPr>
      </w:pPr>
    </w:p>
    <w:p>
      <w:pPr>
        <w:ind w:left="1820" w:hanging="179"/>
        <w:spacing w:after="0" w:line="343" w:lineRule="auto"/>
        <w:rPr>
          <w:sz w:val="20"/>
          <w:szCs w:val="20"/>
          <w:color w:val="auto"/>
        </w:rPr>
      </w:pPr>
      <w:r>
        <w:rPr>
          <w:rFonts w:ascii="Arial" w:cs="Arial" w:eastAsia="Arial" w:hAnsi="Arial"/>
          <w:sz w:val="15"/>
          <w:szCs w:val="15"/>
          <w:b w:val="1"/>
          <w:bCs w:val="1"/>
          <w:color w:val="auto"/>
        </w:rPr>
        <w:t>Number of warrants to be outstanding after this offering and the Private Placement:</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100,000,000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28,750,000</w:t>
      </w:r>
      <w:r>
        <w:rPr>
          <w:rFonts w:ascii="Arial" w:cs="Arial" w:eastAsia="Arial" w:hAnsi="Arial"/>
          <w:sz w:val="26"/>
          <w:szCs w:val="26"/>
          <w:color w:val="auto"/>
          <w:vertAlign w:val="superscript"/>
        </w:rPr>
        <w:t>(2) (4)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125,000,000</w:t>
      </w:r>
      <w:r>
        <w:rPr>
          <w:rFonts w:ascii="Arial" w:cs="Arial" w:eastAsia="Arial" w:hAnsi="Arial"/>
          <w:sz w:val="26"/>
          <w:szCs w:val="26"/>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21,250,000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41,250,000</w:t>
      </w:r>
      <w:r>
        <w:rPr>
          <w:rFonts w:ascii="Arial" w:cs="Arial" w:eastAsia="Arial" w:hAnsi="Arial"/>
          <w:sz w:val="26"/>
          <w:szCs w:val="26"/>
          <w:color w:val="auto"/>
          <w:vertAlign w:val="superscript"/>
        </w:rPr>
        <w:t>(1)</w:t>
      </w:r>
    </w:p>
    <w:p>
      <w:pPr>
        <w:spacing w:after="0" w:line="75" w:lineRule="exact"/>
        <w:rPr>
          <w:sz w:val="20"/>
          <w:szCs w:val="20"/>
          <w:color w:val="auto"/>
        </w:rPr>
      </w:pPr>
    </w:p>
    <w:p>
      <w:pPr>
        <w:ind w:right="719"/>
        <w:spacing w:after="0" w:line="257" w:lineRule="auto"/>
        <w:rPr>
          <w:sz w:val="20"/>
          <w:szCs w:val="20"/>
          <w:color w:val="auto"/>
        </w:rPr>
      </w:pPr>
      <w:r>
        <w:rPr>
          <w:rFonts w:ascii="Arial" w:cs="Arial" w:eastAsia="Arial" w:hAnsi="Arial"/>
          <w:sz w:val="18"/>
          <w:szCs w:val="18"/>
          <w:color w:val="auto"/>
        </w:rPr>
        <w:t>Each whole warrant offered in this offering is exercisable to purchase one share of our Class A common stock, subject to adjustment as provided herein, and only whole warrants are exercisable. No fractional warrants will be issued upon separation of the units and only whole warrants will trade.</w:t>
      </w:r>
    </w:p>
    <w:p>
      <w:pPr>
        <w:spacing w:after="0" w:line="80" w:lineRule="exact"/>
        <w:rPr>
          <w:sz w:val="20"/>
          <w:szCs w:val="20"/>
          <w:color w:val="auto"/>
        </w:rPr>
      </w:pPr>
    </w:p>
    <w:p>
      <w:pPr>
        <w:ind w:right="759"/>
        <w:spacing w:after="0" w:line="270" w:lineRule="auto"/>
        <w:rPr>
          <w:sz w:val="20"/>
          <w:szCs w:val="20"/>
          <w:color w:val="auto"/>
        </w:rPr>
      </w:pPr>
      <w:r>
        <w:rPr>
          <w:rFonts w:ascii="Arial" w:cs="Arial" w:eastAsia="Arial" w:hAnsi="Arial"/>
          <w:sz w:val="17"/>
          <w:szCs w:val="17"/>
          <w:color w:val="auto"/>
        </w:rPr>
        <w:t>We structured each unit to contain one-fifth of one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our initial business combination as compared to units that each contain a warrant to purchase one whole share, thus making us, we believe, a more attractive business combination partner for target businesses.</w:t>
      </w:r>
    </w:p>
    <w:p>
      <w:pPr>
        <w:spacing w:after="0" w:line="73"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$11.50 per share of Class A common stock, subject to adjustment as described herein.</w:t>
      </w:r>
    </w:p>
    <w:p>
      <w:pPr>
        <w:spacing w:after="0" w:line="200" w:lineRule="exact"/>
        <w:rPr>
          <w:sz w:val="20"/>
          <w:szCs w:val="20"/>
          <w:color w:val="auto"/>
        </w:rPr>
      </w:pPr>
    </w:p>
    <w:p>
      <w:pPr>
        <w:sectPr>
          <w:pgSz w:w="11900" w:h="16838" w:orient="portrait"/>
          <w:cols w:equalWidth="0" w:num="2">
            <w:col w:w="4020" w:space="440"/>
            <w:col w:w="5679"/>
          </w:cols>
          <w:pgMar w:left="320" w:top="132" w:right="1440" w:bottom="1440" w:gutter="0" w:footer="0" w:header="0"/>
          <w:type w:val="continuous"/>
        </w:sectPr>
      </w:pPr>
    </w:p>
    <w:p>
      <w:pPr>
        <w:spacing w:after="0" w:line="146" w:lineRule="exact"/>
        <w:rPr>
          <w:sz w:val="20"/>
          <w:szCs w:val="20"/>
          <w:color w:val="auto"/>
        </w:rPr>
      </w:pPr>
    </w:p>
    <w:p>
      <w:pPr>
        <w:ind w:left="1640" w:right="819" w:hanging="354"/>
        <w:spacing w:after="0" w:line="277"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units and the forfeiture by our sponsor of 3,750,000 founder shares.</w:t>
      </w:r>
    </w:p>
    <w:p>
      <w:pPr>
        <w:spacing w:after="0" w:line="62" w:lineRule="exact"/>
        <w:rPr>
          <w:rFonts w:ascii="Arial" w:cs="Arial" w:eastAsia="Arial" w:hAnsi="Arial"/>
          <w:sz w:val="18"/>
          <w:szCs w:val="18"/>
          <w:color w:val="auto"/>
        </w:rPr>
      </w:pPr>
    </w:p>
    <w:p>
      <w:pPr>
        <w:jc w:val="both"/>
        <w:ind w:left="1640" w:right="859" w:hanging="354"/>
        <w:spacing w:after="0" w:line="26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solely of founder shares and includes up to 3,750,000 shares that are subject to forfeiture by our sponsor depending on the extent to which the underwriters’ option to purchase additional units is exercised.</w:t>
      </w:r>
    </w:p>
    <w:p>
      <w:pPr>
        <w:spacing w:after="0" w:line="75" w:lineRule="exact"/>
        <w:rPr>
          <w:rFonts w:ascii="Arial" w:cs="Arial" w:eastAsia="Arial" w:hAnsi="Arial"/>
          <w:sz w:val="18"/>
          <w:szCs w:val="18"/>
          <w:color w:val="auto"/>
        </w:rPr>
      </w:pPr>
    </w:p>
    <w:p>
      <w:pPr>
        <w:ind w:left="1640" w:hanging="354"/>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100,000,000 public shares and 25,000,000 founder shares.</w:t>
      </w:r>
    </w:p>
    <w:p>
      <w:pPr>
        <w:spacing w:after="0" w:line="117" w:lineRule="exact"/>
        <w:rPr>
          <w:rFonts w:ascii="Arial" w:cs="Arial" w:eastAsia="Arial" w:hAnsi="Arial"/>
          <w:sz w:val="18"/>
          <w:szCs w:val="18"/>
          <w:color w:val="auto"/>
        </w:rPr>
      </w:pPr>
    </w:p>
    <w:p>
      <w:pPr>
        <w:ind w:left="1640" w:right="819" w:hanging="354"/>
        <w:spacing w:after="0" w:line="259"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Founder shares are classified as shares of Class B common stock, which shares will automatically convert into shares of Class A common stock at the time of our initial business combination on a one-for-one basis, subject to adjustment as described below adjacent to the caption “Founder shares conversion and anti-dilution rights.”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period</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warrants will become exercisable on the warrant exercise</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date, which is the later of:</w:t>
            </w:r>
          </w:p>
        </w:tc>
      </w:tr>
      <w:tr>
        <w:trPr>
          <w:trHeight w:val="310"/>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30 days after the completion of our initial business</w:t>
            </w:r>
          </w:p>
        </w:tc>
      </w:tr>
      <w:tr>
        <w:trPr>
          <w:trHeight w:val="230"/>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combination; and</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12 months from the closing of this offering;</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provided in each case that we have an effective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statement under the Securities Act covering the issuance of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shares of common stock issuable upon exercise of the warrants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and a current prospectus relating to them is available (or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3"/>
              </w:rPr>
              <w:t>permit holders to exercise their warrants on a cashless basis under</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circumstances specified in the warrant agreement).</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are not registering the shares of Class A common stock</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issuable upon exercise of the warrants at this time. However,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have agreed that as soon as practicable, but in no event later than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15 business days after the closing of our initial business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combination, we will use our reasonable best efforts to file with</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SEC, and within 60 business days following our initial</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business combination to have declared effective, a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statement covering the issuance of the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issuable upon exercise of the warrants and to maintain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current prospectus relating to those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stock until the warrants expire or are redeemed, as specified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5"/>
              </w:rPr>
              <w:t>warrant agreement. If a registration statement covering the shares</w:t>
            </w:r>
          </w:p>
        </w:tc>
      </w:tr>
      <w:tr>
        <w:trPr>
          <w:trHeight w:val="179"/>
        </w:trPr>
        <w:tc>
          <w:tcPr>
            <w:tcW w:w="2500" w:type="dxa"/>
            <w:vAlign w:val="bottom"/>
          </w:tcPr>
          <w:p>
            <w:pPr>
              <w:spacing w:after="0"/>
              <w:rPr>
                <w:sz w:val="15"/>
                <w:szCs w:val="15"/>
                <w:color w:val="auto"/>
              </w:rPr>
            </w:pPr>
          </w:p>
        </w:tc>
        <w:tc>
          <w:tcPr>
            <w:tcW w:w="5700" w:type="dxa"/>
            <w:vAlign w:val="bottom"/>
            <w:gridSpan w:val="2"/>
          </w:tcPr>
          <w:p>
            <w:pPr>
              <w:ind w:left="680"/>
              <w:spacing w:after="0" w:line="179" w:lineRule="exact"/>
              <w:rPr>
                <w:sz w:val="20"/>
                <w:szCs w:val="20"/>
                <w:color w:val="auto"/>
              </w:rPr>
            </w:pPr>
            <w:r>
              <w:rPr>
                <w:rFonts w:ascii="Arial" w:cs="Arial" w:eastAsia="Arial" w:hAnsi="Arial"/>
                <w:sz w:val="18"/>
                <w:szCs w:val="18"/>
                <w:color w:val="auto"/>
                <w:w w:val="93"/>
              </w:rPr>
              <w:t>of Class A common stock issuable upon exercise of the warrants is</w:t>
            </w:r>
          </w:p>
        </w:tc>
      </w:tr>
      <w:tr>
        <w:trPr>
          <w:trHeight w:val="266"/>
        </w:trPr>
        <w:tc>
          <w:tcPr>
            <w:tcW w:w="2500" w:type="dxa"/>
            <w:vAlign w:val="bottom"/>
          </w:tcPr>
          <w:p>
            <w:pPr>
              <w:spacing w:after="0"/>
              <w:rPr>
                <w:sz w:val="23"/>
                <w:szCs w:val="23"/>
                <w:color w:val="auto"/>
              </w:rPr>
            </w:pPr>
          </w:p>
        </w:tc>
        <w:tc>
          <w:tcPr>
            <w:tcW w:w="5700" w:type="dxa"/>
            <w:vAlign w:val="bottom"/>
            <w:gridSpan w:val="2"/>
          </w:tcPr>
          <w:p>
            <w:pPr>
              <w:ind w:left="680"/>
              <w:spacing w:after="0" w:line="266" w:lineRule="exact"/>
              <w:rPr>
                <w:sz w:val="20"/>
                <w:szCs w:val="20"/>
                <w:color w:val="auto"/>
              </w:rPr>
            </w:pPr>
            <w:r>
              <w:rPr>
                <w:rFonts w:ascii="Arial" w:cs="Arial" w:eastAsia="Arial" w:hAnsi="Arial"/>
                <w:sz w:val="18"/>
                <w:szCs w:val="18"/>
                <w:color w:val="auto"/>
              </w:rPr>
              <w:t>not effective by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closing of our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initial business combination, warrant holders may, until such time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as there is an effective registration statement and during any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period when we will have failed to maintain an effective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registration statement, exercise warrants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or another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exemption. Notwithstanding the above, if our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 at the time of any exercise of a warrant not listed on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national securities exchange such that it satisfies the definition of</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a “covered security” under Section 18(b)(1) of the Securities Act,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may, at our option, require holders of public warrants who</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exercise their warrants to do so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and,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event we so elect, we will not be required to file or maintain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effect a registration statement, and in the event we do not so elect,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we will use our best efforts to register or qualify the shares under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applicable blue sky laws to the extent an exemption is not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available. The warrants will expire at 5:00 p.m., New York City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time on the warrant expiration date, which is five years after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completion of our initial business combination or earlier upon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redemption or liquidation. On the exercise of any warrant,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warrant exercise price will be paid directly to us and not placed in</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trust account.</w:t>
            </w:r>
          </w:p>
        </w:tc>
      </w:tr>
      <w:tr>
        <w:trPr>
          <w:trHeight w:val="310"/>
        </w:trPr>
        <w:tc>
          <w:tcPr>
            <w:tcW w:w="250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Once the warrants become exercisable, we may redeem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outstanding warrants (except as described herein with respect to</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in whole and not in part;</w:t>
            </w: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a price of $0.01 per warrant;</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a minimum of 30 days’ prior written notice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which we refer to as the 30-day redemption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period;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if, and only if, the closing price of our Class A common</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stock equals or exceeds $18.00 per share (as adjusted for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splits, stock dividends, reorganizations,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recapitalizations and the like) for any 20 trading days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within a 30-trading day period ending on the third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trading day prior to the date on which we send the notice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of redemption to the warrant holders.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will not redeem the warrants for cash unless a registration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statement under the Securities Act covering the issuance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Class A common stock issuable upon exercise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 then effective and a current prospectus relating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those shares of common stock is available throughout the 30-day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period, except if the warrants may be exercised on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cashless basis and such cashless exercise is exempt from</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under the Securities Act. If and when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redeemable by us, we may exercise our redemption right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even if we are unable to register or qualify the underlying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for sale under all applicable state securities laws.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Cashless Exercise</w:t>
      </w:r>
      <w:r>
        <w:rPr>
          <w:sz w:val="20"/>
          <w:szCs w:val="20"/>
          <w:color w:val="auto"/>
        </w:rPr>
        <w:tab/>
      </w:r>
      <w:r>
        <w:rPr>
          <w:rFonts w:ascii="Arial" w:cs="Arial" w:eastAsia="Arial" w:hAnsi="Arial"/>
          <w:sz w:val="17"/>
          <w:szCs w:val="17"/>
          <w:color w:val="auto"/>
        </w:rPr>
        <w:t>If we call the warrants for redemption for cash, as described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above, our management will have the option to require all holders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wish to exercise warrants to do so on a “cashless basis.”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determining whether to require all holders to exercise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on a “cashless basis,” our management will consider,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among other factors, our cash position, the number of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are outstanding and the dilutive effect on our stockholders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issuing the maximum number of shares of Class A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issuable upon the exercise of our warrants. In such event, each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 would pay the exercise price by surrendering the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that number of shares of Class A common stock equal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quotient obtained by dividing (x) the product of the number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underlying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multiplied by the excess of the “fair market value”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(defined above) over the exercise price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by (y) the fair market value. Please see “Description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 Warrants — Public Stockholders’ Warrants” for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information.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Election of directors; voting</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rights</w:t>
      </w:r>
      <w:r>
        <w:rPr>
          <w:sz w:val="20"/>
          <w:szCs w:val="20"/>
          <w:color w:val="auto"/>
        </w:rPr>
        <w:tab/>
      </w:r>
      <w:r>
        <w:rPr>
          <w:rFonts w:ascii="Arial" w:cs="Arial" w:eastAsia="Arial" w:hAnsi="Arial"/>
          <w:sz w:val="18"/>
          <w:szCs w:val="18"/>
          <w:color w:val="auto"/>
        </w:rPr>
        <w:t>Prior to the consummation of our initial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only holders of our Class B common stock will have the right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vote on the election of directors. Holders of the Class A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will not be entitled to vote on the election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during such time. These provisions of our amended and restated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certificate of incorporation may only be amended if approved by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majority of at least 90% of our common stock voting at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 meeting. With respect to any other matter submitted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a vote of our stockholders, including any vote in connection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our initial business combination, except as required by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rule, holders of our Class A</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holders of our Class B common stock will vote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together as a single class, with each share entitling the holder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one vote.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In May 2020, our sponsor purchased an aggregate of 21,562,500</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founder shares for an aggregate purchase price of $25,000,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approximately $0.001 per share. On July 14, 2020, we effected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dividend of one-third of a share of Class B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each outstanding share of Class B common stock, resulting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stockholders holding an aggregate of 28,750,000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founder shares. The number of founder shares issued was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determined based on the expectation that the founder shares would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represent 20% of the outstanding shares of common stock upon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completion of this offering. Prior to the initial investment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of $25,000 by our sponsor, the company had no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assets, tangible or intangible. The purchase price of the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was determined by dividing the amount of cash contributed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us by the number of founder shares issued. If we increase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decrease the size of this offering, we will effect a stock dividend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a share contribution back to capital or other appropriate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mechanism, as applicable, with respect to our Class B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immediately prior to the consummation of this offering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such amount as to maintain the ownership of founder shares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stockholders at 20% of our issued and outstanding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our common stock upon the consummation of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founder shares are subject to forfeiture by our sponsor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depending on the extent to which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founder shares are identical to the shares of Class A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included in the units being sold in this offering, except that:</w:t>
      </w:r>
    </w:p>
    <w:p>
      <w:pPr>
        <w:spacing w:after="0" w:line="114"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 vote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on the election and removal of directors prior to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consummation of our initial business combination;</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subject to certain transfer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restrictions, as described in more detail below;</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officers and directors have entered into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letter agreements with us, pursuant to which they have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agreed: (1) to waive their redemption rights with respect</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to any founder shares and public shares held by them, as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applicable, in connection with the completion of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initial business combination; (2) to waive their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rights with respect to any founder shares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public shares held by them in connection with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stockholder vote to approve an amendment to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amended and restated certificate of incorporation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modify the substance or timing of our obligation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provide for the redemption of our public shares in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connection with an initial business combination or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redeem 100% of our public shares if we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consummated our initial business combination within</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completion window; and (3) to waive their rights 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founder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(although they will be entitled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public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If we submit our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to our public stockholders for a vote,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initial stockholders, officers and directors have agreed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vote any founder shares and any public shares held by</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them in favor of our initial business combination. As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result, in addition to our initial stockholders’ founder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shares, we would need 37,500,001, or 37.5%, of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100,000,000 public shares sold in this offering to be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voted in favor of an initial business combination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(assuming all issued and outstanding shares are voted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and the underwriters’ option to purchase additional units</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is not exercised) in order to have such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approved;</w:t>
      </w:r>
    </w:p>
    <w:p>
      <w:pPr>
        <w:spacing w:after="0" w:line="103" w:lineRule="exact"/>
        <w:rPr>
          <w:sz w:val="20"/>
          <w:szCs w:val="20"/>
          <w:color w:val="auto"/>
        </w:rPr>
      </w:pPr>
    </w:p>
    <w:p>
      <w:pPr>
        <w:ind w:left="5180" w:right="859" w:hanging="366"/>
        <w:spacing w:after="0" w:line="275" w:lineRule="auto"/>
        <w:tabs>
          <w:tab w:leader="none" w:pos="5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founder shares are automatically convertible into shares of our Class A common stock at the time of our initial business combination, on a one-for-one basis, subject to adjustment pursuant to certain anti-dilution rights, as described in more detail below; and</w:t>
      </w:r>
    </w:p>
    <w:p>
      <w:pPr>
        <w:spacing w:after="0" w:line="68" w:lineRule="exact"/>
        <w:rPr>
          <w:rFonts w:ascii="Arial" w:cs="Arial" w:eastAsia="Arial" w:hAnsi="Arial"/>
          <w:sz w:val="17"/>
          <w:szCs w:val="17"/>
          <w:color w:val="auto"/>
        </w:rPr>
      </w:pPr>
    </w:p>
    <w:p>
      <w:pPr>
        <w:ind w:left="5180" w:right="1399" w:hanging="366"/>
        <w:spacing w:after="0" w:line="277" w:lineRule="auto"/>
        <w:tabs>
          <w:tab w:leader="none" w:pos="5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the founder shares are entitled to registration rights.</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founder</w:t>
      </w:r>
    </w:p>
    <w:p>
      <w:pPr>
        <w:spacing w:after="0" w:line="27" w:lineRule="exact"/>
        <w:rPr>
          <w:sz w:val="20"/>
          <w:szCs w:val="20"/>
          <w:color w:val="auto"/>
        </w:rPr>
      </w:pPr>
    </w:p>
    <w:p>
      <w:pPr>
        <w:ind w:left="4460" w:right="659" w:hanging="2999"/>
        <w:spacing w:after="0" w:line="267" w:lineRule="auto"/>
        <w:tabs>
          <w:tab w:leader="none" w:pos="4440" w:val="left"/>
        </w:tabs>
        <w:rPr>
          <w:sz w:val="20"/>
          <w:szCs w:val="20"/>
          <w:color w:val="auto"/>
        </w:rPr>
      </w:pPr>
      <w:r>
        <w:rPr>
          <w:rFonts w:ascii="Arial" w:cs="Arial" w:eastAsia="Arial" w:hAnsi="Arial"/>
          <w:sz w:val="17"/>
          <w:szCs w:val="17"/>
          <w:b w:val="1"/>
          <w:bCs w:val="1"/>
          <w:color w:val="auto"/>
        </w:rPr>
        <w:t>share</w:t>
      </w:r>
      <w:r>
        <w:rPr>
          <w:sz w:val="20"/>
          <w:szCs w:val="20"/>
          <w:color w:val="auto"/>
        </w:rPr>
        <w:tab/>
      </w: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w:t>
      </w:r>
    </w:p>
    <w:p>
      <w:pPr>
        <w:spacing w:after="0" w:line="7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Notwithstanding the foregoing, if the closing price of our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equals or exceeds $12.00 per share (as adjusted for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splits, stock dividends, reorganizations, recapitalizations and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like) for any 20 trading days within any 30-trading day period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commencing at least 150 days after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the founder shares will be released from the lock-up.</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Founder shares conversation and</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anti-dilution rights</w:t>
      </w:r>
      <w:r>
        <w:rPr>
          <w:sz w:val="20"/>
          <w:szCs w:val="20"/>
          <w:color w:val="auto"/>
        </w:rPr>
        <w:tab/>
      </w:r>
      <w:r>
        <w:rPr>
          <w:rFonts w:ascii="Arial" w:cs="Arial" w:eastAsia="Arial" w:hAnsi="Arial"/>
          <w:sz w:val="17"/>
          <w:szCs w:val="17"/>
          <w:color w:val="auto"/>
        </w:rPr>
        <w:t>The shares of Class B common stock will automatically convert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into shares of Class A common stock at the time of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on a one-for-one basis, subject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adjustment as provided herein. In the case that additional shares of</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or equity-linked securities, are issued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issued in excess of the amounts sold in this offering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related to the closing of our initial business combination, the ratio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at which shares of Class B common stock shall convert into shares</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Class A common stock will be adjusted (unless the holders of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majority of the outstanding shares of Class B common stock agree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waive such anti-dilution adjustment with respect to any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issuance or deemed issuance) so that the number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issuable upon conversion of all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B common stock will equal, in the aggregate, on an 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converted basis, 20% of the total number of all shares of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outstanding upon completion of this offering plus all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Class A common stock and equity-linked securities issued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issued in connection with our initial business combination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of the number of shares of Class A common stock redeemed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connection with our initial business combination), excluding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shares or equity-linked securities issued, or to be issued,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seller in our initial business combination in consideration for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such seller’s interest in the business combination target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issued upon the conversion of working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 loans made to us.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Private placement warrants</w:t>
      </w:r>
      <w:r>
        <w:rPr>
          <w:sz w:val="20"/>
          <w:szCs w:val="20"/>
          <w:color w:val="auto"/>
        </w:rPr>
        <w:tab/>
      </w:r>
      <w:r>
        <w:rPr>
          <w:rFonts w:ascii="Arial" w:cs="Arial" w:eastAsia="Arial" w:hAnsi="Arial"/>
          <w:sz w:val="16"/>
          <w:szCs w:val="16"/>
          <w:color w:val="auto"/>
        </w:rPr>
        <w:t>Our sponsor has subscribed to purchase an aggregate of</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21,250,000 private placement warrants (or 24,250,000 if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underwriters’ option to purchase additional units is exercised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full) at a price of $1.00 per warrant ($21,250,000 in the aggregate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$24,250,000 in the aggregate if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 in full) in the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Each private placement warrant entitles the holder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thereof to purchase one share of Class A common stock at a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$11.50 per share, subject to adjustment as provided herein.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portion of the purchase price of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added to the proceeds from this offering to be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trust account. If we do not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within the completion window, the proceeds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 of the private placement warrants held in the trust account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used to fund the redemption of our public shares (subject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requirements of applicable law) and the private placement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will expire worthless.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will not be redeemable by us so long as they are held by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sponsor or its permitted transferees (except as described below</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under “Principal Stockholders — Transfers of Founder Shares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are held by holders other than our sponsor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the private placement warrants will be redeemable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and exercisable by the holders on the same basis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the warrants included in the units being sold as part of this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offering. Our sponsor, as well as its permitted transferees, have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the option to exercise the private placement warrants on a cashless</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basis.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private</w:t>
      </w:r>
    </w:p>
    <w:p>
      <w:pPr>
        <w:spacing w:after="0" w:line="27" w:lineRule="exact"/>
        <w:rPr>
          <w:sz w:val="20"/>
          <w:szCs w:val="20"/>
          <w:color w:val="auto"/>
        </w:rPr>
      </w:pPr>
    </w:p>
    <w:p>
      <w:pPr>
        <w:ind w:left="4460" w:right="819" w:hanging="2987"/>
        <w:spacing w:after="0" w:line="269" w:lineRule="auto"/>
        <w:tabs>
          <w:tab w:leader="none" w:pos="4440" w:val="left"/>
        </w:tabs>
        <w:rPr>
          <w:sz w:val="20"/>
          <w:szCs w:val="20"/>
          <w:color w:val="auto"/>
        </w:rPr>
      </w:pPr>
      <w:r>
        <w:rPr>
          <w:rFonts w:ascii="Arial" w:cs="Arial" w:eastAsia="Arial" w:hAnsi="Arial"/>
          <w:sz w:val="18"/>
          <w:szCs w:val="18"/>
          <w:b w:val="1"/>
          <w:bCs w:val="1"/>
          <w:color w:val="auto"/>
        </w:rPr>
        <w:t>placement warrants</w:t>
      </w:r>
      <w:r>
        <w:rPr>
          <w:sz w:val="20"/>
          <w:szCs w:val="20"/>
          <w:color w:val="auto"/>
        </w:rPr>
        <w:tab/>
      </w:r>
      <w:r>
        <w:rPr>
          <w:rFonts w:ascii="Arial" w:cs="Arial" w:eastAsia="Arial" w:hAnsi="Arial"/>
          <w:sz w:val="17"/>
          <w:szCs w:val="17"/>
          <w:color w:val="auto"/>
        </w:rPr>
        <w:t>The private placement warrants (including the Class A common stock issuable upon exercise of the private placement warrants) will not be transferable, assignable or salable until 30 days after the completion of our initial business combination (except as described under the section of this prospectus entitled “Principal Stockholders — Transfers of Founder Shares and Private Placement Warrants”).</w:t>
      </w:r>
    </w:p>
    <w:p>
      <w:pPr>
        <w:spacing w:after="0" w:line="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Proceeds to be held in trust</w:t>
      </w:r>
    </w:p>
    <w:p>
      <w:pPr>
        <w:spacing w:after="0" w:line="27" w:lineRule="exact"/>
        <w:rPr>
          <w:sz w:val="20"/>
          <w:szCs w:val="20"/>
          <w:color w:val="auto"/>
        </w:rPr>
      </w:pPr>
    </w:p>
    <w:p>
      <w:pPr>
        <w:ind w:left="4460" w:right="71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account</w:t>
      </w:r>
      <w:r>
        <w:rPr>
          <w:sz w:val="20"/>
          <w:szCs w:val="20"/>
          <w:color w:val="auto"/>
        </w:rPr>
        <w:tab/>
      </w:r>
      <w:r>
        <w:rPr>
          <w:rFonts w:ascii="Arial" w:cs="Arial" w:eastAsia="Arial" w:hAnsi="Arial"/>
          <w:sz w:val="17"/>
          <w:szCs w:val="17"/>
          <w:color w:val="auto"/>
        </w:rPr>
        <w:t>The rules of the NYSE provide that at least 90% of the gross proceeds from this offering and the sale of the private placement warrants be deposited in a trust account. Of the net proceeds we will receive from this offering and the sale of the private placement warrants described in this prospectus, $1,000.0 million ($10.00 per unit), or $1,150.0 million ($10.00 per unit) if the underwriters’ option to purchase additional units is exercised in full, will be deposited into a segregated trust account located in the United States with Continental Stock Transfer &amp; Trust Company acting as trustee and an aggregate of approximately $1.25 million will be used to pay expenses in connection with the closing of this offering and for working capital following this offering. The proceeds to be placed in the trust account include $35,000,000 (or up to $40,250,000 if the underwriters’ option to purchase additional units is exercised in full) in deferred underwriting commissions.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w:t>
      </w:r>
    </w:p>
    <w:p>
      <w:pPr>
        <w:spacing w:after="0" w:line="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Except with respect to interest earned on the funds held in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that may be released to us as described below,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funds held in the trust account will not be released from the trust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until the earliest of: (1) the completion of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(2) the redemption of any public shares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properly submitted in connection with a stockholder vote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amend our amended and restated certificate of incorporation (i)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modify the substance or timing of our obligation to provide for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redemption of our public shares in connection with an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or to redeem 100% of our public shares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do not complete our initial business combination within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window or (ii) with respect to any other material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provisions relating to the rights of holders of our Class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prior to our initial business combination or pre-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business activity; and (3)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of all of our public shares if we are unable to complete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within the completion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window, subject to applicable law. The proceeds deposited in the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could become subject to the claims of our creditors,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if any, which could have priority over the claims of our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Anticipated expenses and funding</w:t>
      </w:r>
    </w:p>
    <w:p>
      <w:pPr>
        <w:spacing w:after="0" w:line="27" w:lineRule="exact"/>
        <w:rPr>
          <w:sz w:val="20"/>
          <w:szCs w:val="20"/>
          <w:color w:val="auto"/>
        </w:rPr>
      </w:pPr>
    </w:p>
    <w:p>
      <w:pPr>
        <w:ind w:left="4460" w:right="67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sources</w:t>
      </w:r>
      <w:r>
        <w:rPr>
          <w:sz w:val="20"/>
          <w:szCs w:val="20"/>
          <w:color w:val="auto"/>
        </w:rPr>
        <w:tab/>
      </w:r>
      <w:r>
        <w:rPr>
          <w:rFonts w:ascii="Arial" w:cs="Arial" w:eastAsia="Arial" w:hAnsi="Arial"/>
          <w:sz w:val="17"/>
          <w:szCs w:val="17"/>
          <w:color w:val="auto"/>
        </w:rPr>
        <w:t>Unless and until we complete our initial business combination, no proceeds held in the trust account will be available for our use, except permitted withdrawals.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upon current interest rates, we expect the trust account to generate approximately $5,000,000 of interest annually (assuming an interest rate of 0.50% per year); however, we can provide no assurances regarding this amount. Unless and until we complete our initial business combination, we may pay our expenses only from such interest withdrawn from the trust account and any loans or additional investments from our sponsor, members of our management team or any of their respective affiliates or other third parties, although they are under no obligation or other duty to loan funds to, or invest in, us, and provided that any such loans will not have any claim on the proceeds held in the trust account unless such proceeds are released to us upon completion of our initial business combination. If we complete our initial business combination, we expect to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all loans made to us by our sponsor, an affiliate of our sponsor or our officers and directors may be convertible into warrants at a price of $1.00 per warrant at the option of the lender at the time of the business combination. The warrants would be identical to the private placement warrants issued to our sponsor.</w:t>
      </w:r>
    </w:p>
    <w:p>
      <w:pPr>
        <w:spacing w:after="0" w:line="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Conditions to completing our initial</w:t>
      </w:r>
    </w:p>
    <w:p>
      <w:pPr>
        <w:spacing w:after="0" w:line="27" w:lineRule="exact"/>
        <w:rPr>
          <w:sz w:val="20"/>
          <w:szCs w:val="20"/>
          <w:color w:val="auto"/>
        </w:rPr>
      </w:pPr>
    </w:p>
    <w:p>
      <w:pPr>
        <w:ind w:left="4460" w:right="659" w:hanging="2987"/>
        <w:spacing w:after="0" w:line="267" w:lineRule="auto"/>
        <w:tabs>
          <w:tab w:leader="none" w:pos="444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There is no limitation on our ability to raise funds privately or through loans in connection with our initial business combination. 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do not currently intend to purchase multiple businesses in unrelated industries in conjunction with our initial business combination, although there is no assurance that will be the case.</w:t>
      </w:r>
    </w:p>
    <w:p>
      <w:pPr>
        <w:spacing w:after="0" w:line="7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our board of directors is not able to independently determine the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fair market value of the target business or businesses, we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obtain an opinion from an independent investment banking firm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that is a member of FINRA or from an independent accounting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firm. We will complete our initial business combination only if the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39"/>
        <w:spacing w:after="0" w:line="267" w:lineRule="auto"/>
        <w:rPr>
          <w:sz w:val="20"/>
          <w:szCs w:val="20"/>
          <w:color w:val="auto"/>
        </w:rPr>
      </w:pPr>
      <w:r>
        <w:rPr>
          <w:rFonts w:ascii="Arial" w:cs="Arial" w:eastAsia="Arial" w:hAnsi="Arial"/>
          <w:sz w:val="17"/>
          <w:szCs w:val="17"/>
          <w:color w:val="auto"/>
        </w:rPr>
        <w:t>post-transaction company in which our public stockholders own shares will own or acquire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00" w:lineRule="exact"/>
        <w:rPr>
          <w:sz w:val="20"/>
          <w:szCs w:val="20"/>
          <w:color w:val="auto"/>
        </w:rPr>
      </w:pPr>
    </w:p>
    <w:p>
      <w:pPr>
        <w:spacing w:after="0" w:line="314" w:lineRule="exact"/>
        <w:rPr>
          <w:sz w:val="20"/>
          <w:szCs w:val="20"/>
          <w:color w:val="auto"/>
        </w:rPr>
      </w:pPr>
    </w:p>
    <w:p>
      <w:pPr>
        <w:ind w:left="6" w:right="659"/>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w:t>
      </w:r>
    </w:p>
    <w:p>
      <w:pPr>
        <w:spacing w:after="0" w:line="1" w:lineRule="exact"/>
        <w:rPr>
          <w:sz w:val="20"/>
          <w:szCs w:val="20"/>
          <w:color w:val="auto"/>
        </w:rPr>
      </w:pPr>
    </w:p>
    <w:p>
      <w:pPr>
        <w:ind w:left="6" w:right="659"/>
        <w:spacing w:after="0" w:line="266" w:lineRule="auto"/>
        <w:rPr>
          <w:sz w:val="20"/>
          <w:szCs w:val="20"/>
          <w:color w:val="auto"/>
        </w:rPr>
      </w:pPr>
      <w:r>
        <w:rPr>
          <w:rFonts w:ascii="Arial" w:cs="Arial" w:eastAsia="Arial" w:hAnsi="Arial"/>
          <w:sz w:val="17"/>
          <w:szCs w:val="17"/>
          <w:color w:val="auto"/>
        </w:rPr>
        <w:t>— Permitted purchases of our securities” for a description of how such persons will determine from which stockholders to seek to acquire securities. There is no limit on the number of shares or warrants such persons may purchase, or any restriction on the price that they may pay. Any such price per share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officers, advisors or any of their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Prior to the consummation of this offering, we will adopt an insider trading policy which will require insiders to:</w:t>
      </w:r>
    </w:p>
    <w:p>
      <w:pPr>
        <w:spacing w:after="0" w:line="79" w:lineRule="exact"/>
        <w:rPr>
          <w:sz w:val="20"/>
          <w:szCs w:val="20"/>
          <w:color w:val="auto"/>
        </w:rPr>
      </w:pPr>
    </w:p>
    <w:p>
      <w:pPr>
        <w:ind w:left="6" w:right="719" w:hanging="6"/>
        <w:spacing w:after="0" w:line="277" w:lineRule="auto"/>
        <w:tabs>
          <w:tab w:leader="none" w:pos="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w:t>
      </w:r>
    </w:p>
    <w:p>
      <w:pPr>
        <w:spacing w:after="0" w:line="200" w:lineRule="exact"/>
        <w:rPr>
          <w:sz w:val="20"/>
          <w:szCs w:val="20"/>
          <w:color w:val="auto"/>
        </w:rPr>
      </w:pPr>
    </w:p>
    <w:p>
      <w:pPr>
        <w:sectPr>
          <w:pgSz w:w="11900" w:h="16838" w:orient="portrait"/>
          <w:cols w:equalWidth="0" w:num="2">
            <w:col w:w="4000" w:space="454"/>
            <w:col w:w="5686"/>
          </w:cols>
          <w:pgMar w:left="320" w:top="131" w:right="1440" w:bottom="1440" w:gutter="0" w:footer="0" w:header="0"/>
          <w:type w:val="continuous"/>
        </w:sect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59" w:hanging="6"/>
        <w:spacing w:after="0" w:line="254"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4" w:lineRule="exact"/>
        <w:rPr>
          <w:sz w:val="20"/>
          <w:szCs w:val="20"/>
          <w:color w:val="auto"/>
        </w:rPr>
      </w:pPr>
    </w:p>
    <w:p>
      <w:pPr>
        <w:ind w:left="6" w:right="679"/>
        <w:spacing w:after="0" w:line="253" w:lineRule="auto"/>
        <w:rPr>
          <w:sz w:val="20"/>
          <w:szCs w:val="20"/>
          <w:color w:val="auto"/>
        </w:rPr>
      </w:pPr>
      <w:r>
        <w:rPr>
          <w:rFonts w:ascii="Arial" w:cs="Arial" w:eastAsia="Arial" w:hAnsi="Arial"/>
          <w:sz w:val="18"/>
          <w:szCs w:val="18"/>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respective affiliates will be restricted from making purchases if such purchases would violate Section 9(a)(2) or Rule 10b-5 of the Exchange Act.</w:t>
      </w:r>
    </w:p>
    <w:p>
      <w:pPr>
        <w:spacing w:after="0" w:line="86" w:lineRule="exact"/>
        <w:rPr>
          <w:sz w:val="20"/>
          <w:szCs w:val="20"/>
          <w:color w:val="auto"/>
        </w:rPr>
      </w:pPr>
    </w:p>
    <w:p>
      <w:pPr>
        <w:ind w:left="6" w:right="659"/>
        <w:spacing w:after="0" w:line="269" w:lineRule="auto"/>
        <w:rPr>
          <w:sz w:val="20"/>
          <w:szCs w:val="20"/>
          <w:color w:val="auto"/>
        </w:rPr>
      </w:pPr>
      <w:r>
        <w:rPr>
          <w:rFonts w:ascii="Arial" w:cs="Arial" w:eastAsia="Arial" w:hAnsi="Arial"/>
          <w:sz w:val="17"/>
          <w:szCs w:val="17"/>
          <w:color w:val="auto"/>
        </w:rPr>
        <w:t>We expect that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7" w:lineRule="exact"/>
        <w:rPr>
          <w:sz w:val="20"/>
          <w:szCs w:val="20"/>
          <w:color w:val="auto"/>
        </w:rPr>
      </w:pPr>
    </w:p>
    <w:p>
      <w:pPr>
        <w:ind w:left="6" w:right="65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12" w:lineRule="exact"/>
        <w:rPr>
          <w:sz w:val="20"/>
          <w:szCs w:val="20"/>
          <w:color w:val="auto"/>
        </w:rPr>
      </w:pPr>
    </w:p>
    <w:p>
      <w:pPr>
        <w:ind w:left="6" w:right="699"/>
        <w:spacing w:after="0" w:line="286"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w:t>
      </w:r>
    </w:p>
    <w:p>
      <w:pPr>
        <w:spacing w:after="0" w:line="200" w:lineRule="exact"/>
        <w:rPr>
          <w:sz w:val="20"/>
          <w:szCs w:val="20"/>
          <w:color w:val="auto"/>
        </w:rPr>
      </w:pPr>
    </w:p>
    <w:p>
      <w:pPr>
        <w:sectPr>
          <w:pgSz w:w="11900" w:h="16838" w:orient="portrait"/>
          <w:cols w:equalWidth="0" w:num="2">
            <w:col w:w="3860" w:space="594"/>
            <w:col w:w="5686"/>
          </w:cols>
          <w:pgMar w:left="320" w:top="131" w:right="1440"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cash, equal to the aggregate amount then on deposit in the trust</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account as of two business days prior to the consummation of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initial business combination, including interest (net of permitted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withdrawals), divided by the number of then outstanding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subject to the limitations described herein. The amount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trust account is initially anticipated to be $10.00 per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 The per share amount we will distribute to investors who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properly redeem their shares will not be reduced by the deferred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underwriting commissions we will pay to the underwriters.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right will include the requirement that any beneficial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owner on whose behalf a redemption right is being exercised must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identify itself in order to validly redeem its shares. Each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 may elect to redeem its public shares without voting,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if they do vote, irrespective of whether they vote for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against the proposed transaction. There will be no redemption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rights upon the completion of our initial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with respect to our warrants. Our sponsor, officers and directors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entered into a letter agreement with us, pursuant to which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they have agreed to waive their redemption rights with respect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founder shares and any public shares held by them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4460" w:right="67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redemptions</w:t>
      </w:r>
      <w:r>
        <w:rPr>
          <w:sz w:val="20"/>
          <w:szCs w:val="20"/>
          <w:color w:val="auto"/>
        </w:rPr>
        <w:tab/>
      </w: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a stockholder vote is not required and we do not decide to hold</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stockholder vote for business or other reasons, we will,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our amended and restated certificate of incorporation:</w:t>
      </w:r>
    </w:p>
    <w:p>
      <w:pPr>
        <w:spacing w:after="0" w:line="103" w:lineRule="exact"/>
        <w:rPr>
          <w:sz w:val="20"/>
          <w:szCs w:val="20"/>
          <w:color w:val="auto"/>
        </w:rPr>
      </w:pPr>
    </w:p>
    <w:p>
      <w:pPr>
        <w:jc w:val="both"/>
        <w:ind w:left="5180" w:right="999" w:hanging="366"/>
        <w:spacing w:after="0" w:line="263" w:lineRule="auto"/>
        <w:tabs>
          <w:tab w:leader="none" w:pos="5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5180" w:right="1159" w:hanging="366"/>
        <w:spacing w:after="0" w:line="308" w:lineRule="auto"/>
        <w:tabs>
          <w:tab w:leader="none" w:pos="5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contain substantially the same financial and other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information about the initial business combination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redemption rights as is required under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Regulation 14A of the Exchange Act, which regulates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solicitation of proxies.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the public announcement of our initial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if we elect to conduct redemptions pursuant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tender offer rules, we and our sponsor will terminate any plan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established in accordance with Rule 10b5-1 to purchase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Class A common stock in the open market, in order to comply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Rule 14e-5 under the Exchange Act.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the event we conduct redemptions pursuant to the tender offer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rules, our offer to redeem will remain open for at least 20 business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days, in accordance with Rule 14e-1(a) under the Exchange Act,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we will not be permitted to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until the expiration of the tender offer period.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 the tender offer will be conditioned on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stockholders not tendering more than a specified number of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which number will be based on the requirement that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not redeem public shares in an amount that would cause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net tangible assets, after payment of the deferred underwriting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commissions, to be less than $5,000,001 (so that we do not then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subject to the SEC’s “penny stock” rules), or any greater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tangible asset or cash requirement which may be contained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agreement relating to our initial business combination.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stockholders tender more shares than we have offered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purchase, we will withdraw the tender offer and not complete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however, stockholder approval of the transaction is required by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listing requirement, or we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decide to obtain stockholder approval for business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reasons, we will:</w:t>
      </w:r>
    </w:p>
    <w:p>
      <w:pPr>
        <w:spacing w:after="0" w:line="103" w:lineRule="exact"/>
        <w:rPr>
          <w:sz w:val="20"/>
          <w:szCs w:val="20"/>
          <w:color w:val="auto"/>
        </w:rPr>
      </w:pPr>
    </w:p>
    <w:p>
      <w:pPr>
        <w:ind w:left="5180" w:right="719" w:hanging="366"/>
        <w:spacing w:after="0" w:line="279" w:lineRule="auto"/>
        <w:tabs>
          <w:tab w:leader="none" w:pos="5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63" w:lineRule="exact"/>
        <w:rPr>
          <w:rFonts w:ascii="Arial" w:cs="Arial" w:eastAsia="Arial" w:hAnsi="Arial"/>
          <w:sz w:val="17"/>
          <w:szCs w:val="17"/>
          <w:color w:val="auto"/>
        </w:rPr>
      </w:pPr>
    </w:p>
    <w:p>
      <w:pPr>
        <w:ind w:left="5180" w:hanging="366"/>
        <w:spacing w:after="0"/>
        <w:tabs>
          <w:tab w:leader="none" w:pos="5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expect that a final proxy statement would be mailed to public</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at least 10 days prior to the stockholder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we expect that a draft proxy statement would be made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available to such stockholders well in advance of such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providing additional notice of redemption if we conduct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redemptions in conjunction with a proxy solicitation. Although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are not required to do so, we currently intend to comply with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substantive and procedural requirements of Regulation 14A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any stockholder vote even if we are not able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maintain our NYSE listing or Exchange Act registration.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If we seek stockholder approval, unless otherwise required 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regulation or stock exchange rules, we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complete our initial business combination only if a majority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outstanding shares of common stock voted are voted in favor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99"/>
        <w:spacing w:after="0" w:line="251" w:lineRule="auto"/>
        <w:rPr>
          <w:sz w:val="20"/>
          <w:szCs w:val="20"/>
          <w:color w:val="auto"/>
        </w:rPr>
      </w:pPr>
      <w:r>
        <w:rPr>
          <w:rFonts w:ascii="Arial" w:cs="Arial" w:eastAsia="Arial" w:hAnsi="Arial"/>
          <w:sz w:val="18"/>
          <w:szCs w:val="18"/>
          <w:color w:val="auto"/>
        </w:rPr>
        <w:t>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We expect that at the time of any stockholder vote relating to our initial business combination, our initial stockholders and their permitted transferees will own at least 20% of our outstanding shares of common stock entitled to vote thereon. As a result, in addition to our initial stockholders’ founder shares, we would need 37,500,001, or 37.5%, of the 100,000,000 public shares sold in this offering to be voted in favor of a transaction (assuming all issued and outstanding shares are voted and the option to purchase additional units is not exercised) in order to have such initial business combination approved. These quorum and voting thresholds and agreements may make it more likely that we will consummate our initial business combination.</w:t>
      </w:r>
    </w:p>
    <w:p>
      <w:pPr>
        <w:spacing w:after="0" w:line="98"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common stock submitted for redemption will be returned to the holders thereof.</w:t>
      </w:r>
    </w:p>
    <w:p>
      <w:pPr>
        <w:spacing w:after="0" w:line="200" w:lineRule="exact"/>
        <w:rPr>
          <w:sz w:val="20"/>
          <w:szCs w:val="20"/>
          <w:color w:val="auto"/>
        </w:rPr>
      </w:pPr>
    </w:p>
    <w:p>
      <w:pPr>
        <w:spacing w:after="0" w:line="309" w:lineRule="exact"/>
        <w:rPr>
          <w:sz w:val="20"/>
          <w:szCs w:val="20"/>
          <w:color w:val="auto"/>
        </w:rPr>
      </w:pPr>
    </w:p>
    <w:p>
      <w:pPr>
        <w:ind w:right="679"/>
        <w:spacing w:after="0" w:line="270"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right="14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70" w:lineRule="auto"/>
        <w:rPr>
          <w:sz w:val="20"/>
          <w:szCs w:val="20"/>
          <w:color w:val="auto"/>
        </w:rPr>
      </w:pPr>
      <w:r>
        <w:rPr>
          <w:rFonts w:ascii="Arial" w:cs="Arial" w:eastAsia="Arial" w:hAnsi="Arial"/>
          <w:sz w:val="17"/>
          <w:szCs w:val="17"/>
          <w:color w:val="auto"/>
        </w:rPr>
        <w:t>(Deposit/Withdrawal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 business combination if such holder’s shares are not purchased by us or our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79"/>
        <w:spacing w:after="0" w:line="273"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pre-business combination activity (including the requirement to fund the trust account and not release such amounts except in specified circumstances and to provide redemption rights to public stockholders as described herein) may be amended if approved by</w:t>
      </w:r>
    </w:p>
    <w:p>
      <w:pPr>
        <w:spacing w:after="0" w:line="200" w:lineRule="exact"/>
        <w:rPr>
          <w:sz w:val="20"/>
          <w:szCs w:val="20"/>
          <w:color w:val="auto"/>
        </w:rPr>
      </w:pPr>
    </w:p>
    <w:p>
      <w:pPr>
        <w:sectPr>
          <w:pgSz w:w="11900" w:h="16838" w:orient="portrait"/>
          <w:cols w:equalWidth="0" w:num="2">
            <w:col w:w="3980" w:space="480"/>
            <w:col w:w="5679"/>
          </w:cols>
          <w:pgMar w:left="320" w:top="131" w:right="1440"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holders of at least 65% of our common stock, and corresponding provisions of the trust agreement governing the release of funds from our trust account may be amended if approved by holders of 65% of our common stock. In all other instances (other than the election of directors), our amended and restated certificate of incorporation will provide that it may be amended by holders of a majority of our common stock entitled to vote thereon, subject to applicable provisions of the Delaware General Corporation Law, or DGCL, or applicable stock exchange rules. Prior to an initial business combination,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may choose. 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common stock upon approval of any such amendment at a per share price, payable in cash, equal to the aggregate amount then on deposit in the trust account, including interest (net of permitted withdrawals),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Any permitted transferees would be subject to the same restrictions and other agreements of our initial stockholders with respect to any founder shares.</w:t>
      </w:r>
    </w:p>
    <w:p>
      <w:pPr>
        <w:spacing w:after="0" w:line="200" w:lineRule="exact"/>
        <w:rPr>
          <w:sz w:val="20"/>
          <w:szCs w:val="20"/>
          <w:color w:val="auto"/>
        </w:rPr>
      </w:pPr>
    </w:p>
    <w:p>
      <w:pPr>
        <w:spacing w:after="0" w:line="315"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“Proposed Business —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60" w:hanging="179"/>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79"/>
        <w:spacing w:after="0" w:line="254" w:lineRule="auto"/>
        <w:rPr>
          <w:sz w:val="20"/>
          <w:szCs w:val="20"/>
          <w:color w:val="auto"/>
        </w:rPr>
      </w:pPr>
      <w:r>
        <w:rPr>
          <w:rFonts w:ascii="Arial" w:cs="Arial" w:eastAsia="Arial" w:hAnsi="Arial"/>
          <w:sz w:val="18"/>
          <w:szCs w:val="18"/>
          <w:color w:val="auto"/>
        </w:rPr>
        <w:t>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319"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amended and restated certificate of incorporation provides that we will have only the completion window to complete our initial business combination. If we are unable to complete our initial business combination within the completion window, we will: (1) cease all operations except for the purpose of winding up;</w:t>
      </w:r>
    </w:p>
    <w:p>
      <w:pPr>
        <w:spacing w:after="0" w:line="3" w:lineRule="exact"/>
        <w:rPr>
          <w:sz w:val="20"/>
          <w:szCs w:val="20"/>
          <w:color w:val="auto"/>
        </w:rPr>
      </w:pPr>
    </w:p>
    <w:p>
      <w:pPr>
        <w:ind w:left="6" w:right="659" w:hanging="6"/>
        <w:spacing w:after="0" w:line="266" w:lineRule="auto"/>
        <w:tabs>
          <w:tab w:leader="none" w:pos="2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83"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directors or any of their respective affiliates acquires public shares after this offering,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w:t>
      </w:r>
    </w:p>
    <w:p>
      <w:pPr>
        <w:spacing w:after="0" w:line="72" w:lineRule="exact"/>
        <w:rPr>
          <w:sz w:val="20"/>
          <w:szCs w:val="20"/>
          <w:color w:val="auto"/>
        </w:rPr>
      </w:pPr>
    </w:p>
    <w:p>
      <w:pPr>
        <w:ind w:left="6" w:right="759"/>
        <w:spacing w:after="0" w:line="273"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w:t>
      </w:r>
    </w:p>
    <w:p>
      <w:pPr>
        <w:spacing w:after="0" w:line="200" w:lineRule="exact"/>
        <w:rPr>
          <w:sz w:val="20"/>
          <w:szCs w:val="20"/>
          <w:color w:val="auto"/>
        </w:rPr>
      </w:pPr>
    </w:p>
    <w:p>
      <w:pPr>
        <w:sectPr>
          <w:pgSz w:w="11900" w:h="16838" w:orient="portrait"/>
          <w:cols w:equalWidth="0" w:num="2">
            <w:col w:w="3860" w:space="594"/>
            <w:col w:w="5686"/>
          </w:cols>
          <w:pgMar w:left="320" w:top="131" w:right="1440" w:bottom="1440" w:gutter="0" w:footer="0" w:header="0"/>
          <w:type w:val="continuous"/>
        </w:sect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 if we do not complete our initial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within the completion window, unless we provide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stockholders with the opportunity to redeem their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upon approval of any such amendment at a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 price, payable in cash, equal to the aggregate amount then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 deposit in the trust account, including interest (net of permitted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withdrawals and up to $100,000 of interest to pay dissolution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expenses), divided by the number of then outstanding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There will be no finder’s fees, reimbursement, consulting fee,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monies in respect of any payment of a loan or other compensation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paid by us to our sponsor, officers or directors or our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respective affiliates, for services rendered to us prior to or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(regardless of the type of transaction that it 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the following payments may be made to our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officers or directors, or our or their affiliates, and, if made prior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initial business combination will be made from (i) funds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outside the trust account or (ii) permitted withdrawals: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an aggregate of up to $600,000 in loans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made to us by our sponsor to cover offering-related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organizational expenses;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the closing of our initial business combination, 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customary financial advisory fee to M. Klein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another affiliate of our sponsor, in an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amount that constitutes a market standard financial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advisory fee for comparable transactions;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to an affiliate of our sponsor of a total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$50,000 per month, for up to 27 months, for office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space, administrative and support services;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for any out-of-pocket expenses related to</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identifying, investigating and completing an initial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sponsor,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 affiliate of our sponsor or our officers and directors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finance transaction costs in connection with an intended</w:t>
      </w:r>
    </w:p>
    <w:p>
      <w:pPr>
        <w:spacing w:after="0" w:line="21"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initial business combination, the terms of which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been determined nor have any written agreements been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executed with respect thereto. Up to $1,500,000 of such</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loans may be convertible into warrants of the post-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entity at a price of $1.00 per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warrant at the option of the lender.</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audit committee will review on a quarterly basis all payments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were made by us to our sponsor, officers or directors or our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their respective affiliates.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7"/>
          <w:szCs w:val="17"/>
          <w:color w:val="auto"/>
        </w:rPr>
        <w:t>Prior to the effectiveness of this registration statement, we will</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established and will maintain an audit committee to, among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things, monitor compliance with the terms described above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the other terms relating to this offering. If any</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noncompliance is identified, then the audit committee will be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charged with the responsibility to immediately take all action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necessary to rectify such noncompliance or otherwise to cause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compliance with the terms of this offering. Please see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“Management — Committees of the Board of Directors — Audit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Committee” for additional information.</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7"/>
          <w:szCs w:val="17"/>
          <w:color w:val="auto"/>
        </w:rPr>
        <w:t>Mr. Klein is the founder and managing partner of M. Klein and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 and acts as a strategic advisor to its clients. M.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Company is an affiliate of our sponsor. Mr. Klein has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duty to M. Klein and Company. As a result,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 Klein and Company. Mr. Klein will have no duty to offer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acquisition opportunities to the Company unless presented to him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solely in his capacity as an officer or director of the Company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after he has satisfied his contractual and fiduciary obligations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 a result, M. Klein and Company’s clients may compete with us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acquisition opportunities in the same industries and sectors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may target for our initial business combination. If any of them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decide to pursue any such opportunity, we may be precluded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procuring such opportunities. In addition, investment ideas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generated within M. Klein and Company, including by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other persons who may make decisions for the company,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 suitable both for us and for M. Klein and Company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its clients, and will be directed initially to such persons rather than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us. None of Mr. Klein, M. Klein and Company or members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management team who are also employed by M. Klein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have any obligation to present us with any opportunity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 potential business combination of which they become aware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unless it is offered to them solely in their capacity as a director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officer of the Company and after they have satisfied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contractual and fiduciary obligations to 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Strategic and Operating Partners and their personnel, if any,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parties. Such persons will have no duty to offer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to the Company unless presented to them solely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capacity as a director of the Company and after they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satisfied any contractual and fiduciary obligations to other parties.</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result, such persons may compete with us for acquisition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in the same industries and sectors as we may target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for our initial business combination. Consequently, we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precluded from procuring such opportunities. In addition,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investment ideas may be suitable both for us and for a Strategic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Partner or Operating Partner or any of its clients, and will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directed initially to such persons rather than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Mr. Klein, M. Klein and Company and any of our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Strategic and Operating Partners or their personnel may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form other blank check companies similar to ours during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period in which we are seeking an initial business combination.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particular, Mr. Klein, M. Klein and Company, our Strategic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Operating Partners and our board of directors, actively engaged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Churchill Capital Corp II and Churchill Capital Corp III,</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special purpose acquisition corporations that completed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public offerings in July 2019 and February 2020,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respectively. Churchill Capital Corp II and Churchill Capital Corp</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III, like us, may pursue initial business combination targets in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businesses or industries and have until July 1, 2021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February 19, 2022, respectively, to do so (absent an extension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accordance with their charters). Any such companies, including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may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additional conflicts of interest in pursuing an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target.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Furthermore, our sponsor, officers and directors may participate in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formation of, or become an officer or director of, any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blank check company prior to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As a result, our sponsor, officers or directors could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have conflicts of interest in determining whether to present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opportunities to us or to any other blank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check company with which they may become involved.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also may engage M. Klein and Company, or another affiliate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our sponsor, as our lead financial advisor in connection with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and may pay such affiliate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customary financial advisory fee in an amount that constitutes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market standard financial advisory fee for comparable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transactions. See “Risk Factors — We may engage M. Klein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or another affiliate of our sponsor, as our lead financial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advisor on our business combinations and other transactions.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fee in connection with such engagement may be conditioned upon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completion of such transactions. This financial interest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such transactions may influence the advice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affiliate provides.”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described in “Proposed Business — Sourcing of Potential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Targets” and “Management — Conflicts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 each of our officers and directors presently has,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them in the future may have additional, fiduciary, contractual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obligations or duties to one or more other entities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such officer or director is or will be required to present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opportunity to such entities. Accordingly,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our officers or directors becomes aware of a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opportunity which is suitable for one or more entities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he or she has fiduciary, contractual or other obligations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duties, he or she will honor these obligations and duties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 such business combination opportunity to such entities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first, and only present it to us if such entities reject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and he or she determines to present the opportunity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(including as described above). These conflicts may not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resolved in our favor and a potential target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none of the Operating Partners are officers 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directors of our company and therefore owe us no fiduciary duties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such. While we expect that they will assist us in identifying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targets, they have no obligation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do so and may devote a substantial portion of their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time to activities unrelated to us. Each Operating Partner may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fiduciary, contractual or other obligations or duties to other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organizations to present business combination opportunities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other organizations rather than to us. Accordingly,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Operating Partner becomes aware of a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which is suitable for one or more entities to which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or she has fiduciary, contractual or other obligations or duties,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she will honor those obligations and duties to present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opportunity to such entities first and only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it to us if such entities reject the opportunity and he or she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determines to present the opportunity to us. These conflicts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be resolved in our favor and a potential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potential conflicts described above may limit our ability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enter into a business combination or other transactions. These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circumstances could give rise to numerous situations where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may conflict. There can be no assurance that these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conflicts of interest with the potential for adverse effects 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and investors will not arise.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Indemnity</w:t>
      </w:r>
      <w:r>
        <w:rPr>
          <w:sz w:val="20"/>
          <w:szCs w:val="20"/>
          <w:color w:val="auto"/>
        </w:rPr>
        <w:tab/>
      </w:r>
      <w:r>
        <w:rPr>
          <w:rFonts w:ascii="Arial" w:cs="Arial" w:eastAsia="Arial" w:hAnsi="Arial"/>
          <w:sz w:val="18"/>
          <w:szCs w:val="18"/>
          <w:color w:val="auto"/>
        </w:rPr>
        <w:t>Our sponsor has agreed that it will be liable to us if and to the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extent any claims by a third party (other than our independent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registered public accounting firm) for services rendered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products sold to us, or a prospective target business with which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have entered into a written letter of intent, confidentiality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similar agreement or business combination agreement, reduce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amount of funds in the trust account to below: (1)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share; or (2) the actual amount per public share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as of the date of the liquidation of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less than $10.00 per share due to reductions in the value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assets, in each case net of permitted withdrawals, except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any claims by a third party that executed a waiver of 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all rights to the monies held in the trust account (whether any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waiver is enforceable) and except as to any claims under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indemnity of the underwriters of this offering against certain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liabilities, including liabilities under the Securities Act. We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independently verified whether our sponsor has sufficient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funds to satisfy its indemnity obligations and believe that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sponsor’s only assets are securities of our company and, therefore,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may not be able to satisfy those obligations. We have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asked our sponsor to reserve for such obligations.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08" w:lineRule="exact"/>
        <w:rPr>
          <w:sz w:val="20"/>
          <w:szCs w:val="20"/>
          <w:color w:val="auto"/>
        </w:rPr>
      </w:pPr>
    </w:p>
    <w:p>
      <w:pPr>
        <w:ind w:left="1280" w:right="679" w:firstLine="360"/>
        <w:spacing w:after="0" w:line="273"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9" w:lineRule="auto"/>
        <w:rPr>
          <w:sz w:val="20"/>
          <w:szCs w:val="20"/>
          <w:color w:val="auto"/>
        </w:rPr>
      </w:pPr>
      <w:r>
        <w:rPr>
          <w:rFonts w:ascii="Arial" w:cs="Arial" w:eastAsia="Arial" w:hAnsi="Arial"/>
          <w:sz w:val="18"/>
          <w:szCs w:val="18"/>
          <w:color w:val="auto"/>
        </w:rPr>
        <w:t>Rule 419 blank check offerings. Please see “Proposed Business — Comparison of This Offering to Those of Blank Check Companies Subject to Rule 419” for additional information concerning how Rule 419 blank check offerings differ from this offering. You should carefully consider these and the other risks set forth in the section entitled “Risk Factors” in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Financial Data</w:t>
      </w:r>
    </w:p>
    <w:p>
      <w:pPr>
        <w:spacing w:after="0" w:line="18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As of May 22, 2020</w:t>
            </w:r>
          </w:p>
        </w:tc>
      </w:tr>
      <w:tr>
        <w:trPr>
          <w:trHeight w:val="26"/>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As Adjusted</w:t>
            </w:r>
          </w:p>
        </w:tc>
      </w:tr>
      <w:tr>
        <w:trPr>
          <w:trHeight w:val="26"/>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6180" w:type="dxa"/>
            <w:vAlign w:val="bottom"/>
          </w:tcPr>
          <w:p>
            <w:pPr>
              <w:spacing w:after="0" w:line="27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(34,000)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965,024,000</w:t>
            </w:r>
          </w:p>
        </w:tc>
      </w:tr>
      <w:tr>
        <w:trPr>
          <w:trHeight w:val="270"/>
        </w:trPr>
        <w:tc>
          <w:tcPr>
            <w:tcW w:w="61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1,000,024,000</w:t>
            </w:r>
          </w:p>
        </w:tc>
      </w:tr>
      <w:tr>
        <w:trPr>
          <w:trHeight w:val="270"/>
        </w:trPr>
        <w:tc>
          <w:tcPr>
            <w:tcW w:w="6180" w:type="dxa"/>
            <w:vAlign w:val="bottom"/>
          </w:tcPr>
          <w:p>
            <w:pPr>
              <w:spacing w:after="0" w:line="270" w:lineRule="exact"/>
              <w:rPr>
                <w:sz w:val="20"/>
                <w:szCs w:val="20"/>
                <w:color w:val="auto"/>
              </w:rPr>
            </w:pPr>
            <w:r>
              <w:rPr>
                <w:rFonts w:ascii="Arial" w:cs="Arial" w:eastAsia="Arial" w:hAnsi="Arial"/>
                <w:sz w:val="18"/>
                <w:szCs w:val="18"/>
                <w:color w:val="auto"/>
              </w:rPr>
              <w:t>Total liabilities</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59,000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35,000,000</w:t>
            </w:r>
          </w:p>
        </w:tc>
      </w:tr>
      <w:tr>
        <w:trPr>
          <w:trHeight w:val="270"/>
        </w:trPr>
        <w:tc>
          <w:tcPr>
            <w:tcW w:w="61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6"/>
                <w:szCs w:val="26"/>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960,023,990</w:t>
            </w:r>
          </w:p>
        </w:tc>
      </w:tr>
      <w:tr>
        <w:trPr>
          <w:trHeight w:val="355"/>
        </w:trPr>
        <w:tc>
          <w:tcPr>
            <w:tcW w:w="6180" w:type="dxa"/>
            <w:vAlign w:val="bottom"/>
          </w:tcPr>
          <w:p>
            <w:pPr>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26"/>
                <w:szCs w:val="26"/>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-1082040</wp:posOffset>
            </wp:positionV>
            <wp:extent cx="44831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right="81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includes $1,000,000,000 cash held in trust from the proceeds of this offering and the sale of the private placement warrants, plus $24,000 of actual stockholders’ equity as of May 22, 2020, less $35,000,000 of deferred underwriting commissions.</w:t>
      </w:r>
    </w:p>
    <w:p>
      <w:pPr>
        <w:spacing w:after="0" w:line="143" w:lineRule="exact"/>
        <w:rPr>
          <w:rFonts w:ascii="Arial" w:cs="Arial" w:eastAsia="Arial" w:hAnsi="Arial"/>
          <w:sz w:val="18"/>
          <w:szCs w:val="18"/>
          <w:color w:val="auto"/>
        </w:rPr>
      </w:pPr>
    </w:p>
    <w:p>
      <w:pPr>
        <w:ind w:left="1620" w:right="81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equals $1,000,000,000 cash held in trust from the proceeds of this offering and the sale of the private placement warrants, plus $24,000 of actual stockholders’ equity as of May 22,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includes $35,000,000 of deferred underwriting commissions.</w:t>
      </w:r>
    </w:p>
    <w:p>
      <w:pPr>
        <w:spacing w:after="0" w:line="198" w:lineRule="exact"/>
        <w:rPr>
          <w:rFonts w:ascii="Arial" w:cs="Arial" w:eastAsia="Arial" w:hAnsi="Arial"/>
          <w:sz w:val="18"/>
          <w:szCs w:val="18"/>
          <w:color w:val="auto"/>
        </w:rPr>
      </w:pPr>
    </w:p>
    <w:p>
      <w:pPr>
        <w:ind w:left="1620" w:right="101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stockholders’ equity, which is set to approximate the minimum net tangible assets threshold of at least $5,000,001.</w:t>
      </w:r>
    </w:p>
    <w:p>
      <w:pPr>
        <w:spacing w:after="0" w:line="143" w:lineRule="exact"/>
        <w:rPr>
          <w:rFonts w:ascii="Arial" w:cs="Arial" w:eastAsia="Arial" w:hAnsi="Arial"/>
          <w:sz w:val="18"/>
          <w:szCs w:val="18"/>
          <w:color w:val="auto"/>
        </w:rPr>
      </w:pPr>
    </w:p>
    <w:p>
      <w:pPr>
        <w:ind w:left="1620" w:right="659" w:hanging="352"/>
        <w:spacing w:after="0" w:line="273" w:lineRule="auto"/>
        <w:tabs>
          <w:tab w:leader="none" w:pos="1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96,002,399 public shares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(initially $10.00 per share). The actual number of public shares that may be redeemed may exceed the aforementioned amount provided that we will not consummate an initial business combination unless we satisfy the $5,000,001 minimum net tangible assets threshold.</w:t>
      </w:r>
    </w:p>
    <w:p>
      <w:pPr>
        <w:spacing w:after="0" w:line="16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“as adjusted” information gives effect to the sale of the units in this offering, the sale of the private placement warrants, and the payment of the estimated expenses of this offering and assumes no exercise of the underwriters’ over-allotment option. The “as adjusted” total assets amount includes the $1,000,000,000 held in the trust account (which would be $1,150,000,000 if the underwriters’ over-allotment option is exercised in full) for the benefit of our public stockholders, which amount, less deferred underwriting commissions, will be available to us only upon the completion of our initial business combination within the completion window. The “as adjusted” total assets include $35,000,000 being held in the trust account (which would be $40,250,000 if the underwriters’ over-allotment option is exercised in full) representing deferred underwriting commissions. The underwriters will not be entitled to any interest accrued on the deferred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7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a newly incorporated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72" w:lineRule="exact"/>
        <w:rPr>
          <w:sz w:val="20"/>
          <w:szCs w:val="20"/>
          <w:color w:val="auto"/>
        </w:rPr>
      </w:pPr>
    </w:p>
    <w:p>
      <w:pPr>
        <w:ind w:left="1260" w:right="799"/>
        <w:spacing w:after="0" w:line="231"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8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39"/>
        <w:spacing w:after="0" w:line="34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37,500,001, or 37.5%, of the 100,000,000 public shares sold in this offering to be voted in favor of a transaction (assuming all issued and outstanding shares are voted and the option to purchase additional units is not exercised)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8" w:lineRule="exact"/>
        <w:rPr>
          <w:sz w:val="20"/>
          <w:szCs w:val="20"/>
          <w:color w:val="auto"/>
        </w:rPr>
      </w:pPr>
    </w:p>
    <w:p>
      <w:pPr>
        <w:ind w:left="1260" w:right="719"/>
        <w:spacing w:after="0" w:line="235"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8"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8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6" w:lineRule="exact"/>
        <w:rPr>
          <w:sz w:val="20"/>
          <w:szCs w:val="20"/>
          <w:color w:val="auto"/>
        </w:rPr>
      </w:pPr>
    </w:p>
    <w:p>
      <w:pPr>
        <w:ind w:left="1260" w:right="979"/>
        <w:spacing w:after="0" w:line="400"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65"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83"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8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the completion window.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ind w:left="1260" w:right="899"/>
        <w:spacing w:after="0" w:line="266"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8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 If third parties bring claims against us, the proceeds held in the trust account could be reduced and the per share redemption amount received by stockholders may be less than $10.00 per share” and other risk factors herein.</w:t>
      </w:r>
    </w:p>
    <w:p>
      <w:pPr>
        <w:spacing w:after="0" w:line="7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permitted withdrawals and other sources of working capital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$1,250,000, we may fund such excess with loans or additional investments from our sponsor, members of our management team or any of their respective affiliates or other third parties. Conversely, in the event that the offering expenses are less than our estimate of $1,250,000, the excess would be held outside of the trust account.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6" w:lineRule="exact"/>
        <w:rPr>
          <w:sz w:val="20"/>
          <w:szCs w:val="20"/>
          <w:color w:val="auto"/>
        </w:rPr>
      </w:pPr>
    </w:p>
    <w:p>
      <w:pPr>
        <w:jc w:val="both"/>
        <w:ind w:left="1260" w:right="659"/>
        <w:spacing w:after="0" w:line="30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3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 — Permitted purchases of our securities” for a description of how such persons will determine from which stockholders to seek to acquire shares or warrants. Such a purchase may include a contractual acknowledgement that such public stockholder, although still the record holder of our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92"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52" w:lineRule="exact"/>
        <w:rPr>
          <w:sz w:val="20"/>
          <w:szCs w:val="20"/>
          <w:color w:val="auto"/>
        </w:rPr>
      </w:pPr>
    </w:p>
    <w:p>
      <w:pPr>
        <w:jc w:val="both"/>
        <w:ind w:left="1260" w:right="1199"/>
        <w:spacing w:after="0" w:line="235"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80"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Please see “Proposed Business — Tendering stock certificates in connection with a tender offer or redemption rights.”</w:t>
      </w:r>
    </w:p>
    <w:p>
      <w:pPr>
        <w:spacing w:after="0" w:line="171"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intend to apply to have our units listed on the NYSE on or promptly after the date of this prospectus and our Class A common stock and warrants listed on or promptly after their date of separation. Although after giving effect to this offering we expect to meet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71"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If the NYSE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71"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980" w:right="1059" w:hanging="352"/>
        <w:spacing w:after="0" w:line="286"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7" w:lineRule="exact"/>
        <w:rPr>
          <w:rFonts w:ascii="Arial" w:cs="Arial" w:eastAsia="Arial" w:hAnsi="Arial"/>
          <w:sz w:val="17"/>
          <w:szCs w:val="17"/>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11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trust account were released to us in connection with our completion of our initial business combination. Please see “Proposed Business — Comparison of This Offering to Those of Blank Check Companies Subject to Rule 419” for a more detailed comparison of our offering to offerings that comply with Rule 419.</w:t>
      </w:r>
    </w:p>
    <w:p>
      <w:pPr>
        <w:spacing w:after="0" w:line="152" w:lineRule="exact"/>
        <w:rPr>
          <w:sz w:val="20"/>
          <w:szCs w:val="20"/>
          <w:color w:val="auto"/>
        </w:rPr>
      </w:pPr>
    </w:p>
    <w:p>
      <w:pPr>
        <w:ind w:left="1260" w:right="739"/>
        <w:spacing w:after="0" w:line="368"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171"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4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Please see “Proposed Business — Certain Potential Conflicts of Interest Relating to M. Klein and Company” for a discussion on certain limitations related to other resources M. Klein and Company may, but is under no obligation or other duty to, provide us.</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319"/>
        <w:spacing w:after="0" w:line="307" w:lineRule="auto"/>
        <w:rPr>
          <w:sz w:val="20"/>
          <w:szCs w:val="20"/>
          <w:color w:val="auto"/>
        </w:rPr>
      </w:pPr>
      <w:r>
        <w:rPr>
          <w:rFonts w:ascii="Arial" w:cs="Arial" w:eastAsia="Arial" w:hAnsi="Arial"/>
          <w:sz w:val="16"/>
          <w:szCs w:val="16"/>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2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8"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7"/>
          <w:szCs w:val="17"/>
          <w:b w:val="1"/>
          <w:bCs w:val="1"/>
          <w:i w:val="1"/>
          <w:iCs w:val="1"/>
          <w:color w:val="auto"/>
        </w:rPr>
        <w:t>We will depend on permitted withdrawals and loans from our sponsor or management team to fund our search, to pay our taxes and to complete our initial business combination. If we are unable to obtain such loans, we may be unable to complete our initial business combination.</w:t>
      </w:r>
    </w:p>
    <w:p>
      <w:pPr>
        <w:spacing w:after="0" w:line="7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$1,250,000, we may fund such excess with loans or additional investments from our sponsor, members of our management team or any of their respective affiliates or other third parties. Conversely, in the event that the offering expenses are less than our estimate of $1,250,000, the excess would be held outside of the trust account. 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Based upon current interest rates, we expect the trust account to generate approximately $5,000,000 of interest annually (assuming an interest rate of 0.50% per year); however, we can provide no assurances regarding this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8" w:lineRule="exact"/>
        <w:rPr>
          <w:sz w:val="20"/>
          <w:szCs w:val="20"/>
          <w:color w:val="auto"/>
        </w:rPr>
      </w:pPr>
    </w:p>
    <w:p>
      <w:pPr>
        <w:ind w:left="1260" w:right="919"/>
        <w:spacing w:after="0" w:line="307"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2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$10.00 per share initially held in the trust account, due to claims of such creditors.</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8" w:lineRule="exact"/>
        <w:rPr>
          <w:sz w:val="20"/>
          <w:szCs w:val="20"/>
          <w:color w:val="auto"/>
        </w:rPr>
      </w:pPr>
    </w:p>
    <w:p>
      <w:pPr>
        <w:ind w:left="1260" w:right="819"/>
        <w:spacing w:after="0" w:line="343" w:lineRule="auto"/>
        <w:rPr>
          <w:sz w:val="20"/>
          <w:szCs w:val="20"/>
          <w:color w:val="auto"/>
        </w:rPr>
      </w:pPr>
      <w:r>
        <w:rPr>
          <w:rFonts w:ascii="Arial" w:cs="Arial" w:eastAsia="Arial" w:hAnsi="Arial"/>
          <w:sz w:val="15"/>
          <w:szCs w:val="15"/>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73" w:lineRule="exact"/>
        <w:rPr>
          <w:sz w:val="20"/>
          <w:szCs w:val="20"/>
          <w:color w:val="auto"/>
        </w:rPr>
      </w:pPr>
    </w:p>
    <w:p>
      <w:pPr>
        <w:jc w:val="both"/>
        <w:ind w:left="1260" w:right="679"/>
        <w:spacing w:after="0" w:line="346"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78"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4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spacing w:after="0" w:line="286" w:lineRule="auto"/>
        <w:rPr>
          <w:sz w:val="20"/>
          <w:szCs w:val="20"/>
          <w:color w:val="auto"/>
        </w:rPr>
      </w:pPr>
      <w:r>
        <w:rPr>
          <w:rFonts w:ascii="Arial" w:cs="Arial" w:eastAsia="Arial" w:hAnsi="Arial"/>
          <w:sz w:val="17"/>
          <w:szCs w:val="17"/>
          <w:color w:val="auto"/>
        </w:rPr>
        <w:t>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52" w:lineRule="exact"/>
        <w:rPr>
          <w:sz w:val="20"/>
          <w:szCs w:val="20"/>
          <w:color w:val="auto"/>
        </w:rPr>
      </w:pPr>
    </w:p>
    <w:p>
      <w:pPr>
        <w:ind w:left="1260" w:right="759"/>
        <w:spacing w:after="0" w:line="235"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43"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17"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30" w:lineRule="exact"/>
        <w:rPr>
          <w:sz w:val="20"/>
          <w:szCs w:val="20"/>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compliance with other rules and regulations that we are currently not subject to.</w:t>
      </w:r>
    </w:p>
    <w:p>
      <w:pPr>
        <w:spacing w:after="0" w:line="6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long-term. We do not plan to buy businesses or assets with a view to resale or profit from their resale.</w:t>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plan to buy unrelated businesses or assets or to be a passive investor.</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1260" w:right="679"/>
        <w:spacing w:after="0" w:line="266" w:lineRule="auto"/>
        <w:rPr>
          <w:sz w:val="20"/>
          <w:szCs w:val="20"/>
          <w:color w:val="auto"/>
        </w:rPr>
      </w:pPr>
      <w:r>
        <w:rPr>
          <w:rFonts w:ascii="Arial" w:cs="Arial" w:eastAsia="Arial" w:hAnsi="Arial"/>
          <w:sz w:val="17"/>
          <w:szCs w:val="17"/>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approximately $10.00 per share on the liquidation of our trust account and our warrants will expire</w:t>
      </w:r>
    </w:p>
    <w:p>
      <w:pPr>
        <w:sectPr>
          <w:pgSz w:w="11900" w:h="16838" w:orient="portrait"/>
          <w:cols w:equalWidth="0" w:num="1">
            <w:col w:w="10139"/>
          </w:cols>
          <w:pgMar w:left="320" w:top="132"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color w:val="auto"/>
        </w:rPr>
        <w:t>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5" w:lineRule="exact"/>
        <w:rPr>
          <w:sz w:val="20"/>
          <w:szCs w:val="20"/>
          <w:color w:val="auto"/>
        </w:rPr>
      </w:pPr>
    </w:p>
    <w:p>
      <w:pPr>
        <w:ind w:left="1260" w:right="799" w:firstLine="360"/>
        <w:spacing w:after="0" w:line="245"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98"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8"/>
          <w:szCs w:val="18"/>
          <w:color w:val="auto"/>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43" w:lineRule="auto"/>
        <w:rPr>
          <w:sz w:val="20"/>
          <w:szCs w:val="20"/>
          <w:color w:val="auto"/>
        </w:rPr>
      </w:pPr>
      <w:r>
        <w:rPr>
          <w:rFonts w:ascii="Arial" w:cs="Arial" w:eastAsia="Arial" w:hAnsi="Arial"/>
          <w:sz w:val="15"/>
          <w:szCs w:val="15"/>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w:t>
      </w:r>
    </w:p>
    <w:p>
      <w:pPr>
        <w:spacing w:after="0" w:line="164" w:lineRule="exact"/>
        <w:rPr>
          <w:sz w:val="20"/>
          <w:szCs w:val="20"/>
          <w:color w:val="auto"/>
        </w:rPr>
      </w:pPr>
    </w:p>
    <w:p>
      <w:pPr>
        <w:ind w:left="1260" w:right="899"/>
        <w:spacing w:after="0" w:line="289" w:lineRule="auto"/>
        <w:rPr>
          <w:sz w:val="20"/>
          <w:szCs w:val="20"/>
          <w:color w:val="auto"/>
        </w:rPr>
      </w:pPr>
      <w:r>
        <w:rPr>
          <w:rFonts w:ascii="Arial" w:cs="Arial" w:eastAsia="Arial" w:hAnsi="Arial"/>
          <w:sz w:val="15"/>
          <w:szCs w:val="15"/>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182"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80" w:lineRule="exact"/>
        <w:rPr>
          <w:sz w:val="20"/>
          <w:szCs w:val="20"/>
          <w:color w:val="auto"/>
        </w:rPr>
      </w:pPr>
    </w:p>
    <w:p>
      <w:pPr>
        <w:jc w:val="both"/>
        <w:ind w:left="1260" w:right="779" w:firstLine="360"/>
        <w:spacing w:after="0" w:line="301"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65" w:lineRule="exact"/>
        <w:rPr>
          <w:sz w:val="20"/>
          <w:szCs w:val="20"/>
          <w:color w:val="auto"/>
        </w:rPr>
      </w:pPr>
    </w:p>
    <w:p>
      <w:pPr>
        <w:ind w:left="1260" w:right="859"/>
        <w:spacing w:after="0" w:line="400" w:lineRule="auto"/>
        <w:rPr>
          <w:sz w:val="20"/>
          <w:szCs w:val="20"/>
          <w:color w:val="auto"/>
        </w:rPr>
      </w:pPr>
      <w:r>
        <w:rPr>
          <w:rFonts w:ascii="Arial" w:cs="Arial" w:eastAsia="Arial" w:hAnsi="Arial"/>
          <w:sz w:val="13"/>
          <w:szCs w:val="13"/>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60" w:right="759"/>
        <w:spacing w:after="0" w:line="253" w:lineRule="auto"/>
        <w:rPr>
          <w:sz w:val="20"/>
          <w:szCs w:val="20"/>
          <w:color w:val="auto"/>
        </w:rPr>
      </w:pPr>
      <w:r>
        <w:rPr>
          <w:rFonts w:ascii="Arial" w:cs="Arial" w:eastAsia="Arial" w:hAnsi="Arial"/>
          <w:sz w:val="17"/>
          <w:szCs w:val="17"/>
          <w:b w:val="1"/>
          <w:bCs w:val="1"/>
          <w:i w:val="1"/>
          <w:iCs w:val="1"/>
          <w:color w:val="auto"/>
        </w:rPr>
        <w:t>Because we are neither limited to evaluating target businesses in a particular industry nor have we identified any specific target businesses with which to pursue our initial business combination, you will be unable to ascertain the merits or risks of any particular target business’s operations.</w:t>
      </w:r>
    </w:p>
    <w:p>
      <w:pPr>
        <w:spacing w:after="0" w:line="7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identified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7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78"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1" w:lineRule="exact"/>
        <w:rPr>
          <w:sz w:val="20"/>
          <w:szCs w:val="20"/>
          <w:color w:val="auto"/>
        </w:rPr>
      </w:pPr>
    </w:p>
    <w:p>
      <w:pPr>
        <w:ind w:left="1260" w:right="1019"/>
        <w:spacing w:after="0" w:line="276"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5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1" w:lineRule="exact"/>
        <w:rPr>
          <w:sz w:val="20"/>
          <w:szCs w:val="20"/>
          <w:color w:val="auto"/>
        </w:rPr>
      </w:pPr>
    </w:p>
    <w:p>
      <w:pPr>
        <w:ind w:left="1260" w:right="859"/>
        <w:spacing w:after="0" w:line="303"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3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8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9" w:lineRule="exact"/>
        <w:rPr>
          <w:sz w:val="20"/>
          <w:szCs w:val="20"/>
          <w:color w:val="auto"/>
        </w:rPr>
      </w:pPr>
    </w:p>
    <w:p>
      <w:pPr>
        <w:ind w:left="1260" w:right="679"/>
        <w:spacing w:after="0" w:line="283"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the issuance of up to 240,000,000 shares of Class A common stock, par value $0.0001 per share, and 60,000,000 shares of Class B common stock, par value $0.0001 per share and 1,000,000 shares of undesignated preferred stock, par value $0.0001 per share. Immediately after this offering, there will be 93,750,000 and 35,000,000 (assuming in each case, that the underwriters have not exercised their option to purchase additional units)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Immediately after this offering, there will be no shares of preferred stock issued and outstanding.</w:t>
      </w:r>
    </w:p>
    <w:p>
      <w:pPr>
        <w:spacing w:after="0" w:line="7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(1) receive funds from the trust account or (2) vote on any initial business combination. The issuance of additional shares of common or preferred stock:</w:t>
      </w:r>
    </w:p>
    <w:p>
      <w:pPr>
        <w:spacing w:after="0" w:line="173" w:lineRule="exact"/>
        <w:rPr>
          <w:sz w:val="20"/>
          <w:szCs w:val="20"/>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84"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29"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80"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79" w:lineRule="exact"/>
        <w:rPr>
          <w:sz w:val="20"/>
          <w:szCs w:val="20"/>
          <w:color w:val="auto"/>
        </w:rPr>
      </w:pPr>
    </w:p>
    <w:p>
      <w:pPr>
        <w:jc w:val="both"/>
        <w:ind w:left="1260" w:right="699" w:firstLine="360"/>
        <w:spacing w:after="0" w:line="257" w:lineRule="auto"/>
        <w:rPr>
          <w:sz w:val="20"/>
          <w:szCs w:val="20"/>
          <w:color w:val="auto"/>
        </w:rPr>
      </w:pPr>
      <w:r>
        <w:rPr>
          <w:rFonts w:ascii="Arial" w:cs="Arial" w:eastAsia="Arial" w:hAnsi="Arial"/>
          <w:sz w:val="18"/>
          <w:szCs w:val="18"/>
          <w:color w:val="auto"/>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Please see “Management — Directors, Director Nominees and Executive Officers” for a discussion of our officers’ and directors’ other business affairs.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3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368"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57"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8"/>
          <w:szCs w:val="18"/>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83" w:lineRule="exact"/>
        <w:rPr>
          <w:sz w:val="20"/>
          <w:szCs w:val="20"/>
          <w:color w:val="auto"/>
        </w:rPr>
      </w:pPr>
    </w:p>
    <w:p>
      <w:pPr>
        <w:ind w:left="1260" w:right="739"/>
        <w:spacing w:after="0" w:line="283" w:lineRule="auto"/>
        <w:rPr>
          <w:sz w:val="20"/>
          <w:szCs w:val="20"/>
          <w:color w:val="auto"/>
        </w:rPr>
      </w:pPr>
      <w:r>
        <w:rPr>
          <w:rFonts w:ascii="Arial" w:cs="Arial" w:eastAsia="Arial" w:hAnsi="Arial"/>
          <w:sz w:val="15"/>
          <w:szCs w:val="15"/>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5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73" w:lineRule="exact"/>
        <w:rPr>
          <w:sz w:val="20"/>
          <w:szCs w:val="20"/>
          <w:color w:val="auto"/>
        </w:rPr>
      </w:pPr>
    </w:p>
    <w:p>
      <w:pPr>
        <w:jc w:val="both"/>
        <w:ind w:left="1260" w:right="679"/>
        <w:spacing w:after="0" w:line="235"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2" w:lineRule="exact"/>
        <w:rPr>
          <w:sz w:val="20"/>
          <w:szCs w:val="20"/>
          <w:color w:val="auto"/>
        </w:rPr>
      </w:pPr>
    </w:p>
    <w:p>
      <w:pPr>
        <w:ind w:left="1260" w:right="659"/>
        <w:spacing w:after="0" w:line="368" w:lineRule="auto"/>
        <w:rPr>
          <w:sz w:val="20"/>
          <w:szCs w:val="20"/>
          <w:color w:val="auto"/>
        </w:rPr>
      </w:pPr>
      <w:r>
        <w:rPr>
          <w:rFonts w:ascii="Arial" w:cs="Arial" w:eastAsia="Arial" w:hAnsi="Arial"/>
          <w:sz w:val="13"/>
          <w:szCs w:val="13"/>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8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70"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Please see “Management — Directors, Director Nominees and Executive Officers,” “Management — Conflicts of Interest” and “Certain Relationships and Related Party Transactions” for a discussion of our officers’ and directors’ business affiliations and potential conflicts of interest.</w:t>
      </w:r>
    </w:p>
    <w:p>
      <w:pPr>
        <w:spacing w:after="0" w:line="170"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87"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 Please see “Proposed Business — Certain Potential Conflicts of Interest Relating to M. Klein and Company” for additional information.</w:t>
      </w:r>
    </w:p>
    <w:p>
      <w:pPr>
        <w:spacing w:after="0" w:line="14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with or competitive with M. Klein and Company, our sponsor, officers and directors, and their respective affiliates.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 Selection of a target business and structuring of our initial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59"/>
        <w:spacing w:after="0" w:line="246" w:lineRule="auto"/>
        <w:rPr>
          <w:sz w:val="20"/>
          <w:szCs w:val="20"/>
          <w:color w:val="auto"/>
        </w:rPr>
      </w:pPr>
      <w:r>
        <w:rPr>
          <w:rFonts w:ascii="Arial" w:cs="Arial" w:eastAsia="Arial" w:hAnsi="Arial"/>
          <w:sz w:val="17"/>
          <w:szCs w:val="17"/>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83" w:lineRule="exact"/>
        <w:rPr>
          <w:sz w:val="20"/>
          <w:szCs w:val="20"/>
          <w:color w:val="auto"/>
        </w:rPr>
      </w:pPr>
    </w:p>
    <w:p>
      <w:pPr>
        <w:ind w:left="1260" w:right="859"/>
        <w:spacing w:after="0" w:line="368" w:lineRule="auto"/>
        <w:rPr>
          <w:sz w:val="20"/>
          <w:szCs w:val="20"/>
          <w:color w:val="auto"/>
        </w:rPr>
      </w:pPr>
      <w:r>
        <w:rPr>
          <w:rFonts w:ascii="Arial" w:cs="Arial" w:eastAsia="Arial" w:hAnsi="Arial"/>
          <w:sz w:val="13"/>
          <w:szCs w:val="13"/>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The number of founder shares issued was determined based on the expectation that the founder shares would represent 20% of the outstanding shares of common stock upon the completion of this offering. The founder shares will be worthless if we do not complete an initial business combination.</w:t>
      </w:r>
    </w:p>
    <w:p>
      <w:pPr>
        <w:spacing w:after="0" w:line="69"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addition, our sponsor has subscribed to purchase an aggregate of 21,250,000 (or 24,250,000 if the underwriters’ option to purchase additional units is exercised in full) private placement warrants for a purchase price of $21,250,000 (or $24,250,000) if the underwriters’ option to purchase additional units is exercised in full),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7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99"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99"/>
        <w:spacing w:after="0" w:line="235"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8" w:lineRule="exact"/>
        <w:rPr>
          <w:sz w:val="20"/>
          <w:szCs w:val="20"/>
          <w:color w:val="auto"/>
        </w:rPr>
      </w:pPr>
    </w:p>
    <w:p>
      <w:pPr>
        <w:ind w:left="1980" w:right="163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2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3"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84"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143"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43"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2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materially negatively impact our operations and profitability.</w:t>
      </w:r>
    </w:p>
    <w:p>
      <w:pPr>
        <w:spacing w:after="0" w:line="8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$1,000,000,000 (or $1,150,000,000 if the underwriters’ option to purchase additional units is exercised in full) that we may use to complete our initial business combination (which includes $35,000,000, or up to $40,250,000 if the underwriters’ option to purchase additional units is exercised in full, of deferred underwriting commissions being held in the trust account).</w:t>
      </w:r>
    </w:p>
    <w:p>
      <w:pPr>
        <w:spacing w:after="0" w:line="80"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w:t>
      </w:r>
    </w:p>
    <w:p>
      <w:pPr>
        <w:spacing w:after="0" w:line="2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06"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62" w:lineRule="exact"/>
        <w:rPr>
          <w:sz w:val="20"/>
          <w:szCs w:val="20"/>
          <w:color w:val="auto"/>
        </w:rPr>
      </w:pPr>
    </w:p>
    <w:p>
      <w:pPr>
        <w:jc w:val="both"/>
        <w:ind w:left="1260" w:right="95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1260" w:right="819"/>
        <w:spacing w:after="0" w:line="253"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3"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8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35"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80"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in no event will we redeem our public shares in an amount that would cause our net tangible assets, after payment of the deferred underwriting commissions,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66"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5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78" w:lineRule="exact"/>
        <w:rPr>
          <w:sz w:val="20"/>
          <w:szCs w:val="20"/>
          <w:color w:val="auto"/>
        </w:rPr>
      </w:pPr>
    </w:p>
    <w:p>
      <w:pPr>
        <w:ind w:left="1260" w:right="759"/>
        <w:spacing w:after="0" w:line="279" w:lineRule="auto"/>
        <w:rPr>
          <w:sz w:val="20"/>
          <w:szCs w:val="20"/>
          <w:color w:val="auto"/>
        </w:rPr>
      </w:pPr>
      <w:r>
        <w:rPr>
          <w:rFonts w:ascii="Arial" w:cs="Arial" w:eastAsia="Arial" w:hAnsi="Arial"/>
          <w:sz w:val="15"/>
          <w:szCs w:val="15"/>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5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79"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stockholder approval.</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72" w:lineRule="exact"/>
        <w:rPr>
          <w:sz w:val="20"/>
          <w:szCs w:val="20"/>
          <w:color w:val="auto"/>
        </w:rPr>
      </w:pPr>
    </w:p>
    <w:p>
      <w:pPr>
        <w:ind w:left="1260" w:right="799"/>
        <w:spacing w:after="0" w:line="235"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identified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6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Upon the closing of this offering, our initial stockholders will own 20% of our outstanding common stock (assuming they do not purchase any units in this offering). In addition, the founder shares, all of which are held by our initial stockholders, will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 Please see “Proposed Business — Permitted purchases of our securities.”</w:t>
      </w:r>
    </w:p>
    <w:p>
      <w:pPr>
        <w:spacing w:after="0" w:line="178" w:lineRule="exact"/>
        <w:rPr>
          <w:sz w:val="20"/>
          <w:szCs w:val="20"/>
          <w:color w:val="auto"/>
        </w:rPr>
      </w:pPr>
    </w:p>
    <w:p>
      <w:pPr>
        <w:ind w:left="1260" w:right="719"/>
        <w:spacing w:after="0" w:line="274" w:lineRule="auto"/>
        <w:rPr>
          <w:sz w:val="20"/>
          <w:szCs w:val="20"/>
          <w:color w:val="auto"/>
        </w:rPr>
      </w:pPr>
      <w:r>
        <w:rPr>
          <w:rFonts w:ascii="Arial" w:cs="Arial" w:eastAsia="Arial" w:hAnsi="Arial"/>
          <w:sz w:val="17"/>
          <w:szCs w:val="17"/>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98.3% (or $9.83 per share, assuming no exercise of the underwriters’ over-allotment option), the difference between the pro forma net tangible book value per share of $0.17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8"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7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will be issuing warrants to purchase 20,000,000 shares of our Class A common stock (or up to 23,000,000 shares of our Class A common stock if the underwriters’ option to purchase additional units is exercised in full), at a price of $11.50 per whole share (subject to adjustment as provided herein), as part of the units offered by this prospectus. Simultaneously with the closing of this offering, we also will be issuing in the Private Placement an aggregate of 21,250,000 (or 24,250,000 if the underwriters’ option to purchase additional units is exercised in full) private placement warrants, each exercisable to purchase one share of Class A common stock at a price of $11.50 per share, subject to adjustment as provided herein. Our initial stockholders currently hold 28,750,000 founder shares (up to 3,750,000 of which are subject to forfeiture by our sponsor depending on the extent to which the underwriters’ option to purchase additional units is exercised).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7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87"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private placement warrants are identical to the warrants sold as part of the units in this offering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70" w:lineRule="exact"/>
        <w:rPr>
          <w:sz w:val="20"/>
          <w:szCs w:val="20"/>
          <w:color w:val="auto"/>
        </w:rPr>
      </w:pPr>
    </w:p>
    <w:p>
      <w:pPr>
        <w:ind w:left="1260" w:right="699"/>
        <w:spacing w:after="0" w:line="24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14" w:lineRule="exact"/>
        <w:rPr>
          <w:sz w:val="20"/>
          <w:szCs w:val="20"/>
          <w:color w:val="auto"/>
        </w:rPr>
      </w:pPr>
    </w:p>
    <w:p>
      <w:pPr>
        <w:ind w:left="1980" w:right="129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4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suitable acquisition opportunities;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Although these factors were considered, the determination of our offering size, price and the terms of the units, including the Class A common stock and warrants underlying the units, is more arbitrary than the pricing of securities of an operating company in a particular industry since we have no historical operations or financial results.</w:t>
      </w:r>
    </w:p>
    <w:p>
      <w:pPr>
        <w:spacing w:after="0" w:line="173"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64" w:lineRule="exact"/>
        <w:rPr>
          <w:sz w:val="20"/>
          <w:szCs w:val="20"/>
          <w:color w:val="auto"/>
        </w:rPr>
      </w:pPr>
    </w:p>
    <w:p>
      <w:pPr>
        <w:ind w:left="1260" w:right="1119"/>
        <w:spacing w:after="0" w:line="400"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73" w:lineRule="exact"/>
        <w:rPr>
          <w:sz w:val="20"/>
          <w:szCs w:val="20"/>
          <w:color w:val="auto"/>
        </w:rPr>
      </w:pPr>
    </w:p>
    <w:p>
      <w:pPr>
        <w:ind w:left="1260" w:right="699"/>
        <w:spacing w:after="0" w:line="368"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8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79"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79"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4"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03" w:lineRule="exact"/>
        <w:rPr>
          <w:sz w:val="20"/>
          <w:szCs w:val="20"/>
          <w:color w:val="auto"/>
        </w:rPr>
      </w:pPr>
    </w:p>
    <w:p>
      <w:pPr>
        <w:ind w:left="1980" w:right="87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 and complying with commercial and legal requirements of overseas markets;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obligatory military service by personnel;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11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9" w:lineRule="exact"/>
        <w:rPr>
          <w:sz w:val="20"/>
          <w:szCs w:val="20"/>
          <w:color w:val="auto"/>
        </w:rPr>
      </w:pPr>
    </w:p>
    <w:p>
      <w:pPr>
        <w:ind w:left="1260" w:right="1119"/>
        <w:spacing w:after="0" w:line="274"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5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As of May 22, 2020, we had $25,000 in cash and a working capital deficiency of $34,000.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Some statements contained in this prospectus, and certain oral statements made from time to time by our representatives in connection with this offering,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45"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71"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16"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potential conflicts of interest relating to M. Klein and Company and our directors, officers and other affiliates;</w:t>
      </w:r>
    </w:p>
    <w:p>
      <w:pPr>
        <w:spacing w:after="0" w:line="116"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draw from the support and expertise of the M. Klein and Company and our directors, officers and other affiliates;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71"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pool of prospective target businesses, including the location and industry of such target businesses;</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to us of funds from interest income on the trust account balance;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1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0139"/>
          </w:cols>
          <w:pgMar w:left="320" w:top="132" w:right="1440" w:bottom="1440" w:gutter="0" w:footer="0" w:header="0"/>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ind w:left="1260" w:right="1119" w:firstLine="360"/>
        <w:spacing w:after="0" w:line="263" w:lineRule="auto"/>
        <w:rPr>
          <w:sz w:val="20"/>
          <w:szCs w:val="20"/>
          <w:color w:val="auto"/>
        </w:rPr>
      </w:pPr>
      <w:r>
        <w:rPr>
          <w:rFonts w:ascii="Arial" w:cs="Arial" w:eastAsia="Arial" w:hAnsi="Arial"/>
          <w:sz w:val="18"/>
          <w:szCs w:val="18"/>
          <w:color w:val="auto"/>
        </w:rPr>
        <w:t>We are offering 100,000,000 units at an offering price of $10.00 per unit. We estimate that the net proceeds of this offering together with the funds we will receive from the sale of the private placement warrants will be used as set forth in the following table.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Option to</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Without Option</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to Purchase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Additional Units</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Additional Units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Exercised in Full</w:t>
            </w:r>
          </w:p>
        </w:tc>
        <w:tc>
          <w:tcPr>
            <w:tcW w:w="0" w:type="dxa"/>
            <w:vAlign w:val="bottom"/>
          </w:tcPr>
          <w:p>
            <w:pPr>
              <w:spacing w:after="0"/>
              <w:rPr>
                <w:sz w:val="1"/>
                <w:szCs w:val="1"/>
                <w:color w:val="auto"/>
              </w:rPr>
            </w:pPr>
          </w:p>
        </w:tc>
      </w:tr>
      <w:tr>
        <w:trPr>
          <w:trHeight w:val="26"/>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1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line="24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6"/>
                <w:szCs w:val="26"/>
                <w:color w:val="auto"/>
                <w:vertAlign w:val="superscript"/>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$1,000,000,000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$1,150,000,000</w:t>
            </w:r>
          </w:p>
        </w:tc>
        <w:tc>
          <w:tcPr>
            <w:tcW w:w="0" w:type="dxa"/>
            <w:vAlign w:val="bottom"/>
          </w:tcPr>
          <w:p>
            <w:pPr>
              <w:spacing w:after="0"/>
              <w:rPr>
                <w:sz w:val="1"/>
                <w:szCs w:val="1"/>
                <w:color w:val="auto"/>
              </w:rPr>
            </w:pPr>
          </w:p>
        </w:tc>
      </w:tr>
      <w:tr>
        <w:trPr>
          <w:trHeight w:val="229"/>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private placement warrants offered in the private</w:t>
            </w:r>
          </w:p>
        </w:tc>
        <w:tc>
          <w:tcPr>
            <w:tcW w:w="1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720" w:type="dxa"/>
            <w:vAlign w:val="bottom"/>
          </w:tcPr>
          <w:p>
            <w:pPr>
              <w:spacing w:after="0"/>
              <w:rPr>
                <w:sz w:val="20"/>
                <w:szCs w:val="20"/>
                <w:color w:val="auto"/>
              </w:rPr>
            </w:pPr>
            <w:r>
              <w:rPr>
                <w:rFonts w:ascii="Arial" w:cs="Arial" w:eastAsia="Arial" w:hAnsi="Arial"/>
                <w:sz w:val="18"/>
                <w:szCs w:val="18"/>
                <w:color w:val="auto"/>
              </w:rPr>
              <w:t>Total gross proceeds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1,021,250,000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1,174,250,000</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right w:val="single" w:sz="8" w:color="CCEEFF"/>
            </w:tcBorders>
            <w:shd w:val="clear" w:color="auto" w:fill="CCEEFF"/>
          </w:tcPr>
          <w:p>
            <w:pPr>
              <w:spacing w:after="0" w:line="183"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1"/>
                <w:szCs w:val="21"/>
                <w:color w:val="auto"/>
                <w:vertAlign w:val="superscript"/>
              </w:rPr>
              <w:t>(2)</w:t>
            </w: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line="192" w:lineRule="exact"/>
              <w:rPr>
                <w:sz w:val="20"/>
                <w:szCs w:val="20"/>
                <w:color w:val="auto"/>
              </w:rPr>
            </w:pPr>
            <w:r>
              <w:rPr>
                <w:rFonts w:ascii="Arial" w:cs="Arial" w:eastAsia="Arial" w:hAnsi="Arial"/>
                <w:sz w:val="18"/>
                <w:szCs w:val="18"/>
                <w:color w:val="auto"/>
              </w:rPr>
              <w:t>Underwriting commissions (2.0% of gross proceeds from units offered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5720" w:type="dxa"/>
            <w:vAlign w:val="bottom"/>
          </w:tcPr>
          <w:p>
            <w:pPr>
              <w:ind w:left="180"/>
              <w:spacing w:after="0" w:line="295" w:lineRule="exact"/>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6"/>
                <w:szCs w:val="26"/>
                <w:color w:val="auto"/>
                <w:vertAlign w:val="superscript"/>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9"/>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SEC/FINRA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322,270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322,270</w:t>
            </w:r>
          </w:p>
        </w:tc>
        <w:tc>
          <w:tcPr>
            <w:tcW w:w="0" w:type="dxa"/>
            <w:vAlign w:val="bottom"/>
          </w:tcPr>
          <w:p>
            <w:pPr>
              <w:spacing w:after="0"/>
              <w:rPr>
                <w:sz w:val="1"/>
                <w:szCs w:val="1"/>
                <w:color w:val="auto"/>
              </w:rPr>
            </w:pPr>
          </w:p>
        </w:tc>
      </w:tr>
      <w:tr>
        <w:trPr>
          <w:trHeight w:val="24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43"/>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line="270"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6"/>
                <w:szCs w:val="26"/>
                <w:color w:val="auto"/>
                <w:vertAlign w:val="superscript"/>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122,730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122,730</w:t>
            </w:r>
          </w:p>
        </w:tc>
        <w:tc>
          <w:tcPr>
            <w:tcW w:w="0" w:type="dxa"/>
            <w:vAlign w:val="bottom"/>
          </w:tcPr>
          <w:p>
            <w:pPr>
              <w:spacing w:after="0"/>
              <w:rPr>
                <w:sz w:val="1"/>
                <w:szCs w:val="1"/>
                <w:color w:val="auto"/>
              </w:rPr>
            </w:pPr>
          </w:p>
        </w:tc>
      </w:tr>
      <w:tr>
        <w:trPr>
          <w:trHeight w:val="222"/>
        </w:trPr>
        <w:tc>
          <w:tcPr>
            <w:tcW w:w="57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offering expenses (other than underwriting</w:t>
            </w:r>
          </w:p>
        </w:tc>
        <w:tc>
          <w:tcPr>
            <w:tcW w:w="1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1,000,000,000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1,150,000,000</w:t>
            </w: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6"/>
                <w:szCs w:val="26"/>
                <w:color w:val="auto"/>
                <w:vertAlign w:val="superscript"/>
              </w:rPr>
              <w:t>(3)</w:t>
            </w: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right w:val="single" w:sz="8" w:color="CCEEFF"/>
            </w:tcBorders>
            <w:vMerge w:val="continue"/>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$1,000,000,000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$1,150,000,000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Percent of public offering size</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4491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-796925</wp:posOffset>
            </wp:positionV>
            <wp:extent cx="44919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-2031365</wp:posOffset>
            </wp:positionV>
            <wp:extent cx="4491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-3274060</wp:posOffset>
            </wp:positionV>
            <wp:extent cx="44831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7" w:lineRule="exact"/>
        <w:rPr>
          <w:sz w:val="20"/>
          <w:szCs w:val="20"/>
          <w:color w:val="auto"/>
        </w:rPr>
      </w:pPr>
    </w:p>
    <w:p>
      <w:pPr>
        <w:ind w:left="1620" w:right="819" w:hanging="352"/>
        <w:spacing w:after="0" w:line="26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8" w:lineRule="exact"/>
        <w:rPr>
          <w:rFonts w:ascii="Arial" w:cs="Arial" w:eastAsia="Arial" w:hAnsi="Arial"/>
          <w:sz w:val="18"/>
          <w:szCs w:val="18"/>
          <w:color w:val="auto"/>
        </w:rPr>
      </w:pPr>
    </w:p>
    <w:p>
      <w:pPr>
        <w:ind w:left="1620" w:right="839" w:hanging="352"/>
        <w:spacing w:after="0" w:line="255"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sponsor has agreed to loan us up to $600,000 as described in this prospectus. As of June 1, 2020, there was $300,000 outstanding under such promissory note. These loans will be repaid upon completion of this offering out of the $1,250,000 of offering proceeds that has been allocated for the payment of offering expenses (other than underwriting commissions) not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loans or additional investments from our sponsor.</w:t>
      </w:r>
    </w:p>
    <w:p>
      <w:pPr>
        <w:spacing w:after="0" w:line="31" w:lineRule="exact"/>
        <w:rPr>
          <w:rFonts w:ascii="Arial" w:cs="Arial" w:eastAsia="Arial" w:hAnsi="Arial"/>
          <w:sz w:val="17"/>
          <w:szCs w:val="17"/>
          <w:color w:val="auto"/>
        </w:rPr>
      </w:pPr>
    </w:p>
    <w:p>
      <w:pPr>
        <w:ind w:left="1620" w:right="859" w:hanging="352"/>
        <w:spacing w:after="0" w:line="23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equal to 3.5% of the gross proceeds of this offering. Upon completion of our initial business combination, $35,000,000, which constitutes the underwriters’ deferred commissions (or up to $40,250,000 if the underwriters’ option to purchase additional units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3" w:lineRule="exact"/>
        <w:rPr>
          <w:rFonts w:ascii="Arial" w:cs="Arial" w:eastAsia="Arial" w:hAnsi="Arial"/>
          <w:sz w:val="18"/>
          <w:szCs w:val="18"/>
          <w:color w:val="auto"/>
        </w:rPr>
      </w:pPr>
    </w:p>
    <w:p>
      <w:pPr>
        <w:ind w:left="1620" w:right="879" w:hanging="352"/>
        <w:spacing w:after="0" w:line="26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8"/>
          <w:szCs w:val="18"/>
          <w:color w:val="auto"/>
        </w:rPr>
        <w:t>The rules of NYSE provide that at least 90% of the gross proceeds from this offering and the sale of the private placement warrants be deposited in a trust account. Of the net proceeds of this offering and the sale of the private placement warrants, $1,000,000,000 (or $1,150,000,000 if the underwriters’ over-allotment option is exercised in full), including $35,000,000 (or $40,250,000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on current interest rates, we estimate that the interest earned on the trust account will be approximately $5,000,000 per year, assuming an interest rate of 0.50% per year. We will not be permitted to withdraw any of the principal or interest held in the trust account, except with respect to permitted withdrawals. The funds held in the trust account will not be released from the trust account until the earliest of: (1) the completion of our initial business combination; (2) the redemption of any public shares properly submitted in connection with a stockholder vote to amend our amended and restated certificate of incorporation to modify the substance and timing of our obligation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Based on current interest rates, we expect that interest earned on the trust account will be sufficient to pay taxes.</w:t>
      </w:r>
    </w:p>
    <w:p>
      <w:pPr>
        <w:spacing w:after="0" w:line="9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Following this offering and 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During that period, we expect our other principal expenses to include franchise and income taxes; regulatory reporting requirements; NYSE continued listing fees; and office space, administrative and support services. We will enter into the Administrative Services Agreement, pursuant to which we will pay an affiliate of our sponsor a total of $50,000 per month for office space, administrative and support services. Upon completion of our initial business combination or our liquidation, we will cease paying these monthly fees.</w:t>
      </w:r>
    </w:p>
    <w:p>
      <w:pPr>
        <w:spacing w:after="0" w:line="7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expect to fund our working capital requirements prior to the time of our initial business combination with permitted withdrawals from the interest earned on the trust account, subject to an annual limit of $1,000,000, and permitted withdrawals to pay taxes. In addition,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do not believe third parties will be willing to loan such funds and provide a waiver against any and all rights to seek access to funds in our trust account.</w:t>
      </w:r>
    </w:p>
    <w:p>
      <w:pPr>
        <w:spacing w:after="0" w:line="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of our securities” for a description of how such persons will determine from which stockholders to seek to acquire shares.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may not redeem our public shares in an amount that would cause our net tangible assets, after payment of the deferred underwriting commissions, to be less than $5,000,001 (so that we do not then become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business combination, and instead may search for an alternate business combination.</w:t>
      </w:r>
    </w:p>
    <w:p>
      <w:pPr>
        <w:spacing w:after="0" w:line="6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(1) the completion of our initial business combination and then, only in connection with those public shares that such stockholder has properly elected to redeem, subject to the limitations described in this prospectus;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In no other circumstances will a public stockholder have any right or interest of any kind to or in the trust account.</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agreed to (1) waive their redemption rights with respect to any founder shares and any public shares held by them in connection with the completion of our initial business combination and (2)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In addition, our initial stockholders, officers and directors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in or after this offering, they will be entitled to liquidating distributions from the trust account with respect to such public shares if we fail to complete our initial business combination within the completion window.</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or other appropriate mechanism immediately prior to the consummation of this offering in an amount as to maintain the ownership of our initial stockholders prior to this offering at 20% of our issued and outstanding shares of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1240" w:firstLine="360"/>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73" w:lineRule="exact"/>
        <w:rPr>
          <w:sz w:val="20"/>
          <w:szCs w:val="20"/>
          <w:color w:val="auto"/>
        </w:rPr>
      </w:pPr>
    </w:p>
    <w:p>
      <w:pPr>
        <w:ind w:left="1260" w:right="1340" w:firstLine="360"/>
        <w:spacing w:after="0" w:line="252" w:lineRule="auto"/>
        <w:rPr>
          <w:sz w:val="20"/>
          <w:szCs w:val="20"/>
          <w:color w:val="auto"/>
        </w:rPr>
      </w:pPr>
      <w:r>
        <w:rPr>
          <w:rFonts w:ascii="Arial" w:cs="Arial" w:eastAsia="Arial" w:hAnsi="Arial"/>
          <w:sz w:val="18"/>
          <w:szCs w:val="18"/>
          <w:color w:val="auto"/>
        </w:rPr>
        <w:t>At May 22, 2020, our net tangible book value deficit was $34,000, or approximately $(0.00) per share of Class B common stock. After giving effect to the sale of 100,000,000 shares of Class A common stock included in the units we are offering by this prospectus, the sale of the private placement warrants and the deduction of underwriting commissions and estimated expenses of this offering, our pro forma net tangible book value at May 22, 2020 would have been $5,000,010 or $0.17 per share, representing an immediate increase in net tangible book value (as decreased by the value of the 96,002,399 shares of Class A common stock that may be redeemed for cash in connection with our initial business combination and assuming no exercise of the underwriters’ option to purchase additional units) of $0.17 per share to our initial stockholders as of the date of this prospectus and an immediate dilution of $9.83 per share or 98.3% to our public stockholders not exercising their redemption rights. The dilution to new investors if the underwriters exercise their option to purchase additional units in full would be an immediate dilution of $9.85 per share or 98.5%.</w:t>
      </w:r>
    </w:p>
    <w:p>
      <w:pPr>
        <w:spacing w:after="0" w:line="92"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The following table illustrates the dilution to the public stockholders on a per share basis, assuming no value is attributed to the warrants included in the units or the private placement warrants: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40" w:type="dxa"/>
            <w:vAlign w:val="bottom"/>
          </w:tcPr>
          <w:p>
            <w:pPr>
              <w:spacing w:after="0"/>
              <w:rPr>
                <w:sz w:val="21"/>
                <w:szCs w:val="21"/>
                <w:color w:val="auto"/>
              </w:rPr>
            </w:pPr>
          </w:p>
        </w:tc>
      </w:tr>
      <w:tr>
        <w:trPr>
          <w:trHeight w:val="277"/>
        </w:trPr>
        <w:tc>
          <w:tcPr>
            <w:tcW w:w="77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(0.00)</w:t>
            </w:r>
          </w:p>
        </w:tc>
      </w:tr>
      <w:tr>
        <w:trPr>
          <w:trHeight w:val="290"/>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w w:val="98"/>
              </w:rPr>
              <w:t>Pro forma net tangible book value after this offering and the sale of the private placement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98"/>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772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-410845</wp:posOffset>
            </wp:positionV>
            <wp:extent cx="4894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41"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option to purchase additional units) by $960,023,990 because holders of up to approximately 96.0%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(net of permitted withdrawals) divided by the number of shares of Class A common stock sold in this offering).</w:t>
      </w:r>
    </w:p>
    <w:p>
      <w:pPr>
        <w:spacing w:after="0" w:line="84"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1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Price per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380" w:type="dxa"/>
            <w:vAlign w:val="bottom"/>
            <w:tcBorders>
              <w:right w:val="single" w:sz="8" w:color="CCEEFF"/>
            </w:tcBorders>
            <w:shd w:val="clear" w:color="auto" w:fill="CCEEFF"/>
          </w:tcPr>
          <w:p>
            <w:pPr>
              <w:spacing w:after="0" w:line="236"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25,000,000</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Public Stockholders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100,000,000</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1,000,000,000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99.998%</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$10.00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380" w:type="dxa"/>
            <w:vAlign w:val="bottom"/>
            <w:tcBorders>
              <w:right w:val="single" w:sz="8" w:color="CCEEFF"/>
            </w:tcBorders>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125,000,000</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1,000,025,000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-788035</wp:posOffset>
            </wp:positionV>
            <wp:extent cx="557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1885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-788035</wp:posOffset>
            </wp:positionV>
            <wp:extent cx="231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29400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-1122045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-1122045</wp:posOffset>
            </wp:positionV>
            <wp:extent cx="2854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4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-1122045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2344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799" w:hanging="352"/>
        <w:spacing w:after="0" w:line="308"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Assumes the full forfeiture of 3,750,000 shares that are subject to forfeiture by our sponsor depending on the extent to which the underwriters’ option to purchase additional units is exercised.</w:t>
      </w:r>
    </w:p>
    <w:p>
      <w:pPr>
        <w:spacing w:after="0" w:line="105" w:lineRule="exact"/>
        <w:rPr>
          <w:rFonts w:ascii="Arial" w:cs="Arial" w:eastAsia="Arial" w:hAnsi="Arial"/>
          <w:sz w:val="17"/>
          <w:szCs w:val="17"/>
          <w:color w:val="auto"/>
        </w:rPr>
      </w:pPr>
    </w:p>
    <w:p>
      <w:pPr>
        <w:ind w:left="1620" w:right="759" w:hanging="352"/>
        <w:spacing w:after="0" w:line="259"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conversion of Class B common stock into Class A common stock on a one-for-one basis. The dilution to public stockholders would increase to the extent that the anti-dilution provisions of the Class B common stock result in the issuance of shares of Class A common stock on a greater than one-to-one basis upon such conversion.</w:t>
      </w:r>
    </w:p>
    <w:p>
      <w:pPr>
        <w:spacing w:after="0" w:line="17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pro forma net tangible book value per share as of May 22, 2020 giving effect to the offering is calculated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5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this offering and sale of the private placement warrants, net of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Plus: offering costs paid for in advance</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underwriters’ commissions payable</w:t>
            </w: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180" w:type="dxa"/>
            <w:vAlign w:val="bottom"/>
            <w:gridSpan w:val="3"/>
          </w:tcPr>
          <w:p>
            <w:pPr>
              <w:spacing w:after="0"/>
              <w:rPr>
                <w:sz w:val="20"/>
                <w:szCs w:val="20"/>
                <w:color w:val="auto"/>
              </w:rPr>
            </w:pPr>
            <w:r>
              <w:rPr>
                <w:rFonts w:ascii="Arial" w:cs="Arial" w:eastAsia="Arial" w:hAnsi="Arial"/>
                <w:sz w:val="18"/>
                <w:szCs w:val="18"/>
                <w:color w:val="auto"/>
              </w:rPr>
              <w:t>Less: amount of Class A common stock subject to redemption to maintain net tangible</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assets of $5,000,001</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(960,023,990)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Class B common stock outstanding prior to this offering</w:t>
            </w: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gridSpan w:val="3"/>
          </w:tcPr>
          <w:p>
            <w:pPr>
              <w:spacing w:after="0"/>
              <w:rPr>
                <w:sz w:val="20"/>
                <w:szCs w:val="20"/>
                <w:color w:val="auto"/>
              </w:rPr>
            </w:pPr>
            <w:r>
              <w:rPr>
                <w:rFonts w:ascii="Arial" w:cs="Arial" w:eastAsia="Arial" w:hAnsi="Arial"/>
                <w:sz w:val="18"/>
                <w:szCs w:val="18"/>
                <w:color w:val="auto"/>
              </w:rPr>
              <w:t>Shares forfeited if option to purchase additional units is not exercised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180" w:type="dxa"/>
            <w:vAlign w:val="bottom"/>
          </w:tcPr>
          <w:p>
            <w:pPr>
              <w:spacing w:after="0"/>
              <w:rPr>
                <w:sz w:val="20"/>
                <w:szCs w:val="20"/>
                <w:color w:val="auto"/>
              </w:rPr>
            </w:pPr>
            <w:r>
              <w:rPr>
                <w:rFonts w:ascii="Arial" w:cs="Arial" w:eastAsia="Arial" w:hAnsi="Arial"/>
                <w:sz w:val="18"/>
                <w:szCs w:val="18"/>
                <w:color w:val="auto"/>
                <w:w w:val="94"/>
              </w:rPr>
              <w:t>Less: shares subject to redemption to maintain net tangible assets of</w:t>
            </w:r>
          </w:p>
        </w:tc>
        <w:tc>
          <w:tcPr>
            <w:tcW w:w="1880" w:type="dxa"/>
            <w:vAlign w:val="bottom"/>
          </w:tcPr>
          <w:p>
            <w:pPr>
              <w:jc w:val="right"/>
              <w:ind w:right="890"/>
              <w:spacing w:after="0"/>
              <w:rPr>
                <w:sz w:val="20"/>
                <w:szCs w:val="20"/>
                <w:color w:val="auto"/>
              </w:rPr>
            </w:pPr>
            <w:r>
              <w:rPr>
                <w:rFonts w:ascii="Arial" w:cs="Arial" w:eastAsia="Arial" w:hAnsi="Arial"/>
                <w:sz w:val="18"/>
                <w:szCs w:val="18"/>
                <w:color w:val="auto"/>
                <w:w w:val="97"/>
              </w:rPr>
              <w:t>$5,000,001</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(96,002,399)</w:t>
            </w:r>
          </w:p>
        </w:tc>
        <w:tc>
          <w:tcPr>
            <w:tcW w:w="0" w:type="dxa"/>
            <w:vAlign w:val="bottom"/>
          </w:tcPr>
          <w:p>
            <w:pPr>
              <w:spacing w:after="0"/>
              <w:rPr>
                <w:sz w:val="1"/>
                <w:szCs w:val="1"/>
                <w:color w:val="auto"/>
              </w:rPr>
            </w:pPr>
          </w:p>
        </w:tc>
      </w:tr>
      <w:tr>
        <w:trPr>
          <w:trHeight w:val="277"/>
        </w:trPr>
        <w:tc>
          <w:tcPr>
            <w:tcW w:w="5180" w:type="dxa"/>
            <w:vAlign w:val="bottom"/>
            <w:tcBorders>
              <w:top w:val="single" w:sz="8" w:color="CCEEFF"/>
              <w:bottom w:val="single" w:sz="8" w:color="CCEEFF"/>
            </w:tcBorders>
            <w:shd w:val="clear" w:color="auto" w:fill="CCEEFF"/>
          </w:tcPr>
          <w:p>
            <w:pPr>
              <w:spacing w:after="0"/>
              <w:rPr>
                <w:sz w:val="24"/>
                <w:szCs w:val="24"/>
                <w:color w:val="auto"/>
              </w:rPr>
            </w:pPr>
          </w:p>
        </w:tc>
        <w:tc>
          <w:tcPr>
            <w:tcW w:w="18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28,997,601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4831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-1259205</wp:posOffset>
            </wp:positionV>
            <wp:extent cx="44831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The following table sets forth our capitalization at May 22, 2020 and as adjusted to give effect to the sale of our 100,000,000 units in this offering for $1,000,000,000 (or $10.00 per unit) and the sale of 21,250,000 private placement warrants for $21,250,000 (or $1.00 per warrant) and the application of the estimated net proceeds derived from the sale of such securities: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May 22, 2020</w:t>
            </w:r>
          </w:p>
        </w:tc>
      </w:tr>
      <w:tr>
        <w:trPr>
          <w:trHeight w:val="216"/>
        </w:trPr>
        <w:tc>
          <w:tcPr>
            <w:tcW w:w="194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8"/>
              </w:rPr>
              <w:t>Actual</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72"/>
              <w:spacing w:after="0" w:line="216" w:lineRule="exact"/>
              <w:rPr>
                <w:sz w:val="20"/>
                <w:szCs w:val="20"/>
                <w:color w:val="auto"/>
              </w:rPr>
            </w:pPr>
            <w:r>
              <w:rPr>
                <w:rFonts w:ascii="Arial" w:cs="Arial" w:eastAsia="Arial" w:hAnsi="Arial"/>
                <w:sz w:val="14"/>
                <w:szCs w:val="14"/>
                <w:b w:val="1"/>
                <w:bCs w:val="1"/>
                <w:color w:val="auto"/>
                <w:w w:val="87"/>
              </w:rPr>
              <w:t>As Adjusted</w:t>
            </w:r>
            <w:r>
              <w:rPr>
                <w:rFonts w:ascii="Arial" w:cs="Arial" w:eastAsia="Arial" w:hAnsi="Arial"/>
                <w:sz w:val="21"/>
                <w:szCs w:val="21"/>
                <w:b w:val="1"/>
                <w:bCs w:val="1"/>
                <w:color w:val="auto"/>
                <w:w w:val="87"/>
                <w:vertAlign w:val="superscript"/>
              </w:rPr>
              <w:t>(1)</w:t>
            </w:r>
          </w:p>
        </w:tc>
        <w:tc>
          <w:tcPr>
            <w:tcW w:w="60" w:type="dxa"/>
            <w:vAlign w:val="bottom"/>
            <w:gridSpan w:val="2"/>
          </w:tcPr>
          <w:p>
            <w:pPr>
              <w:spacing w:after="0"/>
              <w:rPr>
                <w:sz w:val="18"/>
                <w:szCs w:val="18"/>
                <w:color w:val="auto"/>
              </w:rPr>
            </w:pPr>
          </w:p>
        </w:tc>
      </w:tr>
      <w:tr>
        <w:trPr>
          <w:trHeight w:val="223"/>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7"/>
        </w:trPr>
        <w:tc>
          <w:tcPr>
            <w:tcW w:w="62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10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Class A common stock, subject to redemption</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960,023,990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62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issued or outstanding</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6280" w:type="dxa"/>
            <w:vAlign w:val="bottom"/>
            <w:gridSpan w:val="4"/>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628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color w:val="auto"/>
              </w:rPr>
              <w:t>Class A common stock, $0.0001 par value, 240,000,000 shares authorized</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6"/>
        </w:trPr>
        <w:tc>
          <w:tcPr>
            <w:tcW w:w="6280" w:type="dxa"/>
            <w:vAlign w:val="bottom"/>
            <w:gridSpan w:val="4"/>
            <w:shd w:val="clear" w:color="auto" w:fill="CCEEFF"/>
          </w:tcPr>
          <w:p>
            <w:pPr>
              <w:ind w:left="180"/>
              <w:spacing w:after="0" w:line="266" w:lineRule="exact"/>
              <w:rPr>
                <w:sz w:val="20"/>
                <w:szCs w:val="20"/>
                <w:color w:val="auto"/>
              </w:rPr>
            </w:pPr>
            <w:r>
              <w:rPr>
                <w:rFonts w:ascii="Arial" w:cs="Arial" w:eastAsia="Arial" w:hAnsi="Arial"/>
                <w:sz w:val="18"/>
                <w:szCs w:val="18"/>
                <w:color w:val="auto"/>
                <w:w w:val="95"/>
              </w:rPr>
              <w:t>(actual and as adjusted); no shares issued or outstanding (actual); 3,997,601</w:t>
            </w:r>
            <w:r>
              <w:rPr>
                <w:rFonts w:ascii="Arial" w:cs="Arial" w:eastAsia="Arial" w:hAnsi="Arial"/>
                <w:sz w:val="26"/>
                <w:szCs w:val="26"/>
                <w:color w:val="auto"/>
                <w:w w:val="95"/>
                <w:vertAlign w:val="superscript"/>
              </w:rPr>
              <w:t>(3)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6"/>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(excluding 96,002,399 shares subject to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redemption) (as adjusted)</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2"/>
        </w:trPr>
        <w:tc>
          <w:tcPr>
            <w:tcW w:w="6280" w:type="dxa"/>
            <w:vAlign w:val="bottom"/>
            <w:gridSpan w:val="4"/>
          </w:tcPr>
          <w:p>
            <w:pPr>
              <w:spacing w:after="0" w:line="192" w:lineRule="exact"/>
              <w:rPr>
                <w:sz w:val="20"/>
                <w:szCs w:val="20"/>
                <w:color w:val="auto"/>
              </w:rPr>
            </w:pPr>
            <w:r>
              <w:rPr>
                <w:rFonts w:ascii="Arial" w:cs="Arial" w:eastAsia="Arial" w:hAnsi="Arial"/>
                <w:sz w:val="18"/>
                <w:szCs w:val="18"/>
                <w:color w:val="auto"/>
                <w:w w:val="97"/>
              </w:rPr>
              <w:t>Class B common stock, $0.0001 par value, 60,000,000 shares authorized (actual</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280" w:type="dxa"/>
            <w:vAlign w:val="bottom"/>
            <w:gridSpan w:val="4"/>
          </w:tcPr>
          <w:p>
            <w:pPr>
              <w:ind w:left="180"/>
              <w:spacing w:after="0" w:line="230" w:lineRule="exact"/>
              <w:rPr>
                <w:sz w:val="20"/>
                <w:szCs w:val="20"/>
                <w:color w:val="auto"/>
              </w:rPr>
            </w:pPr>
            <w:r>
              <w:rPr>
                <w:rFonts w:ascii="Arial" w:cs="Arial" w:eastAsia="Arial" w:hAnsi="Arial"/>
                <w:sz w:val="18"/>
                <w:szCs w:val="18"/>
                <w:color w:val="auto"/>
              </w:rPr>
              <w:t>and as adjusted); 28,750,000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(actual);</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1"/>
        </w:trPr>
        <w:tc>
          <w:tcPr>
            <w:tcW w:w="6280" w:type="dxa"/>
            <w:vAlign w:val="bottom"/>
            <w:gridSpan w:val="4"/>
          </w:tcPr>
          <w:p>
            <w:pPr>
              <w:ind w:left="180"/>
              <w:spacing w:after="0" w:line="281" w:lineRule="exact"/>
              <w:rPr>
                <w:sz w:val="20"/>
                <w:szCs w:val="20"/>
                <w:color w:val="auto"/>
              </w:rPr>
            </w:pPr>
            <w:r>
              <w:rPr>
                <w:rFonts w:ascii="Arial" w:cs="Arial" w:eastAsia="Arial" w:hAnsi="Arial"/>
                <w:sz w:val="18"/>
                <w:szCs w:val="18"/>
                <w:color w:val="auto"/>
              </w:rPr>
              <w:t>25,000,000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(as adjusted)</w:t>
            </w:r>
          </w:p>
        </w:tc>
        <w:tc>
          <w:tcPr>
            <w:tcW w:w="1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2,875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24"/>
                <w:szCs w:val="24"/>
                <w:color w:val="auto"/>
              </w:rPr>
            </w:pPr>
          </w:p>
        </w:tc>
      </w:tr>
      <w:tr>
        <w:trPr>
          <w:trHeight w:val="257"/>
        </w:trPr>
        <w:tc>
          <w:tcPr>
            <w:tcW w:w="628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Additional paid-in capital</w:t>
            </w:r>
            <w:r>
              <w:rPr>
                <w:rFonts w:ascii="Arial" w:cs="Arial" w:eastAsia="Arial" w:hAnsi="Arial"/>
                <w:sz w:val="26"/>
                <w:szCs w:val="26"/>
                <w:color w:val="auto"/>
                <w:vertAlign w:val="superscript"/>
              </w:rPr>
              <w:t>(4)</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22,125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4,998,110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6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28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24,000</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1,000,024,000</w:t>
            </w:r>
          </w:p>
        </w:tc>
        <w:tc>
          <w:tcPr>
            <w:tcW w:w="40" w:type="dxa"/>
            <w:vAlign w:val="bottom"/>
          </w:tcPr>
          <w:p>
            <w:pPr>
              <w:spacing w:after="0"/>
              <w:rPr>
                <w:sz w:val="20"/>
                <w:szCs w:val="20"/>
                <w:color w:val="auto"/>
              </w:rPr>
            </w:pPr>
          </w:p>
        </w:tc>
      </w:tr>
      <w:tr>
        <w:trPr>
          <w:trHeight w:val="142"/>
        </w:trPr>
        <w:tc>
          <w:tcPr>
            <w:tcW w:w="1940" w:type="dxa"/>
            <w:vAlign w:val="bottom"/>
            <w:tcBorders>
              <w:bottom w:val="single" w:sz="8" w:color="auto"/>
            </w:tcBorders>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-436245</wp:posOffset>
            </wp:positionV>
            <wp:extent cx="44919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-2553970</wp:posOffset>
            </wp:positionV>
            <wp:extent cx="44919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-2871470</wp:posOffset>
            </wp:positionV>
            <wp:extent cx="44831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114" w:lineRule="exact"/>
        <w:rPr>
          <w:sz w:val="20"/>
          <w:szCs w:val="20"/>
          <w:color w:val="auto"/>
        </w:rPr>
      </w:pPr>
    </w:p>
    <w:p>
      <w:pPr>
        <w:ind w:left="1620" w:right="759" w:hanging="352"/>
        <w:spacing w:after="0" w:line="25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full forfeiture of 3,750,000 shares that are subject to forfeiture by our sponsor depending on the extent to which the underwriters’ option to purchase additional units is exercised. The proceeds of the sale of such shares will not be deposited into the trust account, the shares will not be eligible for redemption from the trust account nor will they be eligible to vote upon the initial business combination.</w:t>
      </w:r>
    </w:p>
    <w:p>
      <w:pPr>
        <w:spacing w:after="0" w:line="93" w:lineRule="exact"/>
        <w:rPr>
          <w:rFonts w:ascii="Arial" w:cs="Arial" w:eastAsia="Arial" w:hAnsi="Arial"/>
          <w:sz w:val="18"/>
          <w:szCs w:val="18"/>
          <w:color w:val="auto"/>
        </w:rPr>
      </w:pPr>
    </w:p>
    <w:p>
      <w:pPr>
        <w:ind w:left="1620" w:right="679" w:hanging="352"/>
        <w:spacing w:after="0" w:line="268"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stockholders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permitted withdrawals), subject to the limitations described herein whereby our net tangible assets will be maintained at a minimum of $5,000,001 and any limitations (including, but not limited to, cash requirements) created by the terms of the proposed business combination. The “as adjusted” amount of Class A common stock, subject to redemption equals the “as adjusted” total assets of $1,000,024,000, less the “as adjusted” total liabilities of $35,000,000 less “as adjusted” total stockholder’s equity. The value of Class A common stock that may be redeemed is equal to $10.00 per share (which is the assumed redemption price) multiplied by 96,002,399 shares of Class A common stock, which is the maximum number of shares of Class A common stock that may be redeemed for a $10.00 purchase price per share and still maintain at least $5,000,001 of net tangible assets.</w:t>
      </w:r>
    </w:p>
    <w:p>
      <w:pPr>
        <w:spacing w:after="0" w:line="91" w:lineRule="exact"/>
        <w:rPr>
          <w:rFonts w:ascii="Arial" w:cs="Arial" w:eastAsia="Arial" w:hAnsi="Arial"/>
          <w:sz w:val="17"/>
          <w:szCs w:val="17"/>
          <w:color w:val="auto"/>
        </w:rPr>
      </w:pPr>
    </w:p>
    <w:p>
      <w:pPr>
        <w:ind w:left="1620" w:right="919" w:hanging="352"/>
        <w:spacing w:after="0" w:line="26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the “as adjusted” share amount assumes no exercise of the underwriters’ option to purchase additional units and the forfeiture of 3,750,000 founder shares by our sponsor.</w:t>
      </w:r>
    </w:p>
    <w:p>
      <w:pPr>
        <w:spacing w:after="0" w:line="89"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stockholders’ equity of $5,000,010, less common stock (par value) of $2,900 plus the accumulated deficit of $(1,000).</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are a newly incorporated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sale of the private placement warrants, our capital stock, debt or a combination of cash, stock and debt.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144" w:lineRule="exact"/>
        <w:rPr>
          <w:sz w:val="20"/>
          <w:szCs w:val="20"/>
          <w:color w:val="auto"/>
        </w:rPr>
      </w:pPr>
    </w:p>
    <w:p>
      <w:pPr>
        <w:ind w:left="1980" w:right="839" w:hanging="352"/>
        <w:spacing w:after="0" w:line="311" w:lineRule="auto"/>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54" w:lineRule="exact"/>
        <w:rPr>
          <w:rFonts w:ascii="Arial" w:cs="Arial" w:eastAsia="Arial" w:hAnsi="Arial"/>
          <w:sz w:val="16"/>
          <w:szCs w:val="16"/>
          <w:color w:val="auto"/>
        </w:rPr>
      </w:pPr>
    </w:p>
    <w:p>
      <w:pPr>
        <w:ind w:left="1980" w:right="10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980" w:right="779" w:hanging="352"/>
        <w:spacing w:after="0" w:line="311" w:lineRule="auto"/>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67" w:lineRule="exact"/>
        <w:rPr>
          <w:rFonts w:ascii="Arial" w:cs="Arial" w:eastAsia="Arial" w:hAnsi="Arial"/>
          <w:sz w:val="16"/>
          <w:szCs w:val="16"/>
          <w:color w:val="auto"/>
        </w:rPr>
      </w:pPr>
    </w:p>
    <w:p>
      <w:pPr>
        <w:ind w:left="1980" w:right="11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75" w:lineRule="exact"/>
        <w:rPr>
          <w:rFonts w:ascii="Arial" w:cs="Arial" w:eastAsia="Arial" w:hAnsi="Arial"/>
          <w:sz w:val="18"/>
          <w:szCs w:val="18"/>
          <w:color w:val="auto"/>
        </w:rPr>
      </w:pPr>
    </w:p>
    <w:p>
      <w:pPr>
        <w:jc w:val="both"/>
        <w:ind w:left="1620" w:right="1079" w:firstLine="8"/>
        <w:spacing w:after="0" w:line="406"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 Similarly, if we issue debt securities or otherwise incur significant indebtedness, it could result in:</w:t>
      </w:r>
    </w:p>
    <w:p>
      <w:pPr>
        <w:ind w:left="1980" w:right="16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30"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As of May 22, 2020, we had cash of $25,000 and working capital deficit of $34,000. Further, we expect to continue to incur significant costs in the pursuit of our acquisition plans. We cannot assure you that our plans to raise capital or to complete our initial business combination will be successful.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$25,000 from the sale of the founder shares and up to $600,000 in loans from our sponsor under an unsecured promissory note. We estimate that the net proceeds from: (1) the sale of the units in this offering, after deducting offering expenses of approximately $1,250,000 and underwriting commissions of $20,000,000 ($23,000,000 if the underwriters’ option to purchase additional units is exercised in full) (excluding deferred underwriting commissions of $35,000,000 (or up to $40,250,000 if the underwriters’ option to purchase additional units is exercised in full)); and (2) the sale of the private placement warrants for a purchase price of $21,250,000 (or $24,250,000 if the underwriters’ option to purchase additional units is exercised in full), will be $1,000,000,000 (or $1,150,000,000 if the underwriters’ option to purchase additional units is exercised in full). Of this amount, $1,000,000,000 (or $1,150,000,000 if the underwriters’ option to purchase additional units is exercised in full), which includes $35,000,000 (or up to $40,250,000 if the underwriters’ option to purchase additional units is exercised in full) of deferred underwriting commissions, will be deposited into the trust account. The funds in the trust account will be invested only in U.S. government treasury bills with a maturity of 185 days or less or in money market funds that meet certain conditions under Rule 2a-7 under the Investment Company Act of 1940 and that invest only in direct U.S. government obligations. In the event that our offering expenses exceed our estimate of $1,250,000, we may fund such excess with loans or additional investments from our sponsor, members of our management team or any of their respective affiliates or other third parties. Conversely, in the event that the offering expenses are less than our estimate of $1,250,000, the excess would be held outside of the trust account.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permitted withdrawals) to complete our initial business combination. We will make permitted withdrawals from the trust account to pay our taxes, including franchise taxes and income taxes. Delaware franchise tax is based on our authorized shares or on our assumed par and non-par capital, whichever yields a lower result. Under the authorized shares method, each share is taxed at a graduated rate based on the number of authorized shares with a maximum aggregate tax of $200,000 per year. Under the assumed par value capital method, Delaware taxes each $1,000,000 of assumed par value capital at the rate of $400; where assumed par value would be (1) our total gross assets following this offering, divided by (2) our total issued shares of common stock following this offering, multiplied by (3) the number of our authorized shares following this offering. Based on the number of shares of our common stock authorized and outstanding and our estimated total gross proceeds after the completion of this offering, our annual franchise tax obligation is expected to be capped at the maximum amount of annual franchise taxes payable by us as a Delaware corporation of $200,000. Our annual income tax obligations will depend on the amount of interest and other income earned on the amounts held in the trust account. We expect the only taxes payable by us out of the funds in the trust account will be income and franchise taxes. We expect the interest earned on the amount in the trust account will be sufficient to pay our taxes. To the extent that our capital stock or debt is used, in whole</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7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84"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We expect our primary liquidity requirements during that period to include legal, accounting, due diligence, travel and other expenses in connection with any business combinations; regulatory reporting requirements; NYSE continued listing fees; office space, administrative and support services, including under the Administrative Services Agreement; reserve for liquidation expenses; and other miscellaneous expenses.</w:t>
      </w:r>
    </w:p>
    <w:p>
      <w:pPr>
        <w:spacing w:after="0" w:line="8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addition, we may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7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indicated in the accompanying financial statements, at May 22, 2020, we had $25,000 in cash and a working capital deficiency of $34,000.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8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w:t>
      </w:r>
    </w:p>
    <w:p>
      <w:pPr>
        <w:spacing w:after="0" w:line="8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5" w:lineRule="exact"/>
        <w:rPr>
          <w:sz w:val="20"/>
          <w:szCs w:val="20"/>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 Once our management’s report on internal controls is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bills with a maturity of 185 days or less or in money market funds that meet certain conditions under Rule 2a-7 under the Investment Company Act of 1940 and that invest only in direct U.S. government obligations. Due to the short-term nature of these investments, we believe there will be no associated material exposure to interest rate risk.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May 22, 2020, we did not have any off-balance sheet arrangements as defined in Item 303(a)(4)</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 of Regulation S-K and did not have any commitments or contractual obligations.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The number of founder shares issued was determined based on the expectation that the founder shares would represent 20% of the outstanding shares of common stock upon the completion of this offering. The purchase price of the founder shares was determined by dividing the amount of cash contributed to us by the number of founder shares issued.</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sponsor has agreed to loan us up to $600,000 under an unsecured promissory note to be used for a portion of the expenses of this offering. As of June 1, 2020, there was $300,000 outstanding under such promissory note. These loans are non-interest bearing, unsecured and are due at the earlier of December 31, 2020 and the closing of this offering. These loans will be repaid upon completion of this offering out of the $1,250,000 of offering proceeds that has been allocated for the payment of offering expenses (other than underwriting commissions) not held in the trust account.</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is not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8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sponsor has subscribed to purchase an aggregate of 21,250,000 (or 24,250,000 if the underwriters’ option to purchase additional units is exercised in full) private placement warrants at a price of $1.00 per warrant ($21,250,000 in the aggregate or $24,250,000 in the aggregate if the underwriters’ option to purchase additional units is exercised in full) in the Private Placement. Each private placement warrant entitles the holder thereof to purchase one share of our Class A common stock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(except as described below under “Principal Stockholders</w:t>
      </w:r>
    </w:p>
    <w:p>
      <w:pPr>
        <w:spacing w:after="0" w:line="7"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 Transfers of Founder Shares and Private Placement Warrants”). The private placement warrants may also be exercised by our sponsor or its permitted transferees for cash or on a cashless basis. Otherwise, the private placement warrants have terms and provisions that are identical to those of the warrants being sold as part of the units in this offering.</w:t>
      </w:r>
    </w:p>
    <w:p>
      <w:pPr>
        <w:spacing w:after="0" w:line="85"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securities for sale under the Securities Act. Our initial stockholders,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Please see “Certain Relationships and Related Party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PROPOSED 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35-year career, including more than two decades at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CCC, a special purpose acquisition company that completed a $690 million initial public offering in September 2018 and merged in May 2019 with Clarivate, a leading provider of comprehensive intellectual property and scientific information, analytical tools, and services.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6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Such Strategic Partners may invest in our sponsor, thereby sharing in the appreciation of founder shares and private placement warrants, and assist M. Klein and Company in evaluating potential acquisition targets. In addition, Glenn R. August, the CEO and Founder of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strategy is to:</w:t>
      </w:r>
    </w:p>
    <w:p>
      <w:pPr>
        <w:spacing w:after="0" w:line="198" w:lineRule="exact"/>
        <w:rPr>
          <w:sz w:val="20"/>
          <w:szCs w:val="20"/>
          <w:color w:val="auto"/>
        </w:rPr>
      </w:pPr>
    </w:p>
    <w:p>
      <w:pPr>
        <w:ind w:left="1980" w:right="79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84"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98" w:lineRule="exact"/>
        <w:rPr>
          <w:sz w:val="20"/>
          <w:szCs w:val="20"/>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84"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143"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85" w:lineRule="exact"/>
        <w:rPr>
          <w:sz w:val="20"/>
          <w:szCs w:val="20"/>
          <w:color w:val="auto"/>
        </w:rPr>
      </w:pPr>
    </w:p>
    <w:p>
      <w:pPr>
        <w:ind w:left="1980" w:right="87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98" w:lineRule="exact"/>
        <w:rPr>
          <w:rFonts w:ascii="Arial" w:cs="Arial" w:eastAsia="Arial" w:hAnsi="Arial"/>
          <w:sz w:val="18"/>
          <w:szCs w:val="18"/>
          <w:color w:val="auto"/>
        </w:rPr>
      </w:pPr>
    </w:p>
    <w:p>
      <w:pPr>
        <w:jc w:val="both"/>
        <w:ind w:left="1980" w:right="1179" w:hanging="352"/>
        <w:spacing w:after="0" w:line="26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138" w:lineRule="exact"/>
        <w:rPr>
          <w:sz w:val="20"/>
          <w:szCs w:val="20"/>
          <w:color w:val="auto"/>
        </w:rPr>
      </w:pPr>
    </w:p>
    <w:p>
      <w:pPr>
        <w:ind w:left="1980" w:right="739" w:hanging="352"/>
        <w:spacing w:after="0" w:line="259"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S&amp;P500 companies across multiple sectors and industries, will provide us a distinct advantage in being able to source, evaluate and consummate an attractive transaction.</w:t>
      </w:r>
    </w:p>
    <w:p>
      <w:pPr>
        <w:spacing w:after="0" w:line="119" w:lineRule="exact"/>
        <w:rPr>
          <w:rFonts w:ascii="Arial" w:cs="Arial" w:eastAsia="Arial" w:hAnsi="Arial"/>
          <w:sz w:val="18"/>
          <w:szCs w:val="18"/>
          <w:color w:val="auto"/>
        </w:rPr>
      </w:pPr>
    </w:p>
    <w:p>
      <w:pPr>
        <w:ind w:left="1980" w:right="719" w:hanging="352"/>
        <w:spacing w:after="0" w:line="25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40"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129" w:lineRule="exact"/>
        <w:rPr>
          <w:rFonts w:ascii="Arial" w:cs="Arial" w:eastAsia="Arial" w:hAnsi="Arial"/>
          <w:sz w:val="18"/>
          <w:szCs w:val="18"/>
          <w:color w:val="auto"/>
        </w:rPr>
      </w:pPr>
    </w:p>
    <w:p>
      <w:pPr>
        <w:ind w:left="1980" w:right="679" w:hanging="352"/>
        <w:spacing w:after="0" w:line="25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116" w:lineRule="exact"/>
        <w:rPr>
          <w:sz w:val="20"/>
          <w:szCs w:val="20"/>
          <w:color w:val="auto"/>
        </w:rPr>
      </w:pPr>
    </w:p>
    <w:p>
      <w:pPr>
        <w:ind w:left="1980" w:right="1299" w:hanging="352"/>
        <w:spacing w:after="0" w:line="342" w:lineRule="auto"/>
        <w:tabs>
          <w:tab w:leader="none" w:pos="19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56" w:lineRule="exact"/>
        <w:rPr>
          <w:rFonts w:ascii="Arial" w:cs="Arial" w:eastAsia="Arial" w:hAnsi="Arial"/>
          <w:sz w:val="16"/>
          <w:szCs w:val="16"/>
          <w:color w:val="auto"/>
        </w:rPr>
      </w:pPr>
    </w:p>
    <w:p>
      <w:pPr>
        <w:ind w:left="1980" w:right="919" w:hanging="352"/>
        <w:spacing w:after="0" w:line="263"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29"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129" w:lineRule="exact"/>
        <w:rPr>
          <w:rFonts w:ascii="Arial" w:cs="Arial" w:eastAsia="Arial" w:hAnsi="Arial"/>
          <w:sz w:val="18"/>
          <w:szCs w:val="18"/>
          <w:color w:val="auto"/>
        </w:rPr>
      </w:pPr>
    </w:p>
    <w:p>
      <w:pPr>
        <w:ind w:left="1980" w:right="819" w:hanging="352"/>
        <w:spacing w:after="0" w:line="25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120" w:lineRule="exact"/>
        <w:rPr>
          <w:rFonts w:ascii="Arial" w:cs="Arial" w:eastAsia="Arial" w:hAnsi="Arial"/>
          <w:sz w:val="18"/>
          <w:szCs w:val="18"/>
          <w:color w:val="auto"/>
        </w:rPr>
      </w:pPr>
    </w:p>
    <w:p>
      <w:pPr>
        <w:ind w:left="1980" w:right="1079" w:hanging="352"/>
        <w:spacing w:after="0" w:line="308"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6"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60" w:right="719"/>
        <w:spacing w:after="0" w:line="271" w:lineRule="auto"/>
        <w:rPr>
          <w:sz w:val="20"/>
          <w:szCs w:val="20"/>
          <w:color w:val="auto"/>
        </w:rPr>
      </w:pPr>
      <w:r>
        <w:rPr>
          <w:rFonts w:ascii="Arial" w:cs="Arial" w:eastAsia="Arial" w:hAnsi="Arial"/>
          <w:sz w:val="17"/>
          <w:szCs w:val="17"/>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7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68"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5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M. Klein and Company or any of our Strategic and Operating Partners may compete with us for acquisition opportunities that we may target for our initial business combination. If M. Klein and Company or any of our Strategic and Operating Partners decides to pursue any such opportunity or determines in its sole discretion not to offer such opportunity to us, we may be precluded from procuring such opportunities. In addition, investment ideas generated within M. Klein and Company or any of our Strategic and Operating Partners or by persons who may make decisions for us or any of our Strategic and Operating Partners may be suitable for both us and for M. Klein and Company or the relevant Strategic and Operating Partner and may be directed to M. Klein and Company, the relevant Strategic and Operating Partner or other third parties rather than to us. Neither M. Klein and Company nor any of our Strategic and Operating Partners has any fiduciary, contractual or other obligations or duties to our company, including, without limitation, to present us with any opportunity for a potential business combination of which they become aware.</w:t>
      </w:r>
    </w:p>
    <w:p>
      <w:pPr>
        <w:spacing w:after="0" w:line="7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or any of our Strategic and Operating Partners), may choose or be required to present potential business combinations or other transactions to M. Klein and Company, the relevant Strategic and Operating Partner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any of our Strategic and Operating Partners, our sponsor, officers or directors, nor are we prohibited from doing so with a business that is affiliated with any M. Klein and Company or any of our Strategic and Operating Partners. In the event we seek to complete our initial business combination with a business that is affiliated with M. Klein and Company, any of our Strategic and Operating Partners, our sponsor, officers or directors, we, or a committee of independent and</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discussed above and in “Management — Conflicts of Interest,” if any of our officers or directors becomes aware of a business combination opportunity that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0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target businesses an alternative to the traditional initial public offering through a merger, capital stock exchange, asset acquisition, stock purchase, reorganization or similar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spacing w:after="0"/>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With funds available for a business combination initially in the amount of $965,000,000 assuming no redemptions and after payment of $35,000,000 of deferred underwriting fees (or $1,109,750,000 assuming no redemptions and after payment of up to $40,250,000 of deferred underwriting fees if the underwriters’ option to purchase additional units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capital stock,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87"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Members of our management team, M. Klein and Company and our Strategic and Operating Partners are from time to time made aware of potential business opportunities, one or more of which we may desire to pursue, for a business combination, but we have not (nor has anyone on our behalf) engaged in any substantive discussions with a business combination target, with respect to a business combination transaction with us. Please see “— Sourcing of Potential Business Combination Targets” for additional information regarding limitations on our access to investment opportunities sourced by M. Klein and Company and our Strategic and Operating Partners.</w:t>
      </w:r>
    </w:p>
    <w:p>
      <w:pPr>
        <w:spacing w:after="0" w:line="8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may seek to raise additional funds in connection with the completion of our initial business combination through a private offering of equity securities or debt securities or loans, and we may effectuate our initial business combination using the proceeds of such offerings or loans rather than using the amounts held in the trust account.</w:t>
      </w:r>
    </w:p>
    <w:p>
      <w:pPr>
        <w:spacing w:after="0" w:line="79"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In the case of an initial business combination funded with assets other than the trust account assets, our tender offer documents or proxy materials disclosing the business combination would disclose the terms of the financing and, only if required by applicable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0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The fair market value of the target or targets will be determined by our board of directors based upon one or more standards generally accepted by the financial community, such as discounted cash flow valuation or value of comparable businesses. If our board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76"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In any case, we will only complete an initial business combination in which we own or acquire 50% or more of the outstanding voting securities of the target or otherwise acquire a controlling interest in the target business sufficient for it not to be required to register as an investment company under the Investment Company Act. If we own or acquire less than 100% of the equity interests or assets of a target</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business or businesses, the portion of such business or businesses that are owned or acquired by the post-transaction company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7" w:lineRule="exact"/>
        <w:rPr>
          <w:sz w:val="20"/>
          <w:szCs w:val="20"/>
          <w:color w:val="auto"/>
        </w:rPr>
      </w:pPr>
    </w:p>
    <w:p>
      <w:pPr>
        <w:ind w:left="1260" w:right="939" w:firstLine="360"/>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0" w:lineRule="exact"/>
        <w:rPr>
          <w:sz w:val="20"/>
          <w:szCs w:val="20"/>
          <w:color w:val="auto"/>
        </w:rPr>
      </w:pPr>
    </w:p>
    <w:p>
      <w:pPr>
        <w:jc w:val="both"/>
        <w:ind w:left="1980" w:right="999" w:hanging="352"/>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4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86"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stock exchange rule,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11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Whether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Approval is</w:t>
            </w:r>
          </w:p>
        </w:tc>
      </w:tr>
      <w:tr>
        <w:trPr>
          <w:trHeight w:val="18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Required</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Under the NYSE’s listing rules, stockholder approval would be required for our initial business combination if, for example:</w:t>
      </w:r>
    </w:p>
    <w:p>
      <w:pPr>
        <w:spacing w:after="0" w:line="130" w:lineRule="exact"/>
        <w:rPr>
          <w:sz w:val="20"/>
          <w:szCs w:val="20"/>
          <w:color w:val="auto"/>
        </w:rPr>
      </w:pPr>
    </w:p>
    <w:p>
      <w:pPr>
        <w:ind w:left="1980" w:right="919" w:hanging="352"/>
        <w:spacing w:after="0" w:line="274"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issue (other than in a public offering for cash) shares of common stock that will either (a) be equal to or in excess of 20% of the number of shares of common stock then outstanding or</w:t>
      </w:r>
    </w:p>
    <w:p>
      <w:pPr>
        <w:ind w:left="1980"/>
        <w:spacing w:after="0"/>
        <w:rPr>
          <w:rFonts w:ascii="Arial" w:cs="Arial" w:eastAsia="Arial" w:hAnsi="Arial"/>
          <w:sz w:val="17"/>
          <w:szCs w:val="17"/>
          <w:color w:val="auto"/>
        </w:rPr>
      </w:pPr>
      <w:r>
        <w:rPr>
          <w:rFonts w:ascii="Arial" w:cs="Arial" w:eastAsia="Arial" w:hAnsi="Arial"/>
          <w:sz w:val="18"/>
          <w:szCs w:val="18"/>
          <w:color w:val="auto"/>
        </w:rPr>
        <w:t>(b) have voting power equal to or in excess of 20% of the voting power then outstanding;</w:t>
      </w:r>
    </w:p>
    <w:p>
      <w:pPr>
        <w:spacing w:after="0" w:line="183" w:lineRule="exact"/>
        <w:rPr>
          <w:rFonts w:ascii="Arial" w:cs="Arial" w:eastAsia="Arial" w:hAnsi="Arial"/>
          <w:sz w:val="17"/>
          <w:szCs w:val="17"/>
          <w:color w:val="auto"/>
        </w:rPr>
      </w:pPr>
    </w:p>
    <w:p>
      <w:pPr>
        <w:ind w:left="1980" w:right="679" w:hanging="352"/>
        <w:spacing w:after="0" w:line="272"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of our directors, officers or substantial security holders (as defined by the NYSE rules) has a 5% or greater interest, directly or indirectly, in the target business or assets to be acquired and if the number of shares of common stock to be issued, or if the number of shares of common stock into which the securities may be convertible or exercisable, exceeds either (a) 1% of the number of shares of common stock or 1% of the voting power outstanding before the issuance in the case of any of our directors and officers or (b) 5% of the number of shares of common stock or 5% of the voting power outstanding before the issuance in the case of any substantial securityholders; or</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will result in our undergoing a change of control.</w:t>
      </w:r>
    </w:p>
    <w:p>
      <w:pPr>
        <w:spacing w:after="0" w:line="11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46" w:lineRule="exact"/>
        <w:rPr>
          <w:sz w:val="20"/>
          <w:szCs w:val="20"/>
          <w:color w:val="auto"/>
        </w:rPr>
      </w:pPr>
    </w:p>
    <w:p>
      <w:pPr>
        <w:ind w:left="1980" w:right="859" w:hanging="352"/>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expected cost of holding a stockholder vote;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 that the stockholders would fail to approve the proposed business combination;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84"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stockholders.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In the event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There is no limit on the number of shares or warrants such persons may purchase. However, they have no current commitments, plans or intentions to engage in such transactions and have not formulated any terms or conditions for any such transactions. 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Prior to the consummation of this offering, we will adopt an insider trading policy which will require insiders to</w:t>
      </w:r>
    </w:p>
    <w:p>
      <w:pPr>
        <w:spacing w:after="0" w:line="3" w:lineRule="exact"/>
        <w:rPr>
          <w:sz w:val="20"/>
          <w:szCs w:val="20"/>
          <w:color w:val="auto"/>
        </w:rPr>
      </w:pPr>
    </w:p>
    <w:p>
      <w:pPr>
        <w:ind w:left="1260" w:right="699" w:firstLine="8"/>
        <w:spacing w:after="0" w:line="252" w:lineRule="auto"/>
        <w:tabs>
          <w:tab w:leader="none" w:pos="15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 (2) 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public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8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8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76"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86" w:lineRule="auto"/>
        <w:rPr>
          <w:sz w:val="20"/>
          <w:szCs w:val="20"/>
          <w:color w:val="auto"/>
        </w:rPr>
      </w:pPr>
      <w:r>
        <w:rPr>
          <w:rFonts w:ascii="Arial" w:cs="Arial" w:eastAsia="Arial" w:hAnsi="Arial"/>
          <w:sz w:val="17"/>
          <w:szCs w:val="17"/>
          <w:color w:val="auto"/>
        </w:rPr>
        <w:t>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5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Any purchases by our sponsor, officers, directors and/or any of their respective affiliates who are affiliated purchasers under Rule 10b-18 under the Exchange Act will only be made to the extent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respective affiliates will be restricted from making purchases of common stock if such purchases would violate Section 9(a)(2) or Rule 10b-5 of the Exchange Act.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08"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w:t>
      </w:r>
    </w:p>
    <w:p>
      <w:pPr>
        <w:ind w:left="1260" w:right="739"/>
        <w:spacing w:after="0" w:line="251" w:lineRule="auto"/>
        <w:rPr>
          <w:sz w:val="20"/>
          <w:szCs w:val="20"/>
          <w:color w:val="auto"/>
        </w:rPr>
      </w:pPr>
      <w:r>
        <w:rPr>
          <w:rFonts w:ascii="Arial" w:cs="Arial" w:eastAsia="Arial" w:hAnsi="Arial"/>
          <w:sz w:val="18"/>
          <w:szCs w:val="18"/>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88"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reasons, we will, pursuant to our amended and restated certificate of incorporation:</w:t>
      </w:r>
    </w:p>
    <w:p>
      <w:pPr>
        <w:spacing w:after="0" w:line="25" w:lineRule="exact"/>
        <w:rPr>
          <w:sz w:val="20"/>
          <w:szCs w:val="20"/>
          <w:color w:val="auto"/>
        </w:rPr>
      </w:pPr>
    </w:p>
    <w:p>
      <w:pPr>
        <w:ind w:left="1980" w:right="83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35"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7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77"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30" w:lineRule="exact"/>
        <w:rPr>
          <w:sz w:val="20"/>
          <w:szCs w:val="20"/>
          <w:color w:val="auto"/>
        </w:rPr>
      </w:pPr>
    </w:p>
    <w:p>
      <w:pPr>
        <w:ind w:left="1980" w:right="799" w:hanging="352"/>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70"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we seek stockholder approval, unless otherwise required by applicable law, regulation or stock exchange rules,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w:t>
      </w:r>
    </w:p>
    <w:p>
      <w:pPr>
        <w:spacing w:after="0" w:line="1" w:lineRule="exact"/>
        <w:rPr>
          <w:sz w:val="20"/>
          <w:szCs w:val="20"/>
          <w:color w:val="auto"/>
        </w:rPr>
      </w:pPr>
    </w:p>
    <w:p>
      <w:pPr>
        <w:ind w:left="5280" w:right="1759" w:hanging="4012"/>
        <w:spacing w:after="0" w:line="573" w:lineRule="auto"/>
        <w:tabs>
          <w:tab w:leader="none" w:pos="15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to be transferred to the target for working capital or other general corporate purposes;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Limitation on redemption upon completion of our initial business combination if we seek stockholder approval</w:t>
      </w:r>
    </w:p>
    <w:p>
      <w:pPr>
        <w:spacing w:after="0" w:line="14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affiliates at a premium to the then-current market price or on other undesirable terms. By limiting our stockholders’ ability to redeem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7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7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8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6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79"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provides that we will have only the time of the completion window to complete our initial business combination.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8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window. However, if our sponsor or any of our officers and directors acquires public shares after this offering, it will be entitled to liquidating distributions from the trust account with respect to such public shares if we fail to complete our initial business combination within the completion window.</w:t>
      </w:r>
    </w:p>
    <w:p>
      <w:pPr>
        <w:spacing w:after="0" w:line="7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8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7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“Risk Factors — If third parties bring claims against us, the proceeds held in the trust account could be reduced and the per share redemption amount received by stockholders may be less than $10.00 per share” and other risk factors described above.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7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 None of our other officers will indemnify us for claims by third parties including, without limitation, claims by vendors and prospective target businesses.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the proceeds in the trust account are reduced below: (1) $10.00 per public share; or</w:t>
      </w:r>
    </w:p>
    <w:p>
      <w:pPr>
        <w:spacing w:after="0" w:line="35" w:lineRule="exact"/>
        <w:rPr>
          <w:sz w:val="20"/>
          <w:szCs w:val="20"/>
          <w:color w:val="auto"/>
        </w:rPr>
      </w:pPr>
    </w:p>
    <w:p>
      <w:pPr>
        <w:ind w:left="1260" w:right="699" w:firstLine="8"/>
        <w:spacing w:after="0" w:line="267" w:lineRule="auto"/>
        <w:tabs>
          <w:tab w:leader="none" w:pos="15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“Risk Factors — If third parties bring claims against us, the proceeds held in the trust account could be reduced and the per share redemption amount received by stockholders may be less than $10.00 per share” and other risk factors described above.</w:t>
      </w:r>
    </w:p>
    <w:p>
      <w:pPr>
        <w:spacing w:after="0" w:line="7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In the event that we liquidate and it is subsequently determined that the reserve for claims and liabilities is insufficient, stockholders who received funds from our trust account could be liable for claims made by creditors.</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w:t>
      </w: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w:t>
      </w:r>
    </w:p>
    <w:p>
      <w:pPr>
        <w:spacing w:after="0" w:line="3"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77"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w:t>
      </w:r>
    </w:p>
    <w:p>
      <w:pPr>
        <w:spacing w:after="0" w:line="3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this offering against certain liabilities, including liabilities under the Securities Act.</w:t>
      </w:r>
    </w:p>
    <w:p>
      <w:pPr>
        <w:spacing w:after="0" w:line="8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prior to addressing the claims of creditors. We cannot assure you that claims will not be brought against us for these reasons. Please see “Risk Factors — 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will provide, among other things, that:</w:t>
      </w:r>
    </w:p>
    <w:p>
      <w:pPr>
        <w:spacing w:after="0" w:line="74" w:lineRule="exact"/>
        <w:rPr>
          <w:sz w:val="20"/>
          <w:szCs w:val="20"/>
          <w:color w:val="auto"/>
        </w:rPr>
      </w:pPr>
    </w:p>
    <w:p>
      <w:pPr>
        <w:ind w:left="1980" w:right="779" w:hanging="352"/>
        <w:spacing w:after="0" w:line="269"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73" w:lineRule="exact"/>
        <w:rPr>
          <w:rFonts w:ascii="Arial" w:cs="Arial" w:eastAsia="Arial" w:hAnsi="Arial"/>
          <w:sz w:val="17"/>
          <w:szCs w:val="17"/>
          <w:color w:val="auto"/>
        </w:rPr>
      </w:pPr>
    </w:p>
    <w:p>
      <w:pPr>
        <w:jc w:val="both"/>
        <w:ind w:left="1980" w:right="679" w:hanging="352"/>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78"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62"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76"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These provisions cannot be amended without the approval of holders of 65% of our common stock. In the event we seek stockholder approval in connection with our initial business combination, our amended and restated certificate of incorporation will provide that, unless otherwise required by applicable law or stock exchange rules, we may consummate our initial business combination only if approved by a majority of the shares of common stock voted by our stockholders at a duly held stockholders meeting.</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739"/>
        <w:spacing w:after="0" w:line="250"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7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pacing w:after="0" w:line="108" w:lineRule="exact"/>
        <w:rPr>
          <w:sz w:val="20"/>
          <w:szCs w:val="20"/>
          <w:color w:val="auto"/>
        </w:rPr>
      </w:pPr>
    </w:p>
    <w:p>
      <w:pPr>
        <w:ind w:left="2800"/>
        <w:spacing w:after="0"/>
        <w:tabs>
          <w:tab w:leader="none" w:pos="5140" w:val="left"/>
          <w:tab w:leader="none" w:pos="730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line="246" w:lineRule="auto"/>
        <w:rPr>
          <w:sz w:val="20"/>
          <w:szCs w:val="20"/>
          <w:color w:val="auto"/>
        </w:rPr>
      </w:pPr>
      <w:r>
        <w:rPr>
          <w:rFonts w:ascii="Arial" w:cs="Arial" w:eastAsia="Arial" w:hAnsi="Arial"/>
          <w:sz w:val="18"/>
          <w:szCs w:val="18"/>
          <w:b w:val="1"/>
          <w:bCs w:val="1"/>
          <w:color w:val="auto"/>
        </w:rPr>
        <w:t xml:space="preserve">Calculation of </w:t>
      </w:r>
      <w:r>
        <w:rPr>
          <w:rFonts w:ascii="Arial" w:cs="Arial" w:eastAsia="Arial" w:hAnsi="Arial"/>
          <w:sz w:val="18"/>
          <w:szCs w:val="18"/>
          <w:color w:val="auto"/>
        </w:rPr>
        <w:t>Redemptions at the time of</w:t>
      </w:r>
      <w:r>
        <w:rPr>
          <w:rFonts w:ascii="Arial" w:cs="Arial" w:eastAsia="Arial" w:hAnsi="Arial"/>
          <w:sz w:val="18"/>
          <w:szCs w:val="18"/>
          <w:b w:val="1"/>
          <w:bCs w:val="1"/>
          <w:color w:val="auto"/>
        </w:rPr>
        <w:t xml:space="preserve"> redemption price </w:t>
      </w:r>
      <w:r>
        <w:rPr>
          <w:rFonts w:ascii="Arial" w:cs="Arial" w:eastAsia="Arial" w:hAnsi="Arial"/>
          <w:sz w:val="18"/>
          <w:szCs w:val="18"/>
          <w:color w:val="auto"/>
        </w:rPr>
        <w:t>our initial business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combination may be made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pursuant to a tender offer</w:t>
      </w:r>
    </w:p>
    <w:p>
      <w:pPr>
        <w:ind w:left="2760"/>
        <w:spacing w:after="0" w:line="234" w:lineRule="auto"/>
        <w:rPr>
          <w:sz w:val="20"/>
          <w:szCs w:val="20"/>
          <w:color w:val="auto"/>
        </w:rPr>
      </w:pPr>
      <w:r>
        <w:rPr>
          <w:rFonts w:ascii="Arial" w:cs="Arial" w:eastAsia="Arial" w:hAnsi="Arial"/>
          <w:sz w:val="18"/>
          <w:szCs w:val="18"/>
          <w:color w:val="auto"/>
        </w:rPr>
        <w:t>or in connection with a</w:t>
      </w:r>
    </w:p>
    <w:p>
      <w:pPr>
        <w:ind w:left="2760"/>
        <w:spacing w:after="0" w:line="235" w:lineRule="auto"/>
        <w:rPr>
          <w:sz w:val="20"/>
          <w:szCs w:val="20"/>
          <w:color w:val="auto"/>
        </w:rPr>
      </w:pPr>
      <w:r>
        <w:rPr>
          <w:rFonts w:ascii="Arial" w:cs="Arial" w:eastAsia="Arial" w:hAnsi="Arial"/>
          <w:sz w:val="18"/>
          <w:szCs w:val="18"/>
          <w:color w:val="auto"/>
        </w:rPr>
        <w:t>stockholder vote. The</w:t>
      </w:r>
    </w:p>
    <w:p>
      <w:pPr>
        <w:ind w:left="2760"/>
        <w:spacing w:after="0" w:line="235" w:lineRule="auto"/>
        <w:rPr>
          <w:sz w:val="20"/>
          <w:szCs w:val="20"/>
          <w:color w:val="auto"/>
        </w:rPr>
      </w:pPr>
      <w:r>
        <w:rPr>
          <w:rFonts w:ascii="Arial" w:cs="Arial" w:eastAsia="Arial" w:hAnsi="Arial"/>
          <w:sz w:val="18"/>
          <w:szCs w:val="18"/>
          <w:color w:val="auto"/>
        </w:rPr>
        <w:t>redemption price will be</w:t>
      </w:r>
    </w:p>
    <w:p>
      <w:pPr>
        <w:ind w:left="2760"/>
        <w:spacing w:after="0" w:line="235" w:lineRule="auto"/>
        <w:rPr>
          <w:sz w:val="20"/>
          <w:szCs w:val="20"/>
          <w:color w:val="auto"/>
        </w:rPr>
      </w:pPr>
      <w:r>
        <w:rPr>
          <w:rFonts w:ascii="Arial" w:cs="Arial" w:eastAsia="Arial" w:hAnsi="Arial"/>
          <w:sz w:val="18"/>
          <w:szCs w:val="18"/>
          <w:color w:val="auto"/>
        </w:rPr>
        <w:t>the same whether we</w:t>
      </w:r>
    </w:p>
    <w:p>
      <w:pPr>
        <w:ind w:left="2760"/>
        <w:spacing w:after="0" w:line="235" w:lineRule="auto"/>
        <w:rPr>
          <w:sz w:val="20"/>
          <w:szCs w:val="20"/>
          <w:color w:val="auto"/>
        </w:rPr>
      </w:pPr>
      <w:r>
        <w:rPr>
          <w:rFonts w:ascii="Arial" w:cs="Arial" w:eastAsia="Arial" w:hAnsi="Arial"/>
          <w:sz w:val="18"/>
          <w:szCs w:val="18"/>
          <w:color w:val="auto"/>
        </w:rPr>
        <w:t>conduct redemptions</w:t>
      </w:r>
    </w:p>
    <w:p>
      <w:pPr>
        <w:ind w:left="2760"/>
        <w:spacing w:after="0" w:line="234" w:lineRule="auto"/>
        <w:rPr>
          <w:sz w:val="20"/>
          <w:szCs w:val="20"/>
          <w:color w:val="auto"/>
        </w:rPr>
      </w:pPr>
      <w:r>
        <w:rPr>
          <w:rFonts w:ascii="Arial" w:cs="Arial" w:eastAsia="Arial" w:hAnsi="Arial"/>
          <w:sz w:val="18"/>
          <w:szCs w:val="18"/>
          <w:color w:val="auto"/>
        </w:rPr>
        <w:t>pursuant to a tender offer</w:t>
      </w:r>
    </w:p>
    <w:p>
      <w:pPr>
        <w:ind w:left="2760"/>
        <w:spacing w:after="0" w:line="235" w:lineRule="auto"/>
        <w:rPr>
          <w:sz w:val="20"/>
          <w:szCs w:val="20"/>
          <w:color w:val="auto"/>
        </w:rPr>
      </w:pPr>
      <w:r>
        <w:rPr>
          <w:rFonts w:ascii="Arial" w:cs="Arial" w:eastAsia="Arial" w:hAnsi="Arial"/>
          <w:sz w:val="18"/>
          <w:szCs w:val="18"/>
          <w:color w:val="auto"/>
        </w:rPr>
        <w:t>or in connection with a</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stockholder vote. In either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case, our public</w:t>
      </w:r>
    </w:p>
    <w:p>
      <w:pPr>
        <w:ind w:left="2760"/>
        <w:spacing w:after="0"/>
        <w:rPr>
          <w:sz w:val="20"/>
          <w:szCs w:val="20"/>
          <w:color w:val="auto"/>
        </w:rPr>
      </w:pPr>
      <w:r>
        <w:rPr>
          <w:rFonts w:ascii="Arial" w:cs="Arial" w:eastAsia="Arial" w:hAnsi="Arial"/>
          <w:sz w:val="17"/>
          <w:szCs w:val="17"/>
          <w:color w:val="auto"/>
        </w:rPr>
        <w:t>stockholders may redeem</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their public shares for cash</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equal to the aggregate</w:t>
      </w:r>
    </w:p>
    <w:p>
      <w:pPr>
        <w:ind w:left="2760"/>
        <w:spacing w:after="0"/>
        <w:rPr>
          <w:sz w:val="20"/>
          <w:szCs w:val="20"/>
          <w:color w:val="auto"/>
        </w:rPr>
      </w:pPr>
      <w:r>
        <w:rPr>
          <w:rFonts w:ascii="Arial" w:cs="Arial" w:eastAsia="Arial" w:hAnsi="Arial"/>
          <w:sz w:val="17"/>
          <w:szCs w:val="17"/>
          <w:color w:val="auto"/>
        </w:rPr>
        <w:t>amount then on deposit in</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trust account as of two</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business days prior to the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consummation of the</w:t>
      </w:r>
    </w:p>
    <w:p>
      <w:pPr>
        <w:ind w:left="2760"/>
        <w:spacing w:after="0" w:line="234" w:lineRule="auto"/>
        <w:rPr>
          <w:sz w:val="20"/>
          <w:szCs w:val="20"/>
          <w:color w:val="auto"/>
        </w:rPr>
      </w:pPr>
      <w:r>
        <w:rPr>
          <w:rFonts w:ascii="Arial" w:cs="Arial" w:eastAsia="Arial" w:hAnsi="Arial"/>
          <w:sz w:val="18"/>
          <w:szCs w:val="18"/>
          <w:color w:val="auto"/>
        </w:rPr>
        <w:t>initial business</w:t>
      </w:r>
    </w:p>
    <w:p>
      <w:pPr>
        <w:ind w:left="2760"/>
        <w:spacing w:after="0" w:line="235" w:lineRule="auto"/>
        <w:rPr>
          <w:sz w:val="20"/>
          <w:szCs w:val="20"/>
          <w:color w:val="auto"/>
        </w:rPr>
      </w:pPr>
      <w:r>
        <w:rPr>
          <w:rFonts w:ascii="Arial" w:cs="Arial" w:eastAsia="Arial" w:hAnsi="Arial"/>
          <w:sz w:val="18"/>
          <w:szCs w:val="18"/>
          <w:color w:val="auto"/>
        </w:rPr>
        <w:t>combination (which is</w:t>
      </w:r>
    </w:p>
    <w:p>
      <w:pPr>
        <w:ind w:left="2760"/>
        <w:spacing w:after="0" w:line="235" w:lineRule="auto"/>
        <w:rPr>
          <w:sz w:val="20"/>
          <w:szCs w:val="20"/>
          <w:color w:val="auto"/>
        </w:rPr>
      </w:pPr>
      <w:r>
        <w:rPr>
          <w:rFonts w:ascii="Arial" w:cs="Arial" w:eastAsia="Arial" w:hAnsi="Arial"/>
          <w:sz w:val="18"/>
          <w:szCs w:val="18"/>
          <w:color w:val="auto"/>
        </w:rPr>
        <w:t>initially anticipated to be</w:t>
      </w:r>
    </w:p>
    <w:p>
      <w:pPr>
        <w:ind w:left="2760"/>
        <w:spacing w:after="0" w:line="235" w:lineRule="auto"/>
        <w:rPr>
          <w:sz w:val="20"/>
          <w:szCs w:val="20"/>
          <w:color w:val="auto"/>
        </w:rPr>
      </w:pPr>
      <w:r>
        <w:rPr>
          <w:rFonts w:ascii="Arial" w:cs="Arial" w:eastAsia="Arial" w:hAnsi="Arial"/>
          <w:sz w:val="18"/>
          <w:szCs w:val="18"/>
          <w:color w:val="auto"/>
        </w:rPr>
        <w:t>$10.00 per share),</w:t>
      </w:r>
    </w:p>
    <w:p>
      <w:pPr>
        <w:ind w:left="2760"/>
        <w:spacing w:after="0" w:line="235" w:lineRule="auto"/>
        <w:rPr>
          <w:sz w:val="20"/>
          <w:szCs w:val="20"/>
          <w:color w:val="auto"/>
        </w:rPr>
      </w:pPr>
      <w:r>
        <w:rPr>
          <w:rFonts w:ascii="Arial" w:cs="Arial" w:eastAsia="Arial" w:hAnsi="Arial"/>
          <w:sz w:val="18"/>
          <w:szCs w:val="18"/>
          <w:color w:val="auto"/>
        </w:rPr>
        <w:t>including interest (net of</w:t>
      </w:r>
    </w:p>
    <w:p>
      <w:pPr>
        <w:ind w:left="2760"/>
        <w:spacing w:after="0" w:line="234" w:lineRule="auto"/>
        <w:rPr>
          <w:sz w:val="20"/>
          <w:szCs w:val="20"/>
          <w:color w:val="auto"/>
        </w:rPr>
      </w:pPr>
      <w:r>
        <w:rPr>
          <w:rFonts w:ascii="Arial" w:cs="Arial" w:eastAsia="Arial" w:hAnsi="Arial"/>
          <w:sz w:val="18"/>
          <w:szCs w:val="18"/>
          <w:color w:val="auto"/>
        </w:rPr>
        <w:t>permitted withdrawals),</w:t>
      </w:r>
    </w:p>
    <w:p>
      <w:pPr>
        <w:ind w:left="2760"/>
        <w:spacing w:after="0" w:line="235" w:lineRule="auto"/>
        <w:rPr>
          <w:sz w:val="20"/>
          <w:szCs w:val="20"/>
          <w:color w:val="auto"/>
        </w:rPr>
      </w:pPr>
      <w:r>
        <w:rPr>
          <w:rFonts w:ascii="Arial" w:cs="Arial" w:eastAsia="Arial" w:hAnsi="Arial"/>
          <w:sz w:val="18"/>
          <w:szCs w:val="18"/>
          <w:color w:val="auto"/>
        </w:rPr>
        <w:t>divided by the number of</w:t>
      </w:r>
    </w:p>
    <w:p>
      <w:pPr>
        <w:ind w:left="2760"/>
        <w:spacing w:after="0" w:line="235" w:lineRule="auto"/>
        <w:rPr>
          <w:sz w:val="20"/>
          <w:szCs w:val="20"/>
          <w:color w:val="auto"/>
        </w:rPr>
      </w:pPr>
      <w:r>
        <w:rPr>
          <w:rFonts w:ascii="Arial" w:cs="Arial" w:eastAsia="Arial" w:hAnsi="Arial"/>
          <w:sz w:val="18"/>
          <w:szCs w:val="18"/>
          <w:color w:val="auto"/>
        </w:rPr>
        <w:t>then outstanding public</w:t>
      </w:r>
    </w:p>
    <w:p>
      <w:pPr>
        <w:ind w:left="2760"/>
        <w:spacing w:after="0" w:line="235" w:lineRule="auto"/>
        <w:rPr>
          <w:sz w:val="20"/>
          <w:szCs w:val="20"/>
          <w:color w:val="auto"/>
        </w:rPr>
      </w:pPr>
      <w:r>
        <w:rPr>
          <w:rFonts w:ascii="Arial" w:cs="Arial" w:eastAsia="Arial" w:hAnsi="Arial"/>
          <w:sz w:val="18"/>
          <w:szCs w:val="18"/>
          <w:color w:val="auto"/>
        </w:rPr>
        <w:t>shares, subject to the</w:t>
      </w:r>
    </w:p>
    <w:p>
      <w:pPr>
        <w:ind w:left="2760"/>
        <w:spacing w:after="0" w:line="235" w:lineRule="auto"/>
        <w:rPr>
          <w:sz w:val="20"/>
          <w:szCs w:val="20"/>
          <w:color w:val="auto"/>
        </w:rPr>
      </w:pPr>
      <w:r>
        <w:rPr>
          <w:rFonts w:ascii="Arial" w:cs="Arial" w:eastAsia="Arial" w:hAnsi="Arial"/>
          <w:sz w:val="18"/>
          <w:szCs w:val="18"/>
          <w:color w:val="auto"/>
        </w:rPr>
        <w:t>limitation that no</w:t>
      </w:r>
    </w:p>
    <w:p>
      <w:pPr>
        <w:ind w:left="2760"/>
        <w:spacing w:after="0" w:line="234" w:lineRule="auto"/>
        <w:rPr>
          <w:sz w:val="20"/>
          <w:szCs w:val="20"/>
          <w:color w:val="auto"/>
        </w:rPr>
      </w:pPr>
      <w:r>
        <w:rPr>
          <w:rFonts w:ascii="Arial" w:cs="Arial" w:eastAsia="Arial" w:hAnsi="Arial"/>
          <w:sz w:val="18"/>
          <w:szCs w:val="18"/>
          <w:color w:val="auto"/>
        </w:rPr>
        <w:t>redemptions will take</w:t>
      </w:r>
    </w:p>
    <w:p>
      <w:pPr>
        <w:ind w:left="2760"/>
        <w:spacing w:after="0" w:line="235" w:lineRule="auto"/>
        <w:rPr>
          <w:sz w:val="20"/>
          <w:szCs w:val="20"/>
          <w:color w:val="auto"/>
        </w:rPr>
      </w:pPr>
      <w:r>
        <w:rPr>
          <w:rFonts w:ascii="Arial" w:cs="Arial" w:eastAsia="Arial" w:hAnsi="Arial"/>
          <w:sz w:val="18"/>
          <w:szCs w:val="18"/>
          <w:color w:val="auto"/>
        </w:rPr>
        <w:t>place if all of the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redemptions would cause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our net tangible assets to</w:t>
      </w:r>
    </w:p>
    <w:p>
      <w:pPr>
        <w:ind w:left="2760"/>
        <w:spacing w:after="0" w:line="234" w:lineRule="auto"/>
        <w:rPr>
          <w:sz w:val="20"/>
          <w:szCs w:val="20"/>
          <w:color w:val="auto"/>
        </w:rPr>
      </w:pPr>
      <w:r>
        <w:rPr>
          <w:rFonts w:ascii="Arial" w:cs="Arial" w:eastAsia="Arial" w:hAnsi="Arial"/>
          <w:sz w:val="18"/>
          <w:szCs w:val="18"/>
          <w:color w:val="auto"/>
        </w:rPr>
        <w:t>be less than $5,000,001</w:t>
      </w:r>
    </w:p>
    <w:p>
      <w:pPr>
        <w:ind w:left="2760"/>
        <w:spacing w:after="0" w:line="235" w:lineRule="auto"/>
        <w:rPr>
          <w:sz w:val="20"/>
          <w:szCs w:val="20"/>
          <w:color w:val="auto"/>
        </w:rPr>
      </w:pPr>
      <w:r>
        <w:rPr>
          <w:rFonts w:ascii="Arial" w:cs="Arial" w:eastAsia="Arial" w:hAnsi="Arial"/>
          <w:sz w:val="18"/>
          <w:szCs w:val="18"/>
          <w:color w:val="auto"/>
        </w:rPr>
        <w:t>and any limitations</w:t>
      </w:r>
    </w:p>
    <w:p>
      <w:pPr>
        <w:ind w:left="2760"/>
        <w:spacing w:after="0" w:line="235" w:lineRule="auto"/>
        <w:rPr>
          <w:sz w:val="20"/>
          <w:szCs w:val="20"/>
          <w:color w:val="auto"/>
        </w:rPr>
      </w:pPr>
      <w:r>
        <w:rPr>
          <w:rFonts w:ascii="Arial" w:cs="Arial" w:eastAsia="Arial" w:hAnsi="Arial"/>
          <w:sz w:val="18"/>
          <w:szCs w:val="18"/>
          <w:color w:val="auto"/>
        </w:rPr>
        <w:t>(including but not limited</w:t>
      </w:r>
    </w:p>
    <w:p>
      <w:pPr>
        <w:ind w:left="2760"/>
        <w:spacing w:after="0" w:line="235" w:lineRule="auto"/>
        <w:rPr>
          <w:sz w:val="20"/>
          <w:szCs w:val="20"/>
          <w:color w:val="auto"/>
        </w:rPr>
      </w:pPr>
      <w:r>
        <w:rPr>
          <w:rFonts w:ascii="Arial" w:cs="Arial" w:eastAsia="Arial" w:hAnsi="Arial"/>
          <w:sz w:val="18"/>
          <w:szCs w:val="18"/>
          <w:color w:val="auto"/>
        </w:rPr>
        <w:t>to cash requirements)</w:t>
      </w:r>
    </w:p>
    <w:p>
      <w:pPr>
        <w:ind w:left="2760"/>
        <w:spacing w:after="0" w:line="235" w:lineRule="auto"/>
        <w:rPr>
          <w:sz w:val="20"/>
          <w:szCs w:val="20"/>
          <w:color w:val="auto"/>
        </w:rPr>
      </w:pPr>
      <w:r>
        <w:rPr>
          <w:rFonts w:ascii="Arial" w:cs="Arial" w:eastAsia="Arial" w:hAnsi="Arial"/>
          <w:sz w:val="18"/>
          <w:szCs w:val="18"/>
          <w:color w:val="auto"/>
        </w:rPr>
        <w:t>agreed to in connection</w:t>
      </w:r>
    </w:p>
    <w:p>
      <w:pPr>
        <w:ind w:left="2760"/>
        <w:spacing w:after="0" w:line="234" w:lineRule="auto"/>
        <w:rPr>
          <w:sz w:val="20"/>
          <w:szCs w:val="20"/>
          <w:color w:val="auto"/>
        </w:rPr>
      </w:pPr>
      <w:r>
        <w:rPr>
          <w:rFonts w:ascii="Arial" w:cs="Arial" w:eastAsia="Arial" w:hAnsi="Arial"/>
          <w:sz w:val="18"/>
          <w:szCs w:val="18"/>
          <w:color w:val="auto"/>
        </w:rPr>
        <w:t>with the negotiation of</w:t>
      </w:r>
    </w:p>
    <w:p>
      <w:pPr>
        <w:ind w:left="2760"/>
        <w:spacing w:after="0" w:line="235" w:lineRule="auto"/>
        <w:rPr>
          <w:sz w:val="20"/>
          <w:szCs w:val="20"/>
          <w:color w:val="auto"/>
        </w:rPr>
      </w:pPr>
      <w:r>
        <w:rPr>
          <w:rFonts w:ascii="Arial" w:cs="Arial" w:eastAsia="Arial" w:hAnsi="Arial"/>
          <w:sz w:val="18"/>
          <w:szCs w:val="18"/>
          <w:color w:val="auto"/>
        </w:rPr>
        <w:t>terms of a proposed</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business combination.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any of their respective affiliates may purchase shares in privately negotiated transactions or in the open market either prior to or following the completion of our initial business combination. Such purchases will only be made to the extent such purchases are made in compliance with Rule 10b-18, which is a safe harbor from liability for manipulation under Section 9(a)(2) and</w:t>
      </w:r>
    </w:p>
    <w:p>
      <w:pPr>
        <w:spacing w:after="0" w:line="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Rule 10b- 5 of the Exchange Act. None of the funds in the trust account will be used to purchase shares in such transactions.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99"/>
        <w:spacing w:after="0" w:line="251" w:lineRule="auto"/>
        <w:rPr>
          <w:sz w:val="20"/>
          <w:szCs w:val="20"/>
          <w:color w:val="auto"/>
        </w:rPr>
      </w:pPr>
      <w:r>
        <w:rPr>
          <w:rFonts w:ascii="Arial" w:cs="Arial" w:eastAsia="Arial" w:hAnsi="Arial"/>
          <w:sz w:val="17"/>
          <w:szCs w:val="17"/>
          <w:color w:val="auto"/>
        </w:rPr>
        <w:t>If we are unable to complete our initial business combination within the completion window, we will redeem all public shares at a per share price, payable in cash, equal to the aggregate amount then on deposit in the trust account, including interest (net of permitted withdrawals and up to $100,000 of interest to pay dissolution expenses), divided by the number of then outstanding public shares.</w:t>
      </w:r>
    </w:p>
    <w:p>
      <w:pPr>
        <w:spacing w:after="0" w:line="5454" w:lineRule="exact"/>
        <w:rPr>
          <w:sz w:val="20"/>
          <w:szCs w:val="20"/>
          <w:color w:val="auto"/>
        </w:rPr>
      </w:pPr>
    </w:p>
    <w:p>
      <w:pPr>
        <w:sectPr>
          <w:pgSz w:w="11900" w:h="16838" w:orient="portrait"/>
          <w:cols w:equalWidth="0" w:num="3">
            <w:col w:w="4800" w:space="220"/>
            <w:col w:w="2040" w:space="220"/>
            <w:col w:w="28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759"/>
        <w:spacing w:after="0"/>
        <w:tabs>
          <w:tab w:leader="none" w:pos="4200" w:val="left"/>
          <w:tab w:leader="none" w:pos="204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8"/>
          <w:szCs w:val="18"/>
          <w:b w:val="1"/>
          <w:bCs w:val="1"/>
          <w:color w:val="auto"/>
        </w:rPr>
        <w:t>Impact to</w:t>
      </w:r>
      <w:r>
        <w:rPr>
          <w:sz w:val="20"/>
          <w:szCs w:val="20"/>
          <w:color w:val="auto"/>
        </w:rPr>
        <w:tab/>
      </w:r>
      <w:r>
        <w:rPr>
          <w:rFonts w:ascii="Arial" w:cs="Arial" w:eastAsia="Arial" w:hAnsi="Arial"/>
          <w:sz w:val="17"/>
          <w:szCs w:val="17"/>
          <w:color w:val="auto"/>
        </w:rPr>
        <w:t>The redemptions in</w:t>
      </w:r>
    </w:p>
    <w:p>
      <w:pPr>
        <w:spacing w:after="0" w:line="16"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remaining</w:t>
      </w:r>
      <w:r>
        <w:rPr>
          <w:sz w:val="20"/>
          <w:szCs w:val="20"/>
          <w:color w:val="auto"/>
        </w:rPr>
        <w:tab/>
      </w:r>
      <w:r>
        <w:rPr>
          <w:rFonts w:ascii="Arial" w:cs="Arial" w:eastAsia="Arial" w:hAnsi="Arial"/>
          <w:sz w:val="17"/>
          <w:szCs w:val="17"/>
          <w:color w:val="auto"/>
        </w:rPr>
        <w:t>connection with our initial</w:t>
      </w:r>
    </w:p>
    <w:p>
      <w:pPr>
        <w:spacing w:after="0" w:line="7"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stockholders</w:t>
      </w:r>
      <w:r>
        <w:rPr>
          <w:sz w:val="20"/>
          <w:szCs w:val="20"/>
          <w:color w:val="auto"/>
        </w:rPr>
        <w:tab/>
      </w:r>
      <w:r>
        <w:rPr>
          <w:rFonts w:ascii="Arial" w:cs="Arial" w:eastAsia="Arial" w:hAnsi="Arial"/>
          <w:sz w:val="17"/>
          <w:szCs w:val="17"/>
          <w:color w:val="auto"/>
        </w:rPr>
        <w:t>business combination will</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reduce the book value per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share for our remaining</w:t>
      </w:r>
    </w:p>
    <w:p>
      <w:pPr>
        <w:ind w:left="2760"/>
        <w:spacing w:after="0" w:line="234" w:lineRule="auto"/>
        <w:rPr>
          <w:sz w:val="20"/>
          <w:szCs w:val="20"/>
          <w:color w:val="auto"/>
        </w:rPr>
      </w:pPr>
      <w:r>
        <w:rPr>
          <w:rFonts w:ascii="Arial" w:cs="Arial" w:eastAsia="Arial" w:hAnsi="Arial"/>
          <w:sz w:val="18"/>
          <w:szCs w:val="18"/>
          <w:color w:val="auto"/>
        </w:rPr>
        <w:t>stockholders, who will</w:t>
      </w:r>
    </w:p>
    <w:p>
      <w:pPr>
        <w:ind w:left="2760"/>
        <w:spacing w:after="0" w:line="235" w:lineRule="auto"/>
        <w:rPr>
          <w:sz w:val="20"/>
          <w:szCs w:val="20"/>
          <w:color w:val="auto"/>
        </w:rPr>
      </w:pPr>
      <w:r>
        <w:rPr>
          <w:rFonts w:ascii="Arial" w:cs="Arial" w:eastAsia="Arial" w:hAnsi="Arial"/>
          <w:sz w:val="18"/>
          <w:szCs w:val="18"/>
          <w:color w:val="auto"/>
        </w:rPr>
        <w:t>bear the burden of the</w:t>
      </w:r>
    </w:p>
    <w:p>
      <w:pPr>
        <w:ind w:left="2760"/>
        <w:spacing w:after="0" w:line="235" w:lineRule="auto"/>
        <w:rPr>
          <w:sz w:val="20"/>
          <w:szCs w:val="20"/>
          <w:color w:val="auto"/>
        </w:rPr>
      </w:pPr>
      <w:r>
        <w:rPr>
          <w:rFonts w:ascii="Arial" w:cs="Arial" w:eastAsia="Arial" w:hAnsi="Arial"/>
          <w:sz w:val="18"/>
          <w:szCs w:val="18"/>
          <w:color w:val="auto"/>
        </w:rPr>
        <w:t>deferred underwriting</w:t>
      </w:r>
    </w:p>
    <w:p>
      <w:pPr>
        <w:ind w:left="2760"/>
        <w:spacing w:after="0" w:line="235" w:lineRule="auto"/>
        <w:rPr>
          <w:sz w:val="20"/>
          <w:szCs w:val="20"/>
          <w:color w:val="auto"/>
        </w:rPr>
      </w:pPr>
      <w:r>
        <w:rPr>
          <w:rFonts w:ascii="Arial" w:cs="Arial" w:eastAsia="Arial" w:hAnsi="Arial"/>
          <w:sz w:val="18"/>
          <w:szCs w:val="18"/>
          <w:color w:val="auto"/>
        </w:rPr>
        <w:t>commissions and</w:t>
      </w:r>
    </w:p>
    <w:p>
      <w:pPr>
        <w:ind w:left="2760"/>
        <w:spacing w:after="0"/>
        <w:rPr>
          <w:sz w:val="20"/>
          <w:szCs w:val="20"/>
          <w:color w:val="auto"/>
        </w:rPr>
      </w:pPr>
      <w:r>
        <w:rPr>
          <w:rFonts w:ascii="Arial" w:cs="Arial" w:eastAsia="Arial" w:hAnsi="Arial"/>
          <w:sz w:val="17"/>
          <w:szCs w:val="17"/>
          <w:color w:val="auto"/>
        </w:rPr>
        <w:t>permitted withdrawals (to</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extent not paid from</w:t>
      </w:r>
    </w:p>
    <w:p>
      <w:pPr>
        <w:ind w:left="2760"/>
        <w:spacing w:after="0" w:line="234" w:lineRule="auto"/>
        <w:rPr>
          <w:sz w:val="20"/>
          <w:szCs w:val="20"/>
          <w:color w:val="auto"/>
        </w:rPr>
      </w:pPr>
      <w:r>
        <w:rPr>
          <w:rFonts w:ascii="Arial" w:cs="Arial" w:eastAsia="Arial" w:hAnsi="Arial"/>
          <w:sz w:val="18"/>
          <w:szCs w:val="18"/>
          <w:color w:val="auto"/>
        </w:rPr>
        <w:t>amounts accrued as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interest on the funds held</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 the trust account).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the permitted purchases described above are made, there will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779"/>
        <w:spacing w:after="0" w:line="238"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w:t>
      </w:r>
    </w:p>
    <w:p>
      <w:pPr>
        <w:spacing w:after="0" w:line="18" w:lineRule="exact"/>
        <w:rPr>
          <w:sz w:val="20"/>
          <w:szCs w:val="20"/>
          <w:color w:val="auto"/>
        </w:rPr>
      </w:pPr>
    </w:p>
    <w:p>
      <w:pPr>
        <w:ind w:right="1119"/>
        <w:spacing w:after="0" w:line="248" w:lineRule="auto"/>
        <w:rPr>
          <w:sz w:val="20"/>
          <w:szCs w:val="20"/>
          <w:color w:val="auto"/>
        </w:rPr>
      </w:pPr>
      <w:r>
        <w:rPr>
          <w:rFonts w:ascii="Arial" w:cs="Arial" w:eastAsia="Arial" w:hAnsi="Arial"/>
          <w:sz w:val="18"/>
          <w:szCs w:val="18"/>
          <w:color w:val="auto"/>
        </w:rPr>
        <w:t>our only remaining stockholders after such redemptions.</w:t>
      </w:r>
    </w:p>
    <w:p>
      <w:pPr>
        <w:spacing w:after="0" w:line="753" w:lineRule="exact"/>
        <w:rPr>
          <w:sz w:val="20"/>
          <w:szCs w:val="20"/>
          <w:color w:val="auto"/>
        </w:rPr>
      </w:pPr>
    </w:p>
    <w:p>
      <w:pPr>
        <w:sectPr>
          <w:pgSz w:w="11900" w:h="16838" w:orient="portrait"/>
          <w:cols w:equalWidth="0" w:num="3">
            <w:col w:w="4760" w:space="260"/>
            <w:col w:w="2000" w:space="260"/>
            <w:col w:w="2859"/>
          </w:cols>
          <w:pgMar w:left="320" w:top="131" w:right="1440" w:bottom="1440" w:gutter="0" w:footer="0" w:header="0"/>
          <w:type w:val="continuous"/>
        </w:sectPr>
      </w:pP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0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option to purchase additional units.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rules of the NYSE provide that at</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least 90% of the gross proceeds from</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be deposited in a</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 account.</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$1,000,000,000 of the net proceeds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will be deposited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into a trust account located 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United States with Continental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Transfer &amp; Trust Company acting as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8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020" w:type="dxa"/>
            <w:vAlign w:val="bottom"/>
          </w:tcPr>
          <w:p>
            <w:pPr>
              <w:spacing w:after="0"/>
              <w:rPr>
                <w:sz w:val="20"/>
                <w:szCs w:val="20"/>
                <w:color w:val="auto"/>
              </w:rPr>
            </w:pPr>
            <w:r>
              <w:rPr>
                <w:rFonts w:ascii="Arial" w:cs="Arial" w:eastAsia="Arial" w:hAnsi="Arial"/>
                <w:sz w:val="18"/>
                <w:szCs w:val="18"/>
                <w:color w:val="auto"/>
              </w:rPr>
              <w:t>$1,000,000,000 of the net offering</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proceeds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placement warrants held in trust will be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invested only in U.S. government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treasury bills with a maturity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185 days or less or in money market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funds that meet certain conditions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under Rule 2a-7 under the Investment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Company Act and that invest only in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 U.S. government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right="699"/>
        <w:spacing w:after="0" w:line="252" w:lineRule="auto"/>
        <w:rPr>
          <w:sz w:val="20"/>
          <w:szCs w:val="20"/>
          <w:color w:val="auto"/>
        </w:rPr>
      </w:pPr>
      <w:r>
        <w:rPr>
          <w:rFonts w:ascii="Arial" w:cs="Arial" w:eastAsia="Arial" w:hAnsi="Arial"/>
          <w:sz w:val="17"/>
          <w:szCs w:val="17"/>
          <w:color w:val="auto"/>
        </w:rPr>
        <w:t>Approximately $850,500,000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91" w:lineRule="exact"/>
        <w:rPr>
          <w:sz w:val="20"/>
          <w:szCs w:val="20"/>
          <w:color w:val="auto"/>
        </w:rPr>
      </w:pPr>
    </w:p>
    <w:p>
      <w:pPr>
        <w:ind w:right="699"/>
        <w:spacing w:after="0" w:line="255"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99" w:lineRule="exact"/>
        <w:rPr>
          <w:sz w:val="20"/>
          <w:szCs w:val="20"/>
          <w:color w:val="auto"/>
        </w:rPr>
      </w:pPr>
    </w:p>
    <w:p>
      <w:pPr>
        <w:sectPr>
          <w:pgSz w:w="11900" w:h="16838" w:orient="portrait"/>
          <w:cols w:equalWidth="0" w:num="2">
            <w:col w:w="61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line="296" w:lineRule="auto"/>
        <w:rPr>
          <w:sz w:val="20"/>
          <w:szCs w:val="20"/>
          <w:color w:val="auto"/>
        </w:rPr>
      </w:pPr>
      <w:r>
        <w:rPr>
          <w:rFonts w:ascii="Arial" w:cs="Arial" w:eastAsia="Arial" w:hAnsi="Arial"/>
          <w:sz w:val="17"/>
          <w:szCs w:val="17"/>
          <w:b w:val="1"/>
          <w:bCs w:val="1"/>
          <w:color w:val="auto"/>
        </w:rPr>
        <w:t>Receipt of interest on escrowed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202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Interest on proceeds from the trust account to be paid to stockholders is reduced by: (1) permitted withdrawals;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right="699"/>
        <w:spacing w:after="0"/>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372" w:lineRule="exact"/>
        <w:rPr>
          <w:sz w:val="20"/>
          <w:szCs w:val="20"/>
          <w:color w:val="auto"/>
        </w:rPr>
      </w:pPr>
    </w:p>
    <w:p>
      <w:pPr>
        <w:sectPr>
          <w:pgSz w:w="11900" w:h="16838" w:orient="portrait"/>
          <w:cols w:equalWidth="0" w:num="3">
            <w:col w:w="2820" w:space="280"/>
            <w:col w:w="2940" w:space="300"/>
            <w:col w:w="3799"/>
          </w:cols>
          <w:pgMar w:left="320" w:top="131"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Limitation on fair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value or net assets of</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Trading of securities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units will begin trading on or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 K described below and having issued a press release announcing when such separate trading will begin.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 w:lineRule="exact"/>
        <w:rPr>
          <w:sz w:val="20"/>
          <w:szCs w:val="20"/>
          <w:color w:val="auto"/>
        </w:rPr>
      </w:pPr>
      <w:r>
        <w:rPr>
          <w:sz w:val="20"/>
          <w:szCs w:val="20"/>
          <w:color w:val="auto"/>
        </w:rPr>
        <w:br w:type="column"/>
      </w:r>
    </w:p>
    <w:p>
      <w:pPr>
        <w:ind w:right="839"/>
        <w:spacing w:after="0" w:line="270"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39"/>
        <w:spacing w:after="0" w:line="257" w:lineRule="auto"/>
        <w:rPr>
          <w:sz w:val="20"/>
          <w:szCs w:val="20"/>
          <w:color w:val="auto"/>
        </w:rPr>
      </w:pPr>
      <w:r>
        <w:rPr>
          <w:rFonts w:ascii="Arial" w:cs="Arial" w:eastAsia="Arial" w:hAnsi="Arial"/>
          <w:sz w:val="17"/>
          <w:szCs w:val="17"/>
          <w:color w:val="auto"/>
        </w:rPr>
        <w:t>No trading of the units or the underlying common stock and warrants would be permitted until the completion of a business combination. During this period, the securities would be held in the escrow or trust account.</w:t>
      </w:r>
    </w:p>
    <w:p>
      <w:pPr>
        <w:spacing w:after="0" w:line="3803" w:lineRule="exact"/>
        <w:rPr>
          <w:sz w:val="20"/>
          <w:szCs w:val="20"/>
          <w:color w:val="auto"/>
        </w:rPr>
      </w:pPr>
    </w:p>
    <w:p>
      <w:pPr>
        <w:sectPr>
          <w:pgSz w:w="11900" w:h="16838" w:orient="portrait"/>
          <w:cols w:equalWidth="0" w:num="3">
            <w:col w:w="2780" w:space="320"/>
            <w:col w:w="3000" w:space="240"/>
            <w:col w:w="379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5"/>
          <w:szCs w:val="15"/>
          <w:b w:val="1"/>
          <w:bCs w:val="1"/>
          <w:color w:val="auto"/>
        </w:rPr>
        <w:t>Exercise of the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Arial" w:cs="Arial" w:eastAsia="Arial" w:hAnsi="Arial"/>
          <w:sz w:val="18"/>
          <w:szCs w:val="18"/>
          <w:color w:val="auto"/>
        </w:rPr>
        <w:t>The warrants cannot be exercised until</w:t>
      </w:r>
      <w:r>
        <w:rPr>
          <w:sz w:val="20"/>
          <w:szCs w:val="20"/>
          <w:color w:val="auto"/>
        </w:rPr>
        <w:tab/>
      </w:r>
      <w:r>
        <w:rPr>
          <w:rFonts w:ascii="Arial" w:cs="Arial" w:eastAsia="Arial" w:hAnsi="Arial"/>
          <w:sz w:val="17"/>
          <w:szCs w:val="17"/>
          <w:color w:val="auto"/>
        </w:rPr>
        <w:t>The warrants could be exercised prior to</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the later of 30 days after the completion</w:t>
      </w:r>
      <w:r>
        <w:rPr>
          <w:sz w:val="20"/>
          <w:szCs w:val="20"/>
          <w:color w:val="auto"/>
        </w:rPr>
        <w:tab/>
      </w:r>
      <w:r>
        <w:rPr>
          <w:rFonts w:ascii="Arial" w:cs="Arial" w:eastAsia="Arial" w:hAnsi="Arial"/>
          <w:sz w:val="17"/>
          <w:szCs w:val="17"/>
          <w:color w:val="auto"/>
        </w:rPr>
        <w:t>the completion of a business</w:t>
      </w:r>
    </w:p>
    <w:p>
      <w:pPr>
        <w:spacing w:after="0"/>
        <w:tabs>
          <w:tab w:leader="none" w:pos="3220" w:val="left"/>
        </w:tabs>
        <w:rPr>
          <w:sz w:val="20"/>
          <w:szCs w:val="20"/>
          <w:color w:val="auto"/>
        </w:rPr>
      </w:pPr>
      <w:r>
        <w:rPr>
          <w:rFonts w:ascii="Arial" w:cs="Arial" w:eastAsia="Arial" w:hAnsi="Arial"/>
          <w:sz w:val="18"/>
          <w:szCs w:val="18"/>
          <w:color w:val="auto"/>
        </w:rPr>
        <w:t>of our initial business combination and</w:t>
      </w:r>
      <w:r>
        <w:rPr>
          <w:sz w:val="20"/>
          <w:szCs w:val="20"/>
          <w:color w:val="auto"/>
        </w:rPr>
        <w:tab/>
      </w:r>
      <w:r>
        <w:rPr>
          <w:rFonts w:ascii="Arial" w:cs="Arial" w:eastAsia="Arial" w:hAnsi="Arial"/>
          <w:sz w:val="17"/>
          <w:szCs w:val="17"/>
          <w:color w:val="auto"/>
        </w:rPr>
        <w:t>combination, but securities received and</w:t>
      </w:r>
    </w:p>
    <w:p>
      <w:pPr>
        <w:spacing w:after="0"/>
        <w:tabs>
          <w:tab w:leader="none" w:pos="3220" w:val="left"/>
        </w:tabs>
        <w:rPr>
          <w:sz w:val="20"/>
          <w:szCs w:val="20"/>
          <w:color w:val="auto"/>
        </w:rPr>
      </w:pPr>
      <w:r>
        <w:rPr>
          <w:rFonts w:ascii="Arial" w:cs="Arial" w:eastAsia="Arial" w:hAnsi="Arial"/>
          <w:sz w:val="18"/>
          <w:szCs w:val="18"/>
          <w:color w:val="auto"/>
        </w:rPr>
        <w:t>12 months from the closing of this</w:t>
      </w:r>
      <w:r>
        <w:rPr>
          <w:sz w:val="20"/>
          <w:szCs w:val="20"/>
          <w:color w:val="auto"/>
        </w:rPr>
        <w:tab/>
      </w:r>
      <w:r>
        <w:rPr>
          <w:rFonts w:ascii="Arial" w:cs="Arial" w:eastAsia="Arial" w:hAnsi="Arial"/>
          <w:sz w:val="17"/>
          <w:szCs w:val="17"/>
          <w:color w:val="auto"/>
        </w:rPr>
        <w:t>cash paid in connection with the exercise</w:t>
      </w:r>
    </w:p>
    <w:p>
      <w:pPr>
        <w:spacing w:after="0" w:line="1"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offering.</w:t>
      </w:r>
      <w:r>
        <w:rPr>
          <w:sz w:val="20"/>
          <w:szCs w:val="20"/>
          <w:color w:val="auto"/>
        </w:rPr>
        <w:tab/>
      </w:r>
      <w:r>
        <w:rPr>
          <w:rFonts w:ascii="Arial" w:cs="Arial" w:eastAsia="Arial" w:hAnsi="Arial"/>
          <w:sz w:val="17"/>
          <w:szCs w:val="17"/>
          <w:color w:val="auto"/>
        </w:rPr>
        <w:t>would be deposited in the escrow or trust</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account.</w:t>
      </w:r>
    </w:p>
    <w:p>
      <w:pPr>
        <w:spacing w:after="0" w:line="38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254635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2380" w:space="720"/>
            <w:col w:w="7039"/>
          </w:cols>
          <w:pgMar w:left="32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8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Election to remain an   </w:t>
            </w:r>
            <w:r>
              <w:rPr>
                <w:rFonts w:ascii="Arial" w:cs="Arial" w:eastAsia="Arial" w:hAnsi="Arial"/>
                <w:sz w:val="18"/>
                <w:szCs w:val="18"/>
                <w:color w:val="auto"/>
              </w:rPr>
              <w:t>We will provide our public</w:t>
            </w: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3020" w:type="dxa"/>
            <w:vAlign w:val="bottom"/>
          </w:tcPr>
          <w:p>
            <w:pPr>
              <w:spacing w:after="0"/>
              <w:rPr>
                <w:sz w:val="20"/>
                <w:szCs w:val="20"/>
                <w:color w:val="auto"/>
              </w:rPr>
            </w:pPr>
            <w:r>
              <w:rPr>
                <w:rFonts w:ascii="Arial" w:cs="Arial" w:eastAsia="Arial" w:hAnsi="Arial"/>
                <w:sz w:val="18"/>
                <w:szCs w:val="18"/>
                <w:color w:val="auto"/>
              </w:rPr>
              <w:t>stockholders with the opportunity to</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their public shares for cash</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equal to their pro rata share of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2"/>
              </w:rPr>
              <w:t>aggregate amount then on deposit in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as of two business days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prior to the consummation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including</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interest, net of permitted withdrawals,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upon the completion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subject to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limitations described herein. We may</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not be required by applicable law or</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stock exchange rules to hold a</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stockholder vote. If we are not required</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by applicable law or stock exchange</w:t>
            </w:r>
          </w:p>
        </w:tc>
      </w:tr>
      <w:tr>
        <w:trPr>
          <w:trHeight w:val="218"/>
        </w:trPr>
        <w:tc>
          <w:tcPr>
            <w:tcW w:w="18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rules and do not otherwise decide to</w:t>
            </w:r>
          </w:p>
        </w:tc>
      </w:tr>
    </w:tbl>
    <w:p>
      <w:pPr>
        <w:ind w:left="3100"/>
        <w:spacing w:after="0" w:line="234" w:lineRule="auto"/>
        <w:rPr>
          <w:sz w:val="20"/>
          <w:szCs w:val="20"/>
          <w:color w:val="auto"/>
        </w:rPr>
      </w:pPr>
      <w:r>
        <w:rPr>
          <w:rFonts w:ascii="Arial" w:cs="Arial" w:eastAsia="Arial" w:hAnsi="Arial"/>
          <w:sz w:val="18"/>
          <w:szCs w:val="18"/>
          <w:color w:val="auto"/>
        </w:rPr>
        <w:t>hold a stockholder vote, we will,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pursuant to our amended and restated</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certificate of incorporation, conduct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redemptions pursuant to the tender</w:t>
      </w:r>
    </w:p>
    <w:p>
      <w:pPr>
        <w:ind w:left="3100"/>
        <w:spacing w:after="0" w:line="234" w:lineRule="auto"/>
        <w:rPr>
          <w:sz w:val="20"/>
          <w:szCs w:val="20"/>
          <w:color w:val="auto"/>
        </w:rPr>
      </w:pPr>
      <w:r>
        <w:rPr>
          <w:rFonts w:ascii="Arial" w:cs="Arial" w:eastAsia="Arial" w:hAnsi="Arial"/>
          <w:sz w:val="18"/>
          <w:szCs w:val="18"/>
          <w:color w:val="auto"/>
        </w:rPr>
        <w:t>offer rules of the SEC and file tender</w:t>
      </w:r>
    </w:p>
    <w:p>
      <w:pPr>
        <w:ind w:left="3100"/>
        <w:spacing w:after="0" w:line="235" w:lineRule="auto"/>
        <w:rPr>
          <w:sz w:val="20"/>
          <w:szCs w:val="20"/>
          <w:color w:val="auto"/>
        </w:rPr>
      </w:pPr>
      <w:r>
        <w:rPr>
          <w:rFonts w:ascii="Arial" w:cs="Arial" w:eastAsia="Arial" w:hAnsi="Arial"/>
          <w:sz w:val="18"/>
          <w:szCs w:val="18"/>
          <w:color w:val="auto"/>
        </w:rPr>
        <w:t>offer documents with the SEC which</w:t>
      </w:r>
    </w:p>
    <w:p>
      <w:pPr>
        <w:ind w:left="3100"/>
        <w:spacing w:after="0" w:line="235" w:lineRule="auto"/>
        <w:rPr>
          <w:sz w:val="20"/>
          <w:szCs w:val="20"/>
          <w:color w:val="auto"/>
        </w:rPr>
      </w:pPr>
      <w:r>
        <w:rPr>
          <w:rFonts w:ascii="Arial" w:cs="Arial" w:eastAsia="Arial" w:hAnsi="Arial"/>
          <w:sz w:val="18"/>
          <w:szCs w:val="18"/>
          <w:color w:val="auto"/>
        </w:rPr>
        <w:t>will contain substantially the same</w:t>
      </w:r>
    </w:p>
    <w:p>
      <w:pPr>
        <w:ind w:left="3100"/>
        <w:spacing w:after="0" w:line="235" w:lineRule="auto"/>
        <w:rPr>
          <w:sz w:val="20"/>
          <w:szCs w:val="20"/>
          <w:color w:val="auto"/>
        </w:rPr>
      </w:pPr>
      <w:r>
        <w:rPr>
          <w:rFonts w:ascii="Arial" w:cs="Arial" w:eastAsia="Arial" w:hAnsi="Arial"/>
          <w:sz w:val="18"/>
          <w:szCs w:val="18"/>
          <w:color w:val="auto"/>
        </w:rPr>
        <w:t>financial and other information about</w:t>
      </w:r>
    </w:p>
    <w:p>
      <w:pPr>
        <w:ind w:left="3100"/>
        <w:spacing w:after="0"/>
        <w:rPr>
          <w:sz w:val="20"/>
          <w:szCs w:val="20"/>
          <w:color w:val="auto"/>
        </w:rPr>
      </w:pPr>
      <w:r>
        <w:rPr>
          <w:rFonts w:ascii="Arial" w:cs="Arial" w:eastAsia="Arial" w:hAnsi="Arial"/>
          <w:sz w:val="17"/>
          <w:szCs w:val="17"/>
          <w:color w:val="auto"/>
        </w:rPr>
        <w:t>the initial business combination and the</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rights as is required under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SEC’s proxy rules. If, however, we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hold a stockholder vote, we will, like</w:t>
      </w:r>
    </w:p>
    <w:p>
      <w:pPr>
        <w:ind w:left="3100"/>
        <w:spacing w:after="0"/>
        <w:rPr>
          <w:sz w:val="20"/>
          <w:szCs w:val="20"/>
          <w:color w:val="auto"/>
        </w:rPr>
      </w:pPr>
      <w:r>
        <w:rPr>
          <w:rFonts w:ascii="Arial" w:cs="Arial" w:eastAsia="Arial" w:hAnsi="Arial"/>
          <w:sz w:val="17"/>
          <w:szCs w:val="17"/>
          <w:color w:val="auto"/>
        </w:rPr>
        <w:t>many blank check companies, offer to</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redeem shares in conjunction with a</w:t>
      </w:r>
    </w:p>
    <w:p>
      <w:pPr>
        <w:ind w:left="3100"/>
        <w:spacing w:after="0"/>
        <w:rPr>
          <w:sz w:val="20"/>
          <w:szCs w:val="20"/>
          <w:color w:val="auto"/>
        </w:rPr>
      </w:pPr>
      <w:r>
        <w:rPr>
          <w:rFonts w:ascii="Arial" w:cs="Arial" w:eastAsia="Arial" w:hAnsi="Arial"/>
          <w:sz w:val="17"/>
          <w:szCs w:val="17"/>
          <w:color w:val="auto"/>
        </w:rPr>
        <w:t>proxy solicitation pursuant to the proxy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rules and not pursuant to the tender</w:t>
      </w:r>
    </w:p>
    <w:p>
      <w:pPr>
        <w:ind w:left="3100"/>
        <w:spacing w:after="0"/>
        <w:rPr>
          <w:sz w:val="20"/>
          <w:szCs w:val="20"/>
          <w:color w:val="auto"/>
        </w:rPr>
      </w:pPr>
      <w:r>
        <w:rPr>
          <w:rFonts w:ascii="Arial" w:cs="Arial" w:eastAsia="Arial" w:hAnsi="Arial"/>
          <w:sz w:val="17"/>
          <w:szCs w:val="17"/>
          <w:color w:val="auto"/>
        </w:rPr>
        <w:t>offer rules. Pursuant to the tender offer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rules, the tender offer period will be not</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less than 20 business days and, in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case of a stockholder vote, a final</w:t>
      </w:r>
    </w:p>
    <w:p>
      <w:pPr>
        <w:ind w:left="3100"/>
        <w:spacing w:after="0" w:line="234" w:lineRule="auto"/>
        <w:rPr>
          <w:sz w:val="20"/>
          <w:szCs w:val="20"/>
          <w:color w:val="auto"/>
        </w:rPr>
      </w:pPr>
      <w:r>
        <w:rPr>
          <w:rFonts w:ascii="Arial" w:cs="Arial" w:eastAsia="Arial" w:hAnsi="Arial"/>
          <w:sz w:val="18"/>
          <w:szCs w:val="18"/>
          <w:color w:val="auto"/>
        </w:rPr>
        <w:t>proxy statement would be mailed to</w:t>
      </w:r>
    </w:p>
    <w:p>
      <w:pPr>
        <w:ind w:left="3100"/>
        <w:spacing w:after="0" w:line="235" w:lineRule="auto"/>
        <w:rPr>
          <w:sz w:val="20"/>
          <w:szCs w:val="20"/>
          <w:color w:val="auto"/>
        </w:rPr>
      </w:pPr>
      <w:r>
        <w:rPr>
          <w:rFonts w:ascii="Arial" w:cs="Arial" w:eastAsia="Arial" w:hAnsi="Arial"/>
          <w:sz w:val="18"/>
          <w:szCs w:val="18"/>
          <w:color w:val="auto"/>
        </w:rPr>
        <w:t>public stockholders at least 10 days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prior to the stockholder vote. However,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we expect that a draft proxy statement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would be made available to such</w:t>
      </w:r>
    </w:p>
    <w:p>
      <w:pPr>
        <w:ind w:left="3100"/>
        <w:spacing w:after="0" w:line="234" w:lineRule="auto"/>
        <w:rPr>
          <w:sz w:val="20"/>
          <w:szCs w:val="20"/>
          <w:color w:val="auto"/>
        </w:rPr>
      </w:pPr>
      <w:r>
        <w:rPr>
          <w:rFonts w:ascii="Arial" w:cs="Arial" w:eastAsia="Arial" w:hAnsi="Arial"/>
          <w:sz w:val="18"/>
          <w:szCs w:val="18"/>
          <w:color w:val="auto"/>
        </w:rPr>
        <w:t>stockholders well in advance of such</w:t>
      </w:r>
    </w:p>
    <w:p>
      <w:pPr>
        <w:ind w:left="3100"/>
        <w:spacing w:after="0" w:line="235" w:lineRule="auto"/>
        <w:rPr>
          <w:sz w:val="20"/>
          <w:szCs w:val="20"/>
          <w:color w:val="auto"/>
        </w:rPr>
      </w:pPr>
      <w:r>
        <w:rPr>
          <w:rFonts w:ascii="Arial" w:cs="Arial" w:eastAsia="Arial" w:hAnsi="Arial"/>
          <w:sz w:val="18"/>
          <w:szCs w:val="18"/>
          <w:color w:val="auto"/>
        </w:rPr>
        <w:t>time, providing additional notice of</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if we conduct redemptions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 conjunction with a proxy</w:t>
      </w:r>
    </w:p>
    <w:p>
      <w:pPr>
        <w:ind w:left="3100"/>
        <w:spacing w:after="0" w:line="234" w:lineRule="auto"/>
        <w:rPr>
          <w:sz w:val="20"/>
          <w:szCs w:val="20"/>
          <w:color w:val="auto"/>
        </w:rPr>
      </w:pPr>
      <w:r>
        <w:rPr>
          <w:rFonts w:ascii="Arial" w:cs="Arial" w:eastAsia="Arial" w:hAnsi="Arial"/>
          <w:sz w:val="18"/>
          <w:szCs w:val="18"/>
          <w:color w:val="auto"/>
        </w:rPr>
        <w:t>solicitation. If we seek stockholder</w:t>
      </w:r>
    </w:p>
    <w:p>
      <w:pPr>
        <w:ind w:left="3100"/>
        <w:spacing w:after="0" w:line="235" w:lineRule="auto"/>
        <w:rPr>
          <w:sz w:val="20"/>
          <w:szCs w:val="20"/>
          <w:color w:val="auto"/>
        </w:rPr>
      </w:pPr>
      <w:r>
        <w:rPr>
          <w:rFonts w:ascii="Arial" w:cs="Arial" w:eastAsia="Arial" w:hAnsi="Arial"/>
          <w:sz w:val="18"/>
          <w:szCs w:val="18"/>
          <w:color w:val="auto"/>
        </w:rPr>
        <w:t>approval, we will complete our initial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business combination only if a majority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the outstanding shares of common</w:t>
      </w:r>
    </w:p>
    <w:p>
      <w:pPr>
        <w:ind w:left="3100"/>
        <w:spacing w:after="0" w:line="234" w:lineRule="auto"/>
        <w:rPr>
          <w:sz w:val="20"/>
          <w:szCs w:val="20"/>
          <w:color w:val="auto"/>
        </w:rPr>
      </w:pPr>
      <w:r>
        <w:rPr>
          <w:rFonts w:ascii="Arial" w:cs="Arial" w:eastAsia="Arial" w:hAnsi="Arial"/>
          <w:sz w:val="18"/>
          <w:szCs w:val="18"/>
          <w:color w:val="auto"/>
        </w:rPr>
        <w:t>stock voted are voted in favor of the</w:t>
      </w:r>
    </w:p>
    <w:p>
      <w:pPr>
        <w:ind w:left="3100"/>
        <w:spacing w:after="0" w:line="235" w:lineRule="auto"/>
        <w:rPr>
          <w:sz w:val="20"/>
          <w:szCs w:val="20"/>
          <w:color w:val="auto"/>
        </w:rPr>
      </w:pPr>
      <w:r>
        <w:rPr>
          <w:rFonts w:ascii="Arial" w:cs="Arial" w:eastAsia="Arial" w:hAnsi="Arial"/>
          <w:sz w:val="18"/>
          <w:szCs w:val="18"/>
          <w:color w:val="auto"/>
        </w:rPr>
        <w:t>business combination. A quorum for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such meeting will consist of the holders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present in person or by proxy of shares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outstanding capital stock of the</w:t>
      </w:r>
    </w:p>
    <w:p>
      <w:pPr>
        <w:ind w:left="3100"/>
        <w:spacing w:after="0"/>
        <w:rPr>
          <w:sz w:val="20"/>
          <w:szCs w:val="20"/>
          <w:color w:val="auto"/>
        </w:rPr>
      </w:pPr>
      <w:r>
        <w:rPr>
          <w:rFonts w:ascii="Arial" w:cs="Arial" w:eastAsia="Arial" w:hAnsi="Arial"/>
          <w:sz w:val="18"/>
          <w:szCs w:val="18"/>
          <w:color w:val="auto"/>
        </w:rPr>
        <w:t>company representing a</w:t>
      </w: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79"/>
        <w:spacing w:after="0" w:line="246"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120" w:space="220"/>
            <w:col w:w="379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1920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majority of the voting power of all</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outstanding shares of capital stock of</w:t>
      </w:r>
    </w:p>
    <w:p>
      <w:pPr>
        <w:ind w:left="3100"/>
        <w:spacing w:after="0" w:line="234" w:lineRule="auto"/>
        <w:rPr>
          <w:sz w:val="20"/>
          <w:szCs w:val="20"/>
          <w:color w:val="auto"/>
        </w:rPr>
      </w:pPr>
      <w:r>
        <w:rPr>
          <w:rFonts w:ascii="Arial" w:cs="Arial" w:eastAsia="Arial" w:hAnsi="Arial"/>
          <w:sz w:val="18"/>
          <w:szCs w:val="18"/>
          <w:color w:val="auto"/>
        </w:rPr>
        <w:t>the company entitled to vote at such</w:t>
      </w:r>
    </w:p>
    <w:p>
      <w:pPr>
        <w:ind w:left="3100"/>
        <w:spacing w:after="0" w:line="235" w:lineRule="auto"/>
        <w:rPr>
          <w:sz w:val="20"/>
          <w:szCs w:val="20"/>
          <w:color w:val="auto"/>
        </w:rPr>
      </w:pPr>
      <w:r>
        <w:rPr>
          <w:rFonts w:ascii="Arial" w:cs="Arial" w:eastAsia="Arial" w:hAnsi="Arial"/>
          <w:sz w:val="18"/>
          <w:szCs w:val="18"/>
          <w:color w:val="auto"/>
        </w:rPr>
        <w:t>meeting. Additionally, each public</w:t>
      </w:r>
    </w:p>
    <w:p>
      <w:pPr>
        <w:ind w:left="3100"/>
        <w:spacing w:after="0" w:line="235" w:lineRule="auto"/>
        <w:rPr>
          <w:sz w:val="20"/>
          <w:szCs w:val="20"/>
          <w:color w:val="auto"/>
        </w:rPr>
      </w:pPr>
      <w:r>
        <w:rPr>
          <w:rFonts w:ascii="Arial" w:cs="Arial" w:eastAsia="Arial" w:hAnsi="Arial"/>
          <w:sz w:val="18"/>
          <w:szCs w:val="18"/>
          <w:color w:val="auto"/>
        </w:rPr>
        <w:t>stockholder may elect to redeem its</w:t>
      </w:r>
    </w:p>
    <w:p>
      <w:pPr>
        <w:ind w:left="3100"/>
        <w:spacing w:after="0" w:line="235" w:lineRule="auto"/>
        <w:rPr>
          <w:sz w:val="20"/>
          <w:szCs w:val="20"/>
          <w:color w:val="auto"/>
        </w:rPr>
      </w:pPr>
      <w:r>
        <w:rPr>
          <w:rFonts w:ascii="Arial" w:cs="Arial" w:eastAsia="Arial" w:hAnsi="Arial"/>
          <w:sz w:val="18"/>
          <w:szCs w:val="18"/>
          <w:color w:val="auto"/>
        </w:rPr>
        <w:t>public shares without voting and, if</w:t>
      </w:r>
    </w:p>
    <w:p>
      <w:pPr>
        <w:ind w:left="3100"/>
        <w:spacing w:after="0" w:line="235" w:lineRule="auto"/>
        <w:rPr>
          <w:sz w:val="20"/>
          <w:szCs w:val="20"/>
          <w:color w:val="auto"/>
        </w:rPr>
      </w:pPr>
      <w:r>
        <w:rPr>
          <w:rFonts w:ascii="Arial" w:cs="Arial" w:eastAsia="Arial" w:hAnsi="Arial"/>
          <w:sz w:val="18"/>
          <w:szCs w:val="18"/>
          <w:color w:val="auto"/>
        </w:rPr>
        <w:t>they do vote, irrespective of whether</w:t>
      </w:r>
    </w:p>
    <w:p>
      <w:pPr>
        <w:ind w:left="3100"/>
        <w:spacing w:after="0" w:line="234" w:lineRule="auto"/>
        <w:rPr>
          <w:sz w:val="20"/>
          <w:szCs w:val="20"/>
          <w:color w:val="auto"/>
        </w:rPr>
      </w:pPr>
      <w:r>
        <w:rPr>
          <w:rFonts w:ascii="Arial" w:cs="Arial" w:eastAsia="Arial" w:hAnsi="Arial"/>
          <w:sz w:val="18"/>
          <w:szCs w:val="18"/>
          <w:color w:val="auto"/>
        </w:rPr>
        <w:t>they vote for or against the proposed</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transaction.</w:t>
      </w:r>
    </w:p>
    <w:p>
      <w:pPr>
        <w:spacing w:after="0" w:line="165"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If we are unable to complete an initial</w:t>
      </w:r>
    </w:p>
    <w:p>
      <w:pPr>
        <w:spacing w:after="0" w:line="11"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deadline</w:t>
      </w:r>
      <w:r>
        <w:rPr>
          <w:sz w:val="20"/>
          <w:szCs w:val="20"/>
          <w:color w:val="auto"/>
        </w:rPr>
        <w:tab/>
      </w:r>
      <w:r>
        <w:rPr>
          <w:rFonts w:ascii="Arial" w:cs="Arial" w:eastAsia="Arial" w:hAnsi="Arial"/>
          <w:sz w:val="18"/>
          <w:szCs w:val="18"/>
          <w:color w:val="auto"/>
        </w:rPr>
        <w:t>business combination within the</w:t>
      </w:r>
    </w:p>
    <w:p>
      <w:pPr>
        <w:ind w:left="3100"/>
        <w:spacing w:after="0" w:line="234" w:lineRule="auto"/>
        <w:rPr>
          <w:sz w:val="20"/>
          <w:szCs w:val="20"/>
          <w:color w:val="auto"/>
        </w:rPr>
      </w:pPr>
      <w:r>
        <w:rPr>
          <w:rFonts w:ascii="Arial" w:cs="Arial" w:eastAsia="Arial" w:hAnsi="Arial"/>
          <w:sz w:val="18"/>
          <w:szCs w:val="18"/>
          <w:color w:val="auto"/>
        </w:rPr>
        <w:t>completion window, we will: (1) cease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all operations except for the purpose of</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winding up; (2) as promptly as</w:t>
      </w:r>
    </w:p>
    <w:p>
      <w:pPr>
        <w:ind w:left="3100"/>
        <w:spacing w:after="0"/>
        <w:rPr>
          <w:sz w:val="20"/>
          <w:szCs w:val="20"/>
          <w:color w:val="auto"/>
        </w:rPr>
      </w:pPr>
      <w:r>
        <w:rPr>
          <w:rFonts w:ascii="Arial" w:cs="Arial" w:eastAsia="Arial" w:hAnsi="Arial"/>
          <w:sz w:val="17"/>
          <w:szCs w:val="17"/>
          <w:color w:val="auto"/>
        </w:rPr>
        <w:t>reasonably possible but not more than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ten business days thereafter, redeem</w:t>
      </w:r>
    </w:p>
    <w:p>
      <w:pPr>
        <w:ind w:left="3100"/>
        <w:spacing w:after="0" w:line="234" w:lineRule="auto"/>
        <w:rPr>
          <w:sz w:val="20"/>
          <w:szCs w:val="20"/>
          <w:color w:val="auto"/>
        </w:rPr>
      </w:pPr>
      <w:r>
        <w:rPr>
          <w:rFonts w:ascii="Arial" w:cs="Arial" w:eastAsia="Arial" w:hAnsi="Arial"/>
          <w:sz w:val="18"/>
          <w:szCs w:val="18"/>
          <w:color w:val="auto"/>
        </w:rPr>
        <w:t>100% of the public shares, at a per</w:t>
      </w:r>
    </w:p>
    <w:p>
      <w:pPr>
        <w:ind w:left="3100"/>
        <w:spacing w:after="0" w:line="235" w:lineRule="auto"/>
        <w:rPr>
          <w:sz w:val="20"/>
          <w:szCs w:val="20"/>
          <w:color w:val="auto"/>
        </w:rPr>
      </w:pPr>
      <w:r>
        <w:rPr>
          <w:rFonts w:ascii="Arial" w:cs="Arial" w:eastAsia="Arial" w:hAnsi="Arial"/>
          <w:sz w:val="18"/>
          <w:szCs w:val="18"/>
          <w:color w:val="auto"/>
        </w:rPr>
        <w:t>share price, payable in cash, equal to</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aggregate amount then on deposit in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trust account, including interest (net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permitted withdrawals and up to</w:t>
      </w:r>
    </w:p>
    <w:p>
      <w:pPr>
        <w:ind w:left="3100"/>
        <w:spacing w:after="0"/>
        <w:rPr>
          <w:sz w:val="20"/>
          <w:szCs w:val="20"/>
          <w:color w:val="auto"/>
        </w:rPr>
      </w:pPr>
      <w:r>
        <w:rPr>
          <w:rFonts w:ascii="Arial" w:cs="Arial" w:eastAsia="Arial" w:hAnsi="Arial"/>
          <w:sz w:val="17"/>
          <w:szCs w:val="17"/>
          <w:color w:val="auto"/>
        </w:rPr>
        <w:t>$100,000 of interest to pay dissolution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expenses), divided by the number of</w:t>
      </w:r>
    </w:p>
    <w:p>
      <w:pPr>
        <w:ind w:left="3100"/>
        <w:spacing w:after="0" w:line="234" w:lineRule="auto"/>
        <w:rPr>
          <w:sz w:val="20"/>
          <w:szCs w:val="20"/>
          <w:color w:val="auto"/>
        </w:rPr>
      </w:pPr>
      <w:r>
        <w:rPr>
          <w:rFonts w:ascii="Arial" w:cs="Arial" w:eastAsia="Arial" w:hAnsi="Arial"/>
          <w:sz w:val="18"/>
          <w:szCs w:val="18"/>
          <w:color w:val="auto"/>
        </w:rPr>
        <w:t>then outstanding public shares, which</w:t>
      </w:r>
    </w:p>
    <w:p>
      <w:pPr>
        <w:ind w:left="3100"/>
        <w:spacing w:after="0" w:line="235" w:lineRule="auto"/>
        <w:rPr>
          <w:sz w:val="20"/>
          <w:szCs w:val="20"/>
          <w:color w:val="auto"/>
        </w:rPr>
      </w:pPr>
      <w:r>
        <w:rPr>
          <w:rFonts w:ascii="Arial" w:cs="Arial" w:eastAsia="Arial" w:hAnsi="Arial"/>
          <w:sz w:val="18"/>
          <w:szCs w:val="18"/>
          <w:color w:val="auto"/>
        </w:rPr>
        <w:t>redemption will completely extinguish</w:t>
      </w:r>
    </w:p>
    <w:p>
      <w:pPr>
        <w:ind w:left="3100"/>
        <w:spacing w:after="0" w:line="235" w:lineRule="auto"/>
        <w:rPr>
          <w:sz w:val="20"/>
          <w:szCs w:val="20"/>
          <w:color w:val="auto"/>
        </w:rPr>
      </w:pPr>
      <w:r>
        <w:rPr>
          <w:rFonts w:ascii="Arial" w:cs="Arial" w:eastAsia="Arial" w:hAnsi="Arial"/>
          <w:sz w:val="18"/>
          <w:szCs w:val="18"/>
          <w:color w:val="auto"/>
        </w:rPr>
        <w:t>public stockholders’ rights as</w:t>
      </w:r>
    </w:p>
    <w:p>
      <w:pPr>
        <w:ind w:left="3100"/>
        <w:spacing w:after="0" w:line="235" w:lineRule="auto"/>
        <w:rPr>
          <w:sz w:val="20"/>
          <w:szCs w:val="20"/>
          <w:color w:val="auto"/>
        </w:rPr>
      </w:pPr>
      <w:r>
        <w:rPr>
          <w:rFonts w:ascii="Arial" w:cs="Arial" w:eastAsia="Arial" w:hAnsi="Arial"/>
          <w:sz w:val="18"/>
          <w:szCs w:val="18"/>
          <w:color w:val="auto"/>
        </w:rPr>
        <w:t>stockholders (including the right to</w:t>
      </w:r>
    </w:p>
    <w:p>
      <w:pPr>
        <w:ind w:left="3100"/>
        <w:spacing w:after="0"/>
        <w:rPr>
          <w:sz w:val="20"/>
          <w:szCs w:val="20"/>
          <w:color w:val="auto"/>
        </w:rPr>
      </w:pPr>
      <w:r>
        <w:rPr>
          <w:rFonts w:ascii="Arial" w:cs="Arial" w:eastAsia="Arial" w:hAnsi="Arial"/>
          <w:sz w:val="17"/>
          <w:szCs w:val="17"/>
          <w:color w:val="auto"/>
        </w:rPr>
        <w:t>receive further liquidating distributions,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if any), subject to applicable law; and</w:t>
      </w:r>
    </w:p>
    <w:p>
      <w:pPr>
        <w:ind w:left="3100"/>
        <w:spacing w:after="0"/>
        <w:rPr>
          <w:sz w:val="20"/>
          <w:szCs w:val="20"/>
          <w:color w:val="auto"/>
        </w:rPr>
      </w:pPr>
      <w:r>
        <w:rPr>
          <w:rFonts w:ascii="Arial" w:cs="Arial" w:eastAsia="Arial" w:hAnsi="Arial"/>
          <w:sz w:val="17"/>
          <w:szCs w:val="17"/>
          <w:color w:val="auto"/>
        </w:rPr>
        <w:t>(3) as promptly as reasonably possible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following such redemption, subject to</w:t>
      </w:r>
    </w:p>
    <w:p>
      <w:pPr>
        <w:ind w:left="3100"/>
        <w:spacing w:after="0" w:line="234" w:lineRule="auto"/>
        <w:rPr>
          <w:sz w:val="20"/>
          <w:szCs w:val="20"/>
          <w:color w:val="auto"/>
        </w:rPr>
      </w:pPr>
      <w:r>
        <w:rPr>
          <w:rFonts w:ascii="Arial" w:cs="Arial" w:eastAsia="Arial" w:hAnsi="Arial"/>
          <w:sz w:val="18"/>
          <w:szCs w:val="18"/>
          <w:color w:val="auto"/>
        </w:rPr>
        <w:t>the approval of our remaining</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stockholders and our board of directors,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dissolve and liquidate, subject in each</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case to our obligations under Delaware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law to provide for claims of creditors</w:t>
      </w:r>
    </w:p>
    <w:p>
      <w:pPr>
        <w:ind w:left="3100"/>
        <w:spacing w:after="0" w:line="234" w:lineRule="auto"/>
        <w:rPr>
          <w:sz w:val="20"/>
          <w:szCs w:val="20"/>
          <w:color w:val="auto"/>
        </w:rPr>
      </w:pPr>
      <w:r>
        <w:rPr>
          <w:rFonts w:ascii="Arial" w:cs="Arial" w:eastAsia="Arial" w:hAnsi="Arial"/>
          <w:sz w:val="18"/>
          <w:szCs w:val="18"/>
          <w:color w:val="auto"/>
        </w:rPr>
        <w:t>and the requirements of other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719"/>
        <w:spacing w:after="0" w:line="259"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6120" w:space="220"/>
            <w:col w:w="379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Except with respect to permitted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withdrawals, the funds held in the trust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account will not be released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until the earliest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 the completion of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(2)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any public shares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properly submitted in connection with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stockholder vote to amend our amended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and restated certificate of incorporation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our obligation to provide for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an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combination or to redeem 100% of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shares if we do not complete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initial business combination within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and (3)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redemption of all of our public shares if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we are unable to complete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within the</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subject to</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applicable law.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39"/>
        <w:spacing w:after="0" w:line="279"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and the failure to effect a business combination within the allotted time.</w:t>
      </w:r>
    </w:p>
    <w:p>
      <w:pPr>
        <w:spacing w:after="0" w:line="3772"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spacing w:after="0" w:line="275"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0" w:lineRule="exact"/>
        <w:rPr>
          <w:sz w:val="20"/>
          <w:szCs w:val="20"/>
          <w:color w:val="auto"/>
        </w:rPr>
      </w:pPr>
      <w:r>
        <w:rPr>
          <w:sz w:val="20"/>
          <w:szCs w:val="20"/>
          <w:color w:val="auto"/>
        </w:rPr>
        <w:br w:type="column"/>
      </w:r>
    </w:p>
    <w:p>
      <w:pPr>
        <w:ind w:right="699"/>
        <w:spacing w:after="0"/>
        <w:rPr>
          <w:sz w:val="20"/>
          <w:szCs w:val="20"/>
          <w:color w:val="auto"/>
        </w:rPr>
      </w:pPr>
      <w:r>
        <w:rPr>
          <w:rFonts w:ascii="Arial" w:cs="Arial" w:eastAsia="Arial" w:hAnsi="Arial"/>
          <w:sz w:val="18"/>
          <w:szCs w:val="18"/>
          <w:color w:val="auto"/>
        </w:rPr>
        <w:t>Most blank check companies provide no restrictions on the ability of stockholders to redeem shares based on the number of shares held by such stockholders in connection with an initial business combination.</w:t>
      </w:r>
    </w:p>
    <w:p>
      <w:pPr>
        <w:spacing w:after="0" w:line="3641" w:lineRule="exact"/>
        <w:rPr>
          <w:sz w:val="20"/>
          <w:szCs w:val="20"/>
          <w:color w:val="auto"/>
        </w:rPr>
      </w:pPr>
    </w:p>
    <w:p>
      <w:pPr>
        <w:sectPr>
          <w:pgSz w:w="11900" w:h="16838" w:orient="portrait"/>
          <w:cols w:equalWidth="0" w:num="3">
            <w:col w:w="2880" w:space="220"/>
            <w:col w:w="30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Tendering stock</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We may require our public stockholders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seeking to exercise their redemption</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connection with a</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rights, whether they are record 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tender offer or</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or hold their shares in “street name,” to</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tcPr>
          <w:p>
            <w:pPr>
              <w:spacing w:after="0"/>
              <w:rPr>
                <w:sz w:val="20"/>
                <w:szCs w:val="20"/>
                <w:color w:val="auto"/>
              </w:rPr>
            </w:pPr>
            <w:r>
              <w:rPr>
                <w:rFonts w:ascii="Arial" w:cs="Arial" w:eastAsia="Arial" w:hAnsi="Arial"/>
                <w:sz w:val="18"/>
                <w:szCs w:val="18"/>
                <w:color w:val="auto"/>
              </w:rPr>
              <w:t>either tender their certificates to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transfer agent prior to the date set forth</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in the tender offer documents or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materials mailed to such holders or up</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two business days prior to the vote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on the proposal to approve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combination in the event we distribute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proxy materials, or to deliver their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shares to the transfer agent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electronically using The Depository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Company’s DWAC</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(Deposit/Withdrawal At Custodian)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System, at the holder’s option.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tender offer or proxy materials, as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which will include the requirement that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any beneficial owner on whose behalf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right is being exercised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must identify itself in order to validly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its shares. Accordingly,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stockholder would have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time we send out our tender offer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until the close of the tender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offer period, or up to two business days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prior to the vote on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if we distribute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as applicable, to tender its</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shares if it wishes to seek to exercise its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redemption rights.</w:t>
            </w: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19"/>
        <w:spacing w:after="0" w:line="252"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987"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right="759" w:firstLine="360"/>
        <w:spacing w:after="0" w:line="252"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Potential Conflicts of Interest Relating to M. Klein and Company</w:t>
      </w:r>
    </w:p>
    <w:p>
      <w:pPr>
        <w:spacing w:after="0" w:line="108" w:lineRule="exact"/>
        <w:rPr>
          <w:sz w:val="20"/>
          <w:szCs w:val="20"/>
          <w:color w:val="auto"/>
        </w:rPr>
      </w:pPr>
    </w:p>
    <w:p>
      <w:pPr>
        <w:ind w:left="1260" w:right="719" w:firstLine="360"/>
        <w:spacing w:after="0" w:line="274" w:lineRule="auto"/>
        <w:rPr>
          <w:sz w:val="20"/>
          <w:szCs w:val="20"/>
          <w:color w:val="auto"/>
        </w:rPr>
      </w:pPr>
      <w:r>
        <w:rPr>
          <w:rFonts w:ascii="Arial" w:cs="Arial" w:eastAsia="Arial" w:hAnsi="Arial"/>
          <w:sz w:val="17"/>
          <w:szCs w:val="17"/>
          <w:color w:val="auto"/>
        </w:rPr>
        <w:t>Our sponsor is an affiliate of M. Klein and Company. Mr. Klein is the founder and managing partner of M. Klein and Company and acts as a strategic advisor to its clients. Mr. Klein has a fiduciary duty to</w:t>
      </w:r>
    </w:p>
    <w:p>
      <w:pPr>
        <w:ind w:left="1260" w:right="819"/>
        <w:spacing w:after="0" w:line="253" w:lineRule="auto"/>
        <w:rPr>
          <w:sz w:val="20"/>
          <w:szCs w:val="20"/>
          <w:color w:val="auto"/>
        </w:rPr>
      </w:pPr>
      <w:r>
        <w:rPr>
          <w:rFonts w:ascii="Arial" w:cs="Arial" w:eastAsia="Arial" w:hAnsi="Arial"/>
          <w:sz w:val="18"/>
          <w:szCs w:val="18"/>
          <w:color w:val="auto"/>
        </w:rPr>
        <w:t>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w:t>
      </w:r>
    </w:p>
    <w:p>
      <w:pPr>
        <w:spacing w:after="0" w:line="85"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 addition, Mr. Klein and M. Klein and Company may sponsor or form other blank check companies similar to ours during the period in which we are seeking an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 potential conflicts described above may limit our ability to enter into a business combination or other transactions. These circumstances could give rise to numerous situations where interests may conflict.</w:t>
      </w:r>
    </w:p>
    <w:p>
      <w:pPr>
        <w:spacing w:after="0" w:line="3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Additionally, the engagement of M. Klein and Company, or another affiliate of our sponsor, as our lead financial advisor in connection with our initial business combination may present certain conflicts of interest.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Our Access to Investment Opportunities Sourced by M. Klein and Company</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 all Members of Our Management Team are Independent of M. Klein and Company</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management team is responsible for the management of our affairs. 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in his capacity as an officer or director of the Company. Please see “Management — Conflicts of Interest” for additional information regarding conflicts of interest relating to our management team.</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 Indemnity</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8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currently maintain our executive offices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The cost for this space is included in the $50,000 per month fee that we will pay an affiliate of our sponsor for office space, administrative and support services. We consider our current office space adequate for our current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currently have [•]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accounting firm.</w:t>
      </w:r>
    </w:p>
    <w:p>
      <w:pPr>
        <w:spacing w:after="0" w:line="63"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the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8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3"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79" w:firstLine="8"/>
        <w:spacing w:after="0" w:line="265" w:lineRule="auto"/>
        <w:tabs>
          <w:tab w:leader="none" w:pos="1564" w:val="left"/>
        </w:tabs>
        <w:numPr>
          <w:ilvl w:val="0"/>
          <w:numId w:val="53"/>
        </w:numPr>
        <w:rPr>
          <w:rFonts w:ascii="Arial" w:cs="Arial" w:eastAsia="Arial" w:hAnsi="Arial"/>
          <w:sz w:val="17"/>
          <w:szCs w:val="17"/>
          <w:color w:val="auto"/>
        </w:rPr>
      </w:pPr>
      <w:r>
        <w:rPr>
          <w:rFonts w:ascii="Arial" w:cs="Arial" w:eastAsia="Arial" w:hAnsi="Arial"/>
          <w:sz w:val="17"/>
          <w:szCs w:val="17"/>
          <w:color w:val="auto"/>
        </w:rPr>
        <w:t>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ectPr>
          <w:pgSz w:w="11900" w:h="16838" w:orient="portrait"/>
          <w:cols w:equalWidth="0" w:num="1">
            <w:col w:w="10139"/>
          </w:cols>
          <w:pgMar w:left="320" w:top="131" w:right="1440" w:bottom="1440" w:gutter="0" w:footer="0" w:header="0"/>
        </w:sect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directors, director nominees and officers are as follows: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78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6"/>
        </w:trPr>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80" w:type="dxa"/>
            <w:vAlign w:val="bottom"/>
          </w:tcPr>
          <w:p>
            <w:pPr>
              <w:ind w:left="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Chief Executive Officer, President and Chairman of the Board of Directors</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80" w:type="dxa"/>
            <w:vAlign w:val="bottom"/>
          </w:tcPr>
          <w:p>
            <w:pPr>
              <w:ind w:left="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80" w:type="dxa"/>
            <w:vAlign w:val="bottom"/>
          </w:tcPr>
          <w:p>
            <w:pPr>
              <w:ind w:left="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6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Klein is also the Chief Executive Officer and Chairman of the Board of Directors of Churchill Capital Corp II, a blank check company whose sponsor is an affiliate of M. Klein and Company, LLC and Chief Executive Officer, President and Chairman of the Board of Directors of Churchill Capital Corp III, a blank check company whose sponsor is an affiliate of M. Klein and Company, LLC. Mr. Klein is currently a Director of Credit Suisse Group AG and Credit Suisse AG. Mr. Klein was the co-founder and Chairman of Churchill Capital Corp, a blank check company formed in 2018. Churchill Capital Corp merged with Clarivate Analytics in May 2019, and Mr. Klein currently serves on the board of directors of Clarivate Analytics.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7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Jay Taragin </w:t>
      </w:r>
      <w:r>
        <w:rPr>
          <w:rFonts w:ascii="Arial" w:cs="Arial" w:eastAsia="Arial" w:hAnsi="Arial"/>
          <w:sz w:val="18"/>
          <w:szCs w:val="18"/>
          <w:color w:val="auto"/>
        </w:rPr>
        <w:t>is our Chief Financial Officer since May 2020. Mr. Taragin is also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Churchill Capital Corp III since December 2019 and Chief Financial Officer of M. Klein and Company which he joined in May 2019. Prior to joining M. Klein and Company, Mr. Taragin served as the US Scotiabank Chief Financial Officer from 2013 to 2017. Prior to Scotiabank, 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Glenn R. August </w:t>
      </w:r>
      <w:r>
        <w:rPr>
          <w:rFonts w:ascii="Arial" w:cs="Arial" w:eastAsia="Arial" w:hAnsi="Arial"/>
          <w:sz w:val="18"/>
          <w:szCs w:val="18"/>
          <w:color w:val="auto"/>
        </w:rPr>
        <w:t>is a Director Nominee and is also a Director of Churchill Capital Corp II and Churchill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Corp III.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 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w:t>
      </w: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Our board of directors will be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 will expire at our first annual meeting of stockholders. The term of office of the second class of directors, consisting of [•], will expire at the second annual meeting of stockholders. The term of office of the third class of directors, consisting of [•],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7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initial public offering.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expect to have “independent directors” as defined in the NYSE rules and applicable SEC rules prior to completion of this offering. Our board has determined that each of [•] is an independent director under applicable SEC and NYSE rules. Our independent directors will have regularly scheduled meetings at which only independent directors are present.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8"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initially be [•] and [•] will serve as chairman of the audit committee.</w:t>
      </w:r>
    </w:p>
    <w:p>
      <w:pPr>
        <w:spacing w:after="0" w:line="76"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qualifies as an “audit committee financial expert” as defined in applicable SEC rules and has accounting or related financial management expertise.</w:t>
      </w:r>
    </w:p>
    <w:p>
      <w:pPr>
        <w:spacing w:after="0" w:line="7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62" w:lineRule="exact"/>
        <w:rPr>
          <w:sz w:val="20"/>
          <w:szCs w:val="20"/>
          <w:color w:val="auto"/>
        </w:rPr>
      </w:pPr>
    </w:p>
    <w:p>
      <w:pPr>
        <w:ind w:left="1980" w:right="779" w:hanging="352"/>
        <w:spacing w:after="0" w:line="286"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43" w:lineRule="exact"/>
        <w:rPr>
          <w:rFonts w:ascii="Arial" w:cs="Arial" w:eastAsia="Arial" w:hAnsi="Arial"/>
          <w:sz w:val="17"/>
          <w:szCs w:val="17"/>
          <w:color w:val="auto"/>
        </w:rPr>
      </w:pPr>
    </w:p>
    <w:p>
      <w:pPr>
        <w:ind w:left="1980" w:right="799" w:hanging="352"/>
        <w:spacing w:after="0" w:line="342"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appointment, compensation, retention, replacement, and oversight of the work of the independent auditors and any other independent registered public accounting firm engaged by us;</w:t>
      </w:r>
    </w:p>
    <w:p>
      <w:pPr>
        <w:spacing w:after="0" w:line="2" w:lineRule="exact"/>
        <w:rPr>
          <w:rFonts w:ascii="Arial" w:cs="Arial" w:eastAsia="Arial" w:hAnsi="Arial"/>
          <w:sz w:val="16"/>
          <w:szCs w:val="16"/>
          <w:color w:val="auto"/>
        </w:rPr>
      </w:pPr>
    </w:p>
    <w:p>
      <w:pPr>
        <w:ind w:left="1980" w:right="799" w:hanging="352"/>
        <w:spacing w:after="0" w:line="263"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62"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w:t>
      </w:r>
    </w:p>
    <w:p>
      <w:pPr>
        <w:spacing w:after="0" w:line="23" w:lineRule="exact"/>
        <w:rPr>
          <w:rFonts w:ascii="Arial" w:cs="Arial" w:eastAsia="Arial" w:hAnsi="Arial"/>
          <w:sz w:val="18"/>
          <w:szCs w:val="18"/>
          <w:color w:val="auto"/>
        </w:rPr>
      </w:pPr>
    </w:p>
    <w:p>
      <w:pPr>
        <w:ind w:left="1980" w:right="719"/>
        <w:spacing w:after="0" w:line="265" w:lineRule="auto"/>
        <w:rPr>
          <w:rFonts w:ascii="Arial" w:cs="Arial" w:eastAsia="Arial" w:hAnsi="Arial"/>
          <w:sz w:val="18"/>
          <w:szCs w:val="18"/>
          <w:color w:val="auto"/>
        </w:rPr>
      </w:pPr>
      <w:r>
        <w:rPr>
          <w:rFonts w:ascii="Arial" w:cs="Arial" w:eastAsia="Arial" w:hAnsi="Arial"/>
          <w:sz w:val="17"/>
          <w:szCs w:val="17"/>
          <w:color w:val="auto"/>
        </w:rPr>
        <w:t>(1) the independent auditor’s internal quality-control procedures and (2) any material issues raised by the most recent internal quality-control review, or peer review, of the audit firm, or by any inquiry or investigation by governmental or professional authorities, within the preceding</w:t>
      </w:r>
    </w:p>
    <w:p>
      <w:pPr>
        <w:ind w:left="1980" w:right="699"/>
        <w:spacing w:after="0" w:line="260" w:lineRule="auto"/>
        <w:rPr>
          <w:rFonts w:ascii="Arial" w:cs="Arial" w:eastAsia="Arial" w:hAnsi="Arial"/>
          <w:sz w:val="18"/>
          <w:szCs w:val="18"/>
          <w:color w:val="auto"/>
        </w:rPr>
      </w:pPr>
      <w:r>
        <w:rPr>
          <w:rFonts w:ascii="Arial" w:cs="Arial" w:eastAsia="Arial" w:hAnsi="Arial"/>
          <w:sz w:val="18"/>
          <w:szCs w:val="18"/>
          <w:color w:val="auto"/>
        </w:rPr>
        <w:t>five years respecting one or more independent audits carried out by the firm and any steps taken to deal with such issues;</w:t>
      </w:r>
    </w:p>
    <w:p>
      <w:pPr>
        <w:spacing w:after="0" w:line="63"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7"/>
          <w:szCs w:val="17"/>
          <w:color w:val="auto"/>
        </w:rPr>
        <w:t>Item 404 of Regulation S-K promulgated by the SEC prior to us entering into such transaction; and</w:t>
      </w:r>
    </w:p>
    <w:p>
      <w:pPr>
        <w:spacing w:after="0" w:line="141"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 and [•] will serve as chairman of the compensation committee.</w:t>
      </w:r>
    </w:p>
    <w:p>
      <w:pPr>
        <w:spacing w:after="0" w:line="7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purpose and responsibility of the compensation committee, including:</w:t>
      </w:r>
    </w:p>
    <w:p>
      <w:pPr>
        <w:spacing w:after="0" w:line="89" w:lineRule="exact"/>
        <w:rPr>
          <w:sz w:val="20"/>
          <w:szCs w:val="20"/>
          <w:color w:val="auto"/>
        </w:rPr>
      </w:pPr>
    </w:p>
    <w:p>
      <w:pPr>
        <w:ind w:left="1980" w:right="759" w:hanging="352"/>
        <w:spacing w:after="0" w:line="259"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980" w:right="699" w:hanging="352"/>
        <w:spacing w:after="0" w:line="286"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42" w:lineRule="exact"/>
        <w:rPr>
          <w:rFonts w:ascii="Arial" w:cs="Arial" w:eastAsia="Arial" w:hAnsi="Arial"/>
          <w:sz w:val="17"/>
          <w:szCs w:val="17"/>
          <w:color w:val="auto"/>
        </w:rPr>
      </w:pPr>
    </w:p>
    <w:p>
      <w:pPr>
        <w:ind w:left="1980" w:right="133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55" w:lineRule="exact"/>
        <w:rPr>
          <w:rFonts w:ascii="Arial" w:cs="Arial" w:eastAsia="Arial" w:hAnsi="Arial"/>
          <w:sz w:val="17"/>
          <w:szCs w:val="17"/>
          <w:color w:val="auto"/>
        </w:rPr>
      </w:pPr>
    </w:p>
    <w:p>
      <w:pPr>
        <w:ind w:left="1980" w:right="141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62"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w:t>
      </w:r>
    </w:p>
    <w:p>
      <w:pPr>
        <w:spacing w:after="0" w:line="5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of the board of directors. The members of our nominating and corporate governance will be [•] and [•] will serve as chair of the nominating and corporate governance committee.</w:t>
      </w:r>
    </w:p>
    <w:p>
      <w:pPr>
        <w:spacing w:after="0" w:line="7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adopt a nominating and corporate governance committee charter, which will detail the purpose and responsibilities of the nominating and corporate governance committee, including:</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59" w:hanging="352"/>
        <w:spacing w:after="0" w:line="259"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32"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0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16"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62"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have adopted a Code of Ethics applicable to our directors, officers and employees. We will file a copy of our form of Code of Ethics and our audit committee charter as exhibits to the registration statement.</w:t>
      </w:r>
    </w:p>
    <w:p>
      <w:pPr>
        <w:spacing w:after="0" w:line="5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 Please see “Where You Can Find Additional Information.”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7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Our Strategic and Operating Partners and their personnel, if any, may have a duty to offer acquisition opportunities to clients or other parties. Such persons will have no duty to offer acquisition opportunities to the Company unless presented to them solely in their capacity as a director of the Company and after they have satisfied any contractual and fiduciary obligations to other parties.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a result, such persons may compete with us for acquisition opportunities in the same industries and sectors as we may target for our initial business combination. Consequently, we may be precluded from procuring such opportunities. In addition, investment ideas may be suitable both for us and for a Strategic Partner or Operating Partner or any of its clients, and will be directed initially to such persons rather than to us.</w:t>
      </w:r>
    </w:p>
    <w:p>
      <w:pPr>
        <w:spacing w:after="0" w:line="8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addition, any of our Strategic and Operating Partners or their personnel may sponsor or form other blank check companies similar to ours during the period in which we are seeking an initial business combination. In particular, the Operating Partners, as well as M. Klein and Company, Mr. Klein and our board of directors, are actively engaged in Churchill Capital Corp II and Churchill Capital Corp III, special purpose acquisition corporations that completed their initial public offerings in July 2019 and</w:t>
      </w:r>
    </w:p>
    <w:p>
      <w:pPr>
        <w:spacing w:after="0" w:line="3" w:lineRule="exact"/>
        <w:rPr>
          <w:sz w:val="20"/>
          <w:szCs w:val="20"/>
          <w:color w:val="auto"/>
        </w:rPr>
      </w:pPr>
    </w:p>
    <w:p>
      <w:pPr>
        <w:ind w:left="1260" w:right="819"/>
        <w:spacing w:after="0" w:line="253" w:lineRule="auto"/>
        <w:rPr>
          <w:sz w:val="20"/>
          <w:szCs w:val="20"/>
          <w:color w:val="auto"/>
        </w:rPr>
      </w:pPr>
      <w:r>
        <w:rPr>
          <w:rFonts w:ascii="Arial" w:cs="Arial" w:eastAsia="Arial" w:hAnsi="Arial"/>
          <w:sz w:val="18"/>
          <w:szCs w:val="18"/>
          <w:color w:val="auto"/>
        </w:rPr>
        <w:t>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sponsor, officers and directors may participate in the formation of, or become an officer or director of, any other blank check company prior to completion of our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85" w:lineRule="exact"/>
        <w:rPr>
          <w:sz w:val="20"/>
          <w:szCs w:val="20"/>
          <w:color w:val="auto"/>
        </w:rPr>
      </w:pPr>
    </w:p>
    <w:p>
      <w:pPr>
        <w:ind w:left="1980" w:right="95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43"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 Please see “— Directors, Director Nominees and Executive Officers” for a description of our management’s other affiliations,</w:t>
      </w:r>
    </w:p>
    <w:p>
      <w:pPr>
        <w:spacing w:after="0" w:line="151" w:lineRule="exact"/>
        <w:rPr>
          <w:rFonts w:ascii="Arial" w:cs="Arial" w:eastAsia="Arial" w:hAnsi="Arial"/>
          <w:sz w:val="18"/>
          <w:szCs w:val="18"/>
          <w:color w:val="auto"/>
        </w:rPr>
      </w:pPr>
    </w:p>
    <w:p>
      <w:pPr>
        <w:ind w:left="1980" w:right="759" w:hanging="352"/>
        <w:spacing w:after="0" w:line="271"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39"/>
        <w:spacing w:after="0" w:line="267" w:lineRule="auto"/>
        <w:rPr>
          <w:sz w:val="20"/>
          <w:szCs w:val="20"/>
          <w:color w:val="auto"/>
        </w:rPr>
      </w:pPr>
      <w:r>
        <w:rPr>
          <w:rFonts w:ascii="Arial" w:cs="Arial" w:eastAsia="Arial" w:hAnsi="Arial"/>
          <w:sz w:val="17"/>
          <w:szCs w:val="17"/>
          <w:color w:val="auto"/>
        </w:rPr>
        <w:t>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64" w:lineRule="exact"/>
        <w:rPr>
          <w:sz w:val="20"/>
          <w:szCs w:val="20"/>
          <w:color w:val="auto"/>
        </w:rPr>
      </w:pPr>
    </w:p>
    <w:p>
      <w:pPr>
        <w:ind w:left="1980" w:right="839" w:hanging="352"/>
        <w:spacing w:after="0" w:line="25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47" w:lineRule="exact"/>
        <w:rPr>
          <w:rFonts w:ascii="Arial" w:cs="Arial" w:eastAsia="Arial" w:hAnsi="Arial"/>
          <w:sz w:val="18"/>
          <w:szCs w:val="18"/>
          <w:color w:val="auto"/>
        </w:rPr>
      </w:pPr>
    </w:p>
    <w:p>
      <w:pPr>
        <w:ind w:left="1980" w:right="839" w:hanging="352"/>
        <w:spacing w:after="0" w:line="286" w:lineRule="auto"/>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124"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1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30" w:lineRule="exact"/>
        <w:rPr>
          <w:sz w:val="20"/>
          <w:szCs w:val="20"/>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98"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62"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will provide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 of Individual</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Entity Name</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Entity’s Business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r>
      <w:tr>
        <w:trPr>
          <w:trHeight w:val="26"/>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Founder and Managing Partner</w:t>
            </w:r>
          </w:p>
        </w:tc>
      </w:tr>
      <w:tr>
        <w:trPr>
          <w:trHeight w:val="283"/>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Group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70"/>
        </w:trPr>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Clarivate Analytics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Information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services &amp;</w:t>
            </w:r>
          </w:p>
        </w:tc>
        <w:tc>
          <w:tcPr>
            <w:tcW w:w="250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analytics</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Chief Executive Officer and</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Chairman of the Board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Directors</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Executive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President and Chairman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the Board of Directors</w:t>
            </w:r>
          </w:p>
        </w:tc>
      </w:tr>
      <w:tr>
        <w:trPr>
          <w:trHeight w:val="297"/>
        </w:trPr>
        <w:tc>
          <w:tcPr>
            <w:tcW w:w="17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Oak Hill Advisors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Founder, Senior Partner and</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bl>
    <w:p>
      <w:pPr>
        <w:spacing w:after="0" w:line="24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69"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M. Klein and Company, one of our Strategic and Operating Partners, our sponsor, officers or directors. In the event we seek to complete our initial business combination with a business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our sponsor or any of its affiliates, or any of their respective clients,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8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this offering in favor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8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 We will obtain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87"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71" w:lineRule="exact"/>
        <w:rPr>
          <w:sz w:val="20"/>
          <w:szCs w:val="20"/>
          <w:color w:val="auto"/>
        </w:rPr>
      </w:pPr>
    </w:p>
    <w:p>
      <w:pPr>
        <w:ind w:left="1980" w:right="779" w:hanging="352"/>
        <w:spacing w:after="0" w:line="277"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11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79"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The post-offering ownership percentage column below assumes that the underwriters do not exercise their option to purchase additional units, that our sponsor forfeits 3,750,000 founder shares and that there are 125,000,000 shares of our common stock issued and outstanding after this offering.</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Before</w:t>
            </w: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29"/>
        </w:trPr>
        <w:tc>
          <w:tcPr>
            <w:tcW w:w="5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Beneficially Owned</w:t>
            </w:r>
            <w:r>
              <w:rPr>
                <w:rFonts w:ascii="Arial" w:cs="Arial" w:eastAsia="Arial" w:hAnsi="Arial"/>
                <w:sz w:val="21"/>
                <w:szCs w:val="21"/>
                <w:b w:val="1"/>
                <w:bCs w:val="1"/>
                <w:color w:val="auto"/>
                <w:w w:val="86"/>
                <w:vertAlign w:val="superscript"/>
              </w:rPr>
              <w:t>(2)</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Offering</w:t>
            </w:r>
          </w:p>
        </w:tc>
        <w:tc>
          <w:tcPr>
            <w:tcW w:w="66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(3)</w:t>
            </w:r>
          </w:p>
        </w:tc>
        <w:tc>
          <w:tcPr>
            <w:tcW w:w="220" w:type="dxa"/>
            <w:vAlign w:val="bottom"/>
            <w:vMerge w:val="continue"/>
            <w:shd w:val="clear" w:color="auto" w:fill="CCEEFF"/>
          </w:tcPr>
          <w:p>
            <w:pPr>
              <w:spacing w:after="0"/>
              <w:rPr>
                <w:sz w:val="22"/>
                <w:szCs w:val="22"/>
                <w:color w:val="auto"/>
              </w:rPr>
            </w:pP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28,750,000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line="270" w:lineRule="exact"/>
              <w:rPr>
                <w:sz w:val="20"/>
                <w:szCs w:val="20"/>
                <w:color w:val="auto"/>
              </w:rPr>
            </w:pPr>
            <w:r>
              <w:rPr>
                <w:rFonts w:ascii="Arial" w:cs="Arial" w:eastAsia="Arial" w:hAnsi="Arial"/>
                <w:sz w:val="18"/>
                <w:szCs w:val="18"/>
                <w:color w:val="auto"/>
              </w:rPr>
              <w:t>Michael Klein</w:t>
            </w:r>
            <w:r>
              <w:rPr>
                <w:rFonts w:ascii="Arial" w:cs="Arial" w:eastAsia="Arial" w:hAnsi="Arial"/>
                <w:sz w:val="26"/>
                <w:szCs w:val="26"/>
                <w:color w:val="auto"/>
                <w:vertAlign w:val="superscript"/>
              </w:rPr>
              <w:t>(3)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28,750,000</w:t>
            </w: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Taragin</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 individuals)</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28,750,000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-839470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-839470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-839470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1399" w:hanging="352"/>
        <w:spacing w:after="0" w:line="281"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following entities or individuals is c/o Churchill Capital Corp IV,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w:t>
      </w:r>
    </w:p>
    <w:p>
      <w:pPr>
        <w:spacing w:after="0" w:line="1" w:lineRule="exact"/>
        <w:rPr>
          <w:rFonts w:ascii="Arial" w:cs="Arial" w:eastAsia="Arial" w:hAnsi="Arial"/>
          <w:sz w:val="17"/>
          <w:szCs w:val="17"/>
          <w:color w:val="auto"/>
        </w:rPr>
      </w:pPr>
    </w:p>
    <w:p>
      <w:pPr>
        <w:ind w:left="1620" w:right="699" w:hanging="352"/>
        <w:spacing w:after="0" w:line="259"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the section entitled “Description of Securities.”</w:t>
      </w:r>
    </w:p>
    <w:p>
      <w:pPr>
        <w:spacing w:after="0" w:line="78" w:lineRule="exact"/>
        <w:rPr>
          <w:rFonts w:ascii="Arial" w:cs="Arial" w:eastAsia="Arial" w:hAnsi="Arial"/>
          <w:sz w:val="18"/>
          <w:szCs w:val="18"/>
          <w:color w:val="auto"/>
        </w:rPr>
      </w:pPr>
    </w:p>
    <w:p>
      <w:pPr>
        <w:jc w:val="both"/>
        <w:ind w:left="1620" w:right="839" w:hanging="352"/>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Michael Klein is the sole stockholder of M. Klein Associates, Inc., which is the managing member of Churchill Sponsor IV LLC. The shares beneficially owned by Churchill Sponsor IV LLC may also be deemed to be beneficially owned by Mr. Klein.</w:t>
      </w:r>
    </w:p>
    <w:p>
      <w:pPr>
        <w:spacing w:after="0" w:line="76"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Upon the completion of this offering, our initial stockholders will beneficially own 20.0% of the then issued and outstanding shares of our common stock. Our initial stockholders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8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sponsor has subscribed to purchase an aggregate of 21,250,000 (or 24,250,000 if the underwriters’ option to purchase additional units is exercised in full) private placement warrants at a price of $1.00 per warrant ($21,250,000 in the aggregate or $24,250,000 in the aggregate if the underwriters’ option to purchase additional units is exercised in full) in the Private Placement. Each private placement warrant entitles the holder thereof to purchase one share of our Class A common stock at $11.50 per share, subject to adjustment as provided herein. Proceeds from the private placement warrants will be added to the</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8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Our sponsor is deemed to be our “promoter” as such term is defined under the federal securities laws. Please see “Certain Relationships and Related Party Transactions” for additional information regarding our relationships with our promoters.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founder shares, private placement warrants and any shares of Class A common stock issued upon conversion or exercise thereof are each subject to transfer restrictions pursuant to lock-up provisions in the letter agreement with us to be entered into by our initial stockholders. Those lock-up provisions provide that such securities are not transferable or salable (1) in the case of the founder shares, until the earlier of</w:t>
      </w:r>
    </w:p>
    <w:p>
      <w:pPr>
        <w:spacing w:after="0" w:line="2" w:lineRule="exact"/>
        <w:rPr>
          <w:sz w:val="20"/>
          <w:szCs w:val="20"/>
          <w:color w:val="auto"/>
        </w:rPr>
      </w:pPr>
    </w:p>
    <w:p>
      <w:pPr>
        <w:ind w:left="1260" w:right="679" w:firstLine="8"/>
        <w:spacing w:after="0" w:line="265" w:lineRule="auto"/>
        <w:tabs>
          <w:tab w:leader="none" w:pos="15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w:t>
      </w:r>
    </w:p>
    <w:p>
      <w:pPr>
        <w:spacing w:after="0" w:line="2"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(c) in the case of an individual, by virtue of laws of descent and distribution upon death of the individual;</w:t>
      </w:r>
    </w:p>
    <w:p>
      <w:pPr>
        <w:spacing w:after="0" w:line="20" w:lineRule="exact"/>
        <w:rPr>
          <w:rFonts w:ascii="Arial" w:cs="Arial" w:eastAsia="Arial" w:hAnsi="Arial"/>
          <w:sz w:val="17"/>
          <w:szCs w:val="17"/>
          <w:color w:val="auto"/>
        </w:rPr>
      </w:pPr>
    </w:p>
    <w:p>
      <w:pPr>
        <w:ind w:left="1260" w:right="699"/>
        <w:spacing w:after="0" w:line="265" w:lineRule="auto"/>
        <w:rPr>
          <w:rFonts w:ascii="Arial" w:cs="Arial" w:eastAsia="Arial" w:hAnsi="Arial"/>
          <w:sz w:val="17"/>
          <w:szCs w:val="17"/>
          <w:color w:val="auto"/>
        </w:rPr>
      </w:pPr>
      <w:r>
        <w:rPr>
          <w:rFonts w:ascii="Arial" w:cs="Arial" w:eastAsia="Arial" w:hAnsi="Arial"/>
          <w:sz w:val="17"/>
          <w:szCs w:val="17"/>
          <w:color w:val="auto"/>
        </w:rPr>
        <w:t>(d) in the case of an individual, pursuant to a qualified domestic relations order; (e) transfers by private sales or transfers made in connection with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stock exchange, reorganization or other similar transaction which results in all of our public stockholders having the right to exchange their shares of Class A common stock for cash, securities or other property subsequent to our completion of our initial business combination; or</w:t>
      </w:r>
    </w:p>
    <w:p>
      <w:pPr>
        <w:spacing w:after="0" w:line="1" w:lineRule="exact"/>
        <w:rPr>
          <w:rFonts w:ascii="Arial" w:cs="Arial" w:eastAsia="Arial" w:hAnsi="Arial"/>
          <w:sz w:val="17"/>
          <w:szCs w:val="17"/>
          <w:color w:val="auto"/>
        </w:rPr>
      </w:pPr>
    </w:p>
    <w:p>
      <w:pPr>
        <w:ind w:left="1260" w:right="919"/>
        <w:spacing w:after="0" w:line="265" w:lineRule="auto"/>
        <w:rPr>
          <w:rFonts w:ascii="Arial" w:cs="Arial" w:eastAsia="Arial" w:hAnsi="Arial"/>
          <w:sz w:val="17"/>
          <w:szCs w:val="17"/>
          <w:color w:val="auto"/>
        </w:rPr>
      </w:pPr>
      <w:r>
        <w:rPr>
          <w:rFonts w:ascii="Arial" w:cs="Arial" w:eastAsia="Arial" w:hAnsi="Arial"/>
          <w:sz w:val="17"/>
          <w:szCs w:val="17"/>
          <w:color w:val="auto"/>
        </w:rPr>
        <w:t>(i) to a nominee or custodian of a person or entity to whom a disposition or transfer would be permissible under clauses (a) through (h) above, provided, however, that in the case of clauses (a) through (e) and</w:t>
      </w:r>
    </w:p>
    <w:p>
      <w:pPr>
        <w:ind w:left="1260" w:right="959"/>
        <w:spacing w:after="0" w:line="260" w:lineRule="auto"/>
        <w:rPr>
          <w:rFonts w:ascii="Arial" w:cs="Arial" w:eastAsia="Arial" w:hAnsi="Arial"/>
          <w:sz w:val="17"/>
          <w:szCs w:val="17"/>
          <w:color w:val="auto"/>
        </w:rPr>
      </w:pPr>
      <w:r>
        <w:rPr>
          <w:rFonts w:ascii="Arial" w:cs="Arial" w:eastAsia="Arial" w:hAnsi="Arial"/>
          <w:sz w:val="18"/>
          <w:szCs w:val="18"/>
          <w:color w:val="auto"/>
        </w:rPr>
        <w:t>(i) these permitted transferees must enter into a written agreement agreeing to be bound by these transfer restrictions and the other restrictions contained in the letter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shares of Class A common stock). The holders of these securities will be entitled to make up to three demands, excluding short form</w:t>
      </w:r>
    </w:p>
    <w:p>
      <w:pPr>
        <w:sectPr>
          <w:pgSz w:w="11900" w:h="16838" w:orient="portrait"/>
          <w:cols w:equalWidth="0" w:num="1">
            <w:col w:w="10139"/>
          </w:cols>
          <w:pgMar w:left="320" w:top="131" w:right="1440" w:bottom="1440" w:gutter="0" w:footer="0" w:header="0"/>
        </w:sect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57" w:lineRule="auto"/>
        <w:rPr>
          <w:sz w:val="20"/>
          <w:szCs w:val="20"/>
          <w:color w:val="auto"/>
        </w:rPr>
      </w:pPr>
      <w:r>
        <w:rPr>
          <w:rFonts w:ascii="Arial" w:cs="Arial" w:eastAsia="Arial" w:hAnsi="Arial"/>
          <w:sz w:val="18"/>
          <w:szCs w:val="18"/>
          <w:color w:val="auto"/>
        </w:rPr>
        <w:t>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The number of founder shares issued was determined based on the expectation that the founder shares would represent 20% of the outstanding shares of common stock upon completion of this offering. 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sponsor has subscribed to purchase an aggregate of 21,250,000 (or 24,250,000 if the underwriters’ option to purchase additional units is exercised in full) private placement warrants for a purchase price of $1.00 per warrant in the Private Placement. As such, our sponsor’s interest in this transaction is valued at between $21,250,000 and $24,250,000, depending on the number of private placement warrants purchased.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73"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As described in “Proposed Business — Sourcing of Potential Business Combination Targets” and “Management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8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8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Our sponsor has agreed to loan us up to $600,000 under an unsecured promissory note to be used for a portion of the expenses of this offering. As of June 1, 2020, there was $300,000 outstanding under such promissory note. These loans are non-interest bearing, unsecured and are due at the earlier of December 31, 2021 and the closing of this offering. These loans will be repaid upon completion of this offering out of the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$1,250,000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5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69" w:lineRule="exact"/>
        <w:rPr>
          <w:sz w:val="20"/>
          <w:szCs w:val="20"/>
          <w:color w:val="auto"/>
        </w:rPr>
      </w:pPr>
    </w:p>
    <w:p>
      <w:pPr>
        <w:jc w:val="both"/>
        <w:ind w:left="1260" w:right="1359" w:firstLine="360"/>
        <w:spacing w:after="0" w:line="263"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Stockholders — Registration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08" w:lineRule="exact"/>
        <w:rPr>
          <w:sz w:val="20"/>
          <w:szCs w:val="20"/>
          <w:color w:val="auto"/>
        </w:rPr>
      </w:pPr>
    </w:p>
    <w:p>
      <w:pPr>
        <w:ind w:left="1260" w:right="1179" w:firstLine="360"/>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6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70"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8"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165" w:lineRule="exact"/>
        <w:rPr>
          <w:sz w:val="20"/>
          <w:szCs w:val="20"/>
          <w:color w:val="auto"/>
        </w:rPr>
      </w:pPr>
    </w:p>
    <w:p>
      <w:pPr>
        <w:ind w:left="1980" w:right="69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repayment of an aggregate of up to $600,000 in loans made to us by our sponsor to cover offering-related and organizational expenses;</w:t>
      </w:r>
    </w:p>
    <w:p>
      <w:pPr>
        <w:spacing w:after="0" w:line="129" w:lineRule="exact"/>
        <w:rPr>
          <w:rFonts w:ascii="Arial" w:cs="Arial" w:eastAsia="Arial" w:hAnsi="Arial"/>
          <w:sz w:val="18"/>
          <w:szCs w:val="18"/>
          <w:color w:val="auto"/>
        </w:rPr>
      </w:pPr>
    </w:p>
    <w:p>
      <w:pPr>
        <w:jc w:val="both"/>
        <w:ind w:left="1980" w:right="819" w:hanging="352"/>
        <w:spacing w:after="0" w:line="26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$50,000 per month, for up to 27 months, for office space, administrative and support services;</w:t>
      </w:r>
    </w:p>
    <w:p>
      <w:pPr>
        <w:spacing w:after="0" w:line="143"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29" w:lineRule="exact"/>
        <w:rPr>
          <w:rFonts w:ascii="Arial" w:cs="Arial" w:eastAsia="Arial" w:hAnsi="Arial"/>
          <w:sz w:val="18"/>
          <w:szCs w:val="18"/>
          <w:color w:val="auto"/>
        </w:rPr>
      </w:pPr>
    </w:p>
    <w:p>
      <w:pPr>
        <w:ind w:left="1980" w:right="759" w:hanging="352"/>
        <w:spacing w:after="0" w:line="275"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6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These payments may be made using funds that are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SECURITIES</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Pursuant to our amended and restated certificate of incorporation, our authorized capital stock will consist of 240,000,000 shares of Class A common stock, $0.0001 par value, 60,000,000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08" w:lineRule="exact"/>
        <w:rPr>
          <w:sz w:val="20"/>
          <w:szCs w:val="20"/>
          <w:color w:val="auto"/>
        </w:rPr>
      </w:pPr>
    </w:p>
    <w:p>
      <w:pPr>
        <w:jc w:val="both"/>
        <w:ind w:left="1260" w:right="719" w:firstLine="360"/>
        <w:spacing w:after="0" w:line="271" w:lineRule="auto"/>
        <w:rPr>
          <w:sz w:val="20"/>
          <w:szCs w:val="20"/>
          <w:color w:val="auto"/>
        </w:rPr>
      </w:pPr>
      <w:r>
        <w:rPr>
          <w:rFonts w:ascii="Arial" w:cs="Arial" w:eastAsia="Arial" w:hAnsi="Arial"/>
          <w:sz w:val="17"/>
          <w:szCs w:val="17"/>
          <w:color w:val="auto"/>
        </w:rPr>
        <w:t>Each unit has an offering price of $10.00 and consists of one share of Class A common stock and one-fifth of one redeemable warrant. Each whole warrant entitles the holder thereof to purchase one share of our Class A common stock at a price of $11.50 per share, subject to adjustment as described in this prospectus.</w:t>
      </w:r>
    </w:p>
    <w:p>
      <w:pPr>
        <w:jc w:val="both"/>
        <w:ind w:left="1260" w:right="819"/>
        <w:spacing w:after="0" w:line="253" w:lineRule="auto"/>
        <w:rPr>
          <w:sz w:val="20"/>
          <w:szCs w:val="20"/>
          <w:color w:val="auto"/>
        </w:rPr>
      </w:pPr>
      <w:r>
        <w:rPr>
          <w:rFonts w:ascii="Arial" w:cs="Arial" w:eastAsia="Arial" w:hAnsi="Arial"/>
          <w:sz w:val="18"/>
          <w:szCs w:val="18"/>
          <w:color w:val="auto"/>
        </w:rPr>
        <w:t>Pursuant to the warrant agreement, a warrant holder may exercise its warrants only for a whole number of shares of the company’s Class A common stock. This means only a whole warrant may be exercised at any given time by a warrant holder. No fractional warrants will be issued upon separation of the units and only whole warrants will trade.</w:t>
      </w:r>
    </w:p>
    <w:p>
      <w:pPr>
        <w:spacing w:after="0" w:line="61"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The common stock and warrants constituting the units will begin separate trading on the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following the closing of this offering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8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which will include this audited balance sheet,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260" w:right="1259" w:firstLine="360"/>
        <w:spacing w:after="0" w:line="263" w:lineRule="auto"/>
        <w:rPr>
          <w:sz w:val="20"/>
          <w:szCs w:val="20"/>
          <w:color w:val="auto"/>
        </w:rPr>
      </w:pPr>
      <w:r>
        <w:rPr>
          <w:rFonts w:ascii="Arial" w:cs="Arial" w:eastAsia="Arial" w:hAnsi="Arial"/>
          <w:sz w:val="18"/>
          <w:szCs w:val="18"/>
          <w:color w:val="auto"/>
        </w:rPr>
        <w:t>Upon the closing of this offering, 125,000,000 shares of our common stock will be outstanding (assuming no exercise of the underwriters’ option to purchase additional units and the corresponding forfeiture of 3,750,000 founder shares by our sponsor), including:</w:t>
      </w:r>
    </w:p>
    <w:p>
      <w:pPr>
        <w:spacing w:after="0" w:line="103" w:lineRule="exact"/>
        <w:rPr>
          <w:sz w:val="20"/>
          <w:szCs w:val="20"/>
          <w:color w:val="auto"/>
        </w:rPr>
      </w:pPr>
    </w:p>
    <w:p>
      <w:pPr>
        <w:ind w:left="1980" w:right="1279" w:hanging="352"/>
        <w:spacing w:after="0" w:line="277"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100,000,000 shares of our Class A common stock underlying the units being offered in this offering;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25,000,000 shares of Class B common stock held by our initial stockholders.</w:t>
      </w:r>
    </w:p>
    <w:p>
      <w:pPr>
        <w:spacing w:after="0" w:line="11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0"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 These provisions of our amended and restated certificate of incorporation may only be amended if approved by a majority of at least 90% of our common stock voting at a stockholder meeting. Unless specified in our amended and</w:t>
      </w:r>
    </w:p>
    <w:p>
      <w:pPr>
        <w:sectPr>
          <w:pgSz w:w="11900" w:h="16838" w:orient="portrait"/>
          <w:cols w:equalWidth="0" w:num="1">
            <w:col w:w="10139"/>
          </w:cols>
          <w:pgMar w:left="320" w:top="131" w:right="1440" w:bottom="1440" w:gutter="0" w:footer="0" w:header="0"/>
        </w:sect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Directors will be divided into three classes, each of which will generally serve for a term of three years with only one class elected in each year. There is no cumulative voting with respect to the election of directors. Our stockholders are entitled to receive ratable dividends when, as and if declared by the board of directors out of funds legally available therefor.</w:t>
      </w:r>
    </w:p>
    <w:p>
      <w:pPr>
        <w:spacing w:after="0" w:line="87"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Because our amended and restated certificate of incorporation will authorize the issuance of up to 240,000,000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accordance with the NYSE corporate governance requirements, we are not required to hold an annual meeting until not later than one year after our first fiscal year end following our listing on the NYSE.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86"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Permitted transferees of our sponsor, officers or directors will be subject to the same obligations.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stockholder vote is not required by applicable law or stock exchange listing requirements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unless a different vote is required by applicable law or stock exchange rules, we will complete our initial business combination only if a majority of the outstanding shares of common stock voted are voted in favor of the business combination. Unless otherwise required by applicable law or stock exchange rules, a</w:t>
      </w: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 officers, directors, advisors or any of their respective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agreements may make it more likely that we will consummate our initial business combination.</w:t>
      </w:r>
    </w:p>
    <w:p>
      <w:pPr>
        <w:spacing w:after="0" w:line="9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such shares would be required to sell their stock in open market transactions, potentially at a loss.</w:t>
      </w:r>
    </w:p>
    <w:p>
      <w:pPr>
        <w:spacing w:after="0" w:line="76"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officers and directors have (and their permitted transferees, as applicable, will agree) agreed to vote any founder shares and any public shares held by them in favor of our initial business combination. As a result, in addition to our initial stockholders’ founder shares, we would need 37,500,001, or 37.5%, of the 100,000,000 public shares sold in this offering to be voted in favor of our initial business combination (assuming all issued and outstanding shares are voted and the option to purchase additional units is not exercised) in order to have such initial business combination approved. Additionally, each public stockholder may elect to redeem its public shares without voting, and if they do vote, irrespective of whether they vote for or against the proposed transaction.</w:t>
      </w:r>
    </w:p>
    <w:p>
      <w:pPr>
        <w:spacing w:after="0" w:line="88"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the completion window, we will: (1) cease all operations except for the purpose of winding up; (2) as promptly as reasonably possible but no more than ten business days thereafter, subject to lawfully available funds therefor,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after this offering, they will be entitled to liquidating distributions from the trust account with respect to such public shares if we fail to complete our initial business combination within the completion window.</w:t>
      </w: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on deposit in the trust account as of two business days prior to the consummation of our initial business combination, including interest (net of permitted withdrawals), upon the completion of our initial business combination, subject to the limitations described herein.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 If we submit our initial business combination to our public stockholders for a vote, our initial stockholders, officers and directors have agreed (and their permitted transferees, as applicable, will agree) to vote any founder shares and any public shares held by them in favor of our initial business combination.</w:t>
      </w:r>
    </w:p>
    <w:p>
      <w:pPr>
        <w:spacing w:after="0" w:line="7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7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and other permitted transferees, each of whom will be subject to the same transfer restrictions) until the earlier of (A) one year after the completion of our initial business combination, (B) subsequent to our initial business combination, if the closing price of our Class A common stock equals or exceeds $12.00 per share (as</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adjusted for stock splits, stock dividends, reorganizations, recapitalizations and the like) for any 20 trading days within any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common stock for cash, securities or other property.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1,000,000 shares of preferred stock and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0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7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7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our Class A common stock is at the time of any exercise of a warrant not listed on a national securities exchange such that it satisfies the definition of 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74" w:lineRule="auto"/>
        <w:rPr>
          <w:sz w:val="20"/>
          <w:szCs w:val="20"/>
          <w:color w:val="auto"/>
        </w:rPr>
      </w:pPr>
      <w:r>
        <w:rPr>
          <w:rFonts w:ascii="Arial" w:cs="Arial" w:eastAsia="Arial" w:hAnsi="Arial"/>
          <w:sz w:val="17"/>
          <w:szCs w:val="17"/>
          <w:color w:val="auto"/>
        </w:rPr>
        <w:t>“covered security” under Section 18(b)(1) of the Securities Act, we may, at our option, require holders of public warrants who exercise their warrants to do so on a “cashless basis” in accordance with Section 3(a)</w:t>
      </w:r>
    </w:p>
    <w:p>
      <w:pPr>
        <w:ind w:left="1260" w:right="799" w:firstLine="8"/>
        <w:spacing w:after="0" w:line="255" w:lineRule="auto"/>
        <w:tabs>
          <w:tab w:leader="none" w:pos="15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8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w:t>
      </w:r>
    </w:p>
    <w:p>
      <w:pPr>
        <w:spacing w:after="0" w:line="116" w:lineRule="exact"/>
        <w:rPr>
          <w:sz w:val="20"/>
          <w:szCs w:val="20"/>
          <w:color w:val="auto"/>
        </w:rPr>
      </w:pPr>
    </w:p>
    <w:p>
      <w:pPr>
        <w:ind w:left="1980" w:hanging="352"/>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16"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warrant holders.</w:t>
      </w:r>
    </w:p>
    <w:p>
      <w:pPr>
        <w:spacing w:after="0" w:line="79" w:lineRule="exact"/>
        <w:rPr>
          <w:sz w:val="20"/>
          <w:szCs w:val="20"/>
          <w:color w:val="auto"/>
        </w:rPr>
      </w:pPr>
    </w:p>
    <w:p>
      <w:pPr>
        <w:jc w:val="both"/>
        <w:ind w:left="1260" w:right="839" w:firstLine="360"/>
        <w:spacing w:after="0" w:line="308"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well as the $11.50 warrant exercise price after the redemption notice is issued.</w:t>
      </w:r>
    </w:p>
    <w:p>
      <w:pPr>
        <w:spacing w:after="0" w:line="7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warrants for redemption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6"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Class A common stock is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w:t>
      </w:r>
    </w:p>
    <w:p>
      <w:pPr>
        <w:spacing w:after="0" w:line="7" w:lineRule="exact"/>
        <w:rPr>
          <w:sz w:val="20"/>
          <w:szCs w:val="20"/>
          <w:color w:val="auto"/>
        </w:rPr>
      </w:pPr>
    </w:p>
    <w:p>
      <w:pPr>
        <w:ind w:left="1260" w:right="719" w:firstLine="8"/>
        <w:spacing w:after="0" w:line="252" w:lineRule="auto"/>
        <w:tabs>
          <w:tab w:leader="none" w:pos="15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Class A common stock if we do not complete our initial business combination within the completion window,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89"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6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amended and restated certificate of incorporation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83"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8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Warrants</w:t>
      </w:r>
    </w:p>
    <w:p>
      <w:pPr>
        <w:spacing w:after="0" w:line="10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Warrants,” to our officers and directors and other persons or entities affiliated with our sponsor) and they will not be redeemable by us so long as they are held by our sponsor or its permitted transferees. Our sponsor, or its permitted transferees, has the option to exercise the private placement warrants on a cashless basis and will be entitled to certain registration rights.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9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9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 Further, if we incur any indebtedness, our ability to declare dividends may be limited by restrictive covenants we may agree to in connection therewith.</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(other than amendments relating to the appointment of directors, which require the approval of a majority of at least 90% of our common stock voting in a stockholder meeting) cannot be amended without the approval of the holders of at least 65% of our common stock. Our initial stockholders, who collectively will beneficially own 20% of our common stock upon the closing of this offering, may participate in any vote to amend our amended and restated certificate of incorporation and will have the discretion to vote in any manner they choose. Prior to an initial business combination, we may not issue additional securities that can vote on amendments to our amended and restated certificate of incorporation. Specifically, our amended and restated certificate of incorporation will provide, among other things, that:</w:t>
      </w:r>
    </w:p>
    <w:p>
      <w:pPr>
        <w:spacing w:after="0" w:line="158" w:lineRule="exact"/>
        <w:rPr>
          <w:sz w:val="20"/>
          <w:szCs w:val="20"/>
          <w:color w:val="auto"/>
        </w:rPr>
      </w:pPr>
    </w:p>
    <w:p>
      <w:pPr>
        <w:ind w:left="1980" w:right="739" w:hanging="352"/>
        <w:spacing w:after="0" w:line="269"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the completion window,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3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143" w:lineRule="exact"/>
        <w:rPr>
          <w:rFonts w:ascii="Arial" w:cs="Arial" w:eastAsia="Arial" w:hAnsi="Arial"/>
          <w:sz w:val="18"/>
          <w:szCs w:val="18"/>
          <w:color w:val="auto"/>
        </w:rPr>
      </w:pPr>
    </w:p>
    <w:p>
      <w:pPr>
        <w:ind w:left="1980" w:right="679" w:hanging="352"/>
        <w:spacing w:after="0" w:line="271"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M. Klein and Company, one of our Strategic and Operating Partners, our sponsor, our directors or our officers, we are not prohibited from doing so. In the event we seek to complete our initial business combination with a company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151"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19" w:hanging="352"/>
        <w:spacing w:after="0" w:line="286" w:lineRule="auto"/>
        <w:tabs>
          <w:tab w:leader="none" w:pos="1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required by applicable stock-exchange rules, our initial business combination must be with one or more operating businesses or assets with a fair market value equal to at least 80% of the net assets held in the trust account (excluding the amount of any deferred underwriting discount).</w:t>
      </w:r>
    </w:p>
    <w:p>
      <w:pPr>
        <w:spacing w:after="0" w:line="43"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we will provide our public stockholders with the opportunity to redeem all or a portion of their shares of common stock upon such approval at a per share price, payable in cash, equal to the aggregate amount then on deposit in the trust account, including interest (net of permitted withdrawals), divided by the number of then outstanding public shares; and</w:t>
      </w:r>
    </w:p>
    <w:p>
      <w:pPr>
        <w:spacing w:after="0" w:line="7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in an amount that would cause our net tangible assets to be less than $5,000,001.</w:t>
      </w:r>
    </w:p>
    <w:p>
      <w:pPr>
        <w:spacing w:after="0" w:line="166" w:lineRule="exact"/>
        <w:rPr>
          <w:sz w:val="20"/>
          <w:szCs w:val="20"/>
          <w:color w:val="auto"/>
        </w:rPr>
      </w:pPr>
    </w:p>
    <w:p>
      <w:pPr>
        <w:ind w:left="1260" w:right="1719"/>
        <w:spacing w:after="0" w:line="250"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7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have elected to be exempt from the restrictions imposed under Section 203 of the DGCL. However, our certificate of incorporation will contain similar provisions providing that we may not engage in certain “business combinations” with any “interested stockholder” for a three-year period following the time that such stockholder becomes an interested stockholder unless:</w:t>
      </w:r>
    </w:p>
    <w:p>
      <w:pPr>
        <w:spacing w:after="0" w:line="65" w:lineRule="exact"/>
        <w:rPr>
          <w:sz w:val="20"/>
          <w:szCs w:val="20"/>
          <w:color w:val="auto"/>
        </w:rPr>
      </w:pPr>
    </w:p>
    <w:p>
      <w:pPr>
        <w:ind w:left="1980" w:right="1419" w:hanging="352"/>
        <w:spacing w:after="0" w:line="308"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24" w:lineRule="exact"/>
        <w:rPr>
          <w:rFonts w:ascii="Arial" w:cs="Arial" w:eastAsia="Arial" w:hAnsi="Arial"/>
          <w:sz w:val="17"/>
          <w:szCs w:val="17"/>
          <w:color w:val="auto"/>
        </w:rPr>
      </w:pPr>
    </w:p>
    <w:p>
      <w:pPr>
        <w:ind w:left="1980" w:right="759" w:hanging="352"/>
        <w:spacing w:after="0" w:line="263"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2"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or subsequent to such time, the business combination is approved by the Board and authorized at an annual or special meeting of stockholders, and not by written consent, by the affirmative vote of at least two-thirds of the outstanding voting stock not owned by the interested stockholder.</w:t>
      </w:r>
    </w:p>
    <w:p>
      <w:pPr>
        <w:spacing w:after="0" w:line="57"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Generally, a “business combination” includes a merger, asset or stock sale to the interested stockholder. Subject to certain exceptions, an “interested stockholder” is a person who, together with that person’s affiliates and associates, owns, or within the previous three years owned, 15% or more of our voting stock.</w:t>
      </w:r>
    </w:p>
    <w:p>
      <w:pPr>
        <w:spacing w:after="0" w:line="4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Under some circumstances, this provision will make it more difficult for a person who is an interested stockholder to effect various business combinations with us for a three-year period.</w:t>
      </w:r>
    </w:p>
    <w:p>
      <w:pPr>
        <w:spacing w:after="0" w:line="6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Our certificate of incorporation will provide that our sponsor and its various affiliates, successors and transferees will not be deemed to be “interested stockholders” regardless of the percentage of our voting stock owned by them, and accordingly will not be subject to this provision.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08"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director, officer or other employee to us or our stockholders,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8"/>
        <w:spacing w:after="0" w:line="267" w:lineRule="auto"/>
        <w:tabs>
          <w:tab w:leader="none" w:pos="15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action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As noted above, our amended and restated certificate of incorporation will provide that the Court of Chancery and the federal district court for the District of Delaware shall have concurrent jurisdiction over any action arising under the Securities Act. Accordingly, there is uncertainty as to whether a court would enforce such provision, and our stockholders will not be deemed to have waived our compliance with the federal securities laws and the rules and regulations thereunder.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 if 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bylaws will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Pursuant to Rule 14a-8 of the Exchange Act, proposals seeking inclusion in our annual proxy statement must comply with the notice periods contained therein.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Action by Written Consent</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Subsequent to the consummation of this offering, any action required or permitted to be taken by our stockholders must be effected by a duly called annual or special meeting of such stockholders and may not be effected by written consent of the stockholders other than with respect to our Class B common stock.</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Classified Board of Directors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 Consent Right</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0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Immediately after this offering we will have 100,000,000 (or 115,000,000 if the underwriters’ option to purchase additional units is exercised in full) shares of Class A common stock outstanding. All of these shares will have been sold in this offering and will be freely tradable without restriction or further registration under the Securities Act, except for any shares purchased by one of our affiliates within the meaning of Rule 144 under the Securities Act. All of the 25,000,000 (or 28,750,000 if the underwriters’ over-allotment option is exercised in full) Class B founder shares and all 21,250,000 (or 24,250,000 if the underwriters’ option to purchase additional units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0" w:lineRule="exact"/>
        <w:rPr>
          <w:sz w:val="20"/>
          <w:szCs w:val="20"/>
          <w:color w:val="auto"/>
        </w:rPr>
      </w:pPr>
    </w:p>
    <w:p>
      <w:pPr>
        <w:ind w:left="1980" w:right="939" w:hanging="352"/>
        <w:spacing w:after="0" w:line="263"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1,000,000 shares immediately after this offering (or 1,150,000 if the underwriters exercise their option to purchase additional units in full); or</w:t>
      </w:r>
    </w:p>
    <w:p>
      <w:pPr>
        <w:spacing w:after="0" w:line="143"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0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a business combination related shell companies) or issuers that have been at any time previously a shell company. However, Rule 144 also includes an important exception to this prohibition if the following conditions are met:</w:t>
      </w:r>
    </w:p>
    <w:p>
      <w:pPr>
        <w:spacing w:after="0" w:line="160" w:lineRule="exact"/>
        <w:rPr>
          <w:sz w:val="20"/>
          <w:szCs w:val="20"/>
          <w:color w:val="auto"/>
        </w:rPr>
      </w:pPr>
    </w:p>
    <w:p>
      <w:pPr>
        <w:ind w:left="1980" w:hanging="352"/>
        <w:spacing w:after="0"/>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96"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29" w:lineRule="exact"/>
        <w:rPr>
          <w:rFonts w:ascii="Arial" w:cs="Arial" w:eastAsia="Arial" w:hAnsi="Arial"/>
          <w:sz w:val="18"/>
          <w:szCs w:val="18"/>
          <w:color w:val="auto"/>
        </w:rPr>
      </w:pPr>
    </w:p>
    <w:p>
      <w:pPr>
        <w:jc w:val="both"/>
        <w:ind w:left="1980" w:right="799" w:hanging="352"/>
        <w:spacing w:after="0" w:line="286" w:lineRule="auto"/>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our sponsor will be able to sell its private placement warrants, as applicable, pursuant to Rule 144 without registration one year after we have completed our initial business combination.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into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intend to apply to list our units, Class A common stock and warrants on the NYSE under the symbols “CCIV.U,” “CCIV” and “CCIV WS,” respectively. We expect that our units will be listed on the NYSE on or promptly after the effective date of the registration statement. Following the date the shares of our Class A common stock and warrants are eligible to trade separately, we anticipate that the shares of our common stock and warrants will be listed separately and as a unit on the NYSE. We cannot guarantee that our securities will be approved for listing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units,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additional tax on net investment income or alternative minimum tax. In addition, this summary is limited to investors that will hold our securities as “capital assets” (generally, property held for investment) under the Internal Revenue Code of 1986, as amended, (the “Code”), and that acquired the securities pursuant to this offering (or, in the case of Class A common stock, upon exercise of warrants so acquired).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this summary, a “U.S. Holder” is a beneficial holder of securities who or that is:</w:t>
      </w:r>
    </w:p>
    <w:p>
      <w:pPr>
        <w:spacing w:after="0" w:line="104" w:lineRule="exact"/>
        <w:rPr>
          <w:sz w:val="20"/>
          <w:szCs w:val="20"/>
          <w:color w:val="auto"/>
        </w:rPr>
      </w:pPr>
    </w:p>
    <w:p>
      <w:pPr>
        <w:ind w:left="1980" w:right="819" w:hanging="352"/>
        <w:spacing w:after="0" w:line="27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 as determined for U.S. federal income tax purposes;</w:t>
      </w:r>
    </w:p>
    <w:p>
      <w:pPr>
        <w:spacing w:after="0" w:line="35"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or political subdivision thereof;</w:t>
      </w:r>
    </w:p>
    <w:p>
      <w:pPr>
        <w:spacing w:after="0" w:line="24"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35" w:lineRule="exact"/>
        <w:rPr>
          <w:rFonts w:ascii="Arial" w:cs="Arial" w:eastAsia="Arial" w:hAnsi="Arial"/>
          <w:sz w:val="18"/>
          <w:szCs w:val="18"/>
          <w:color w:val="auto"/>
        </w:rPr>
      </w:pPr>
    </w:p>
    <w:p>
      <w:pPr>
        <w:ind w:left="1980" w:right="899" w:hanging="352"/>
        <w:spacing w:after="0" w:line="259"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79"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A “non-U.S. Holder” is a beneficial holder of shares who or that is neither a U.S. Holder nor a partnership for U.S. federal income tax purposes.</w:t>
      </w:r>
    </w:p>
    <w:p>
      <w:pPr>
        <w:spacing w:after="0" w:line="6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83"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WE URGE PROSPECTIVE HOLDERS TO CONSULT THEIR TAX ADVISORS CONCERNING THE U.S. FEDERAL INCOME TAX CONSEQUENCES TO THEM OF OWNING AND DISPOSING OF OUR SECURITIES, AS WELL AS THE APPLICATION OF ANY, STATE, LOCAL AND NON-U.S. INCOME, ESTATE AND OTHER TAX CONSIDERATIONS.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08"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or PHC, for U.S. federal income tax purposes. A 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corporation will generally be classified as a PHC for U.S. federal income tax purposes in a given taxable year if (1)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(2)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five or fewer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Treatment of Units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There is no authority directly addressing the treatment, for U.S. federal income tax purposes, of instruments with terms substantially the same as the units and, therefore, their treatment is not entirely clear. The acquisition of a unit should be treated for U.S. federal income tax purposes as the acquisition of one share of our Class A common stock and one-fifth of one warrant to acquire one share of our Class A common stock. We intend to treat the acquisition of a unit in this manner and, by purchasing a unit, you agree to adopt such treatment for tax purposes. Each holder of a unit must allocate the purchase price paid by such holder for such unit between the share of Class A common stock and the one-fifth of one warrant based on their respective relative fair market values. A holder’s initial tax basis in the Class A common stock and the one-fifth of one warrant included in each unit should equal the portion of the purchase price of the unit allocated thereto. The separation of the Class A common stock and one-fifth of one warrant constituting a unit should not be a taxable event for U.S. federal income tax purposes.</w:t>
      </w:r>
    </w:p>
    <w:p>
      <w:pPr>
        <w:spacing w:after="0" w:line="7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is no authority that directly addresses instruments that are similar to the units, no assurance can be given that the IRS or the courts will agree with the characterization described above or the discussion below. Each prospective investor is urged to consult its tax advisors regarding the U.S. federal, state, local and any foreign tax consequences of an investment in a unit (including alternative characterizations of a unit and its components). The following discussion is based on the assumption that the characterization of the Class A common stock and warrants and the allocation methodology described above are respected for U.S. federal income tax purposes.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If we pay cash distributions to U.S. Holders of shares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70"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certain holding period requirements are met, dividends we pay to a non-corporate U.S. Holder will generally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Gain or Loss on Sale, Taxable Exchange or Other Taxable Disposition of Class A Common Stock</w:t>
      </w:r>
    </w:p>
    <w:p>
      <w:pPr>
        <w:spacing w:after="0" w:line="115"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A U.S. Holder will recognize gain or loss on the sale, taxable exchange or other taxable disposition (which would include a dissolution and liquidation in the event we do not complete an initial business combination within the completion window) of our Class A common stock. Any such gain or loss will be capital gain or loss, and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The amount of gain or loss recognized will generally be equal to the difference between (1) the sum of the amount of cash and the fair market value of any property received in such disposition (or, if the Class A common stock is held as part of a unit at the time of the disposition, the portion of the amount realized on such disposition that is allocated to the Class A common stock based upon the then fair market values of the Class A common stock and the one-fifth of one warrant included in the unit) and (2) the U.S. Holder’s adjusted tax basis in its Class A common stock so disposed of. A U.S. Holder’s adjusted tax basis in its Class A common stock will generally equal the U.S. Holder’s acquisition cost (that is, as discussed above, the portion of the purchase price of a unit allocated to a share of Class A common stock or, as discussed below, the U.S. Holder’s initial basis for Class A common stock received upon exercise of a warrant) less any prior distributions treated as a return of capital. The deductibility of capital losses is subject to limitations.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the event that a U.S. Holder’s Class A common stock is redeemed pursuant to the redemption provisions described in this prospectus under “Description of Securities — Common Stock”, the treatment of the transaction for U.S. federal income tax purposes will depend on whether the redemption qualifies as sale of the Class A common stock under Section 302 of the Code. If the redemption qualifies as a sale of Class A common stock under the tests described below, the tax consequences to the U.S. Holder will be the same as described under “U.S. Holders — Gain or Loss on Sale, Taxable Exchange or Other Taxable Disposition of Class A Common Stock” above. If the redemption does not qualify as a sale of Class A common stock, the U.S. Holder will be treated as receiving a corporate distribution, the tax consequences of which are described above under “U.S. Holders — Taxation of Distributions”. Whether the redemption qualifies for sale treatment will depend primarily on the total number of shares of our stock treated as held by the U.S. Holder (including any stock constructively owned by the U.S. Holder as a result of owning warrants) both before and after the redemption. For a given U.S. Holder, the redemption of Class A common stock will generally be treated as a sale of the Class A common stock (rather than as a corporate distribution) if the redemption (1) is “substantially disproportionate” with respect to the U.S. Holder,</w:t>
      </w:r>
    </w:p>
    <w:p>
      <w:pPr>
        <w:spacing w:after="0" w:line="5" w:lineRule="exact"/>
        <w:rPr>
          <w:sz w:val="20"/>
          <w:szCs w:val="20"/>
          <w:color w:val="auto"/>
        </w:rPr>
      </w:pPr>
    </w:p>
    <w:p>
      <w:pPr>
        <w:jc w:val="center"/>
        <w:ind w:left="1260" w:right="1219" w:firstLine="8"/>
        <w:spacing w:after="0" w:line="290" w:lineRule="auto"/>
        <w:tabs>
          <w:tab w:leader="none" w:pos="1529"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(3) is “not essentially equivalent to a dividend” with respect to the U.S. Holder. These tests are explained more fully below.</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Prior to our initial business combination, the Class A common stock may not be treated as voting stock for this purpose</w:t>
      </w:r>
    </w:p>
    <w:p>
      <w:pPr>
        <w:sectPr>
          <w:pgSz w:w="11900" w:h="16838" w:orient="portrait"/>
          <w:cols w:equalWidth="0" w:num="1">
            <w:col w:w="10139"/>
          </w:cols>
          <w:pgMar w:left="320" w:top="131" w:right="1440" w:bottom="1440" w:gutter="0" w:footer="0" w:header="0"/>
        </w:sect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79"/>
        <w:spacing w:after="0" w:line="271" w:lineRule="auto"/>
        <w:rPr>
          <w:sz w:val="20"/>
          <w:szCs w:val="20"/>
          <w:color w:val="auto"/>
        </w:rPr>
      </w:pPr>
      <w:r>
        <w:rPr>
          <w:rFonts w:ascii="Arial" w:cs="Arial" w:eastAsia="Arial" w:hAnsi="Arial"/>
          <w:sz w:val="17"/>
          <w:szCs w:val="17"/>
          <w:color w:val="auto"/>
        </w:rPr>
        <w:t>and, consequently, this substantially disproportionate test may not be applicable. There will be a complete termination of a U.S. Holder’s interest if either (1) all of the shares of our stock actually and constructively owned by the U.S. Holder are redeemed or (2) all of the shares of our stock actually owned by the U.S.</w:t>
      </w:r>
    </w:p>
    <w:p>
      <w:pPr>
        <w:ind w:left="1260" w:right="699"/>
        <w:spacing w:after="0" w:line="267" w:lineRule="auto"/>
        <w:rPr>
          <w:sz w:val="20"/>
          <w:szCs w:val="20"/>
          <w:color w:val="auto"/>
        </w:rPr>
      </w:pPr>
      <w:r>
        <w:rPr>
          <w:rFonts w:ascii="Arial" w:cs="Arial" w:eastAsia="Arial" w:hAnsi="Arial"/>
          <w:sz w:val="17"/>
          <w:szCs w:val="17"/>
          <w:color w:val="auto"/>
        </w:rPr>
        <w:t>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Each U.S. Holder is urged to consult its tax advisor as to the tax consequences of a redemption, including the application of the constructive ownership rules described above.</w:t>
      </w:r>
    </w:p>
    <w:p>
      <w:pPr>
        <w:spacing w:after="0" w:line="7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“U.S. Holders — 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(i.e., the portion of the U.S. Holder’s purchase price for a unit that is allocated to the warrant, as described above under “— General Treatment of Units”)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7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88"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(i.e., the portion of the U.S. Holder’s purchase price for the units that is allocated to the warrant, as described above under “— General Treatment of Units”) and the exercise price of such warrants. It is unclear whether a U.S. Holder’s holding period for the Class A common stock would commence on the date of exercise of the warrant or the day following the date of exercise of the warrant.</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described above would be adopted by the IRS or a court of law. Accordingly, each U.S. Holder is urged to consult its tax advisor regarding the tax consequences of a cashless exercise.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04"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(or, if the warrant is held as part of a unit at the time of the disposition of the unit, the portion of the amount realized on such disposition that is allocated to the warrant based on the then fair market values of the warrant and the Class A common stock constituting such unit) and (2) the U.S. Holder’s tax basis in the warrant (that is, the portion of the U.S. Holder’s purchase price for a unit that is allocated to the warrant, as described above under “— General Treatment of Units”).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U.S. Holders as described under “U.S. Holders — 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6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“U.S. Holders — Exercise of a Warrant” above, although to the extent a cashless exercise results in a taxable exchange, the tax consequences to the non-U.S. Holder would be the same as those described below in “Non-U.S. Holders — Gain on Sale, Exchange or Other Taxable Disposition of Class A Common Stock and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the completion window, or warrants (including an expiration or redemption of our warrants), in each case without regard to whether those securities were held as part of a unit, unless:</w:t>
      </w:r>
    </w:p>
    <w:p>
      <w:pPr>
        <w:spacing w:after="0" w:line="149" w:lineRule="exact"/>
        <w:rPr>
          <w:sz w:val="20"/>
          <w:szCs w:val="20"/>
          <w:color w:val="auto"/>
        </w:rPr>
      </w:pPr>
    </w:p>
    <w:p>
      <w:pPr>
        <w:ind w:left="1980" w:right="939" w:hanging="352"/>
        <w:spacing w:after="0" w:line="263"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43"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29"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If we are or have been a “United States real property holding corporation” you are urged to consult your own tax advisors regarding the application of these rules.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non-U.S. Holders as described under “Non-U.S. Holders — Taxation of Distributions” above.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pursuant to the redemption provisions described in this prospectus under “Description of Securities — Common Stock” will generally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 — Gain on Sale, Exchange or Other Taxable Disposition of Class A Common Stock and Warrants,” as applicable.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04"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investors should consult their tax advisors regarding the possible implications of FATCA on their investment in our securities.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In general, information reporting requirements will apply to payments of dividends and proceeds from the sale of our securities to non-U.S. Holders that are not exempt recipients. We must report annually to the IRS and to each such holder the amount of dividends or other distributions we pay to such non-U.S. Holder on our shares of Class A common stock and the amount of tax withheld with respect to those distributions, regardless of whether withholding is required. The IRS may make copies of the information returns reporting those dividends and amounts withheld available to the tax authorities in the country in which the non-U.S. Holder resides pursuant to the provisions of an applicable income tax treaty or exchange of information treaty.</w:t>
      </w:r>
    </w:p>
    <w:p>
      <w:pPr>
        <w:spacing w:after="0" w:line="84"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The gross amount of dividends and proceeds from the disposition of our Class A common stock or warrants paid to a holder that fails to provide the appropriate certification in accordance with applicable U.S. Treasury regulations generally will be subject to backup withholding at the applicable rate.</w:t>
      </w:r>
    </w:p>
    <w:p>
      <w:pPr>
        <w:spacing w:after="0" w:line="5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Information reporting and backup withholding are generally not required with respect to the amount of any proceeds from the sale by a non-U.S. Holder of Class A common stock or warrants outside the United States through a foreign office of a foreign broker that does not have certain specified connections to the United States. However, if a non-U.S. Holder sells Class A common stock or warrants through a U.S. broker or the U.S. office of a foreign broker, the broker will generally be required to report to the IRS the amount of proceeds paid to such holder, unless the non-U.S. Holder provides appropriate certification (usually on an IRS Form W-8BEN or W-8BEN-E, as applicable) to the broker of its status as a non-U.S. Holder or such non-U.S. Holder is an exempt recipient. In addition, for information reporting purposes, certain non-U.S. brokers with certain relationships with the United States will be treated in a manner similar to U.S. brokers.</w:t>
      </w:r>
    </w:p>
    <w:p>
      <w:pPr>
        <w:spacing w:after="0" w:line="73"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we withhold under the backup withholding rules may be refunded or credited against a holder’s U.S. federal income tax liability, if any, by the IRS if the required information is furnished in a timely manner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jc w:val="both"/>
        <w:ind w:left="1260" w:right="899" w:firstLine="360"/>
        <w:spacing w:after="0" w:line="257" w:lineRule="auto"/>
        <w:rPr>
          <w:sz w:val="20"/>
          <w:szCs w:val="20"/>
          <w:color w:val="auto"/>
        </w:rPr>
      </w:pPr>
      <w:r>
        <w:rPr>
          <w:rFonts w:ascii="Arial" w:cs="Arial" w:eastAsia="Arial" w:hAnsi="Arial"/>
          <w:sz w:val="18"/>
          <w:szCs w:val="18"/>
          <w:color w:val="auto"/>
        </w:rPr>
        <w:t>Citigroup Global Markets Inc. is acting as global coordinator, joint bookrunner and representative of the underwriters and [•] is acting as joint bookrunner of the offering.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86"/>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26"/>
        </w:trPr>
        <w:tc>
          <w:tcPr>
            <w:tcW w:w="7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920" w:type="dxa"/>
            <w:vAlign w:val="bottom"/>
            <w:shd w:val="clear" w:color="auto" w:fill="CCEEFF"/>
          </w:tcPr>
          <w:p>
            <w:pPr>
              <w:spacing w:after="0"/>
              <w:rPr>
                <w:sz w:val="21"/>
                <w:szCs w:val="21"/>
                <w:color w:val="auto"/>
              </w:rPr>
            </w:pPr>
          </w:p>
        </w:tc>
      </w:tr>
      <w:tr>
        <w:trPr>
          <w:trHeight w:val="263"/>
        </w:trPr>
        <w:tc>
          <w:tcPr>
            <w:tcW w:w="7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100,000,000</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-367665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79"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w:t>
      </w:r>
    </w:p>
    <w:p>
      <w:pPr>
        <w:spacing w:after="0" w:line="7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the underwriters sell more units than the total number set forth in the table above, we have granted to the underwriters an option, exercisable for 45 days from the date of this prospectus, to purchase up to 15,000,000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8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warrants pursuant to the insider letters as described herein.</w:t>
      </w:r>
    </w:p>
    <w:p>
      <w:pPr>
        <w:spacing w:after="0" w:line="8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warrants (including the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Warrants”).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62"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have applied to list our units on the NYSE under the symbol “CCIV.U.” We cannot guarantee that our securities will be approved for listing on the NYSE. We expect that our Class A common stock and warrants will be listed under the symbols “CCIV” and “CCIV WS,” respectively, once the Class A common stock and warrants begin separate trading.</w:t>
      </w:r>
    </w:p>
    <w:p>
      <w:pPr>
        <w:spacing w:after="0" w:line="79"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Payable by</w:t>
            </w: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Churchill Capital Corp IV</w:t>
            </w:r>
          </w:p>
        </w:tc>
      </w:tr>
      <w:tr>
        <w:trPr>
          <w:trHeight w:val="26"/>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Full Exercise</w:t>
            </w:r>
          </w:p>
        </w:tc>
      </w:tr>
      <w:tr>
        <w:trPr>
          <w:trHeight w:val="26"/>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Per Unit</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53"/>
        </w:trPr>
        <w:tc>
          <w:tcPr>
            <w:tcW w:w="54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55,000,000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63,250,000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-403225</wp:posOffset>
            </wp:positionV>
            <wp:extent cx="41662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118745</wp:posOffset>
            </wp:positionV>
            <wp:extent cx="12344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2" w:lineRule="exact"/>
        <w:rPr>
          <w:sz w:val="20"/>
          <w:szCs w:val="20"/>
          <w:color w:val="auto"/>
        </w:rPr>
      </w:pPr>
    </w:p>
    <w:p>
      <w:pPr>
        <w:ind w:left="1620" w:right="679" w:hanging="352"/>
        <w:spacing w:after="0" w:line="255"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$0.35 per unit, or $35,000,000 (or $40,250,000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we do not complete our initial business combination and subsequently liquidate, the trustee and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rata basis, including interest earned on the funds held in the trust account and not previously released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to pay our taxes to the public stockholders.</w:t>
      </w:r>
    </w:p>
    <w:p>
      <w:pPr>
        <w:spacing w:after="0" w:line="10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46" w:lineRule="exact"/>
        <w:rPr>
          <w:sz w:val="20"/>
          <w:szCs w:val="20"/>
          <w:color w:val="auto"/>
        </w:rPr>
      </w:pPr>
    </w:p>
    <w:p>
      <w:pPr>
        <w:ind w:left="1980" w:right="8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units than they are required to purchase in the offering.</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129"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43"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Covering transactions involve purchases of units either pursuant to the over-allotment option or in the open market after the distribution has been completed in order to cover short positions.</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hanging="352"/>
        <w:spacing w:after="0" w:line="279" w:lineRule="auto"/>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44" w:lineRule="exact"/>
        <w:rPr>
          <w:rFonts w:ascii="Arial" w:cs="Arial" w:eastAsia="Arial" w:hAnsi="Arial"/>
          <w:sz w:val="17"/>
          <w:szCs w:val="17"/>
          <w:color w:val="auto"/>
        </w:rPr>
      </w:pPr>
    </w:p>
    <w:p>
      <w:pPr>
        <w:ind w:left="1980" w:right="739" w:hanging="352"/>
        <w:spacing w:after="0" w:line="25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47"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estimate that our portion of the total expenses of this offering payable by us will be $1,250,000, excluding underwriting discounts and commissions. We have also agreed to pay the FINRA-related fees and expenses of the underwriters’ legal counsel, not to exceed $20,000.</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have agreed to reimburse certain of our expenses.</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77" w:lineRule="exact"/>
        <w:rPr>
          <w:sz w:val="20"/>
          <w:szCs w:val="20"/>
          <w:color w:val="auto"/>
        </w:rPr>
      </w:pPr>
    </w:p>
    <w:p>
      <w:pPr>
        <w:ind w:left="1260" w:right="1159" w:firstLine="360"/>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54" w:lineRule="exact"/>
        <w:rPr>
          <w:sz w:val="20"/>
          <w:szCs w:val="20"/>
          <w:color w:val="auto"/>
        </w:rPr>
      </w:pPr>
    </w:p>
    <w:p>
      <w:pPr>
        <w:ind w:left="1980" w:hanging="352"/>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ind w:left="1980" w:right="779" w:hanging="352"/>
        <w:spacing w:after="0" w:line="273" w:lineRule="auto"/>
        <w:tabs>
          <w:tab w:leader="none" w:pos="1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underwriters for any such offer; or</w:t>
      </w:r>
    </w:p>
    <w:p>
      <w:pPr>
        <w:spacing w:after="0" w:line="137"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6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76"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70"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0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w:t>
      </w:r>
    </w:p>
    <w:p>
      <w:pPr>
        <w:ind w:left="1260" w:right="679" w:firstLine="8"/>
        <w:spacing w:after="0" w:line="268" w:lineRule="auto"/>
        <w:tabs>
          <w:tab w:leader="none" w:pos="1489"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08" w:lineRule="exact"/>
        <w:rPr>
          <w:sz w:val="20"/>
          <w:szCs w:val="20"/>
          <w:color w:val="auto"/>
        </w:rPr>
      </w:pPr>
    </w:p>
    <w:p>
      <w:pPr>
        <w:jc w:val="both"/>
        <w:ind w:left="1260" w:right="719" w:firstLine="360"/>
        <w:spacing w:after="0" w:line="255"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25" w:lineRule="exact"/>
        <w:rPr>
          <w:sz w:val="20"/>
          <w:szCs w:val="20"/>
          <w:color w:val="auto"/>
        </w:rPr>
      </w:pPr>
    </w:p>
    <w:p>
      <w:pPr>
        <w:ind w:left="1980" w:right="77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89"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89" w:lineRule="exact"/>
        <w:rPr>
          <w:rFonts w:ascii="Arial" w:cs="Arial" w:eastAsia="Arial" w:hAnsi="Arial"/>
          <w:sz w:val="18"/>
          <w:szCs w:val="18"/>
          <w:color w:val="auto"/>
        </w:rPr>
      </w:pPr>
    </w:p>
    <w:p>
      <w:pPr>
        <w:ind w:left="1980" w:right="879" w:hanging="352"/>
        <w:spacing w:after="0" w:line="259"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57"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w:t>
      </w:r>
    </w:p>
    <w:p>
      <w:pPr>
        <w:sectPr>
          <w:pgSz w:w="11900" w:h="16838" w:orient="portrait"/>
          <w:cols w:equalWidth="0" w:num="1">
            <w:col w:w="10139"/>
          </w:cols>
          <w:pgMar w:left="320" w:top="132" w:right="1440" w:bottom="1440" w:gutter="0" w:footer="0" w:header="0"/>
        </w:sect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color w:val="auto"/>
        </w:rPr>
        <w:t>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70" w:lineRule="exact"/>
        <w:rPr>
          <w:sz w:val="20"/>
          <w:szCs w:val="20"/>
          <w:color w:val="auto"/>
        </w:rPr>
      </w:pPr>
    </w:p>
    <w:p>
      <w:pPr>
        <w:jc w:val="both"/>
        <w:ind w:left="1980" w:right="819" w:hanging="352"/>
        <w:spacing w:after="0" w:line="26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3" w:lineRule="exact"/>
        <w:rPr>
          <w:rFonts w:ascii="Arial" w:cs="Arial" w:eastAsia="Arial" w:hAnsi="Arial"/>
          <w:sz w:val="18"/>
          <w:szCs w:val="18"/>
          <w:color w:val="auto"/>
        </w:rPr>
      </w:pPr>
    </w:p>
    <w:p>
      <w:pPr>
        <w:ind w:left="1980" w:right="719" w:hanging="352"/>
        <w:spacing w:after="0" w:line="275" w:lineRule="auto"/>
        <w:tabs>
          <w:tab w:leader="none" w:pos="1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5"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54"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 or</w:t>
      </w:r>
      <w:r>
        <w:rPr>
          <w:rFonts w:ascii="Arial" w:cs="Arial" w:eastAsia="Arial" w:hAnsi="Arial"/>
          <w:sz w:val="18"/>
          <w:szCs w:val="18"/>
          <w:color w:val="auto"/>
        </w:rPr>
        <w:t xml:space="preserve">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units must be made in accordance with an exemption from, or in a transaction not subject to, the prospectus requirements of applicable securities laws.</w:t>
      </w:r>
    </w:p>
    <w:p>
      <w:pPr>
        <w:spacing w:after="0" w:line="8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w:t>
      </w:r>
    </w:p>
    <w:p>
      <w:pPr>
        <w:sectPr>
          <w:pgSz w:w="11900" w:h="16838" w:orient="portrait"/>
          <w:cols w:equalWidth="0" w:num="1">
            <w:col w:w="10139"/>
          </w:cols>
          <w:pgMar w:left="320" w:top="132"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0"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0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Paul, Weiss, Rifkind, Wharton &amp; Garrison LLP, New York, New York, has passed upon the validity of the securities offered in this prospectus on behalf of us. White &amp; Case LLP, New York, New York, advised the underwriters in connection with the offering of the securities.</w:t>
      </w:r>
    </w:p>
    <w:p>
      <w:pPr>
        <w:spacing w:after="0" w:line="16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of Churchill Capital Corp IV as of May 22, 2020 and for the period from April 30, 2020 (inception) through May 22, 2020 included in this prospectus have been audited by Marcum LLP, independent registered public accounting firm, as set forth in their report, thereon (which contains an explanatory paragraph relating to substantial doubt about the ability of Churchill Capital Corp IV to continue as a going concern as described in Note 1 to the financial statements), appearing elsewhere in this prospectus, and are included in reliance on such report given upon such firm as experts in auditing and accounting.</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84"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Report of Independent Registered Public Accounting Firm</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59">
              <w:r>
                <w:rPr>
                  <w:rFonts w:ascii="Arial" w:cs="Arial" w:eastAsia="Arial" w:hAnsi="Arial"/>
                  <w:sz w:val="18"/>
                  <w:szCs w:val="18"/>
                  <w:u w:val="single" w:color="auto"/>
                  <w:color w:val="0000EE"/>
                  <w:w w:val="88"/>
                </w:rPr>
                <w:t>F-2</w:t>
              </w:r>
            </w:hyperlink>
          </w:p>
        </w:tc>
      </w:tr>
      <w:tr>
        <w:trPr>
          <w:trHeight w:val="256"/>
        </w:trPr>
        <w:tc>
          <w:tcPr>
            <w:tcW w:w="790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Balance Sheet</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0">
              <w:r>
                <w:rPr>
                  <w:rFonts w:ascii="Arial" w:cs="Arial" w:eastAsia="Arial" w:hAnsi="Arial"/>
                  <w:sz w:val="18"/>
                  <w:szCs w:val="18"/>
                  <w:u w:val="single" w:color="auto"/>
                  <w:color w:val="0000EE"/>
                  <w:w w:val="88"/>
                </w:rPr>
                <w:t>F-3</w:t>
              </w:r>
            </w:hyperlink>
          </w:p>
        </w:tc>
      </w:tr>
      <w:tr>
        <w:trPr>
          <w:trHeight w:val="257"/>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Statement of Operations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1">
              <w:r>
                <w:rPr>
                  <w:rFonts w:ascii="Arial" w:cs="Arial" w:eastAsia="Arial" w:hAnsi="Arial"/>
                  <w:sz w:val="18"/>
                  <w:szCs w:val="18"/>
                  <w:u w:val="single" w:color="auto"/>
                  <w:color w:val="0000EE"/>
                  <w:w w:val="88"/>
                </w:rPr>
                <w:t>F-4</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Statement of Changes in Stockholder’s Equity</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2">
              <w:r>
                <w:rPr>
                  <w:rFonts w:ascii="Arial" w:cs="Arial" w:eastAsia="Arial" w:hAnsi="Arial"/>
                  <w:sz w:val="18"/>
                  <w:szCs w:val="18"/>
                  <w:u w:val="single" w:color="auto"/>
                  <w:color w:val="0000EE"/>
                  <w:w w:val="88"/>
                </w:rPr>
                <w:t>F-5</w:t>
              </w:r>
            </w:hyperlink>
          </w:p>
        </w:tc>
      </w:tr>
      <w:tr>
        <w:trPr>
          <w:trHeight w:val="27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Statement of Cash Flows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3">
              <w:r>
                <w:rPr>
                  <w:rFonts w:ascii="Arial" w:cs="Arial" w:eastAsia="Arial" w:hAnsi="Arial"/>
                  <w:sz w:val="18"/>
                  <w:szCs w:val="18"/>
                  <w:u w:val="single" w:color="auto"/>
                  <w:color w:val="0000EE"/>
                  <w:w w:val="88"/>
                </w:rPr>
                <w:t>F-6</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Notes to Financial Statements</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4">
              <w:r>
                <w:rPr>
                  <w:rFonts w:ascii="Arial" w:cs="Arial" w:eastAsia="Arial" w:hAnsi="Arial"/>
                  <w:sz w:val="18"/>
                  <w:szCs w:val="18"/>
                  <w:u w:val="single" w:color="auto"/>
                  <w:color w:val="0000EE"/>
                  <w:w w:val="88"/>
                </w:rPr>
                <w:t>F-7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5014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Churchill Capital Corp IV</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We have audited the accompanying balance sheet of Churchill Capital Corp IV (formerly known as Annetta Acquisition Corp) (the “Company”) as of May 22, 2020, the related statements of operations, changes in stockholder’s equity and cash flows for the period from April 30, 2020 (inception) through May 22, 2020 and the related notes (collectively referred to as the “financial statements”). In our opinion, the financial statements present fairly, in all material respects, the financial position of the Company as of May 22, 2020 and the results of its operations and its cash flows for the period from April 30, 2020 (inception) through May 22, 2020, in conformity with accounting principles generally accepted in the United States of America.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ability to execute its business plan is dependent upon its completion of the proposed initial public offering described in Note 3 to the financial statements. The Company had a working capital deficit as of May 22, 2020 of $34,000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Notes 1 and 3. The financial statements do not include any adjustments that might become necessary should the Company be unable to continue as a going concern.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May 27, 2020, except for the second paragraph of Note 8 as to which the date is June 1, 2020 and the third paragraph of Note 8 as to which the date is July 14, 2020.</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6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1940" w:type="dxa"/>
            <w:vAlign w:val="bottom"/>
          </w:tcPr>
          <w:p>
            <w:pPr>
              <w:spacing w:after="0"/>
              <w:rPr>
                <w:sz w:val="24"/>
                <w:szCs w:val="24"/>
                <w:color w:val="auto"/>
              </w:rPr>
            </w:pPr>
          </w:p>
        </w:tc>
        <w:tc>
          <w:tcPr>
            <w:tcW w:w="56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56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MAY 22, 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194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 —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303"/>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311"/>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Accrued offering costs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59,000</w:t>
            </w: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240,000,000 shares authorized; none issued and</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5"/>
        </w:trPr>
        <w:tc>
          <w:tcPr>
            <w:tcW w:w="7620" w:type="dxa"/>
            <w:vAlign w:val="bottom"/>
            <w:gridSpan w:val="2"/>
          </w:tcPr>
          <w:p>
            <w:pPr>
              <w:spacing w:after="0" w:line="205" w:lineRule="exact"/>
              <w:rPr>
                <w:sz w:val="20"/>
                <w:szCs w:val="20"/>
                <w:color w:val="auto"/>
              </w:rPr>
            </w:pPr>
            <w:r>
              <w:rPr>
                <w:rFonts w:ascii="Arial" w:cs="Arial" w:eastAsia="Arial" w:hAnsi="Arial"/>
                <w:sz w:val="18"/>
                <w:szCs w:val="18"/>
                <w:color w:val="auto"/>
              </w:rPr>
              <w:t>Class B common stock, $0.0001 par value; 60,000,000 shares authorized; 28,750,000 shares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4"/>
        </w:trPr>
        <w:tc>
          <w:tcPr>
            <w:tcW w:w="762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2,875</w:t>
            </w:r>
          </w:p>
        </w:tc>
        <w:tc>
          <w:tcPr>
            <w:tcW w:w="60" w:type="dxa"/>
            <w:vAlign w:val="bottom"/>
          </w:tcPr>
          <w:p>
            <w:pPr>
              <w:spacing w:after="0"/>
              <w:rPr>
                <w:sz w:val="24"/>
                <w:szCs w:val="24"/>
                <w:color w:val="auto"/>
              </w:rPr>
            </w:pPr>
          </w:p>
        </w:tc>
      </w:tr>
      <w:tr>
        <w:trPr>
          <w:trHeight w:val="27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22,125</w:t>
            </w:r>
          </w:p>
        </w:tc>
        <w:tc>
          <w:tcPr>
            <w:tcW w:w="60" w:type="dxa"/>
            <w:vAlign w:val="bottom"/>
          </w:tcPr>
          <w:p>
            <w:pPr>
              <w:spacing w:after="0"/>
              <w:rPr>
                <w:sz w:val="23"/>
                <w:szCs w:val="23"/>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r>
      <w:tr>
        <w:trPr>
          <w:trHeight w:val="277"/>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24,000</w:t>
            </w:r>
          </w:p>
        </w:tc>
        <w:tc>
          <w:tcPr>
            <w:tcW w:w="60" w:type="dxa"/>
            <w:vAlign w:val="bottom"/>
          </w:tcPr>
          <w:p>
            <w:pPr>
              <w:spacing w:after="0"/>
              <w:rPr>
                <w:sz w:val="24"/>
                <w:szCs w:val="24"/>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-521970</wp:posOffset>
            </wp:positionV>
            <wp:extent cx="4834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-2176780</wp:posOffset>
            </wp:positionV>
            <wp:extent cx="4834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82" w:lineRule="exact"/>
        <w:rPr>
          <w:sz w:val="20"/>
          <w:szCs w:val="20"/>
          <w:color w:val="auto"/>
        </w:rPr>
      </w:pPr>
    </w:p>
    <w:p>
      <w:pPr>
        <w:ind w:left="1620" w:right="679" w:hanging="352"/>
        <w:spacing w:after="0" w:line="25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an aggregate of 3,750,000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resulting in 28,750,000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6"/>
              </w:rPr>
              <w:t>STATEMENT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3"/>
        </w:trPr>
        <w:tc>
          <w:tcPr>
            <w:tcW w:w="730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right="679" w:hanging="352"/>
        <w:spacing w:after="0" w:line="25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Excludes an aggregate of 3,750,000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resulting in 28,750,000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CHURCHILL CAPITAL CORP IV</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FOR THE PERIOD FROM APRIL 30, 2020 (INCEPTION) THROUGH MAY 22, 2020</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760" w:type="dxa"/>
            <w:vAlign w:val="bottom"/>
            <w:gridSpan w:val="5"/>
          </w:tcPr>
          <w:p>
            <w:pPr>
              <w:ind w:left="240"/>
              <w:spacing w:after="0" w:line="135"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April 30, 2020 (inception)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0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Class B common stock to</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0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28,750,000</w:t>
            </w: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2,875</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22,125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Balance — May 22, 2020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28,750,000</w:t>
            </w: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2,875</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22,125</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-976630</wp:posOffset>
            </wp:positionV>
            <wp:extent cx="46716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82" w:lineRule="exact"/>
        <w:rPr>
          <w:sz w:val="20"/>
          <w:szCs w:val="20"/>
          <w:color w:val="auto"/>
        </w:rPr>
      </w:pPr>
    </w:p>
    <w:p>
      <w:pPr>
        <w:ind w:left="1620" w:right="859" w:hanging="352"/>
        <w:spacing w:after="0" w:line="257"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an aggregate of 3,750,000 shares that are subject to forfeiture to the extent that the underwriters’ over-allotment option is not exercised in full (see Note 7). On July 14, 2020, the Company effected a stock dividend of one-third of a share of Class B common stock for each outstanding share of Class B common stock, resulting in 28,750,000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9"/>
              </w:rPr>
              <w:t>CHURCHILL CAPITAL CORP IV</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6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6"/>
              </w:rPr>
              <w:t>STATEMENT OF CASH FLOWS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 (1,000)</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7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57"/>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Cash — Beginning</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-624840</wp:posOffset>
            </wp:positionV>
            <wp:extent cx="4834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4834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-1739265</wp:posOffset>
            </wp:positionV>
            <wp:extent cx="4834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08" w:lineRule="exact"/>
        <w:rPr>
          <w:sz w:val="20"/>
          <w:szCs w:val="20"/>
          <w:color w:val="auto"/>
        </w:rPr>
      </w:pPr>
    </w:p>
    <w:p>
      <w:pPr>
        <w:ind w:left="1260" w:right="1239" w:firstLine="360"/>
        <w:spacing w:after="0" w:line="259"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As of May 22, 2020, the Company had not commenced any operations. All activity for the period from April 30, 2020 (inception) through May 22,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7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100,000,000 units (the “Units” and, with respect to the shares of Class A common stock included in the Units being offered, the “Public Shares”) at $10.00 per Unit (or 115,000,000 Units if the underwriters’ over-allotment option is exercised in full), which is discussed in Note 3, and the sale of 21,250,000 warrants (or 24,250,000 warrants if the underwriters’ over-allotment option is exercised in full) (each, a “Private Placement Warrant” and, collectively, the “Private Placement Warrants”) at a price of $1.00 per Private Placement Warrant in a private placement to the Churchill Sponsor IV LLC (the “Sponsor”) that will close simultaneously with the Proposed Public Offering.</w:t>
      </w:r>
    </w:p>
    <w:p>
      <w:pPr>
        <w:spacing w:after="0" w:line="70"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(as defined below)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and invested only in U.S. government securities, within the meaning set forth in Section 2(a)(16) of the Investment Company Act, with a maturity of</w:t>
      </w:r>
    </w:p>
    <w:p>
      <w:pPr>
        <w:spacing w:after="0" w:line="4" w:lineRule="exact"/>
        <w:rPr>
          <w:sz w:val="20"/>
          <w:szCs w:val="20"/>
          <w:color w:val="auto"/>
        </w:rPr>
      </w:pPr>
    </w:p>
    <w:p>
      <w:pPr>
        <w:ind w:left="1260" w:right="779"/>
        <w:spacing w:after="0" w:line="252" w:lineRule="auto"/>
        <w:rPr>
          <w:sz w:val="20"/>
          <w:szCs w:val="20"/>
          <w:color w:val="auto"/>
        </w:rPr>
      </w:pPr>
      <w:r>
        <w:rPr>
          <w:rFonts w:ascii="Arial" w:cs="Arial" w:eastAsia="Arial" w:hAnsi="Arial"/>
          <w:sz w:val="18"/>
          <w:szCs w:val="18"/>
          <w:color w:val="auto"/>
        </w:rPr>
        <w:t>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8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portion of the amount then in the Trust Account (initially anticipated to be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 The Public Shares subject to redemption will be recorded at redemption value and classified as temporary equity upon the completion of the Proposed Public Offering in accordance with the Accounting Standards Codification (“ASC”) Topic 480 “Distinguishing Liabilities from Equity.”</w:t>
      </w:r>
    </w:p>
    <w:p>
      <w:pPr>
        <w:spacing w:after="0" w:line="8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7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87"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70"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(or 27 months from the closing of the Proposed Public Offering if the Company has an executed letter of intent, agreement in principle or definitive agreement for a Business Combination within 24 months from the closing of the Proposed Public Offering)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87"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Proposed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8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0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At May 22, 2020, the Company had $25,000 in cash and working capital deficit of $34,000.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Window. The financial statements do not include any adjustments that might result from the outcome of this uncertainty.</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accompanying financial statements are presented in in conformity with accounting principles generally accepted in the United States of America (“GAAP”) and pursuant to the rules and regulations of the SEC.</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8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w:t>
      </w: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7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May 22,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0"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The provision for income taxes was deemed to be immaterial for the period from April 30, 2020 (inception) through May 22, 2020.</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3,750,000 shares of common stock that are subject to forfeiture if the over-allotment option is not exercised by the underwriters (see Note 7). As of May 22,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0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Public Offering</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Pursuant to the Proposed Public Offering, the Company intends to offer for sale 100,000,000 Units (or 115,000,000 Units if the underwriters’ over-allotment option is exercised in full) at a price of $10.00 per Unit. Each Unit consists of one share of Class A common stock and one-fifth of one redeemable warrant (“Public Warrant”). Each whole Public Warrant entitles the holder to purchase one share of Class A common stock at a price of $11.50 per share, subject to adjustment (see Note 7).</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08"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Sponsor will agree to purchase an aggregate of 21,250,000 Private Placement Warrants (or 24,250,000 Private Placement Warrants if the over-allotment option is exercised in full) at a price of $1.00 per Private Placement Warrant, for an aggregate purchase price of $21,250,000, or $24,250,000 if the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39"/>
        <w:spacing w:after="0" w:line="253" w:lineRule="auto"/>
        <w:rPr>
          <w:sz w:val="20"/>
          <w:szCs w:val="20"/>
          <w:color w:val="auto"/>
        </w:rPr>
      </w:pPr>
      <w:r>
        <w:rPr>
          <w:rFonts w:ascii="Arial" w:cs="Arial" w:eastAsia="Arial" w:hAnsi="Arial"/>
          <w:sz w:val="18"/>
          <w:szCs w:val="18"/>
          <w:color w:val="auto"/>
        </w:rPr>
        <w:t>over-allotment option is exercised in full, in a private placement that will occur simultaneously with the closing of the Proposed Public Offering. Each Private Placement Warrant is exercisable to purchase one share of Class A common stock at a price of $11.50 per share. The proceeds from the Private Placement Warrants will be added to the proceeds from the Proposed Public Offering to be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resulting in 28,750,000 shares of Class B common stock being issued and outstanding. The Founder Shares include an aggregate of up to 3,750,000 shares subject to forfeiture to the extent that the underwriters’ over-allotment option is not exercised in full or in part, so that the Sponsor will own, on an as-converted basis, 20% of the Company’s issued and outstanding shares after the Proposed Public Offering (assuming the Sponsor does not purchase any Public Shares in the Proposed Public Offering). All share and per-share amounts have been retroactively restated to reflect the stock dividend.</w:t>
      </w:r>
    </w:p>
    <w:p>
      <w:pPr>
        <w:spacing w:after="0" w:line="73"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form the lock-up.</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0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Proposed Public Offering pursuant to a promissory note (the “Promissory Note”). The Promissory Note is non-interest bearing and payable on the earlier of December 31, 2021 or the completion of the Proposed Public Offering. As of May 22, 2020, there was no amounts outstanding under the Promissory Note.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04"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The Company will agree, commencing on the effective date of the Proposed Public Offering through the earlier of the Company’s consummation of a Business Combination and its liquidation, to pay an affiliate of the Sponsor a total of $50,000 per month for office space, administrative and support services.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Advisory Fee</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04"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Proposed Public Offering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04"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15,000,000 additional Units to cover over-allotments, if any, at the Proposed Public Offering price less the underwriting discounts and commissions.</w:t>
      </w:r>
    </w:p>
    <w:p>
      <w:pPr>
        <w:spacing w:after="0" w:line="7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underwriters will be entitled to a cash underwriting discount of $0.20 per Unit, or $20,000,000 in the aggregate (or $23,000,000 in the aggregate if the underwriters’ over-allotment option is exercised in full), payable upon the closing of the Proposed Public Offering. In addition, the underwriters will be entitled to a deferred fee of $0.35 per Unit, or $35,000,000 in the aggregate (or $40,250,000 in the aggregate if the underwriters’ over-allotment option is exercised in full). The deferred fee will be waived by the underwriters in the event that the Company does not complete a Business Combination, subject to the terms of the underwriting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May 22, 2020, there were no shares of preferred stock issued or outstanding.</w:t>
      </w:r>
    </w:p>
    <w:p>
      <w:pPr>
        <w:spacing w:after="0" w:line="79" w:lineRule="exact"/>
        <w:rPr>
          <w:sz w:val="20"/>
          <w:szCs w:val="20"/>
          <w:color w:val="auto"/>
        </w:rPr>
      </w:pPr>
    </w:p>
    <w:p>
      <w:pPr>
        <w:jc w:val="both"/>
        <w:ind w:left="1260" w:right="8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240,000,000 shares of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A common stock are entitled to one vote for each share. At May 22, 2020, there were no shares of Class A common stock issued or outstanding.</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The Company is authorized to issue 60,000,000 shares of Class B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with a par value of $0.0001 per share. Holders of Class B common stock are entitled to one vote for each share. At May 22, 2020, there were 28,750,000 shares of Class B common stock issued and outstanding, of which an aggregate of up to 3,750,000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w:t>
      </w:r>
    </w:p>
    <w:p>
      <w:pPr>
        <w:spacing w:after="0" w:line="69"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5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Proposed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will be issued upon separation of the Units and only whole warrants will trade. The Public Warrants will become exercisable on the later of (a) 30 days after the completion of a Business Combination or (b) 12 months from the closing of the Proposed Public Offering. The Public Warrants will expire five years after the completion of a Business Combination or earlier upon redemption or liquidation.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8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Company will agree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85" w:lineRule="exact"/>
        <w:rPr>
          <w:sz w:val="20"/>
          <w:szCs w:val="20"/>
          <w:color w:val="auto"/>
        </w:rPr>
      </w:pPr>
    </w:p>
    <w:p>
      <w:pPr>
        <w:ind w:left="1980" w:hanging="352"/>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29"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57" w:lineRule="exact"/>
        <w:rPr>
          <w:sz w:val="20"/>
          <w:szCs w:val="20"/>
          <w:color w:val="auto"/>
        </w:rPr>
      </w:pPr>
    </w:p>
    <w:p>
      <w:pPr>
        <w:ind w:left="1260" w:right="131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and through May 27, 2020, the date that the financial statements were issued. Based upon this review, other than as described below, the Company did not identify any subsequent events that would have required adjustment or disclosure in the financial statements.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June 1, 2020, the Company borrowed an aggregate of $300,000 under the Promissory Note.</w:t>
      </w:r>
    </w:p>
    <w:p>
      <w:pPr>
        <w:spacing w:after="0" w:line="117"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On July 14, 2020, the Company effected a stock dividend of one-third of a share of Class B common stock for each outstanding share of Class B common stock, resulting in 28,750,000 shares of Class B common stock being issued and outstanding. All share and per-share amounts have been retroactively restated to reflect the stock dividend. Also, on July 14, 2020, the Company changed its name to Churchill Capital Corp IV.</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100,000,000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00"/>
        <w:spacing w:after="0"/>
        <w:rPr>
          <w:sz w:val="20"/>
          <w:szCs w:val="20"/>
          <w:color w:val="auto"/>
        </w:rPr>
      </w:pPr>
      <w:r>
        <w:rPr>
          <w:rFonts w:ascii="Arial" w:cs="Arial" w:eastAsia="Arial" w:hAnsi="Arial"/>
          <w:sz w:val="54"/>
          <w:szCs w:val="54"/>
          <w:b w:val="1"/>
          <w:bCs w:val="1"/>
          <w:color w:val="auto"/>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1133475</wp:posOffset>
            </wp:positionV>
            <wp:extent cx="12344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PRELIMINARY PROSPECTUS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214630</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43"/>
          <w:szCs w:val="43"/>
          <w:b w:val="1"/>
          <w:bCs w:val="1"/>
          <w:color w:val="auto"/>
        </w:rPr>
        <w:t>Citigroup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Until , 2020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607695</wp:posOffset>
            </wp:positionV>
            <wp:extent cx="5212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650240</wp:posOffset>
            </wp:positionV>
            <wp:extent cx="521208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322,270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Travel and road show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360" w:type="dxa"/>
            <w:vAlign w:val="bottom"/>
          </w:tcPr>
          <w:p>
            <w:pPr>
              <w:spacing w:after="0"/>
              <w:rPr>
                <w:sz w:val="23"/>
                <w:szCs w:val="23"/>
                <w:color w:val="auto"/>
              </w:rPr>
            </w:pPr>
          </w:p>
        </w:tc>
        <w:tc>
          <w:tcPr>
            <w:tcW w:w="66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Directors and officers insurance premiums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56"/>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63"/>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122,730</w:t>
            </w:r>
          </w:p>
        </w:tc>
      </w:tr>
      <w:tr>
        <w:trPr>
          <w:trHeight w:val="277"/>
        </w:trPr>
        <w:tc>
          <w:tcPr>
            <w:tcW w:w="360" w:type="dxa"/>
            <w:vAlign w:val="bottom"/>
          </w:tcPr>
          <w:p>
            <w:pPr>
              <w:spacing w:after="0"/>
              <w:rPr>
                <w:sz w:val="24"/>
                <w:szCs w:val="24"/>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2259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4" w:lineRule="exact"/>
        <w:rPr>
          <w:sz w:val="20"/>
          <w:szCs w:val="20"/>
          <w:color w:val="auto"/>
        </w:rPr>
      </w:pPr>
    </w:p>
    <w:p>
      <w:pPr>
        <w:ind w:left="1620" w:right="939" w:hanging="352"/>
        <w:spacing w:after="0" w:line="248"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145.  Indemnification of officers, directors, employees and agents; insurance.</w:t>
      </w:r>
    </w:p>
    <w:p>
      <w:pPr>
        <w:spacing w:after="0" w:line="104" w:lineRule="exact"/>
        <w:rPr>
          <w:sz w:val="20"/>
          <w:szCs w:val="20"/>
          <w:color w:val="auto"/>
        </w:rPr>
      </w:pPr>
    </w:p>
    <w:p>
      <w:pPr>
        <w:ind w:left="1260" w:right="679" w:firstLine="368"/>
        <w:spacing w:after="0" w:line="252" w:lineRule="auto"/>
        <w:tabs>
          <w:tab w:leader="none" w:pos="19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87" w:lineRule="exact"/>
        <w:rPr>
          <w:rFonts w:ascii="Arial" w:cs="Arial" w:eastAsia="Arial" w:hAnsi="Arial"/>
          <w:sz w:val="18"/>
          <w:szCs w:val="18"/>
          <w:color w:val="auto"/>
        </w:rPr>
      </w:pPr>
    </w:p>
    <w:p>
      <w:pPr>
        <w:ind w:left="1260" w:right="699" w:firstLine="368"/>
        <w:spacing w:after="0" w:line="271" w:lineRule="auto"/>
        <w:tabs>
          <w:tab w:leader="none" w:pos="19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8" w:lineRule="exact"/>
        <w:rPr>
          <w:sz w:val="20"/>
          <w:szCs w:val="20"/>
          <w:color w:val="auto"/>
        </w:rPr>
      </w:pPr>
    </w:p>
    <w:p>
      <w:pPr>
        <w:ind w:left="1260" w:right="819" w:firstLine="368"/>
        <w:spacing w:after="0" w:line="257" w:lineRule="auto"/>
        <w:tabs>
          <w:tab w:leader="none" w:pos="19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79" w:lineRule="exact"/>
        <w:rPr>
          <w:rFonts w:ascii="Arial" w:cs="Arial" w:eastAsia="Arial" w:hAnsi="Arial"/>
          <w:sz w:val="18"/>
          <w:szCs w:val="18"/>
          <w:color w:val="auto"/>
        </w:rPr>
      </w:pPr>
    </w:p>
    <w:p>
      <w:pPr>
        <w:ind w:left="1260" w:right="679" w:firstLine="368"/>
        <w:spacing w:after="0" w:line="270" w:lineRule="auto"/>
        <w:tabs>
          <w:tab w:leader="none" w:pos="1976"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2" w:lineRule="exact"/>
        <w:rPr>
          <w:rFonts w:ascii="Arial" w:cs="Arial" w:eastAsia="Arial" w:hAnsi="Arial"/>
          <w:sz w:val="17"/>
          <w:szCs w:val="17"/>
          <w:color w:val="auto"/>
        </w:rPr>
      </w:pPr>
    </w:p>
    <w:p>
      <w:pPr>
        <w:ind w:left="1260" w:right="819" w:firstLine="368"/>
        <w:spacing w:after="0" w:line="272" w:lineRule="auto"/>
        <w:tabs>
          <w:tab w:leader="none" w:pos="1976"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69" w:lineRule="exact"/>
        <w:rPr>
          <w:rFonts w:ascii="Arial" w:cs="Arial" w:eastAsia="Arial" w:hAnsi="Arial"/>
          <w:sz w:val="17"/>
          <w:szCs w:val="17"/>
          <w:color w:val="auto"/>
        </w:rPr>
      </w:pPr>
    </w:p>
    <w:p>
      <w:pPr>
        <w:ind w:left="1260" w:right="739" w:firstLine="368"/>
        <w:spacing w:after="0" w:line="269" w:lineRule="auto"/>
        <w:tabs>
          <w:tab w:leader="none" w:pos="195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7" w:lineRule="exact"/>
        <w:rPr>
          <w:rFonts w:ascii="Arial" w:cs="Arial" w:eastAsia="Arial" w:hAnsi="Arial"/>
          <w:sz w:val="17"/>
          <w:szCs w:val="17"/>
          <w:color w:val="auto"/>
        </w:rPr>
      </w:pPr>
    </w:p>
    <w:p>
      <w:pPr>
        <w:ind w:left="1260" w:right="679" w:firstLine="368"/>
        <w:spacing w:after="0" w:line="255" w:lineRule="auto"/>
        <w:tabs>
          <w:tab w:leader="none" w:pos="19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4" w:lineRule="exact"/>
        <w:rPr>
          <w:rFonts w:ascii="Arial" w:cs="Arial" w:eastAsia="Arial" w:hAnsi="Arial"/>
          <w:sz w:val="18"/>
          <w:szCs w:val="18"/>
          <w:color w:val="auto"/>
        </w:rPr>
      </w:pPr>
    </w:p>
    <w:p>
      <w:pPr>
        <w:ind w:left="1260" w:right="739" w:firstLine="368"/>
        <w:spacing w:after="0" w:line="253" w:lineRule="auto"/>
        <w:tabs>
          <w:tab w:leader="none" w:pos="19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8"/>
        <w:spacing w:after="0" w:line="271" w:lineRule="auto"/>
        <w:tabs>
          <w:tab w:leader="none" w:pos="19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70" w:lineRule="exact"/>
        <w:rPr>
          <w:rFonts w:ascii="Arial" w:cs="Arial" w:eastAsia="Arial" w:hAnsi="Arial"/>
          <w:sz w:val="17"/>
          <w:szCs w:val="17"/>
          <w:color w:val="auto"/>
        </w:rPr>
      </w:pPr>
    </w:p>
    <w:p>
      <w:pPr>
        <w:jc w:val="both"/>
        <w:ind w:left="1260" w:right="719" w:firstLine="368"/>
        <w:spacing w:after="0" w:line="259" w:lineRule="auto"/>
        <w:tabs>
          <w:tab w:leader="none" w:pos="19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rFonts w:ascii="Arial" w:cs="Arial" w:eastAsia="Arial" w:hAnsi="Arial"/>
          <w:sz w:val="18"/>
          <w:szCs w:val="18"/>
          <w:color w:val="auto"/>
        </w:rPr>
      </w:pPr>
    </w:p>
    <w:p>
      <w:pPr>
        <w:ind w:left="1260" w:right="1039" w:firstLine="368"/>
        <w:spacing w:after="0" w:line="279" w:lineRule="auto"/>
        <w:tabs>
          <w:tab w:leader="none" w:pos="19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See Item 17 “Undertakings”.</w:t>
      </w:r>
    </w:p>
    <w:p>
      <w:pPr>
        <w:spacing w:after="0" w:line="7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7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7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affecting indemnification rights, whether by our stockholders or by changes in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7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7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87"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May 2020, Churchill Sponsor IV LLC, purchased an aggregate of 21,562,500 founder shares, for an aggregate offering price of $25,000 at an average purchase price of approximately $0.001 per share. On July 14, 2020, we effected a stock dividend of one-third of a share of Class B common stock for each outstanding share of Class B common stock, resulting in our initial stockholders holding an aggregate of 28,750,000 founder shares.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Churchill Sponsor IV LLC is an accredited investor for purposes of Rule 501 of Regulation D.</w:t>
      </w:r>
    </w:p>
    <w:p>
      <w:pPr>
        <w:spacing w:after="0" w:line="8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addition, Churchill Sponsor IV LLC has subscribed to purchase from us an aggregate of 21,250,000 private placement warrants (or 24,250,000 warrants if the underwriters’ option to purchase additional units is exercised in full) at $1.00 per warrant (for an aggregate purchase price of $21,250,000 or $24,250,000 if the underwriters’ option to purchase additional units is exercised in full). This purchase will take place on a private placement basis simultaneously with the completion of our initial public offering. Any such issuances will be made pursuant to the exemption from registration contained in Section 4(a)(2) of the Securities Act.</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tabs>
          <w:tab w:leader="none" w:pos="1960" w:val="left"/>
          <w:tab w:leader="none" w:pos="2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following exhibits are being filed herewith:</w:t>
      </w:r>
    </w:p>
    <w:p>
      <w:pPr>
        <w:spacing w:after="0" w:line="149" w:lineRule="exact"/>
        <w:rPr>
          <w:sz w:val="20"/>
          <w:szCs w:val="20"/>
          <w:color w:val="auto"/>
        </w:rPr>
      </w:pPr>
    </w:p>
    <w:p>
      <w:pPr>
        <w:ind w:left="1260"/>
        <w:spacing w:after="0"/>
        <w:tabs>
          <w:tab w:leader="none" w:pos="5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2120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182">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182">
        <w:r>
          <w:rPr>
            <w:rFonts w:ascii="Arial" w:cs="Arial" w:eastAsia="Arial" w:hAnsi="Arial"/>
            <w:sz w:val="17"/>
            <w:szCs w:val="17"/>
            <w:u w:val="single" w:color="auto"/>
            <w:color w:val="0000EE"/>
          </w:rPr>
          <w:t>Form of Underwriting Agreement</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11">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211">
        <w:r>
          <w:rPr>
            <w:rFonts w:ascii="Arial" w:cs="Arial" w:eastAsia="Arial" w:hAnsi="Arial"/>
            <w:sz w:val="17"/>
            <w:szCs w:val="17"/>
            <w:u w:val="single" w:color="auto"/>
            <w:color w:val="0000EE"/>
          </w:rPr>
          <w:t>Certificate of Incorporation</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18">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w:anchor="page218">
        <w:r>
          <w:rPr>
            <w:rFonts w:ascii="Arial" w:cs="Arial" w:eastAsia="Arial" w:hAnsi="Arial"/>
            <w:sz w:val="17"/>
            <w:szCs w:val="17"/>
            <w:u w:val="single" w:color="auto"/>
            <w:color w:val="0000EE"/>
          </w:rPr>
          <w:t>Amended and Restated Certificate of Incorporation</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6"/>
          <w:szCs w:val="16"/>
          <w:u w:val="single" w:color="auto"/>
          <w:color w:val="0000EE"/>
        </w:rPr>
      </w:pPr>
      <w:hyperlink w:anchor="page239">
        <w:r>
          <w:rPr>
            <w:rFonts w:ascii="Arial" w:cs="Arial" w:eastAsia="Arial" w:hAnsi="Arial"/>
            <w:sz w:val="18"/>
            <w:szCs w:val="18"/>
            <w:u w:val="single" w:color="auto"/>
            <w:color w:val="0000EE"/>
          </w:rPr>
          <w:t>3.3*</w:t>
        </w:r>
      </w:hyperlink>
      <w:r>
        <w:rPr>
          <w:rFonts w:ascii="Arial" w:cs="Arial" w:eastAsia="Arial" w:hAnsi="Arial"/>
          <w:sz w:val="18"/>
          <w:szCs w:val="18"/>
          <w:u w:val="single" w:color="auto"/>
          <w:color w:val="0000EE"/>
        </w:rPr>
        <w:tab/>
      </w:r>
      <w:hyperlink w:anchor="page239">
        <w:r>
          <w:rPr>
            <w:rFonts w:ascii="Arial" w:cs="Arial" w:eastAsia="Arial" w:hAnsi="Arial"/>
            <w:sz w:val="16"/>
            <w:szCs w:val="16"/>
            <w:u w:val="single" w:color="auto"/>
            <w:color w:val="0000EE"/>
          </w:rPr>
          <w:t>Form of Amended and Restated Bylaws</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6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264">
        <w:r>
          <w:rPr>
            <w:rFonts w:ascii="Arial" w:cs="Arial" w:eastAsia="Arial" w:hAnsi="Arial"/>
            <w:sz w:val="17"/>
            <w:szCs w:val="17"/>
            <w:u w:val="single" w:color="auto"/>
            <w:color w:val="0000EE"/>
          </w:rPr>
          <w:t>Specimen Unit Certificate</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67">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267">
        <w:r>
          <w:rPr>
            <w:rFonts w:ascii="Arial" w:cs="Arial" w:eastAsia="Arial" w:hAnsi="Arial"/>
            <w:sz w:val="17"/>
            <w:szCs w:val="17"/>
            <w:u w:val="single" w:color="auto"/>
            <w:color w:val="0000EE"/>
          </w:rPr>
          <w:t>Specimen Class A Common Stock Certificate</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70">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270">
        <w:r>
          <w:rPr>
            <w:rFonts w:ascii="Arial" w:cs="Arial" w:eastAsia="Arial" w:hAnsi="Arial"/>
            <w:sz w:val="17"/>
            <w:szCs w:val="17"/>
            <w:u w:val="single" w:color="auto"/>
            <w:color w:val="0000EE"/>
          </w:rPr>
          <w:t>Specimen Warrant Certificate (included in Exhibit 4.4)</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70">
        <w:r>
          <w:rPr>
            <w:rFonts w:ascii="Arial" w:cs="Arial" w:eastAsia="Arial" w:hAnsi="Arial"/>
            <w:sz w:val="18"/>
            <w:szCs w:val="18"/>
            <w:u w:val="single" w:color="auto"/>
            <w:color w:val="0000EE"/>
          </w:rPr>
          <w:t>4.4*</w:t>
        </w:r>
      </w:hyperlink>
      <w:r>
        <w:rPr>
          <w:rFonts w:ascii="Arial" w:cs="Arial" w:eastAsia="Arial" w:hAnsi="Arial"/>
          <w:sz w:val="18"/>
          <w:szCs w:val="18"/>
          <w:u w:val="single" w:color="auto"/>
          <w:color w:val="0000EE"/>
        </w:rPr>
        <w:tab/>
      </w:r>
      <w:hyperlink w:anchor="page270">
        <w:r>
          <w:rPr>
            <w:rFonts w:ascii="Arial" w:cs="Arial" w:eastAsia="Arial" w:hAnsi="Arial"/>
            <w:sz w:val="17"/>
            <w:szCs w:val="17"/>
            <w:u w:val="single" w:color="auto"/>
            <w:color w:val="0000EE"/>
          </w:rPr>
          <w:t>Warrant Agreement between Continental Stock Transfer &amp; Trust Company and the Registrant</w:t>
        </w:r>
      </w:hyperlink>
    </w:p>
    <w:p>
      <w:pPr>
        <w:spacing w:after="0" w:line="36" w:lineRule="exact"/>
        <w:rPr>
          <w:sz w:val="20"/>
          <w:szCs w:val="20"/>
          <w:color w:val="auto"/>
        </w:rPr>
      </w:pPr>
    </w:p>
    <w:p>
      <w:pPr>
        <w:ind w:left="1360"/>
        <w:spacing w:after="0"/>
        <w:tabs>
          <w:tab w:leader="none" w:pos="2000" w:val="left"/>
        </w:tabs>
        <w:rPr>
          <w:rFonts w:ascii="Arial" w:cs="Arial" w:eastAsia="Arial" w:hAnsi="Arial"/>
          <w:sz w:val="17"/>
          <w:szCs w:val="17"/>
          <w:u w:val="single" w:color="auto"/>
          <w:color w:val="0000EE"/>
        </w:rPr>
      </w:pPr>
      <w:hyperlink w:anchor="page298">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298">
        <w:r>
          <w:rPr>
            <w:rFonts w:ascii="Arial" w:cs="Arial" w:eastAsia="Arial" w:hAnsi="Arial"/>
            <w:sz w:val="17"/>
            <w:szCs w:val="17"/>
            <w:u w:val="single" w:color="auto"/>
            <w:color w:val="0000EE"/>
          </w:rPr>
          <w:t>Opinion of Paul, Weiss, Rifkind, Wharton &amp; Garrison LLP</w:t>
        </w:r>
      </w:hyperlink>
    </w:p>
    <w:p>
      <w:pPr>
        <w:spacing w:after="0" w:line="50" w:lineRule="exact"/>
        <w:rPr>
          <w:sz w:val="20"/>
          <w:szCs w:val="20"/>
          <w:color w:val="auto"/>
        </w:rPr>
      </w:pPr>
    </w:p>
    <w:p>
      <w:pPr>
        <w:ind w:left="1260"/>
        <w:spacing w:after="0"/>
        <w:tabs>
          <w:tab w:leader="none" w:pos="2000" w:val="left"/>
        </w:tabs>
        <w:rPr>
          <w:rFonts w:ascii="Arial" w:cs="Arial" w:eastAsia="Arial" w:hAnsi="Arial"/>
          <w:sz w:val="16"/>
          <w:szCs w:val="16"/>
          <w:u w:val="single" w:color="auto"/>
          <w:color w:val="0000EE"/>
        </w:rPr>
      </w:pPr>
      <w:hyperlink w:anchor="page30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03">
        <w:r>
          <w:rPr>
            <w:rFonts w:ascii="Arial" w:cs="Arial" w:eastAsia="Arial" w:hAnsi="Arial"/>
            <w:sz w:val="16"/>
            <w:szCs w:val="16"/>
            <w:u w:val="single" w:color="auto"/>
            <w:color w:val="0000EE"/>
          </w:rPr>
          <w:t>Promissory Note, dated May 13, 2020, issued to the Sponsor</w:t>
        </w:r>
      </w:hyperlink>
    </w:p>
    <w:p>
      <w:pPr>
        <w:spacing w:after="0" w:line="36" w:lineRule="exact"/>
        <w:rPr>
          <w:sz w:val="20"/>
          <w:szCs w:val="20"/>
          <w:color w:val="auto"/>
        </w:rPr>
      </w:pPr>
    </w:p>
    <w:p>
      <w:pPr>
        <w:ind w:left="2020" w:right="1319" w:hanging="755"/>
        <w:spacing w:after="0" w:line="273" w:lineRule="auto"/>
        <w:tabs>
          <w:tab w:leader="none" w:pos="2000" w:val="left"/>
        </w:tabs>
        <w:rPr>
          <w:rFonts w:ascii="Arial" w:cs="Arial" w:eastAsia="Arial" w:hAnsi="Arial"/>
          <w:sz w:val="18"/>
          <w:szCs w:val="18"/>
          <w:u w:val="single" w:color="auto"/>
          <w:color w:val="0000EE"/>
        </w:rPr>
      </w:pPr>
      <w:hyperlink w:anchor="page308">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308">
        <w:r>
          <w:rPr>
            <w:rFonts w:ascii="Arial" w:cs="Arial" w:eastAsia="Arial" w:hAnsi="Arial"/>
            <w:sz w:val="18"/>
            <w:szCs w:val="18"/>
            <w:u w:val="single" w:color="auto"/>
            <w:color w:val="0000EE"/>
          </w:rPr>
          <w:t>Letter Agreement among the Registrant and the Registrant’s officers and directors and the</w:t>
        </w:r>
      </w:hyperlink>
      <w:r>
        <w:rPr>
          <w:rFonts w:ascii="Arial" w:cs="Arial" w:eastAsia="Arial" w:hAnsi="Arial"/>
          <w:sz w:val="18"/>
          <w:szCs w:val="18"/>
          <w:u w:val="single" w:color="auto"/>
          <w:color w:val="0000EE"/>
        </w:rPr>
        <w:t xml:space="preserve"> </w:t>
      </w:r>
      <w:hyperlink w:anchor="page308">
        <w:r>
          <w:rPr>
            <w:rFonts w:ascii="Arial" w:cs="Arial" w:eastAsia="Arial" w:hAnsi="Arial"/>
            <w:sz w:val="18"/>
            <w:szCs w:val="18"/>
            <w:u w:val="single" w:color="auto"/>
            <w:color w:val="0000EE"/>
          </w:rPr>
          <w:t>Sponsor and its members</w:t>
        </w:r>
      </w:hyperlink>
    </w:p>
    <w:p>
      <w:pPr>
        <w:spacing w:after="0" w:line="2" w:lineRule="exact"/>
        <w:rPr>
          <w:rFonts w:ascii="Arial" w:cs="Arial" w:eastAsia="Arial" w:hAnsi="Arial"/>
          <w:sz w:val="18"/>
          <w:szCs w:val="18"/>
          <w:u w:val="single" w:color="auto"/>
          <w:color w:val="0000EE"/>
        </w:rPr>
      </w:pPr>
    </w:p>
    <w:p>
      <w:pPr>
        <w:ind w:left="2020" w:right="779" w:hanging="755"/>
        <w:spacing w:after="0" w:line="277" w:lineRule="auto"/>
        <w:tabs>
          <w:tab w:leader="none" w:pos="2000" w:val="left"/>
        </w:tabs>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319">
        <w:r>
          <w:rPr>
            <w:rFonts w:ascii="Arial" w:cs="Arial" w:eastAsia="Arial" w:hAnsi="Arial"/>
            <w:sz w:val="18"/>
            <w:szCs w:val="18"/>
            <w:u w:val="single" w:color="auto"/>
            <w:color w:val="0000EE"/>
          </w:rPr>
          <w:t>Investment Management Trust Agreement between Continental Stock Transfer &amp; Trust Company</w:t>
        </w:r>
      </w:hyperlink>
      <w:r>
        <w:rPr>
          <w:rFonts w:ascii="Arial" w:cs="Arial" w:eastAsia="Arial" w:hAnsi="Arial"/>
          <w:sz w:val="18"/>
          <w:szCs w:val="18"/>
          <w:u w:val="single" w:color="auto"/>
          <w:color w:val="0000EE"/>
        </w:rPr>
        <w:t xml:space="preserve"> </w:t>
      </w:r>
      <w:hyperlink w:anchor="page319">
        <w:r>
          <w:rPr>
            <w:rFonts w:ascii="Arial" w:cs="Arial" w:eastAsia="Arial" w:hAnsi="Arial"/>
            <w:sz w:val="18"/>
            <w:szCs w:val="18"/>
            <w:u w:val="single" w:color="auto"/>
            <w:color w:val="0000EE"/>
          </w:rPr>
          <w:t>and the Registrant</w:t>
        </w:r>
      </w:hyperlink>
    </w:p>
    <w:p>
      <w:pPr>
        <w:spacing w:after="0" w:line="8" w:lineRule="exact"/>
        <w:rPr>
          <w:rFonts w:ascii="Arial" w:cs="Arial" w:eastAsia="Arial" w:hAnsi="Arial"/>
          <w:sz w:val="18"/>
          <w:szCs w:val="18"/>
          <w:u w:val="single" w:color="auto"/>
          <w:color w:val="0000EE"/>
        </w:rPr>
      </w:pPr>
    </w:p>
    <w:p>
      <w:pPr>
        <w:ind w:left="1260"/>
        <w:spacing w:after="0"/>
        <w:tabs>
          <w:tab w:leader="none" w:pos="2000" w:val="left"/>
        </w:tabs>
        <w:rPr>
          <w:rFonts w:ascii="Arial" w:cs="Arial" w:eastAsia="Arial" w:hAnsi="Arial"/>
          <w:sz w:val="17"/>
          <w:szCs w:val="17"/>
          <w:u w:val="single" w:color="auto"/>
          <w:color w:val="0000EE"/>
        </w:rPr>
      </w:pPr>
      <w:hyperlink w:anchor="page336">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336">
        <w:r>
          <w:rPr>
            <w:rFonts w:ascii="Arial" w:cs="Arial" w:eastAsia="Arial" w:hAnsi="Arial"/>
            <w:sz w:val="17"/>
            <w:szCs w:val="17"/>
            <w:u w:val="single" w:color="auto"/>
            <w:color w:val="0000EE"/>
          </w:rPr>
          <w:t>Registration Rights Agreement between the Registrant and certain security holders</w:t>
        </w:r>
      </w:hyperlink>
    </w:p>
    <w:p>
      <w:pPr>
        <w:spacing w:after="0" w:line="50" w:lineRule="exact"/>
        <w:rPr>
          <w:sz w:val="20"/>
          <w:szCs w:val="20"/>
          <w:color w:val="auto"/>
        </w:rPr>
      </w:pPr>
    </w:p>
    <w:p>
      <w:pPr>
        <w:ind w:left="1260"/>
        <w:spacing w:after="0"/>
        <w:tabs>
          <w:tab w:leader="none" w:pos="2000" w:val="left"/>
        </w:tabs>
        <w:rPr>
          <w:rFonts w:ascii="Arial" w:cs="Arial" w:eastAsia="Arial" w:hAnsi="Arial"/>
          <w:sz w:val="16"/>
          <w:szCs w:val="16"/>
          <w:u w:val="single" w:color="auto"/>
          <w:color w:val="0000EE"/>
        </w:rPr>
      </w:pPr>
      <w:hyperlink w:anchor="page355">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w:anchor="page355">
        <w:r>
          <w:rPr>
            <w:rFonts w:ascii="Arial" w:cs="Arial" w:eastAsia="Arial" w:hAnsi="Arial"/>
            <w:sz w:val="16"/>
            <w:szCs w:val="16"/>
            <w:u w:val="single" w:color="auto"/>
            <w:color w:val="0000EE"/>
          </w:rPr>
          <w:t>Securities Subscription Agreement, dated May 13, 2020, between the Registrant and the Sponsor</w:t>
        </w:r>
      </w:hyperlink>
    </w:p>
    <w:p>
      <w:pPr>
        <w:spacing w:after="0" w:line="50" w:lineRule="exact"/>
        <w:rPr>
          <w:sz w:val="20"/>
          <w:szCs w:val="20"/>
          <w:color w:val="auto"/>
        </w:rPr>
      </w:pPr>
    </w:p>
    <w:p>
      <w:pPr>
        <w:ind w:left="1260"/>
        <w:spacing w:after="0"/>
        <w:tabs>
          <w:tab w:leader="none" w:pos="2000" w:val="left"/>
        </w:tabs>
        <w:rPr>
          <w:rFonts w:ascii="Arial" w:cs="Arial" w:eastAsia="Arial" w:hAnsi="Arial"/>
          <w:sz w:val="16"/>
          <w:szCs w:val="16"/>
          <w:u w:val="single" w:color="auto"/>
          <w:color w:val="0000EE"/>
        </w:rPr>
      </w:pPr>
      <w:hyperlink w:anchor="page361">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w:anchor="page361">
        <w:r>
          <w:rPr>
            <w:rFonts w:ascii="Arial" w:cs="Arial" w:eastAsia="Arial" w:hAnsi="Arial"/>
            <w:sz w:val="16"/>
            <w:szCs w:val="16"/>
            <w:u w:val="single" w:color="auto"/>
            <w:color w:val="0000EE"/>
          </w:rPr>
          <w:t>Private Placement Warrants Purchase Agreement between the Registrant and the Sponsor</w:t>
        </w:r>
      </w:hyperlink>
    </w:p>
    <w:p>
      <w:pPr>
        <w:spacing w:after="0" w:line="50" w:lineRule="exact"/>
        <w:rPr>
          <w:sz w:val="20"/>
          <w:szCs w:val="20"/>
          <w:color w:val="auto"/>
        </w:rPr>
      </w:pPr>
    </w:p>
    <w:p>
      <w:pPr>
        <w:ind w:left="1260"/>
        <w:spacing w:after="0"/>
        <w:tabs>
          <w:tab w:leader="none" w:pos="2000" w:val="left"/>
        </w:tabs>
        <w:rPr>
          <w:rFonts w:ascii="Arial" w:cs="Arial" w:eastAsia="Arial" w:hAnsi="Arial"/>
          <w:sz w:val="17"/>
          <w:szCs w:val="17"/>
          <w:u w:val="single" w:color="auto"/>
          <w:color w:val="0000EE"/>
        </w:rPr>
      </w:pPr>
      <w:hyperlink w:anchor="page369">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w:anchor="page369">
        <w:r>
          <w:rPr>
            <w:rFonts w:ascii="Arial" w:cs="Arial" w:eastAsia="Arial" w:hAnsi="Arial"/>
            <w:sz w:val="17"/>
            <w:szCs w:val="17"/>
            <w:u w:val="single" w:color="auto"/>
            <w:color w:val="0000EE"/>
          </w:rPr>
          <w:t>Indemnity Agreement</w:t>
        </w:r>
      </w:hyperlink>
    </w:p>
    <w:p>
      <w:pPr>
        <w:spacing w:after="0" w:line="36" w:lineRule="exact"/>
        <w:rPr>
          <w:sz w:val="20"/>
          <w:szCs w:val="20"/>
          <w:color w:val="auto"/>
        </w:rPr>
      </w:pPr>
    </w:p>
    <w:p>
      <w:pPr>
        <w:ind w:left="1260"/>
        <w:spacing w:after="0"/>
        <w:tabs>
          <w:tab w:leader="none" w:pos="2000" w:val="left"/>
        </w:tabs>
        <w:rPr>
          <w:rFonts w:ascii="Arial" w:cs="Arial" w:eastAsia="Arial" w:hAnsi="Arial"/>
          <w:sz w:val="17"/>
          <w:szCs w:val="17"/>
          <w:u w:val="single" w:color="auto"/>
          <w:color w:val="0000EE"/>
        </w:rPr>
      </w:pPr>
      <w:hyperlink w:anchor="page389">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w:anchor="page389">
        <w:r>
          <w:rPr>
            <w:rFonts w:ascii="Arial" w:cs="Arial" w:eastAsia="Arial" w:hAnsi="Arial"/>
            <w:sz w:val="17"/>
            <w:szCs w:val="17"/>
            <w:u w:val="single" w:color="auto"/>
            <w:color w:val="0000EE"/>
          </w:rPr>
          <w:t>Administrative Services Agreement, by and between the Registrant and an affiliate of the Sponsor</w:t>
        </w:r>
      </w:hyperlink>
    </w:p>
    <w:p>
      <w:pPr>
        <w:spacing w:after="0" w:line="63" w:lineRule="exact"/>
        <w:rPr>
          <w:sz w:val="20"/>
          <w:szCs w:val="20"/>
          <w:color w:val="auto"/>
        </w:rPr>
      </w:pPr>
    </w:p>
    <w:p>
      <w:pPr>
        <w:ind w:left="1260"/>
        <w:spacing w:after="0"/>
        <w:tabs>
          <w:tab w:leader="none" w:pos="2000" w:val="left"/>
        </w:tabs>
        <w:rPr>
          <w:rFonts w:ascii="Arial" w:cs="Arial" w:eastAsia="Arial" w:hAnsi="Arial"/>
          <w:sz w:val="17"/>
          <w:szCs w:val="17"/>
          <w:u w:val="single" w:color="auto"/>
          <w:color w:val="0000EE"/>
        </w:rPr>
      </w:pPr>
      <w:hyperlink w:anchor="page392">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392">
        <w:r>
          <w:rPr>
            <w:rFonts w:ascii="Arial" w:cs="Arial" w:eastAsia="Arial" w:hAnsi="Arial"/>
            <w:sz w:val="17"/>
            <w:szCs w:val="17"/>
            <w:u w:val="single" w:color="auto"/>
            <w:color w:val="0000EE"/>
          </w:rPr>
          <w:t>Consent of Marcum LLP</w:t>
        </w:r>
      </w:hyperlink>
    </w:p>
    <w:p>
      <w:pPr>
        <w:spacing w:after="0" w:line="50" w:lineRule="exact"/>
        <w:rPr>
          <w:sz w:val="20"/>
          <w:szCs w:val="20"/>
          <w:color w:val="auto"/>
        </w:rPr>
      </w:pPr>
    </w:p>
    <w:p>
      <w:pPr>
        <w:ind w:left="1260"/>
        <w:spacing w:after="0"/>
        <w:tabs>
          <w:tab w:leader="none" w:pos="2000" w:val="left"/>
        </w:tabs>
        <w:rPr>
          <w:rFonts w:ascii="Arial" w:cs="Arial" w:eastAsia="Arial" w:hAnsi="Arial"/>
          <w:sz w:val="17"/>
          <w:szCs w:val="17"/>
          <w:u w:val="single" w:color="auto"/>
          <w:color w:val="0000EE"/>
        </w:rPr>
      </w:pPr>
      <w:hyperlink w:anchor="page298">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298">
        <w:r>
          <w:rPr>
            <w:rFonts w:ascii="Arial" w:cs="Arial" w:eastAsia="Arial" w:hAnsi="Arial"/>
            <w:sz w:val="17"/>
            <w:szCs w:val="17"/>
            <w:u w:val="single" w:color="auto"/>
            <w:color w:val="0000EE"/>
          </w:rPr>
          <w:t>Consent of Paul, Weiss, Rifkind, Wharton &amp; Garrison LLP (included in Exhibit 5.1)</w:t>
        </w:r>
      </w:hyperlink>
    </w:p>
    <w:p>
      <w:pPr>
        <w:spacing w:after="0" w:line="50" w:lineRule="exact"/>
        <w:rPr>
          <w:sz w:val="20"/>
          <w:szCs w:val="20"/>
          <w:color w:val="auto"/>
        </w:rPr>
      </w:pPr>
    </w:p>
    <w:p>
      <w:pPr>
        <w:ind w:left="2020" w:hanging="752"/>
        <w:spacing w:after="0"/>
        <w:tabs>
          <w:tab w:leader="none" w:pos="2020" w:val="left"/>
        </w:tabs>
        <w:numPr>
          <w:ilvl w:val="0"/>
          <w:numId w:val="93"/>
        </w:numPr>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Power of Attorney (included on signature page of this Registration Statement)</w:t>
        </w:r>
      </w:hyperlink>
    </w:p>
    <w:p>
      <w:pPr>
        <w:spacing w:after="0" w:line="49" w:lineRule="exact"/>
        <w:rPr>
          <w:rFonts w:ascii="Arial" w:cs="Arial" w:eastAsia="Arial" w:hAnsi="Arial"/>
          <w:sz w:val="18"/>
          <w:szCs w:val="18"/>
          <w:u w:val="single" w:color="auto"/>
          <w:color w:val="0000EE"/>
        </w:rPr>
      </w:pPr>
    </w:p>
    <w:p>
      <w:pPr>
        <w:ind w:left="1500" w:hanging="232"/>
        <w:spacing w:after="0"/>
        <w:tabs>
          <w:tab w:leader="none" w:pos="1500" w:val="left"/>
        </w:tabs>
        <w:numPr>
          <w:ilvl w:val="0"/>
          <w:numId w:val="94"/>
        </w:numPr>
        <w:rPr>
          <w:rFonts w:ascii="Arial" w:cs="Arial" w:eastAsia="Arial" w:hAnsi="Arial"/>
          <w:sz w:val="17"/>
          <w:szCs w:val="17"/>
          <w:u w:val="single" w:color="auto"/>
          <w:color w:val="0000EE"/>
        </w:rPr>
      </w:pPr>
      <w:r>
        <w:rPr>
          <w:rFonts w:ascii="Arial" w:cs="Arial" w:eastAsia="Arial" w:hAnsi="Arial"/>
          <w:sz w:val="16"/>
          <w:szCs w:val="16"/>
          <w:u w:val="single" w:color="auto"/>
          <w:color w:val="0000EE"/>
        </w:rPr>
        <w:t>1*</w:t>
      </w:r>
      <w:hyperlink w:anchor="page393">
        <w:r>
          <w:rPr>
            <w:rFonts w:ascii="Arial" w:cs="Arial" w:eastAsia="Arial" w:hAnsi="Arial"/>
            <w:sz w:val="17"/>
            <w:szCs w:val="17"/>
            <w:u w:val="single" w:color="auto"/>
            <w:color w:val="0000EE"/>
          </w:rPr>
          <w:t>Consent of Glenn R. August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802005</wp:posOffset>
            </wp:positionH>
            <wp:positionV relativeFrom="paragraph">
              <wp:posOffset>176530</wp:posOffset>
            </wp:positionV>
            <wp:extent cx="12344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9" w:lineRule="exact"/>
        <w:rPr>
          <w:rFonts w:ascii="Arial" w:cs="Arial" w:eastAsia="Arial" w:hAnsi="Arial"/>
          <w:sz w:val="18"/>
          <w:szCs w:val="18"/>
          <w:u w:val="single" w:color="auto"/>
          <w:color w:val="0000EE"/>
        </w:rPr>
      </w:pPr>
    </w:p>
    <w:p>
      <w:pPr>
        <w:ind w:left="1620" w:hanging="352"/>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1260" w:right="1279" w:firstLine="368"/>
        <w:spacing w:after="0" w:line="277" w:lineRule="auto"/>
        <w:tabs>
          <w:tab w:leader="none" w:pos="1986"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224"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81" w:lineRule="exact"/>
        <w:rPr>
          <w:sz w:val="20"/>
          <w:szCs w:val="20"/>
          <w:color w:val="auto"/>
        </w:rPr>
      </w:pPr>
    </w:p>
    <w:p>
      <w:pPr>
        <w:jc w:val="both"/>
        <w:ind w:left="1260" w:right="699" w:firstLine="368"/>
        <w:spacing w:after="0" w:line="248" w:lineRule="auto"/>
        <w:tabs>
          <w:tab w:leader="none" w:pos="19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46" w:lineRule="exact"/>
        <w:rPr>
          <w:rFonts w:ascii="Arial" w:cs="Arial" w:eastAsia="Arial" w:hAnsi="Arial"/>
          <w:sz w:val="18"/>
          <w:szCs w:val="18"/>
          <w:color w:val="auto"/>
        </w:rPr>
      </w:pPr>
    </w:p>
    <w:p>
      <w:pPr>
        <w:ind w:left="1260" w:right="719" w:firstLine="368"/>
        <w:spacing w:after="0" w:line="237" w:lineRule="auto"/>
        <w:tabs>
          <w:tab w:leader="none" w:pos="198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0"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2340" w:right="939" w:hanging="352"/>
        <w:spacing w:after="0" w:line="259" w:lineRule="auto"/>
        <w:tabs>
          <w:tab w:leader="none" w:pos="23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2" w:lineRule="exact"/>
        <w:rPr>
          <w:rFonts w:ascii="Arial" w:cs="Arial" w:eastAsia="Arial" w:hAnsi="Arial"/>
          <w:sz w:val="17"/>
          <w:szCs w:val="17"/>
          <w:color w:val="auto"/>
        </w:rPr>
      </w:pPr>
    </w:p>
    <w:p>
      <w:pPr>
        <w:ind w:left="2340" w:right="1119" w:hanging="352"/>
        <w:spacing w:after="0" w:line="262" w:lineRule="auto"/>
        <w:tabs>
          <w:tab w:leader="none" w:pos="23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0" w:lineRule="exact"/>
        <w:rPr>
          <w:rFonts w:ascii="Arial" w:cs="Arial" w:eastAsia="Arial" w:hAnsi="Arial"/>
          <w:sz w:val="17"/>
          <w:szCs w:val="17"/>
          <w:color w:val="auto"/>
        </w:rPr>
      </w:pPr>
    </w:p>
    <w:p>
      <w:pPr>
        <w:ind w:left="2340" w:right="699" w:hanging="352"/>
        <w:spacing w:after="0" w:line="252" w:lineRule="auto"/>
        <w:tabs>
          <w:tab w:leader="none" w:pos="23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1" w:lineRule="exact"/>
        <w:rPr>
          <w:rFonts w:ascii="Arial" w:cs="Arial" w:eastAsia="Arial" w:hAnsi="Arial"/>
          <w:sz w:val="17"/>
          <w:szCs w:val="17"/>
          <w:color w:val="auto"/>
        </w:rPr>
      </w:pPr>
    </w:p>
    <w:p>
      <w:pPr>
        <w:ind w:left="2340" w:right="659" w:hanging="352"/>
        <w:spacing w:after="0" w:line="239" w:lineRule="auto"/>
        <w:tabs>
          <w:tab w:leader="none" w:pos="23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5" w:lineRule="exact"/>
        <w:rPr>
          <w:rFonts w:ascii="Arial" w:cs="Arial" w:eastAsia="Arial" w:hAnsi="Arial"/>
          <w:sz w:val="18"/>
          <w:szCs w:val="18"/>
          <w:color w:val="auto"/>
        </w:rPr>
      </w:pPr>
    </w:p>
    <w:p>
      <w:pPr>
        <w:ind w:left="2700" w:right="959" w:hanging="352"/>
        <w:spacing w:after="0" w:line="261" w:lineRule="auto"/>
        <w:tabs>
          <w:tab w:leader="none" w:pos="27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49" w:lineRule="exact"/>
        <w:rPr>
          <w:rFonts w:ascii="Arial" w:cs="Arial" w:eastAsia="Arial" w:hAnsi="Arial"/>
          <w:sz w:val="18"/>
          <w:szCs w:val="18"/>
          <w:color w:val="auto"/>
        </w:rPr>
      </w:pPr>
    </w:p>
    <w:p>
      <w:pPr>
        <w:ind w:left="2700" w:right="1179" w:hanging="352"/>
        <w:spacing w:after="0" w:line="261" w:lineRule="auto"/>
        <w:tabs>
          <w:tab w:leader="none" w:pos="27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49" w:lineRule="exact"/>
        <w:rPr>
          <w:rFonts w:ascii="Arial" w:cs="Arial" w:eastAsia="Arial" w:hAnsi="Arial"/>
          <w:sz w:val="18"/>
          <w:szCs w:val="18"/>
          <w:color w:val="auto"/>
        </w:rPr>
      </w:pPr>
    </w:p>
    <w:p>
      <w:pPr>
        <w:ind w:left="2700" w:right="799" w:hanging="352"/>
        <w:spacing w:after="0" w:line="248" w:lineRule="auto"/>
        <w:tabs>
          <w:tab w:leader="none" w:pos="27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0" w:lineRule="exact"/>
        <w:rPr>
          <w:rFonts w:ascii="Arial" w:cs="Arial" w:eastAsia="Arial" w:hAnsi="Arial"/>
          <w:sz w:val="18"/>
          <w:szCs w:val="18"/>
          <w:color w:val="auto"/>
        </w:rPr>
      </w:pPr>
    </w:p>
    <w:p>
      <w:pPr>
        <w:ind w:left="2700" w:right="1259" w:hanging="352"/>
        <w:spacing w:after="0" w:line="261" w:lineRule="auto"/>
        <w:tabs>
          <w:tab w:leader="none" w:pos="27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the 14th of July, 2020.</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CHURCHILL CAPITAL CORP IV</w:t>
      </w:r>
    </w:p>
    <w:p>
      <w:pPr>
        <w:spacing w:after="0" w:line="243"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48895</wp:posOffset>
            </wp:positionV>
            <wp:extent cx="24003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26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020" w:type="dxa"/>
            <w:vAlign w:val="bottom"/>
            <w:gridSpan w:val="2"/>
          </w:tcPr>
          <w:p>
            <w:pPr>
              <w:ind w:left="1260"/>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3140" w:type="dxa"/>
            <w:vAlign w:val="bottom"/>
          </w:tcPr>
          <w:p>
            <w:pPr>
              <w:jc w:val="center"/>
              <w:spacing w:after="0"/>
              <w:rPr>
                <w:sz w:val="20"/>
                <w:szCs w:val="20"/>
                <w:color w:val="auto"/>
              </w:rPr>
            </w:pPr>
            <w:r>
              <w:rPr>
                <w:rFonts w:ascii="Arial" w:cs="Arial" w:eastAsia="Arial" w:hAnsi="Arial"/>
                <w:sz w:val="18"/>
                <w:szCs w:val="18"/>
                <w:color w:val="auto"/>
                <w:w w:val="99"/>
              </w:rPr>
              <w:t>/s/ Michael Klein</w:t>
            </w: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Executive Officer, Chairman</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July 14,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 the Board of Directors and</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rPr>
              <w:t>Michael Klein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Director (Principal Executive</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140" w:type="dxa"/>
            <w:vAlign w:val="bottom"/>
          </w:tcPr>
          <w:p>
            <w:pPr>
              <w:jc w:val="center"/>
              <w:spacing w:after="0"/>
              <w:rPr>
                <w:sz w:val="20"/>
                <w:szCs w:val="20"/>
                <w:color w:val="auto"/>
              </w:rPr>
            </w:pPr>
            <w:r>
              <w:rPr>
                <w:rFonts w:ascii="Arial" w:cs="Arial" w:eastAsia="Arial" w:hAnsi="Arial"/>
                <w:sz w:val="18"/>
                <w:szCs w:val="18"/>
                <w:color w:val="auto"/>
                <w:w w:val="93"/>
              </w:rPr>
              <w:t>/s/ Jay Taragin</w:t>
            </w: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July 14,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 and Financial</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1"/>
              </w:rPr>
              <w:t>Jay Taragin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Churchill Capital Corp IV</w:t>
      </w:r>
    </w:p>
    <w:p>
      <w:pPr>
        <w:ind w:left="4920"/>
        <w:spacing w:after="0" w:line="202" w:lineRule="auto"/>
        <w:rPr>
          <w:sz w:val="20"/>
          <w:szCs w:val="20"/>
          <w:color w:val="auto"/>
        </w:rPr>
      </w:pPr>
      <w:r>
        <w:rPr>
          <w:rFonts w:ascii="Arial" w:cs="Arial" w:eastAsia="Arial" w:hAnsi="Arial"/>
          <w:sz w:val="18"/>
          <w:szCs w:val="18"/>
          <w:color w:val="auto"/>
        </w:rPr>
        <w:t>100,000,000 Units</w:t>
      </w:r>
      <w:r>
        <w:rPr>
          <w:rFonts w:ascii="Arial" w:cs="Arial" w:eastAsia="Arial" w:hAnsi="Arial"/>
          <w:sz w:val="29"/>
          <w:szCs w:val="29"/>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[__],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Citigroup Global Markets Inc. is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 aggregate of 100,000,000 units (the “</w:t>
      </w:r>
      <w:r>
        <w:rPr>
          <w:rFonts w:ascii="Arial" w:cs="Arial" w:eastAsia="Arial" w:hAnsi="Arial"/>
          <w:sz w:val="18"/>
          <w:szCs w:val="18"/>
          <w:u w:val="single" w:color="auto"/>
          <w:color w:val="auto"/>
        </w:rPr>
        <w:t>Units</w:t>
      </w:r>
      <w:r>
        <w:rPr>
          <w:rFonts w:ascii="Arial" w:cs="Arial" w:eastAsia="Arial" w:hAnsi="Arial"/>
          <w:sz w:val="18"/>
          <w:szCs w:val="18"/>
          <w:color w:val="auto"/>
        </w:rPr>
        <w:t>”) of the Company (said Units to be issued and sold by the Company being hereinafter called the “</w:t>
      </w:r>
      <w:r>
        <w:rPr>
          <w:rFonts w:ascii="Arial" w:cs="Arial" w:eastAsia="Arial" w:hAnsi="Arial"/>
          <w:sz w:val="18"/>
          <w:szCs w:val="18"/>
          <w:u w:val="single" w:color="auto"/>
          <w:color w:val="auto"/>
        </w:rPr>
        <w:t>Underwritten Securities</w:t>
      </w:r>
      <w:r>
        <w:rPr>
          <w:rFonts w:ascii="Arial" w:cs="Arial" w:eastAsia="Arial" w:hAnsi="Arial"/>
          <w:sz w:val="18"/>
          <w:szCs w:val="18"/>
          <w:color w:val="auto"/>
        </w:rPr>
        <w:t>”) (the “</w:t>
      </w:r>
      <w:r>
        <w:rPr>
          <w:rFonts w:ascii="Arial" w:cs="Arial" w:eastAsia="Arial" w:hAnsi="Arial"/>
          <w:sz w:val="18"/>
          <w:szCs w:val="18"/>
          <w:u w:val="single" w:color="auto"/>
          <w:color w:val="auto"/>
        </w:rPr>
        <w:t>Offering</w:t>
      </w:r>
      <w:r>
        <w:rPr>
          <w:rFonts w:ascii="Arial" w:cs="Arial" w:eastAsia="Arial" w:hAnsi="Arial"/>
          <w:sz w:val="18"/>
          <w:szCs w:val="18"/>
          <w:color w:val="auto"/>
        </w:rPr>
        <w:t>”). The Company also proposes to grant to the Underwriters an option to purchase up to 15,000,000 additional Units to cover over-allotments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the Option Securities, together with the Underwritten Securities, being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To the extent there are no additional Underwriters listed on Schedule I other than you, the term Representative as used herein shall mean you, as Underwriter, and the term Underwriter shall mean either the singular or plural as the context requires. Certain capitalized terms used in this Agreement and not otherwise defined are defined in Section 22 hereof.</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Unit consists of one share of Class A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and one-fifth of one warrant, where each whole warrant entitles the holder to purchase one share of Common Stock (the “</w:t>
      </w:r>
      <w:r>
        <w:rPr>
          <w:rFonts w:ascii="Arial" w:cs="Arial" w:eastAsia="Arial" w:hAnsi="Arial"/>
          <w:sz w:val="16"/>
          <w:szCs w:val="16"/>
          <w:u w:val="single" w:color="auto"/>
          <w:color w:val="auto"/>
        </w:rPr>
        <w:t>Warrant(s)</w:t>
      </w:r>
      <w:r>
        <w:rPr>
          <w:rFonts w:ascii="Arial" w:cs="Arial" w:eastAsia="Arial" w:hAnsi="Arial"/>
          <w:sz w:val="16"/>
          <w:szCs w:val="16"/>
          <w:color w:val="auto"/>
        </w:rPr>
        <w:t>”). The Common Stock and the Warrants included in the Units will not trade separately until the 52nd day following the date of the Prospectus (as defined herein) unless the Representative informs the Company of its decision to allow earlier separate trading, subject to (a) the preparation of an audited balance sheet of the Company reflecting receipt by the Company of the proceeds of the Offering, (b) the filing by the Company of such audited balance sheet with the Commission on a Current Report on Form 8-K (the “</w:t>
      </w:r>
      <w:r>
        <w:rPr>
          <w:rFonts w:ascii="Arial" w:cs="Arial" w:eastAsia="Arial" w:hAnsi="Arial"/>
          <w:sz w:val="16"/>
          <w:szCs w:val="16"/>
          <w:u w:val="single" w:color="auto"/>
          <w:color w:val="auto"/>
        </w:rPr>
        <w:t>Closing Form 8-K</w:t>
      </w:r>
      <w:r>
        <w:rPr>
          <w:rFonts w:ascii="Arial" w:cs="Arial" w:eastAsia="Arial" w:hAnsi="Arial"/>
          <w:sz w:val="16"/>
          <w:szCs w:val="16"/>
          <w:color w:val="auto"/>
        </w:rPr>
        <w:t>”) and (c) the issuance by the Company of a press release announcing when such separate trading will begin. Each whole Warrant entitles its holder, upon exercise, to purchase one share of Common Stock for $11.50, subject to certain adjustments, during the period commencing on the later of thirty (30) days after the completion by the Company of its Initial Business Combination (as defined below) and twelve (12) months from the date of the consummation of the Offering and terminating on the five-year anniversary of the completion by the Company of its Initial Business Combination or earlier upon redemption or liquidation of the Trust Account (as defined herein). As used herein, the term “</w:t>
      </w:r>
      <w:r>
        <w:rPr>
          <w:rFonts w:ascii="Arial" w:cs="Arial" w:eastAsia="Arial" w:hAnsi="Arial"/>
          <w:sz w:val="16"/>
          <w:szCs w:val="16"/>
          <w:u w:val="single" w:color="auto"/>
          <w:color w:val="auto"/>
        </w:rPr>
        <w:t>Initial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(as described more fully in the Registration Statement) shall mean any merger, capital stock exchange, asset acquisition, stock purchase, reorganization or other similar business combination with one or more businesses or entities (collectively, a “</w:t>
      </w:r>
      <w:r>
        <w:rPr>
          <w:rFonts w:ascii="Arial" w:cs="Arial" w:eastAsia="Arial" w:hAnsi="Arial"/>
          <w:sz w:val="16"/>
          <w:szCs w:val="16"/>
          <w:u w:val="single" w:color="auto"/>
          <w:color w:val="auto"/>
        </w:rPr>
        <w:t>Target Business</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Securities Subscription Agreement, dated May 22, 2020 (the “</w:t>
      </w:r>
      <w:r>
        <w:rPr>
          <w:rFonts w:ascii="Arial" w:cs="Arial" w:eastAsia="Arial" w:hAnsi="Arial"/>
          <w:sz w:val="17"/>
          <w:szCs w:val="17"/>
          <w:u w:val="single" w:color="auto"/>
          <w:color w:val="auto"/>
        </w:rPr>
        <w:t>Securities Subscription Agreement</w:t>
      </w:r>
      <w:r>
        <w:rPr>
          <w:rFonts w:ascii="Arial" w:cs="Arial" w:eastAsia="Arial" w:hAnsi="Arial"/>
          <w:sz w:val="17"/>
          <w:szCs w:val="17"/>
          <w:color w:val="auto"/>
        </w:rPr>
        <w:t>”), the Company issued to Churchill Sponsor IV LLC (f/k/a Annetta Sponsor LLC) (the “</w:t>
      </w:r>
      <w:r>
        <w:rPr>
          <w:rFonts w:ascii="Arial" w:cs="Arial" w:eastAsia="Arial" w:hAnsi="Arial"/>
          <w:sz w:val="17"/>
          <w:szCs w:val="17"/>
          <w:u w:val="single" w:color="auto"/>
          <w:color w:val="auto"/>
        </w:rPr>
        <w:t>Sponsor</w:t>
      </w:r>
      <w:r>
        <w:rPr>
          <w:rFonts w:ascii="Arial" w:cs="Arial" w:eastAsia="Arial" w:hAnsi="Arial"/>
          <w:sz w:val="17"/>
          <w:szCs w:val="17"/>
          <w:color w:val="auto"/>
        </w:rPr>
        <w:t>”) an aggregate of 21,562,500 shares of Class B common stock, par value $0.0001 per share (such shares, as well as the shares of Common Stock issuable upon conversion thereof, where applicable, the “</w:t>
      </w:r>
      <w:r>
        <w:rPr>
          <w:rFonts w:ascii="Arial" w:cs="Arial" w:eastAsia="Arial" w:hAnsi="Arial"/>
          <w:sz w:val="17"/>
          <w:szCs w:val="17"/>
          <w:u w:val="single" w:color="auto"/>
          <w:color w:val="auto"/>
        </w:rPr>
        <w:t>Founder Shares</w:t>
      </w:r>
      <w:r>
        <w:rPr>
          <w:rFonts w:ascii="Arial" w:cs="Arial" w:eastAsia="Arial" w:hAnsi="Arial"/>
          <w:sz w:val="17"/>
          <w:szCs w:val="17"/>
          <w:color w:val="auto"/>
        </w:rPr>
        <w:t>”) in a private placement for an aggregate purchase price of $25,000 in cash. On July 14, 2020, the Company effected a stock dividend of one-third of a Founder Share for each outstanding Founder Share, resulting in the Sponsor holding an aggregate of 28,750,000 Founder Shares. Up to 3,750,000 of the Founder Shares are subject to forfeiture to the extent the Underwriters do not exercise their over-allotment option.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entered into a Private Placement Warrants Purchase Agreement, dated as of the date hereof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the Sponsor, a form of which is filed as an exhibit to the Registration Statement, pursuant to which the Sponsor has agreed to purchase from the Company an aggregate of 21,250,000 warrants (or up to 24,250,000 warrants depending on the extent to which the Underwriters exercise their right to purchase Option Securities), each entitling the holder to purchase one share of Common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at a price of $1.00 per warrant ($21,250,000 in the aggregate, or $24,250,000 in the aggregate if the Underwriters exercise their right to purchase Option Securities in full) in a private placement that will occur simultaneously with the consummation of the Offering. The Private Placement Warrants are substantially similar to the Warrants included in the Units, except as described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7830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97"/>
        </w:numPr>
        <w:rPr>
          <w:rFonts w:ascii="Arial" w:cs="Arial" w:eastAsia="Arial" w:hAnsi="Arial"/>
          <w:sz w:val="30"/>
          <w:szCs w:val="30"/>
          <w:color w:val="auto"/>
          <w:vertAlign w:val="superscript"/>
        </w:rPr>
      </w:pPr>
      <w:r>
        <w:rPr>
          <w:rFonts w:ascii="Arial" w:cs="Arial" w:eastAsia="Arial" w:hAnsi="Arial"/>
          <w:sz w:val="18"/>
          <w:szCs w:val="18"/>
          <w:color w:val="auto"/>
        </w:rPr>
        <w:t>Plus an option to purchase from the Company up to 15,000,000 additional Units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both"/>
        <w:ind w:firstLine="648"/>
        <w:spacing w:after="0" w:line="255" w:lineRule="auto"/>
        <w:rPr>
          <w:sz w:val="20"/>
          <w:szCs w:val="20"/>
          <w:color w:val="auto"/>
        </w:rPr>
      </w:pPr>
      <w:r>
        <w:rPr>
          <w:rFonts w:ascii="Arial" w:cs="Arial" w:eastAsia="Arial" w:hAnsi="Arial"/>
          <w:sz w:val="18"/>
          <w:szCs w:val="18"/>
          <w:color w:val="auto"/>
        </w:rPr>
        <w:t>The Company has entered into a Warrant Agreement, dated as of the date hereof, with respect to the Warrants, the Private Placement Warrants and certain warrants that may be issued to the Company’s executive officers or directors, the Sponsor or their permitted transferees or affiliates upon conversion of working capital loans made to the Company (the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with Continental Stock Transfer &amp; Trust Company, as warrant agent, in substantially the form filed as an exhibit to the Registration Statement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pursuant to which Continental Stock Transfer &amp; Trust Company will act as warrant agent in connection with the issuance, registration, transfer, exchange, redemption and exercise of the Warrants, Private Placement Warrants and Working Capital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entered into an Investment Management Trust Agreement, dated as of the date hereof, with Continental Stock Transfer &amp; Trust Company,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in substantially the form filed as an exhibit to the Registration Statement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pursuant to which the proceeds from the sale of the Private Placement Warrants and certain proceeds of the Offering will be deposited and held in a trust account (the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for the benefit of the Company, the Underwriters and holders of the Securities.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issued a non-interest bearing, unsecured promissory note for an aggregate amount of $600,000 to the Sponsor in substantially the form filed as an exhibit to the Registration Statement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in exchange for the payment of the equivalent amount by the Sponsor to the Company. These monies have been used to cover expenses relating to the Offering. The Promissory Note will be payable on the earlier to occur of December 31, 2020, the date of the consummation of the Offering or the abandonment of the Offering.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a Registration Rights Agreement, dated as of the date hereof, in substantially the form filed as an exhibit to the Registration Statement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the Company has granted certain registration rights in respect of the Founder Shares, the Private Placement Warrants and the Working Capital Warrants (and any shares of Common Stock issuable upon exercise of the Private Placement Warrants or the Working Capital Warrants and upon the conversion of the Founder Shares).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caused the Sponsor and each of the Company’s directors, director nominees, and executive officers to enter into a letter agreement, in substantially the form filed as an exhibit to the Registration Statement (the “</w:t>
      </w:r>
      <w:r>
        <w:rPr>
          <w:rFonts w:ascii="Arial" w:cs="Arial" w:eastAsia="Arial" w:hAnsi="Arial"/>
          <w:sz w:val="18"/>
          <w:szCs w:val="18"/>
          <w:u w:val="single" w:color="auto"/>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an Administrative Services Agreement, dated as of the date hereof, with an affiliate of the Sponsor, in substantially the form filed as an exhibit to the Registration Statement (the “</w:t>
      </w:r>
      <w:r>
        <w:rPr>
          <w:rFonts w:ascii="Arial" w:cs="Arial" w:eastAsia="Arial" w:hAnsi="Arial"/>
          <w:sz w:val="16"/>
          <w:szCs w:val="16"/>
          <w:u w:val="single" w:color="auto"/>
          <w:color w:val="auto"/>
        </w:rPr>
        <w:t>Administrative Services Agreement</w:t>
      </w:r>
      <w:r>
        <w:rPr>
          <w:rFonts w:ascii="Arial" w:cs="Arial" w:eastAsia="Arial" w:hAnsi="Arial"/>
          <w:sz w:val="16"/>
          <w:szCs w:val="16"/>
          <w:color w:val="auto"/>
        </w:rPr>
        <w:t>”), pursuant to which the Company will pay to such affiliate of the Sponsor an aggregate monthly fee of $50,000 for certain office space, utilities and secretarial and administrative support from the date that the Units are first listed on the NYSE until the earlier of the consummation of an initial Business Combination and the Company’s liquidation.</w:t>
      </w:r>
    </w:p>
    <w:p>
      <w:pPr>
        <w:spacing w:after="0" w:line="157" w:lineRule="exact"/>
        <w:rPr>
          <w:sz w:val="20"/>
          <w:szCs w:val="20"/>
          <w:color w:val="auto"/>
        </w:rPr>
      </w:pPr>
    </w:p>
    <w:p>
      <w:pPr>
        <w:ind w:left="1640" w:hanging="984"/>
        <w:spacing w:after="0"/>
        <w:tabs>
          <w:tab w:leader="none" w:pos="1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as set forth below in this Section 1(a).</w:t>
      </w:r>
    </w:p>
    <w:p>
      <w:pPr>
        <w:spacing w:after="0" w:line="225" w:lineRule="exact"/>
        <w:rPr>
          <w:rFonts w:ascii="Arial" w:cs="Arial" w:eastAsia="Arial" w:hAnsi="Arial"/>
          <w:sz w:val="18"/>
          <w:szCs w:val="18"/>
          <w:color w:val="auto"/>
        </w:rPr>
      </w:pPr>
    </w:p>
    <w:p>
      <w:pPr>
        <w:jc w:val="both"/>
        <w:ind w:left="660" w:firstLine="1292"/>
        <w:spacing w:after="0" w:line="288" w:lineRule="auto"/>
        <w:tabs>
          <w:tab w:leader="none" w:pos="2251" w:val="left"/>
        </w:tabs>
        <w:numPr>
          <w:ilvl w:val="2"/>
          <w:numId w:val="98"/>
        </w:numPr>
        <w:rPr>
          <w:rFonts w:ascii="Arial" w:cs="Arial" w:eastAsia="Arial" w:hAnsi="Arial"/>
          <w:sz w:val="16"/>
          <w:szCs w:val="16"/>
          <w:color w:val="auto"/>
        </w:rPr>
      </w:pP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The Company has prepared and filed with the Commission the Registration Statement (file number 333-[__])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the Representative. The Company will file with the Commission the Prospectus in accordance with Rule 424(b). As filed, such Prospectus shall contain all information required by the Act and, except to the extent the Representative shall agree in writing to a modification, shall be in all substantive respects in the form furnished to the Representative prior to the Execution Time or, to the extent not completed at the Execution Time, shall contain only such specific additional information and other changes (beyond that contained in the Statutory Prospectus) as the Company has advised the Representative, prior to the Execution Time, will be included or made therein. The Company has complied to the Commission’s satisfaction with all requests of the Commission for additional or supplemental information.</w:t>
      </w:r>
    </w:p>
    <w:p>
      <w:pPr>
        <w:spacing w:after="0" w:line="168" w:lineRule="exact"/>
        <w:rPr>
          <w:rFonts w:ascii="Arial" w:cs="Arial" w:eastAsia="Arial" w:hAnsi="Arial"/>
          <w:sz w:val="16"/>
          <w:szCs w:val="16"/>
          <w:color w:val="auto"/>
        </w:rPr>
      </w:pPr>
    </w:p>
    <w:p>
      <w:pPr>
        <w:jc w:val="both"/>
        <w:ind w:left="660" w:firstLine="1292"/>
        <w:spacing w:after="0" w:line="287" w:lineRule="auto"/>
        <w:tabs>
          <w:tab w:leader="none" w:pos="2224" w:val="left"/>
        </w:tabs>
        <w:numPr>
          <w:ilvl w:val="2"/>
          <w:numId w:val="98"/>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On the Effective Date, the Registration Statement did, and when the Prospectus is first filed in accordance with Rule 424(b) and on the Closing Date (as defined herein) and on any date on which Option Securities are purchased, if such date is not the Closing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 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left="-460" w:firstLine="1292"/>
        <w:spacing w:after="0" w:line="271" w:lineRule="auto"/>
        <w:tabs>
          <w:tab w:leader="none" w:pos="109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Execution Time</w:t>
      </w:r>
      <w:r>
        <w:rPr>
          <w:rFonts w:ascii="Arial" w:cs="Arial" w:eastAsia="Arial" w:hAnsi="Arial"/>
          <w:sz w:val="17"/>
          <w:szCs w:val="17"/>
          <w:color w:val="auto"/>
        </w:rPr>
        <w:t xml:space="preserve">. 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representations or warranties as to the information contained in or omitted from the Statutory Prospectus in reliance upon and in conformity with information furnished in writing to the Company by or on behalf of any Underwriter through the Representative specifically for inclusion in the Statutory Prospectus, it being understood and agreed that the only such information furnished by or on behalf of any Underwriter consists of the information described as such in Section 8(b) hereof.</w:t>
      </w:r>
    </w:p>
    <w:p>
      <w:pPr>
        <w:spacing w:after="0" w:line="178" w:lineRule="exact"/>
        <w:rPr>
          <w:rFonts w:ascii="Arial" w:cs="Arial" w:eastAsia="Arial" w:hAnsi="Arial"/>
          <w:sz w:val="17"/>
          <w:szCs w:val="17"/>
          <w:color w:val="auto"/>
        </w:rPr>
      </w:pPr>
    </w:p>
    <w:p>
      <w:pPr>
        <w:jc w:val="both"/>
        <w:ind w:left="-460" w:firstLine="1292"/>
        <w:spacing w:after="0" w:line="255" w:lineRule="auto"/>
        <w:tabs>
          <w:tab w:leader="none" w:pos="109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Compliance with Exchange Act</w:t>
      </w:r>
      <w:r>
        <w:rPr>
          <w:rFonts w:ascii="Arial" w:cs="Arial" w:eastAsia="Arial" w:hAnsi="Arial"/>
          <w:sz w:val="18"/>
          <w:szCs w:val="18"/>
          <w:color w:val="auto"/>
        </w:rPr>
        <w:t>. The Company has filed with the Commission a Form 8-A (file number 001-[__]) providing for the registration under the Exchange Act of the Securities, the Common Stock included as part of the Securities and the Warrants included as part of the Securities. The registration of such securities under the Exchange Act has been declared effective by the Commission on or prior to the date of this Agreement. The Securities have been authorized for listing, subject to official notice of issuance and evidence of satisfactory distribution, on the New York Stock Exchange, and the Company knows of no reason or set of facts that is likely to adversely affect such authorization.</w:t>
      </w:r>
    </w:p>
    <w:p>
      <w:pPr>
        <w:spacing w:after="0" w:line="192" w:lineRule="exact"/>
        <w:rPr>
          <w:rFonts w:ascii="Arial" w:cs="Arial" w:eastAsia="Arial" w:hAnsi="Arial"/>
          <w:sz w:val="18"/>
          <w:szCs w:val="18"/>
          <w:color w:val="auto"/>
        </w:rPr>
      </w:pPr>
    </w:p>
    <w:p>
      <w:pPr>
        <w:jc w:val="both"/>
        <w:ind w:left="-460" w:firstLine="1292"/>
        <w:spacing w:after="0" w:line="259"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Company’s knowledge, any state regulatory authority has issued any order or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w:t>
      </w:r>
    </w:p>
    <w:p>
      <w:pPr>
        <w:spacing w:after="0" w:line="186" w:lineRule="exact"/>
        <w:rPr>
          <w:rFonts w:ascii="Arial" w:cs="Arial" w:eastAsia="Arial" w:hAnsi="Arial"/>
          <w:sz w:val="18"/>
          <w:szCs w:val="18"/>
          <w:color w:val="auto"/>
        </w:rPr>
      </w:pPr>
    </w:p>
    <w:p>
      <w:pPr>
        <w:jc w:val="both"/>
        <w:ind w:left="-460" w:firstLine="1292"/>
        <w:spacing w:after="0" w:line="269" w:lineRule="auto"/>
        <w:tabs>
          <w:tab w:leader="none" w:pos="109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the Statutory Prospectus or the Prospectus, or to be filed as an exhibit to the Registration Statement, which is not described or filed as required (and the Statutory Prospectus contains in all material respects the same description of the foregoing matters contained in the Prospectus); and the statements in the Statutory Prospectus and the Prospectus under the headings “Principal Stockholders,”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185" w:lineRule="exact"/>
        <w:rPr>
          <w:rFonts w:ascii="Arial" w:cs="Arial" w:eastAsia="Arial" w:hAnsi="Arial"/>
          <w:sz w:val="17"/>
          <w:szCs w:val="17"/>
          <w:color w:val="auto"/>
        </w:rPr>
      </w:pPr>
    </w:p>
    <w:p>
      <w:pPr>
        <w:jc w:val="both"/>
        <w:ind w:left="-460" w:right="20" w:firstLine="1292"/>
        <w:spacing w:after="0" w:line="263"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Company’s authorized equity capitalization is as set forth in the Statutory Prospectus, the Registration Statement and the Prospectus. The share capital of the Company conforms in all material respects to the description thereof contained in the Statutory Prospectus, the Registration Statement and the Prospectus.</w:t>
      </w:r>
    </w:p>
    <w:p>
      <w:pPr>
        <w:spacing w:after="0" w:line="183" w:lineRule="exact"/>
        <w:rPr>
          <w:rFonts w:ascii="Arial" w:cs="Arial" w:eastAsia="Arial" w:hAnsi="Arial"/>
          <w:sz w:val="18"/>
          <w:szCs w:val="18"/>
          <w:color w:val="auto"/>
        </w:rPr>
      </w:pPr>
    </w:p>
    <w:p>
      <w:pPr>
        <w:jc w:val="both"/>
        <w:ind w:left="-460" w:firstLine="1292"/>
        <w:spacing w:after="0" w:line="269" w:lineRule="auto"/>
        <w:tabs>
          <w:tab w:leader="none" w:pos="1104"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Outstanding Securities</w:t>
      </w:r>
      <w:r>
        <w:rPr>
          <w:rFonts w:ascii="Arial" w:cs="Arial" w:eastAsia="Arial" w:hAnsi="Arial"/>
          <w:sz w:val="17"/>
          <w:szCs w:val="17"/>
          <w:color w:val="auto"/>
        </w:rPr>
        <w:t>. 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shares of Common Stock and Warrants were at all relevant times either registered under the Act, the applicable state securities and blue sky laws or, based in part on the representations and warranties of the purchasers of such shares of Common Stock and Warrants, exempt from such registration requirements. The holders of outstanding securities of the Company are not entitled to preemptive or other rights to subscribe for the Securities arising by operation of law or under the Company’s Amended and Restated Certificate of Incorporation (as amended from time to time, the “</w:t>
      </w:r>
      <w:r>
        <w:rPr>
          <w:rFonts w:ascii="Arial" w:cs="Arial" w:eastAsia="Arial" w:hAnsi="Arial"/>
          <w:sz w:val="17"/>
          <w:szCs w:val="17"/>
          <w:u w:val="single" w:color="auto"/>
          <w:color w:val="auto"/>
        </w:rPr>
        <w:t>Amended and Restated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except as set forth in the Registration Statement, the Statutory Prospectus and the Prospectus, no options, warrants or other rights to purchase, agreements or other obligations to issue, or rights to convert any obligations into or exchange any securities for, shares or other ownership interests in the Company are outstanding.</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4" w:name="page185"/>
    <w:bookmarkEnd w:id="184"/>
    <w:p>
      <w:pPr>
        <w:ind w:left="1540" w:hanging="248"/>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Securities Sold Pursuant to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0" w:firstLine="1300"/>
        <w:spacing w:after="0" w:line="277" w:lineRule="auto"/>
        <w:tabs>
          <w:tab w:leader="none" w:pos="22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issued and delivered against payment therefor by the Underwriters pursuant to this Agreement, will be validly issued.</w:t>
      </w:r>
    </w:p>
    <w:p>
      <w:pPr>
        <w:spacing w:after="0" w:line="170" w:lineRule="exact"/>
        <w:rPr>
          <w:rFonts w:ascii="Arial" w:cs="Arial" w:eastAsia="Arial" w:hAnsi="Arial"/>
          <w:sz w:val="18"/>
          <w:szCs w:val="18"/>
          <w:color w:val="auto"/>
        </w:rPr>
      </w:pPr>
    </w:p>
    <w:p>
      <w:pPr>
        <w:jc w:val="both"/>
        <w:ind w:left="640" w:firstLine="1300"/>
        <w:spacing w:after="0" w:line="301" w:lineRule="auto"/>
        <w:tabs>
          <w:tab w:leader="none" w:pos="22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shares of Common Stock included in the Securities have been duly authorized and, when issued and delivered against payment for the Securities by the Underwriters pursuant to this Agreement, will be validly issued, fully paid and non-assessable. The holders of such shares of Common Stock are not and will not be subject to personal liability by reason of being such holders; such shares of Common Stock are not and will not be subject to any preemptive or other similar contractual rights granted by the Company.</w:t>
      </w:r>
    </w:p>
    <w:p>
      <w:pPr>
        <w:spacing w:after="0" w:line="157" w:lineRule="exact"/>
        <w:rPr>
          <w:rFonts w:ascii="Arial" w:cs="Arial" w:eastAsia="Arial" w:hAnsi="Arial"/>
          <w:sz w:val="16"/>
          <w:szCs w:val="16"/>
          <w:color w:val="auto"/>
        </w:rPr>
      </w:pPr>
    </w:p>
    <w:p>
      <w:pPr>
        <w:jc w:val="both"/>
        <w:ind w:left="640" w:firstLine="1300"/>
        <w:spacing w:after="0" w:line="257" w:lineRule="auto"/>
        <w:tabs>
          <w:tab w:leader="none" w:pos="22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Warrants included in the Securities have been duly authorized and, when issued and delivered in the manner set forth in the Warrant Agreement against payment for the Securities by the Underwriters pursuant to this Agreement,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color w:val="auto"/>
        </w:rPr>
      </w:pPr>
    </w:p>
    <w:p>
      <w:pPr>
        <w:jc w:val="both"/>
        <w:ind w:left="640" w:firstLine="1300"/>
        <w:spacing w:after="0" w:line="257" w:lineRule="auto"/>
        <w:tabs>
          <w:tab w:leader="none" w:pos="225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shares of Common Stock issuable upon exercise of the Warrants included in the Securities have been duly authorized and reserved for issuance and, when issued and delivered against payment therefor pursuant to the Warrants and the Warrant Agreement, will be validly issued, fully paid and non-assessable. The holders of such shares of Common Stock are not and will not be subject to personal liability by reason of being such holders; such Shares of Common Stock are not and will not be subject to any preemptive or other similar contractual rights granted by the Company.</w:t>
      </w:r>
    </w:p>
    <w:p>
      <w:pPr>
        <w:spacing w:after="0" w:line="187" w:lineRule="exact"/>
        <w:rPr>
          <w:rFonts w:ascii="Arial" w:cs="Arial" w:eastAsia="Arial" w:hAnsi="Arial"/>
          <w:sz w:val="18"/>
          <w:szCs w:val="18"/>
          <w:color w:val="auto"/>
        </w:rPr>
      </w:pPr>
    </w:p>
    <w:p>
      <w:pPr>
        <w:jc w:val="both"/>
        <w:ind w:firstLine="1292"/>
        <w:spacing w:after="0" w:line="259" w:lineRule="auto"/>
        <w:tabs>
          <w:tab w:leader="none" w:pos="166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6" w:lineRule="exact"/>
        <w:rPr>
          <w:rFonts w:ascii="Arial" w:cs="Arial" w:eastAsia="Arial" w:hAnsi="Arial"/>
          <w:sz w:val="18"/>
          <w:szCs w:val="18"/>
          <w:color w:val="auto"/>
        </w:rPr>
      </w:pPr>
    </w:p>
    <w:p>
      <w:pPr>
        <w:ind w:left="1640" w:hanging="348"/>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right="20" w:firstLine="1300"/>
        <w:spacing w:after="0" w:line="263" w:lineRule="auto"/>
        <w:tabs>
          <w:tab w:leader="none" w:pos="21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or the Prospectus.</w:t>
      </w:r>
    </w:p>
    <w:p>
      <w:pPr>
        <w:spacing w:after="0" w:line="183" w:lineRule="exact"/>
        <w:rPr>
          <w:rFonts w:ascii="Arial" w:cs="Arial" w:eastAsia="Arial" w:hAnsi="Arial"/>
          <w:sz w:val="18"/>
          <w:szCs w:val="18"/>
          <w:color w:val="auto"/>
        </w:rPr>
      </w:pPr>
    </w:p>
    <w:p>
      <w:pPr>
        <w:ind w:left="640" w:right="20" w:firstLine="1300"/>
        <w:spacing w:after="0" w:line="342" w:lineRule="auto"/>
        <w:tabs>
          <w:tab w:leader="none" w:pos="22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Neither the Company nor any of its affiliates has, prior to the date hereof, made any offer or sale of any securities that are required to be “integrated” pursuant to the Act with the offer and sale of the Securities pursuant to the Registration Statement.</w:t>
      </w:r>
    </w:p>
    <w:p>
      <w:pPr>
        <w:spacing w:after="0" w:line="123" w:lineRule="exact"/>
        <w:rPr>
          <w:rFonts w:ascii="Arial" w:cs="Arial" w:eastAsia="Arial" w:hAnsi="Arial"/>
          <w:sz w:val="16"/>
          <w:szCs w:val="16"/>
          <w:color w:val="auto"/>
        </w:rPr>
      </w:pPr>
    </w:p>
    <w:p>
      <w:pPr>
        <w:jc w:val="both"/>
        <w:ind w:firstLine="1292"/>
        <w:spacing w:after="0" w:line="270" w:lineRule="auto"/>
        <w:tabs>
          <w:tab w:leader="none" w:pos="164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Securities Sold to Founders, Sponsor and Insiders</w:t>
      </w:r>
      <w:r>
        <w:rPr>
          <w:rFonts w:ascii="Arial" w:cs="Arial" w:eastAsia="Arial" w:hAnsi="Arial"/>
          <w:sz w:val="17"/>
          <w:szCs w:val="17"/>
          <w:color w:val="auto"/>
        </w:rPr>
        <w:t>. The Founder Shares have been duly authorized and are validly issued, fully paid and, except with respect to the forfeiture of certain Founder Shares as described in the Registration Statement upon the failure by the Underwriters to purchase any or all of the Option Securities, non-assessable. The Private Placement Warrants have been duly authorized and, when delivered upon the consummation of the Offering,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The shares of Common Stock issuable upon exercise of the Private Placement Warrants have been duly authorized and reserved for issuance and, when issued and delivered against payment therefor pursuant to the Private Placement Warrants Purchase Agreement, the Private Placement Warrants, and the Warrant Agreement will be validly issued, fully paid and non-assessable.</w:t>
      </w:r>
    </w:p>
    <w:p>
      <w:pPr>
        <w:spacing w:after="0" w:line="181"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Each of the Sponsor and the Company’s executive officers and directors have agreed to: (a) waive their redemption rights with respect to any Founder Shares and shares of Common Stock sold as part of the Units in the Offering (the “</w:t>
      </w:r>
      <w:r>
        <w:rPr>
          <w:rFonts w:ascii="Arial" w:cs="Arial" w:eastAsia="Arial" w:hAnsi="Arial"/>
          <w:sz w:val="16"/>
          <w:szCs w:val="16"/>
          <w:u w:val="single" w:color="auto"/>
          <w:color w:val="auto"/>
        </w:rPr>
        <w:t>Public Shares</w:t>
      </w:r>
      <w:r>
        <w:rPr>
          <w:rFonts w:ascii="Arial" w:cs="Arial" w:eastAsia="Arial" w:hAnsi="Arial"/>
          <w:sz w:val="16"/>
          <w:szCs w:val="16"/>
          <w:color w:val="auto"/>
        </w:rPr>
        <w:t>”) held by them in connection with the completion of an Initial Business Combination, (b) waive their redemption rights with respect to any Founder Shares and Public Shares held by them in connection with a stockholder vote to approve an amendment to the Amended and Restated Certificate of Incorporation to modify the substance or timing of the Company’s obligation to provide for the redemption of the Public Shares in connection with an Initial Business Combination or to redeem 100% of its Public Shares if the Company has not consummated an Initial Business Combination within the time period set forth in the Amended and Restated Certificate of Incorporation; (c) waive their rights to liquidating distributions from the Trust Account with respect to any Founder Shares held by them if the Company fails to complete an Initial Business Combination within the time period set forth in the Amended and Restated Certificate of Incorporation (although they will be entitled to liquidating distributions from the Trust Account with respect to any Public Shares held by them if the Company fails to complete an Initial Business Combination within the time period set forth in the Amended and Restated Certificate of Incorporation); and (d) vote any Founder Shares and any Public Shares held by them in favor of an initial Business Combination if the Company submits an Initial Business Combination to its public stockholders for a vote.</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5" w:name="page186"/>
    <w:bookmarkEnd w:id="185"/>
    <w:p>
      <w:pPr>
        <w:jc w:val="both"/>
        <w:ind w:left="-460" w:firstLine="1292"/>
        <w:spacing w:after="0" w:line="263" w:lineRule="auto"/>
        <w:tabs>
          <w:tab w:leader="none" w:pos="118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Due Incorporation; Power and Authority</w:t>
      </w:r>
      <w:r>
        <w:rPr>
          <w:rFonts w:ascii="Arial" w:cs="Arial" w:eastAsia="Arial" w:hAnsi="Arial"/>
          <w:sz w:val="18"/>
          <w:szCs w:val="18"/>
          <w:color w:val="auto"/>
        </w:rPr>
        <w:t>. The Company has been duly incorporated and is validly existing as a corporation in good standing under the laws of Delaware with full corporate power and authority to own or lease, as the case may be, and to operate its properties and conduct its business as described in the Statutory Prospectus and the Prospectus.</w:t>
      </w:r>
    </w:p>
    <w:p>
      <w:pPr>
        <w:spacing w:after="0" w:line="183" w:lineRule="exact"/>
        <w:rPr>
          <w:rFonts w:ascii="Arial" w:cs="Arial" w:eastAsia="Arial" w:hAnsi="Arial"/>
          <w:sz w:val="18"/>
          <w:szCs w:val="18"/>
          <w:color w:val="auto"/>
        </w:rPr>
      </w:pPr>
    </w:p>
    <w:p>
      <w:pPr>
        <w:ind w:left="1180" w:hanging="348"/>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Validity and Binding Effect of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1300"/>
        <w:spacing w:after="0" w:line="259" w:lineRule="auto"/>
        <w:tabs>
          <w:tab w:leader="none" w:pos="171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9" w:lineRule="auto"/>
        <w:tabs>
          <w:tab w:leader="none" w:pos="174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Trust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9" w:lineRule="auto"/>
        <w:tabs>
          <w:tab w:leader="none" w:pos="180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75" w:lineRule="auto"/>
        <w:tabs>
          <w:tab w:leader="none" w:pos="179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Private Placement Warrants Purchase Agreement has been duly authorized, executed and delivered by the Company and, to the Company’s knowledge, the Sponsor, and is a valid and binding agreement of the Company and, to the Company’s knowledge, the Sponsor, enforceable against the Company and, to the Company’s knowledge,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Arial" w:cs="Arial" w:eastAsia="Arial" w:hAnsi="Arial"/>
          <w:sz w:val="17"/>
          <w:szCs w:val="17"/>
          <w:color w:val="auto"/>
        </w:rPr>
      </w:pPr>
    </w:p>
    <w:p>
      <w:pPr>
        <w:jc w:val="both"/>
        <w:ind w:left="180" w:firstLine="1300"/>
        <w:spacing w:after="0" w:line="257" w:lineRule="auto"/>
        <w:tabs>
          <w:tab w:leader="none" w:pos="17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and except that the indemnification and contribution provisions of the Registration Rights Agreement may be unenforceable.</w:t>
      </w:r>
    </w:p>
    <w:p>
      <w:pPr>
        <w:spacing w:after="0" w:line="187" w:lineRule="exact"/>
        <w:rPr>
          <w:rFonts w:ascii="Arial" w:cs="Arial" w:eastAsia="Arial" w:hAnsi="Arial"/>
          <w:sz w:val="18"/>
          <w:szCs w:val="18"/>
          <w:color w:val="auto"/>
        </w:rPr>
      </w:pPr>
    </w:p>
    <w:p>
      <w:pPr>
        <w:jc w:val="both"/>
        <w:ind w:left="180" w:firstLine="1300"/>
        <w:spacing w:after="0" w:line="259" w:lineRule="auto"/>
        <w:tabs>
          <w:tab w:leader="none" w:pos="178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Administrative Services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5" w:lineRule="auto"/>
        <w:tabs>
          <w:tab w:leader="none" w:pos="184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the knowledge of the Company, the Insider Letter has been duly authorized, executed and delivered by the Sponsor and each of the Company’s directors and executive officers, respectively, and is a valid and binding agreement of the Sponsor and each of the Company’s directors and executive officers respectively, enforceable against the Sponsor and each of the Company’s directors and executive officers,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92" w:lineRule="exact"/>
        <w:rPr>
          <w:rFonts w:ascii="Arial" w:cs="Arial" w:eastAsia="Arial" w:hAnsi="Arial"/>
          <w:sz w:val="18"/>
          <w:szCs w:val="18"/>
          <w:color w:val="auto"/>
        </w:rPr>
      </w:pPr>
    </w:p>
    <w:p>
      <w:pPr>
        <w:jc w:val="both"/>
        <w:ind w:left="180" w:firstLine="1300"/>
        <w:spacing w:after="0" w:line="259" w:lineRule="auto"/>
        <w:tabs>
          <w:tab w:leader="none" w:pos="188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Securities Subscription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6" w:name="page187"/>
    <w:bookmarkEnd w:id="186"/>
    <w:p>
      <w:pPr>
        <w:jc w:val="both"/>
        <w:ind w:left="-460" w:firstLine="1292"/>
        <w:spacing w:after="0" w:line="273" w:lineRule="auto"/>
        <w:tabs>
          <w:tab w:leader="none" w:pos="118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Consents, Approvals, Etc</w:t>
      </w:r>
      <w:r>
        <w:rPr>
          <w:rFonts w:ascii="Arial" w:cs="Arial" w:eastAsia="Arial" w:hAnsi="Arial"/>
          <w:sz w:val="17"/>
          <w:szCs w:val="17"/>
          <w:color w:val="auto"/>
        </w:rPr>
        <w:t>. No consent, approval, authorization, filing with or order of any court or governmental agency or body is required in connection with the transactions contemplated herein or in the Trust Agreement, the Warrant Agreement, the Securities Subscription Agreement, the Private Placement Warrants Purchase Agreement, the Registration Rights Agreement, or the Insider Letter, except for the registration under the Act and the Exchange Act of the Securities, and such as may be required under the state securities or blue sky laws of any jurisdiction in connection with the purchase and distribution of the Securities by the Underwriters in the manner contemplated herein and in the Registration Statement, Statutory Prospectus and the Prospectus.</w:t>
      </w:r>
    </w:p>
    <w:p>
      <w:pPr>
        <w:spacing w:after="0" w:line="177" w:lineRule="exact"/>
        <w:rPr>
          <w:rFonts w:ascii="Arial" w:cs="Arial" w:eastAsia="Arial" w:hAnsi="Arial"/>
          <w:sz w:val="17"/>
          <w:szCs w:val="17"/>
          <w:color w:val="auto"/>
        </w:rPr>
      </w:pPr>
    </w:p>
    <w:p>
      <w:pPr>
        <w:jc w:val="both"/>
        <w:ind w:left="-460" w:firstLine="1292"/>
        <w:spacing w:after="0" w:line="268" w:lineRule="auto"/>
        <w:tabs>
          <w:tab w:leader="none" w:pos="118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Breach or Violation</w:t>
      </w:r>
      <w:r>
        <w:rPr>
          <w:rFonts w:ascii="Arial" w:cs="Arial" w:eastAsia="Arial" w:hAnsi="Arial"/>
          <w:sz w:val="17"/>
          <w:szCs w:val="17"/>
          <w:color w:val="auto"/>
        </w:rPr>
        <w:t>. Neither the issue and sale of the Securities nor the consummation of any other of the transactions herein contemplated nor the fulfillment of the terms hereof or of the Trust Agreement, the Warrant Agreement, the Securities Subscription Agreement, the Private Placement Warrants Purchase Agreement, the Registration Rights Agreement, Administrative Services Agreement, or the Insider Letter will conflict with, result in a breach or violation of, or imposition of any lien, charge or encumbrance upon any property or assets of the Company pursuant to (i) the Amended and Restated Certificate of Incorporation,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 and that would not, individually or in the aggregate, have a Material Adverse Effect on the ability of the Underwriters to consummate the transactions contemplated by this Agreement.</w:t>
      </w:r>
    </w:p>
    <w:p>
      <w:pPr>
        <w:spacing w:after="0" w:line="186" w:lineRule="exact"/>
        <w:rPr>
          <w:rFonts w:ascii="Arial" w:cs="Arial" w:eastAsia="Arial" w:hAnsi="Arial"/>
          <w:sz w:val="17"/>
          <w:szCs w:val="17"/>
          <w:color w:val="auto"/>
        </w:rPr>
      </w:pPr>
    </w:p>
    <w:p>
      <w:pPr>
        <w:jc w:val="both"/>
        <w:ind w:left="-460" w:firstLine="1292"/>
        <w:spacing w:after="0" w:line="273" w:lineRule="auto"/>
        <w:tabs>
          <w:tab w:leader="none" w:pos="118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Conflicts, Etc</w:t>
      </w:r>
      <w:r>
        <w:rPr>
          <w:rFonts w:ascii="Arial" w:cs="Arial" w:eastAsia="Arial" w:hAnsi="Arial"/>
          <w:sz w:val="17"/>
          <w:szCs w:val="17"/>
          <w:color w:val="auto"/>
        </w:rPr>
        <w:t>. The Company is not in violation or default of (i) any provision of its Amended and Restated Certificate of Incorporation, (ii) the terms of any indenture, contract, lease, mortgage, deed of trust, note agreement, loan agreement or other agreement, obligation, condition, covenant or instrument to which it is a party or bound or to which its property is subject, or (iii) any statute, law, rule, regulation, or judgment, order or decree of any court, regulatory body, administrative agency, governmental body, arbitrator or other authority having jurisdiction over the Company; except in the case of clauses (ii) and (iii) above for any such conflict, breach or violation that would not, individually or in the aggregate, be reasonably expected to have a Material Adverse Effect.</w:t>
      </w:r>
    </w:p>
    <w:p>
      <w:pPr>
        <w:spacing w:after="0" w:line="177" w:lineRule="exact"/>
        <w:rPr>
          <w:rFonts w:ascii="Arial" w:cs="Arial" w:eastAsia="Arial" w:hAnsi="Arial"/>
          <w:sz w:val="17"/>
          <w:szCs w:val="17"/>
          <w:color w:val="auto"/>
        </w:rPr>
      </w:pPr>
    </w:p>
    <w:p>
      <w:pPr>
        <w:jc w:val="both"/>
        <w:ind w:left="-460" w:firstLine="1292"/>
        <w:spacing w:after="0" w:line="311" w:lineRule="auto"/>
        <w:tabs>
          <w:tab w:leader="none" w:pos="118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and, after giving effect to the Offering and the application of the proceeds thereof as described in the Statutory Prospectus and the Prospectus, will not be required to register as an “investment company” as defined in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the rules and regulations of the Commission thereunder.</w:t>
      </w:r>
    </w:p>
    <w:p>
      <w:pPr>
        <w:spacing w:after="0" w:line="148" w:lineRule="exact"/>
        <w:rPr>
          <w:rFonts w:ascii="Arial" w:cs="Arial" w:eastAsia="Arial" w:hAnsi="Arial"/>
          <w:sz w:val="16"/>
          <w:szCs w:val="16"/>
          <w:color w:val="auto"/>
        </w:rPr>
      </w:pPr>
    </w:p>
    <w:p>
      <w:pPr>
        <w:jc w:val="both"/>
        <w:ind w:left="-460" w:firstLine="1292"/>
        <w:spacing w:after="0" w:line="254" w:lineRule="auto"/>
        <w:tabs>
          <w:tab w:leader="none" w:pos="120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including the notes thereto and the supporting schedules, if any, of the Company included in the Statutory Prospectus, the Prospectus and the Registration Statement present fairly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There are no pro forma or as adjusted financial statements that are required to be included in the Statutory Prospectus, the Prospectus and the Registration Statement in accordance with Regulation S-X that have not been included as so required.</w:t>
      </w:r>
    </w:p>
    <w:p>
      <w:pPr>
        <w:spacing w:after="0" w:line="194" w:lineRule="exact"/>
        <w:rPr>
          <w:rFonts w:ascii="Arial" w:cs="Arial" w:eastAsia="Arial" w:hAnsi="Arial"/>
          <w:sz w:val="18"/>
          <w:szCs w:val="18"/>
          <w:color w:val="auto"/>
        </w:rPr>
      </w:pPr>
    </w:p>
    <w:p>
      <w:pPr>
        <w:jc w:val="both"/>
        <w:ind w:left="-460" w:firstLine="1292"/>
        <w:spacing w:after="0" w:line="259" w:lineRule="auto"/>
        <w:tabs>
          <w:tab w:leader="none" w:pos="123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19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Other Data</w:t>
      </w:r>
      <w:r>
        <w:rPr>
          <w:rFonts w:ascii="Arial" w:cs="Arial" w:eastAsia="Arial" w:hAnsi="Arial"/>
          <w:sz w:val="18"/>
          <w:szCs w:val="18"/>
          <w:color w:val="auto"/>
        </w:rPr>
        <w:t>. The statistical, industry-related and market-related data included in the Registration Statement, the Statutory Prospectus and the Prospectus, if any, are based on or derived from sources that the Company reasonably and in good faith believes are reliable and accurate, and such data agree with the sources from which they are derived.</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20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Marcum LLP (“</w:t>
      </w:r>
      <w:r>
        <w:rPr>
          <w:rFonts w:ascii="Arial" w:cs="Arial" w:eastAsia="Arial" w:hAnsi="Arial"/>
          <w:sz w:val="18"/>
          <w:szCs w:val="18"/>
          <w:u w:val="single" w:color="auto"/>
          <w:color w:val="auto"/>
        </w:rPr>
        <w:t>Marcum</w:t>
      </w:r>
      <w:r>
        <w:rPr>
          <w:rFonts w:ascii="Arial" w:cs="Arial" w:eastAsia="Arial" w:hAnsi="Arial"/>
          <w:sz w:val="18"/>
          <w:szCs w:val="18"/>
          <w:color w:val="auto"/>
        </w:rPr>
        <w:t>”) are independent public accountants with respect to the Company within the meaning of the Act and the applicable published rules and regulations thereunder and the Public Company Accounting Oversight Board (including the rules and regulations promulgated by such entity). Marcum has not, during the periods covered by the financial statements included in the Statutory Prospectus, the Prospectus and the Registration Statement, provided to the Company any non-audit services, as such term is used in Section 10A(g) of the Exchange Act.</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7" w:name="page188"/>
    <w:bookmarkEnd w:id="187"/>
    <w:p>
      <w:pPr>
        <w:ind w:firstLine="1292"/>
        <w:spacing w:after="0" w:line="277" w:lineRule="auto"/>
        <w:tabs>
          <w:tab w:leader="none" w:pos="165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maintains effective “disclosure controls and procedures” (as defined under Rule 13a-15(e) under the Exchange Act) to the extent required by such rule.</w:t>
      </w:r>
    </w:p>
    <w:p>
      <w:pPr>
        <w:spacing w:after="0" w:line="170" w:lineRule="exact"/>
        <w:rPr>
          <w:rFonts w:ascii="Arial" w:cs="Arial" w:eastAsia="Arial" w:hAnsi="Arial"/>
          <w:sz w:val="18"/>
          <w:szCs w:val="18"/>
          <w:color w:val="auto"/>
        </w:rPr>
      </w:pPr>
    </w:p>
    <w:p>
      <w:pPr>
        <w:jc w:val="both"/>
        <w:ind w:firstLine="1292"/>
        <w:spacing w:after="0" w:line="255" w:lineRule="auto"/>
        <w:tabs>
          <w:tab w:leader="none" w:pos="166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Solely to the extent that the Sarbanes-Oxley Act of 2002, as amended, and the rules and regulations promulgated by the Commission thereunder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 and is making commercially reasonable efforts to ensure that it will be in compliance with other provisions of the Sarbanes-Oxley Act not currently in effect or which will become applicable to the Company.</w:t>
      </w:r>
    </w:p>
    <w:p>
      <w:pPr>
        <w:spacing w:after="0" w:line="192" w:lineRule="exact"/>
        <w:rPr>
          <w:rFonts w:ascii="Arial" w:cs="Arial" w:eastAsia="Arial" w:hAnsi="Arial"/>
          <w:sz w:val="18"/>
          <w:szCs w:val="18"/>
          <w:color w:val="auto"/>
        </w:rPr>
      </w:pPr>
    </w:p>
    <w:p>
      <w:pPr>
        <w:jc w:val="both"/>
        <w:ind w:firstLine="1292"/>
        <w:spacing w:after="0" w:line="286" w:lineRule="auto"/>
        <w:tabs>
          <w:tab w:leader="none" w:pos="1641"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There are no transfer, stamp, issue, registration, documentary or 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w:t>
      </w:r>
    </w:p>
    <w:p>
      <w:pPr>
        <w:spacing w:after="0" w:line="165" w:lineRule="exact"/>
        <w:rPr>
          <w:rFonts w:ascii="Arial" w:cs="Arial" w:eastAsia="Arial" w:hAnsi="Arial"/>
          <w:sz w:val="17"/>
          <w:szCs w:val="17"/>
          <w:color w:val="auto"/>
        </w:rPr>
      </w:pPr>
    </w:p>
    <w:p>
      <w:pPr>
        <w:ind w:left="1640" w:hanging="348"/>
        <w:spacing w:after="0"/>
        <w:tabs>
          <w:tab w:leader="none" w:pos="16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The Company owns or leases all such properties as are necessary to the conduct of its operations as presently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conducted.</w:t>
      </w:r>
    </w:p>
    <w:p>
      <w:pPr>
        <w:spacing w:after="0" w:line="210" w:lineRule="exact"/>
        <w:rPr>
          <w:rFonts w:ascii="Arial" w:cs="Arial" w:eastAsia="Arial" w:hAnsi="Arial"/>
          <w:sz w:val="16"/>
          <w:szCs w:val="16"/>
          <w:color w:val="auto"/>
        </w:rPr>
      </w:pPr>
    </w:p>
    <w:p>
      <w:pPr>
        <w:jc w:val="both"/>
        <w:ind w:firstLine="1292"/>
        <w:spacing w:after="0" w:line="255" w:lineRule="auto"/>
        <w:tabs>
          <w:tab w:leader="none" w:pos="16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Litigation; Government Proceedings</w:t>
      </w:r>
      <w:r>
        <w:rPr>
          <w:rFonts w:ascii="Arial" w:cs="Arial" w:eastAsia="Arial" w:hAnsi="Arial"/>
          <w:sz w:val="18"/>
          <w:szCs w:val="18"/>
          <w:color w:val="auto"/>
        </w:rPr>
        <w:t>. No action, suit or proceeding by or before any court or governmental agency, authority or body or any arbitrator involving the Company, or to the Company’s knowledge, the Sponsor, or any executive officer or director of the Company,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Statutory Prospectus and the Prospectus (exclusive of any supplement thereto).</w:t>
      </w:r>
    </w:p>
    <w:p>
      <w:pPr>
        <w:spacing w:after="0" w:line="192" w:lineRule="exact"/>
        <w:rPr>
          <w:rFonts w:ascii="Arial" w:cs="Arial" w:eastAsia="Arial" w:hAnsi="Arial"/>
          <w:sz w:val="18"/>
          <w:szCs w:val="18"/>
          <w:color w:val="auto"/>
        </w:rPr>
      </w:pPr>
    </w:p>
    <w:p>
      <w:pPr>
        <w:jc w:val="both"/>
        <w:ind w:firstLine="1292"/>
        <w:spacing w:after="0" w:line="259" w:lineRule="auto"/>
        <w:tabs>
          <w:tab w:leader="none" w:pos="164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The Company has filed all U.S. federal, state, local and non-U.S. tax returns required to be filed through the date hereof and has paid all taxes required to be paid thereon, and no tax deficiency has been determined adversely to the Company (nor does the Company have any notice or knowledge of any tax deficiency which could reasonably be expected to be determined adversely to the Company), except in each case as would not reasonably be expected to have a Material Adverse Effect.</w:t>
      </w:r>
    </w:p>
    <w:p>
      <w:pPr>
        <w:spacing w:after="0" w:line="186" w:lineRule="exact"/>
        <w:rPr>
          <w:rFonts w:ascii="Arial" w:cs="Arial" w:eastAsia="Arial" w:hAnsi="Arial"/>
          <w:sz w:val="18"/>
          <w:szCs w:val="18"/>
          <w:color w:val="auto"/>
        </w:rPr>
      </w:pPr>
    </w:p>
    <w:p>
      <w:pPr>
        <w:jc w:val="both"/>
        <w:ind w:firstLine="1292"/>
        <w:spacing w:after="0" w:line="296" w:lineRule="auto"/>
        <w:tabs>
          <w:tab w:leader="none" w:pos="166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possesses all licenses, certificates, permits and other authorizations issued by the appropriate U.S. federal, state or foreign regulatory authorities necessary to conduct its business, and the Company has not received any notice of proceedings relating to the revocation or modification of any such license, certificate, authorization or permit which, singly or in the aggregate, would reasonably be expected to have a Material Adverse Effect, whether or not arising from transactions in the ordinary course of business, except as set forth in or contemplated in the Statutory Prospectus and the Prospectus (exclusive of any supplement thereto).</w:t>
      </w:r>
    </w:p>
    <w:p>
      <w:pPr>
        <w:spacing w:after="0" w:line="161" w:lineRule="exact"/>
        <w:rPr>
          <w:rFonts w:ascii="Arial" w:cs="Arial" w:eastAsia="Arial" w:hAnsi="Arial"/>
          <w:sz w:val="16"/>
          <w:szCs w:val="16"/>
          <w:color w:val="auto"/>
        </w:rPr>
      </w:pPr>
    </w:p>
    <w:p>
      <w:pPr>
        <w:jc w:val="both"/>
        <w:ind w:firstLine="1292"/>
        <w:spacing w:after="0" w:line="263" w:lineRule="auto"/>
        <w:tabs>
          <w:tab w:leader="none" w:pos="165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Stabilization</w:t>
      </w:r>
      <w:r>
        <w:rPr>
          <w:rFonts w:ascii="Arial" w:cs="Arial" w:eastAsia="Arial" w:hAnsi="Arial"/>
          <w:sz w:val="18"/>
          <w:szCs w:val="18"/>
          <w:color w:val="auto"/>
        </w:rPr>
        <w:t>.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1640" w:hanging="348"/>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Certain Regulatory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300"/>
        <w:spacing w:after="0" w:line="254" w:lineRule="auto"/>
        <w:tabs>
          <w:tab w:leader="none" w:pos="2178"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the Sponsor, nor, to the knowledge of the Company, any director, director nominee, executive officer, agent, employee, affiliate or other person acting on behalf of the Company or the Sponsor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has instituted and maintains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91" w:lineRule="exact"/>
        <w:rPr>
          <w:rFonts w:ascii="Arial" w:cs="Arial" w:eastAsia="Arial" w:hAnsi="Arial"/>
          <w:sz w:val="18"/>
          <w:szCs w:val="18"/>
          <w:color w:val="auto"/>
        </w:rPr>
      </w:pPr>
    </w:p>
    <w:p>
      <w:pPr>
        <w:jc w:val="both"/>
        <w:ind w:left="640" w:firstLine="1300"/>
        <w:spacing w:after="0" w:line="255" w:lineRule="auto"/>
        <w:tabs>
          <w:tab w:leader="none" w:pos="2201"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8" w:name="page189"/>
    <w:bookmarkEnd w:id="188"/>
    <w:p>
      <w:pPr>
        <w:jc w:val="both"/>
        <w:ind w:left="180" w:firstLine="1300"/>
        <w:spacing w:after="0" w:line="268" w:lineRule="auto"/>
        <w:tabs>
          <w:tab w:leader="none" w:pos="1791"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Neither the Company nor, to the knowledge of the Company, any Sponsor, any director, director nominee, executive officer, agent, employee or affiliate of the Company or any director, officer, agent, employee or affiliate of the Sponsor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or (iii) will (either directly or through the Trust Account), directly or indirectly, use the proceeds of the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4" w:lineRule="exact"/>
        <w:rPr>
          <w:rFonts w:ascii="Arial" w:cs="Arial" w:eastAsia="Arial" w:hAnsi="Arial"/>
          <w:sz w:val="17"/>
          <w:szCs w:val="17"/>
          <w:color w:val="auto"/>
        </w:rPr>
      </w:pPr>
    </w:p>
    <w:p>
      <w:pPr>
        <w:jc w:val="both"/>
        <w:ind w:left="180" w:firstLine="1300"/>
        <w:spacing w:after="0" w:line="270" w:lineRule="auto"/>
        <w:tabs>
          <w:tab w:leader="none" w:pos="1808"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Company or, to the knowledge of the Company, any Sponsor or any director, director nominee, executive officer, agent, employee or affiliate of the Company is a person that is, or is 50% or more owned or otherwise controlled by a person that is: (i) a Sanctioned Person; or (ii) located in, organized under the laws of or resident in a country or territory that is, or whose government is, the subject of Sanctions that broadly prohibit dealings with that country or territory (including, without limitation, the Crimea region, Cuba, Iran, North Korea, Sudan, and Syria). In the preceding three years, except as has been disclosed to the Underwriters or is not material to the analysis under any Sanctions, neither the Company nor any Sponsor has engaged in any dealings or transactions with or for the benefit of a Sanctioned Person, or with or in a Sanctioned Country, in the preceding 3 years, nor does the Company or any Sponsor have any plans to engage in dealings or transactions with or for the benefit of a Sanctioned Person, or with or in a Sanctioned Country.</w:t>
      </w:r>
    </w:p>
    <w:p>
      <w:pPr>
        <w:spacing w:after="0" w:line="180" w:lineRule="exact"/>
        <w:rPr>
          <w:rFonts w:ascii="Arial" w:cs="Arial" w:eastAsia="Arial" w:hAnsi="Arial"/>
          <w:sz w:val="17"/>
          <w:szCs w:val="17"/>
          <w:color w:val="auto"/>
        </w:rPr>
      </w:pPr>
    </w:p>
    <w:p>
      <w:pPr>
        <w:jc w:val="both"/>
        <w:ind w:left="180" w:firstLine="1300"/>
        <w:spacing w:after="0" w:line="279" w:lineRule="auto"/>
        <w:tabs>
          <w:tab w:leader="none" w:pos="1744"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Bank Secrecy Act; Money Laundering; Patriot Act</w:t>
      </w:r>
      <w:r>
        <w:rPr>
          <w:rFonts w:ascii="Arial" w:cs="Arial" w:eastAsia="Arial" w:hAnsi="Arial"/>
          <w:sz w:val="17"/>
          <w:szCs w:val="17"/>
          <w:color w:val="auto"/>
        </w:rPr>
        <w:t>. None of the Company, the Sponsor or any executive officer, director or director nominee of the Company has violated: (a) the Bank Secrecy Act, as amended, (b) the Money Laundering Laws, or (c) the Uniting and Strengthening of America by Providing Appropriate Tools Required to Intercept and Obstruct Terrorism (USA PATRIOT ACT) Act of 2001, and/or the rules and regulations promulgated under any such law, or any successor law.</w:t>
      </w:r>
    </w:p>
    <w:p>
      <w:pPr>
        <w:spacing w:after="0" w:line="171" w:lineRule="exact"/>
        <w:rPr>
          <w:rFonts w:ascii="Arial" w:cs="Arial" w:eastAsia="Arial" w:hAnsi="Arial"/>
          <w:sz w:val="17"/>
          <w:szCs w:val="17"/>
          <w:color w:val="auto"/>
        </w:rPr>
      </w:pPr>
    </w:p>
    <w:p>
      <w:pPr>
        <w:jc w:val="both"/>
        <w:ind w:left="-460" w:firstLine="1292"/>
        <w:spacing w:after="0" w:line="301" w:lineRule="auto"/>
        <w:tabs>
          <w:tab w:leader="none" w:pos="118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D&amp;O Questionnaires</w:t>
      </w:r>
      <w:r>
        <w:rPr>
          <w:rFonts w:ascii="Arial" w:cs="Arial" w:eastAsia="Arial" w:hAnsi="Arial"/>
          <w:sz w:val="16"/>
          <w:szCs w:val="16"/>
          <w:color w:val="auto"/>
        </w:rPr>
        <w:t>. To the Company’s knowledge, all information contained in the questionnaires (the “</w:t>
      </w:r>
      <w:r>
        <w:rPr>
          <w:rFonts w:ascii="Arial" w:cs="Arial" w:eastAsia="Arial" w:hAnsi="Arial"/>
          <w:sz w:val="16"/>
          <w:szCs w:val="16"/>
          <w:u w:val="single" w:color="auto"/>
          <w:color w:val="auto"/>
        </w:rPr>
        <w:t>Questionnaires</w:t>
      </w:r>
      <w:r>
        <w:rPr>
          <w:rFonts w:ascii="Arial" w:cs="Arial" w:eastAsia="Arial" w:hAnsi="Arial"/>
          <w:sz w:val="16"/>
          <w:szCs w:val="16"/>
          <w:color w:val="auto"/>
        </w:rPr>
        <w:t>”) completed by each of the Company’s executive officers, director nominees and directors and provided to the Underwriters is true and correct in all material respects and the Company has not become aware of any information which would cause the information disclosed in the Questionnaires completed by the Company’s executive officers, director nominees or directors to become inaccurate and incorrect in any material respect.</w:t>
      </w:r>
    </w:p>
    <w:p>
      <w:pPr>
        <w:spacing w:after="0" w:line="157" w:lineRule="exact"/>
        <w:rPr>
          <w:rFonts w:ascii="Arial" w:cs="Arial" w:eastAsia="Arial" w:hAnsi="Arial"/>
          <w:sz w:val="16"/>
          <w:szCs w:val="16"/>
          <w:color w:val="auto"/>
        </w:rPr>
      </w:pPr>
    </w:p>
    <w:p>
      <w:pPr>
        <w:jc w:val="both"/>
        <w:ind w:left="-460" w:firstLine="1292"/>
        <w:spacing w:after="0" w:line="263" w:lineRule="auto"/>
        <w:tabs>
          <w:tab w:leader="none" w:pos="122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Initial Business Combination</w:t>
      </w:r>
      <w:r>
        <w:rPr>
          <w:rFonts w:ascii="Arial" w:cs="Arial" w:eastAsia="Arial" w:hAnsi="Arial"/>
          <w:sz w:val="18"/>
          <w:szCs w:val="18"/>
          <w:color w:val="auto"/>
        </w:rPr>
        <w:t>. Except as disclosed in the Registration Statement, the Statutory Prospectus and the Prospectus, prior to the date hereof, the Company has not identified any business combination target and it has not, nor has anyone on its behalf, initiated any substantive discussions, directly or indirectly, with any business combination target.</w:t>
      </w:r>
    </w:p>
    <w:p>
      <w:pPr>
        <w:spacing w:after="0" w:line="183" w:lineRule="exact"/>
        <w:rPr>
          <w:rFonts w:ascii="Arial" w:cs="Arial" w:eastAsia="Arial" w:hAnsi="Arial"/>
          <w:sz w:val="18"/>
          <w:szCs w:val="18"/>
          <w:color w:val="auto"/>
        </w:rPr>
      </w:pPr>
    </w:p>
    <w:p>
      <w:pPr>
        <w:ind w:left="1180" w:hanging="348"/>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1300"/>
        <w:spacing w:after="0" w:line="293" w:lineRule="auto"/>
        <w:tabs>
          <w:tab w:leader="none" w:pos="170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Except as described in the Statutory Prospectus and the Prospectus, there are no claims, payments, arrangements, contracts, agreements or understandings relating to the payment of a brokerage commission or finder’s, consulting, origination or similar fee by the Company, the Sponsor or any executive officer, director nominee or director of the Company, or their respective affiliates, with respect to the sale of the Securities hereunder or any other arrangements, agreements or understandings of the Company or, to the knowledge of the Company, the Sponsor or any executive officer, director nominee or director of the Company, or their respective affiliates, that may affect the Underwriters’ compensation, as determined by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9" w:name="page190"/>
    <w:bookmarkEnd w:id="189"/>
    <w:p>
      <w:pPr>
        <w:jc w:val="both"/>
        <w:ind w:left="180" w:firstLine="1300"/>
        <w:spacing w:after="0" w:line="287" w:lineRule="auto"/>
        <w:tabs>
          <w:tab w:leader="none" w:pos="1754"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Company has not made any direct or indirect payments (in cash, securities or any other “item of value” as defined in Rule 5110(c)(3) of FINRA’s Conduct Rules) to: (i) any person, as a finder’s fee, consulting fee or otherwise, in consideration of such person raising capital for the Company or introducing to the Company persons who raised or provided capital to the Company;</w:t>
      </w:r>
    </w:p>
    <w:p>
      <w:pPr>
        <w:spacing w:after="0" w:line="2" w:lineRule="exact"/>
        <w:rPr>
          <w:rFonts w:ascii="Arial" w:cs="Arial" w:eastAsia="Arial" w:hAnsi="Arial"/>
          <w:sz w:val="16"/>
          <w:szCs w:val="16"/>
          <w:color w:val="auto"/>
        </w:rPr>
      </w:pPr>
    </w:p>
    <w:p>
      <w:pPr>
        <w:jc w:val="both"/>
        <w:ind w:left="180" w:firstLine="4"/>
        <w:spacing w:after="0" w:line="277" w:lineRule="auto"/>
        <w:tabs>
          <w:tab w:leader="none" w:pos="45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any person that, to the Company’s knowledge, has been accepted by FINRA as a member of FINRA (a “</w:t>
      </w:r>
      <w:r>
        <w:rPr>
          <w:rFonts w:ascii="Arial" w:cs="Arial" w:eastAsia="Arial" w:hAnsi="Arial"/>
          <w:sz w:val="17"/>
          <w:szCs w:val="17"/>
          <w:u w:val="single" w:color="auto"/>
          <w:color w:val="auto"/>
        </w:rPr>
        <w:t>Member</w:t>
      </w:r>
      <w:r>
        <w:rPr>
          <w:rFonts w:ascii="Arial" w:cs="Arial" w:eastAsia="Arial" w:hAnsi="Arial"/>
          <w:sz w:val="17"/>
          <w:szCs w:val="17"/>
          <w:color w:val="auto"/>
        </w:rPr>
        <w:t>”); or (iii) to any person or entity that, to the Company’s knowledge, has any direct or indirect affiliation or association with any Member, within the twelve months prior to the Effective Date, other than payments to the Underwriters pursuant to this Agreement.</w:t>
      </w:r>
    </w:p>
    <w:p>
      <w:pPr>
        <w:spacing w:after="0" w:line="172" w:lineRule="exact"/>
        <w:rPr>
          <w:rFonts w:ascii="Arial" w:cs="Arial" w:eastAsia="Arial" w:hAnsi="Arial"/>
          <w:sz w:val="17"/>
          <w:szCs w:val="17"/>
          <w:color w:val="auto"/>
        </w:rPr>
      </w:pPr>
    </w:p>
    <w:p>
      <w:pPr>
        <w:jc w:val="both"/>
        <w:ind w:left="180" w:firstLine="1300"/>
        <w:spacing w:after="0" w:line="286" w:lineRule="auto"/>
        <w:tabs>
          <w:tab w:leader="none" w:pos="1791" w:val="left"/>
        </w:tabs>
        <w:numPr>
          <w:ilvl w:val="2"/>
          <w:numId w:val="107"/>
        </w:numPr>
        <w:rPr>
          <w:rFonts w:ascii="Arial" w:cs="Arial" w:eastAsia="Arial" w:hAnsi="Arial"/>
          <w:sz w:val="17"/>
          <w:szCs w:val="17"/>
          <w:color w:val="auto"/>
        </w:rPr>
      </w:pPr>
      <w:r>
        <w:rPr>
          <w:rFonts w:ascii="Arial" w:cs="Arial" w:eastAsia="Arial" w:hAnsi="Arial"/>
          <w:sz w:val="17"/>
          <w:szCs w:val="17"/>
          <w:color w:val="auto"/>
        </w:rPr>
        <w:t>Except as described in the Statutory Prospectus and the Prospectus, during the period beginning 180 days prior to the initial filing of the Registration Statement and ending on the Effective Date, no Member and/or any person associated or affiliated with a Member has provided any investment banking, financial advisory and/or consulting services to the Company.</w:t>
      </w:r>
    </w:p>
    <w:p>
      <w:pPr>
        <w:spacing w:after="0" w:line="165" w:lineRule="exact"/>
        <w:rPr>
          <w:rFonts w:ascii="Arial" w:cs="Arial" w:eastAsia="Arial" w:hAnsi="Arial"/>
          <w:sz w:val="17"/>
          <w:szCs w:val="17"/>
          <w:color w:val="auto"/>
        </w:rPr>
      </w:pPr>
    </w:p>
    <w:p>
      <w:pPr>
        <w:jc w:val="both"/>
        <w:ind w:left="180" w:firstLine="1300"/>
        <w:spacing w:after="0" w:line="259" w:lineRule="auto"/>
        <w:tabs>
          <w:tab w:leader="none" w:pos="1781" w:val="left"/>
        </w:tabs>
        <w:numPr>
          <w:ilvl w:val="2"/>
          <w:numId w:val="107"/>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Representative, to the Company’s knowledge, no executive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u w:val="single" w:color="auto"/>
          <w:color w:val="auto"/>
        </w:rPr>
        <w:t>Company Affiliate</w:t>
      </w:r>
      <w:r>
        <w:rPr>
          <w:rFonts w:ascii="Arial" w:cs="Arial" w:eastAsia="Arial" w:hAnsi="Arial"/>
          <w:sz w:val="18"/>
          <w:szCs w:val="18"/>
          <w:color w:val="auto"/>
        </w:rPr>
        <w:t>”) is a Member or a person associated or affiliated with a Member.</w:t>
      </w:r>
    </w:p>
    <w:p>
      <w:pPr>
        <w:spacing w:after="0" w:line="186" w:lineRule="exact"/>
        <w:rPr>
          <w:rFonts w:ascii="Arial" w:cs="Arial" w:eastAsia="Arial" w:hAnsi="Arial"/>
          <w:sz w:val="18"/>
          <w:szCs w:val="18"/>
          <w:color w:val="auto"/>
        </w:rPr>
      </w:pPr>
    </w:p>
    <w:p>
      <w:pPr>
        <w:ind w:left="180" w:firstLine="1300"/>
        <w:spacing w:after="0" w:line="308" w:lineRule="auto"/>
        <w:tabs>
          <w:tab w:leader="none" w:pos="1731" w:val="left"/>
        </w:tabs>
        <w:numPr>
          <w:ilvl w:val="2"/>
          <w:numId w:val="107"/>
        </w:numPr>
        <w:rPr>
          <w:rFonts w:ascii="Arial" w:cs="Arial" w:eastAsia="Arial" w:hAnsi="Arial"/>
          <w:sz w:val="17"/>
          <w:szCs w:val="17"/>
          <w:color w:val="auto"/>
        </w:rPr>
      </w:pPr>
      <w:r>
        <w:rPr>
          <w:rFonts w:ascii="Arial" w:cs="Arial" w:eastAsia="Arial" w:hAnsi="Arial"/>
          <w:sz w:val="17"/>
          <w:szCs w:val="17"/>
          <w:color w:val="auto"/>
        </w:rPr>
        <w:t>Except as disclosed in the FINRA questionnaires provided to the Representative, to the Company’s knowledge, no Company Affiliate is an owner of stock or other securities of any Member (other than securities purchased on the open market).</w:t>
      </w:r>
    </w:p>
    <w:p>
      <w:pPr>
        <w:spacing w:after="0" w:line="146" w:lineRule="exact"/>
        <w:rPr>
          <w:rFonts w:ascii="Arial" w:cs="Arial" w:eastAsia="Arial" w:hAnsi="Arial"/>
          <w:sz w:val="17"/>
          <w:szCs w:val="17"/>
          <w:color w:val="auto"/>
        </w:rPr>
      </w:pPr>
    </w:p>
    <w:p>
      <w:pPr>
        <w:ind w:left="1800" w:hanging="320"/>
        <w:spacing w:after="0"/>
        <w:tabs>
          <w:tab w:leader="none" w:pos="180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To the knowledge of the Company after due inquiry, no Company Affiliate has made a subordinated loan to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0" w:lineRule="exact"/>
        <w:rPr>
          <w:rFonts w:ascii="Arial" w:cs="Arial" w:eastAsia="Arial" w:hAnsi="Arial"/>
          <w:sz w:val="16"/>
          <w:szCs w:val="16"/>
          <w:color w:val="auto"/>
        </w:rPr>
      </w:pPr>
    </w:p>
    <w:p>
      <w:pPr>
        <w:jc w:val="both"/>
        <w:ind w:left="180" w:firstLine="1300"/>
        <w:spacing w:after="0" w:line="311" w:lineRule="auto"/>
        <w:tabs>
          <w:tab w:leader="none" w:pos="183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Statutory Prospectus and the Prospectus, no proceeds from the sale of the Securities (excluding underwriting compensation as disclosed in the Registration Statement, Statutory Prospectus and the Prospectus) will be paid by the Company to any Member, or any persons associated or affiliated with a Member.</w:t>
      </w:r>
    </w:p>
    <w:p>
      <w:pPr>
        <w:spacing w:after="0" w:line="148" w:lineRule="exact"/>
        <w:rPr>
          <w:rFonts w:ascii="Arial" w:cs="Arial" w:eastAsia="Arial" w:hAnsi="Arial"/>
          <w:sz w:val="16"/>
          <w:szCs w:val="16"/>
          <w:color w:val="auto"/>
        </w:rPr>
      </w:pPr>
    </w:p>
    <w:p>
      <w:pPr>
        <w:jc w:val="both"/>
        <w:ind w:left="180" w:firstLine="1300"/>
        <w:spacing w:after="0" w:line="263" w:lineRule="auto"/>
        <w:tabs>
          <w:tab w:leader="none" w:pos="189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3" w:lineRule="exact"/>
        <w:rPr>
          <w:rFonts w:ascii="Arial" w:cs="Arial" w:eastAsia="Arial" w:hAnsi="Arial"/>
          <w:sz w:val="18"/>
          <w:szCs w:val="18"/>
          <w:color w:val="auto"/>
        </w:rPr>
      </w:pPr>
    </w:p>
    <w:p>
      <w:pPr>
        <w:jc w:val="both"/>
        <w:ind w:left="180" w:right="20" w:firstLine="1300"/>
        <w:spacing w:after="0" w:line="263" w:lineRule="auto"/>
        <w:tabs>
          <w:tab w:leader="none" w:pos="179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to the Company’s knowledge, any relationship or affiliation or association with any Member intending to participate in the Offering.</w:t>
      </w:r>
    </w:p>
    <w:p>
      <w:pPr>
        <w:spacing w:after="0" w:line="183" w:lineRule="exact"/>
        <w:rPr>
          <w:rFonts w:ascii="Arial" w:cs="Arial" w:eastAsia="Arial" w:hAnsi="Arial"/>
          <w:sz w:val="18"/>
          <w:szCs w:val="18"/>
          <w:color w:val="auto"/>
        </w:rPr>
      </w:pPr>
    </w:p>
    <w:p>
      <w:pPr>
        <w:jc w:val="both"/>
        <w:ind w:left="180" w:firstLine="1300"/>
        <w:spacing w:after="0" w:line="253" w:lineRule="auto"/>
        <w:tabs>
          <w:tab w:leader="none" w:pos="1731"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5%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191" w:lineRule="exact"/>
        <w:rPr>
          <w:rFonts w:ascii="Arial" w:cs="Arial" w:eastAsia="Arial" w:hAnsi="Arial"/>
          <w:sz w:val="18"/>
          <w:szCs w:val="18"/>
          <w:color w:val="auto"/>
        </w:rPr>
      </w:pPr>
    </w:p>
    <w:p>
      <w:pPr>
        <w:jc w:val="both"/>
        <w:ind w:left="-460" w:firstLine="1292"/>
        <w:spacing w:after="0" w:line="259" w:lineRule="auto"/>
        <w:tabs>
          <w:tab w:leader="none" w:pos="1208"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Non-Competition Agreements</w:t>
      </w:r>
      <w:r>
        <w:rPr>
          <w:rFonts w:ascii="Arial" w:cs="Arial" w:eastAsia="Arial" w:hAnsi="Arial"/>
          <w:sz w:val="18"/>
          <w:szCs w:val="18"/>
          <w:color w:val="auto"/>
        </w:rPr>
        <w:t>. Except as described in the Statutory Prospectus and the Prospectus, to the Company’s knowledge, none of the Sponsor, directors or executive officers of the Company is subject to a non-competition agreement or non-solicitation agreement with any employer or prior employer which could materially affect his, her or its ability to be and act in the capacity of stockholder, executive officer or director of the Company, as applicable.</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0" w:name="page191"/>
    <w:bookmarkEnd w:id="190"/>
    <w:p>
      <w:pPr>
        <w:ind w:left="660" w:firstLine="1292"/>
        <w:spacing w:after="0" w:line="277" w:lineRule="auto"/>
        <w:tabs>
          <w:tab w:leader="none" w:pos="232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entity.</w:t>
      </w:r>
    </w:p>
    <w:p>
      <w:pPr>
        <w:spacing w:after="0" w:line="170" w:lineRule="exact"/>
        <w:rPr>
          <w:rFonts w:ascii="Arial" w:cs="Arial" w:eastAsia="Arial" w:hAnsi="Arial"/>
          <w:sz w:val="18"/>
          <w:szCs w:val="18"/>
          <w:color w:val="auto"/>
        </w:rPr>
      </w:pPr>
    </w:p>
    <w:p>
      <w:pPr>
        <w:jc w:val="both"/>
        <w:ind w:left="660" w:firstLine="1292"/>
        <w:spacing w:after="0" w:line="290" w:lineRule="auto"/>
        <w:tabs>
          <w:tab w:leader="none" w:pos="230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No relationship, direct or indirect, exists between or among any of the Company or any affiliate of the Company, on the one hand, and the Sponsor or any director, director nominee, executive officer, stockholder, special advisor, customer or supplier of the Company or any affiliate of the Company, on the other hand, which is required by the Act or the Exchange Act to be described in the Registration Statement, Statutory Prospectus or the Prospectus which is not described as required. There are no outstanding loans, advances (except normal advances for business expenses in the ordinary course of business) or guarantees of indebtedness by the Company to or for the benefit of any of the executive officers, director nominees or directors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165" w:lineRule="exact"/>
        <w:rPr>
          <w:rFonts w:ascii="Arial" w:cs="Arial" w:eastAsia="Arial" w:hAnsi="Arial"/>
          <w:sz w:val="16"/>
          <w:szCs w:val="16"/>
          <w:color w:val="auto"/>
        </w:rPr>
      </w:pPr>
    </w:p>
    <w:p>
      <w:pPr>
        <w:ind w:left="2300" w:hanging="348"/>
        <w:spacing w:after="0"/>
        <w:tabs>
          <w:tab w:leader="none" w:pos="23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The Company has not prepared or used a Free Writing Prospectus.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31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Rule 419</w:t>
      </w:r>
      <w:r>
        <w:rPr>
          <w:rFonts w:ascii="Arial" w:cs="Arial" w:eastAsia="Arial" w:hAnsi="Arial"/>
          <w:sz w:val="18"/>
          <w:szCs w:val="18"/>
          <w:color w:val="auto"/>
        </w:rPr>
        <w:t>. Upon delivery and payment for the Underwritten Securities on the Closing Date and the filing of the Closing Form 8-K, the Company will not be subject to Rule 419 under the Act and none of the Company’s outstanding securities will be deemed to be a “penny stock” as defined in Rule 3a51-1 under the Exchange Act.</w:t>
      </w:r>
    </w:p>
    <w:p>
      <w:pPr>
        <w:spacing w:after="0" w:line="183" w:lineRule="exact"/>
        <w:rPr>
          <w:rFonts w:ascii="Arial" w:cs="Arial" w:eastAsia="Arial" w:hAnsi="Arial"/>
          <w:sz w:val="18"/>
          <w:szCs w:val="18"/>
          <w:color w:val="auto"/>
        </w:rPr>
      </w:pPr>
    </w:p>
    <w:p>
      <w:pPr>
        <w:jc w:val="both"/>
        <w:ind w:left="660" w:firstLine="1292"/>
        <w:spacing w:after="0" w:line="291" w:lineRule="auto"/>
        <w:tabs>
          <w:tab w:leader="none" w:pos="23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New York Stock Exchange’s Listing Standards</w:t>
      </w:r>
      <w:r>
        <w:rPr>
          <w:rFonts w:ascii="Arial" w:cs="Arial" w:eastAsia="Arial" w:hAnsi="Arial"/>
          <w:sz w:val="16"/>
          <w:szCs w:val="16"/>
          <w:color w:val="auto"/>
        </w:rPr>
        <w:t>.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requirements of Section 303A of the New York Stock Exchange Listed Company Manual. Further,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phase-in requirements and all other provisions of the New York Stock Exchange corporate governance requirements set forth in the New York Stock Exchange’s Listing Standards.</w:t>
      </w:r>
    </w:p>
    <w:p>
      <w:pPr>
        <w:spacing w:after="0" w:line="166" w:lineRule="exact"/>
        <w:rPr>
          <w:rFonts w:ascii="Arial" w:cs="Arial" w:eastAsia="Arial" w:hAnsi="Arial"/>
          <w:sz w:val="16"/>
          <w:szCs w:val="16"/>
          <w:color w:val="auto"/>
        </w:rPr>
      </w:pPr>
    </w:p>
    <w:p>
      <w:pPr>
        <w:jc w:val="both"/>
        <w:ind w:left="660" w:firstLine="1292"/>
        <w:spacing w:after="0" w:line="257" w:lineRule="auto"/>
        <w:tabs>
          <w:tab w:leader="none" w:pos="232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“Testing-the-Waters Communication” means any oral or written communication with potential investors undertaken in reliance on Section 5(d) or Rule 163B of the Act.</w:t>
      </w:r>
    </w:p>
    <w:p>
      <w:pPr>
        <w:spacing w:after="0" w:line="187" w:lineRule="exact"/>
        <w:rPr>
          <w:rFonts w:ascii="Arial" w:cs="Arial" w:eastAsia="Arial" w:hAnsi="Arial"/>
          <w:sz w:val="18"/>
          <w:szCs w:val="18"/>
          <w:color w:val="auto"/>
        </w:rPr>
      </w:pPr>
    </w:p>
    <w:p>
      <w:pPr>
        <w:jc w:val="both"/>
        <w:ind w:left="660" w:firstLine="1292"/>
        <w:spacing w:after="0" w:line="291" w:lineRule="auto"/>
        <w:tabs>
          <w:tab w:leader="none" w:pos="230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Testing-the-Waters</w:t>
      </w:r>
      <w:r>
        <w:rPr>
          <w:rFonts w:ascii="Arial" w:cs="Arial" w:eastAsia="Arial" w:hAnsi="Arial"/>
          <w:sz w:val="16"/>
          <w:szCs w:val="16"/>
          <w:color w:val="auto"/>
        </w:rPr>
        <w:t>. The Company (i) has not alone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shall be deemed a representation and warranty by the Company, as to matters covered thereby, to each Underwriter.</w:t>
      </w:r>
    </w:p>
    <w:p>
      <w:pPr>
        <w:spacing w:after="0" w:line="146" w:lineRule="exact"/>
        <w:rPr>
          <w:sz w:val="20"/>
          <w:szCs w:val="20"/>
          <w:color w:val="auto"/>
        </w:rPr>
      </w:pPr>
    </w:p>
    <w:p>
      <w:pPr>
        <w:ind w:left="1420" w:hanging="764"/>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1304"/>
        <w:spacing w:after="0" w:line="271" w:lineRule="auto"/>
        <w:tabs>
          <w:tab w:leader="none" w:pos="156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set forth herein, the Company hereby grants an option to the several Underwriters to purchase, severally and not jointly, up to 15,000,000 Option Securities at the same purchase price per Unit as the Underwriters shall pay for the Underwritten Securities. This option may be exercised only to cover over-allotments in the sale of the Underwritten Securities by the Underwriters. This option may be exercised in whole or in part at any time on or before the 45th day after the date of the Prospectus upon written or telegraphic notice by the Representative to the Company setting forth the number of Option Securities as to which the several Underwriters are exercising the option and the settlement date. Each Underwriter shall purchase the same percentage of the total number of Option Securities to be purchased by the several Underwriters as such Underwriter is purchasing of the Underwritten Securities, subject to such adjustments as the Representative in its absolute discretion shall make to eliminate any fractional shares.</w:t>
      </w:r>
    </w:p>
    <w:p>
      <w:pPr>
        <w:spacing w:after="0" w:line="178" w:lineRule="exact"/>
        <w:rPr>
          <w:rFonts w:ascii="Arial" w:cs="Arial" w:eastAsia="Arial" w:hAnsi="Arial"/>
          <w:sz w:val="17"/>
          <w:szCs w:val="17"/>
          <w:color w:val="auto"/>
        </w:rPr>
      </w:pPr>
    </w:p>
    <w:p>
      <w:pPr>
        <w:jc w:val="both"/>
        <w:ind w:firstLine="1304"/>
        <w:spacing w:after="0" w:line="290" w:lineRule="auto"/>
        <w:tabs>
          <w:tab w:leader="none" w:pos="15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set forth in the first sentence of Section 2(a) of this Agreement, the Company hereby agrees to pay to the Underwriters a deferred discount of $0.35 per Unit (for both Underwritten Securities and Option Securities) purchased hereunder (the “</w:t>
      </w:r>
      <w:r>
        <w:rPr>
          <w:rFonts w:ascii="Arial" w:cs="Arial" w:eastAsia="Arial" w:hAnsi="Arial"/>
          <w:sz w:val="16"/>
          <w:szCs w:val="16"/>
          <w:u w:val="single" w:color="auto"/>
          <w:color w:val="auto"/>
        </w:rPr>
        <w:t>Deferred Discount</w:t>
      </w:r>
      <w:r>
        <w:rPr>
          <w:rFonts w:ascii="Arial" w:cs="Arial" w:eastAsia="Arial" w:hAnsi="Arial"/>
          <w:sz w:val="16"/>
          <w:szCs w:val="16"/>
          <w:color w:val="auto"/>
        </w:rPr>
        <w:t>”). The Deferred Discount will be paid directly to the Representative, on behalf of the Underwriters, by the Trustee from amounts on deposit in the Trust Account by wire transfer if and when the Company consummates an Initial Business Combination. The Underwriters hereby agree that if no Initial Business Combination is consummated within the time period provided in the Trust Agreement and the funds held under the Trust Agreement are distributed to the holders of the shares of Common Stock included in the Securities sold pursuant to this Agreement (the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(i) the Underwriters will forfeit any rights or claims to the Deferred Discount and (ii) the Trustee under the Trust Agreement is authorized to distribute the Deferred Discount to the Public Stockholders on a pro rata basis.</w:t>
      </w:r>
    </w:p>
    <w:p>
      <w:pPr>
        <w:spacing w:after="0" w:line="165" w:lineRule="exact"/>
        <w:rPr>
          <w:rFonts w:ascii="Arial" w:cs="Arial" w:eastAsia="Arial" w:hAnsi="Arial"/>
          <w:sz w:val="16"/>
          <w:szCs w:val="16"/>
          <w:color w:val="auto"/>
        </w:rPr>
      </w:pPr>
    </w:p>
    <w:p>
      <w:pPr>
        <w:ind w:left="1380" w:hanging="724"/>
        <w:spacing w:after="0"/>
        <w:tabs>
          <w:tab w:leader="none" w:pos="13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3" w:lineRule="auto"/>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Delivery of and payment for the Underwritten Securities and the Option Securities (if the option provided for in Section 2(b) hereof shall have been exercised on or before the second Business Day prior to the Closing Date) shall be made at 10:00 a.m., New York City time, on [__], 2020, or at such time on such later date at least two Business Days after the foregoing date as the Representative shall designate, which date and time may be postponed by agreement between the Representative and the Company or as provided in Section 9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Delivery of the Securities shall be made to the Representative for the respective accounts of the several Underwriters against payment by the several Underwriters through the Representative of the purchase price thereof by wire transfer payable in same-day funds to an account specified by the Company and to the Trust Account as described below in this </w:t>
      </w:r>
      <w:r>
        <w:rPr>
          <w:rFonts w:ascii="Arial" w:cs="Arial" w:eastAsia="Arial" w:hAnsi="Arial"/>
          <w:sz w:val="18"/>
          <w:szCs w:val="18"/>
          <w:u w:val="single" w:color="auto"/>
          <w:color w:val="auto"/>
        </w:rPr>
        <w:t>Section 3</w:t>
      </w:r>
      <w:r>
        <w:rPr>
          <w:rFonts w:ascii="Arial" w:cs="Arial" w:eastAsia="Arial" w:hAnsi="Arial"/>
          <w:sz w:val="18"/>
          <w:szCs w:val="18"/>
          <w:color w:val="auto"/>
        </w:rPr>
        <w:t>. Delivery of the Underwritten Securities and the Option Securities shall be made through the facilities of The Depository Trust Company (“DTC”) unless the Representative shall otherwise instruct.</w:t>
      </w:r>
    </w:p>
    <w:p>
      <w:pPr>
        <w:spacing w:after="0" w:line="196" w:lineRule="exact"/>
        <w:rPr>
          <w:rFonts w:ascii="Arial" w:cs="Arial" w:eastAsia="Arial" w:hAnsi="Arial"/>
          <w:sz w:val="18"/>
          <w:szCs w:val="18"/>
          <w:color w:val="auto"/>
        </w:rPr>
      </w:pPr>
    </w:p>
    <w:p>
      <w:pPr>
        <w:jc w:val="both"/>
        <w:ind w:firstLine="1304"/>
        <w:spacing w:after="0" w:line="269" w:lineRule="auto"/>
        <w:tabs>
          <w:tab w:leader="none" w:pos="155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Payment for the Underwritten Securities shall be made as follows: $1,000,000,000 of the proceeds received by the Company for the Underwritten Securities, including $35,000,000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Underwritten Securities through the facilities of DTC or, if the Representative has otherwise instructed, upon delivery to the Representative of certificates (in form and substance satisfactory to the Representative) representing the Underwritten Securities, in each case for the account of the Underwriters. The Underwritten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Underwritten Securities for delivery, at least one Business Day prior to the Closing Date. The Company shall not be obligated to sell or deliver the Underwritten Securities except upon tender of payment by the Representative for all the Underwritten Securities. Payment by the Underwriters for the Underwritten Securities is contingent on the payment by the Sponsor to the Trust Account for the Private Placement Warrants at least one Business Day prior to the Closing Date.</w:t>
      </w:r>
    </w:p>
    <w:p>
      <w:pPr>
        <w:spacing w:after="0" w:line="178" w:lineRule="exact"/>
        <w:rPr>
          <w:rFonts w:ascii="Arial" w:cs="Arial" w:eastAsia="Arial" w:hAnsi="Arial"/>
          <w:sz w:val="17"/>
          <w:szCs w:val="17"/>
          <w:color w:val="auto"/>
        </w:rPr>
      </w:pPr>
    </w:p>
    <w:p>
      <w:pPr>
        <w:jc w:val="both"/>
        <w:ind w:firstLine="1304"/>
        <w:spacing w:after="0" w:line="287" w:lineRule="auto"/>
        <w:tabs>
          <w:tab w:leader="none" w:pos="15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Payment for the Option Securities shall be made as follows: $9.80 per Option Security (including any Deferred Discount attributable to the Option Securities),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Option Securities through the facilities of DTC or, if the Representative has otherwise instructed, upon delivery to the Representative of certificates (in form and substance satisfactory to the Representative) representing the Option Securities (or through the facilities of DTC) for the account of the Underwriters. The Option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Option Securities for delivery, at least one Business Day prior to the Closing Date. The Company shall not be obligated to sell or deliver the Option Securities except upon tender of payment by the Representative for all the Option Securities. Payment by the Underwriters for the Option Securities is contingent on the payment by the Sponsor to the Trust Account for the Private Placement Warrants at least one Business Day prior to the applicable settlement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1304"/>
        <w:spacing w:after="0" w:line="254" w:lineRule="auto"/>
        <w:tabs>
          <w:tab w:leader="none" w:pos="155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the option provided for in Section 2(b) hereof is exercised after the second Business Day prior to the Closing Date, the Company will deliver the Option Securities (at the expense of the Company) to the Representative, at c/o Citigroup Global Markets Inc., at 388 Greenwich Street, New York, New York, on the date specified by the Representative (which shall be within three Business Days after exercise of said option) for the respective accounts of the several Underwriters, against payment by the several Underwriters through the Representative of the purchase price thereof to the Trust Account as described above in Section 3(c). If settlement for the Option Securities occurs after the Closing Date, the Company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91" w:lineRule="exact"/>
        <w:rPr>
          <w:rFonts w:ascii="Arial" w:cs="Arial" w:eastAsia="Arial" w:hAnsi="Arial"/>
          <w:sz w:val="18"/>
          <w:szCs w:val="18"/>
          <w:color w:val="auto"/>
        </w:rPr>
      </w:pPr>
    </w:p>
    <w:p>
      <w:pPr>
        <w:ind w:left="1420" w:hanging="764"/>
        <w:spacing w:after="0"/>
        <w:tabs>
          <w:tab w:leader="none" w:pos="14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210" w:lineRule="exact"/>
        <w:rPr>
          <w:rFonts w:ascii="Arial" w:cs="Arial" w:eastAsia="Arial" w:hAnsi="Arial"/>
          <w:sz w:val="16"/>
          <w:szCs w:val="16"/>
          <w:color w:val="auto"/>
        </w:rPr>
      </w:pPr>
    </w:p>
    <w:p>
      <w:pPr>
        <w:ind w:left="1380" w:hanging="724"/>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Filing of Prospectus; Notice to Representative; Stop Orders</w:t>
      </w:r>
      <w:r>
        <w:rPr>
          <w:rFonts w:ascii="Arial" w:cs="Arial" w:eastAsia="Arial" w:hAnsi="Arial"/>
          <w:sz w:val="16"/>
          <w:szCs w:val="16"/>
          <w:color w:val="auto"/>
        </w:rPr>
        <w:t>. Prior to the termination of the Offering, the Company will not file any amendment to the Registration Statement or supplement to the Prospectus or any Rule 462(b) Registration Statement unless the Company has furnished you a copy for your review prior to filing and will not file any such proposed amendment or supplement to which the Representative reasonably objects.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73" w:lineRule="exact"/>
        <w:rPr>
          <w:rFonts w:ascii="Arial" w:cs="Arial" w:eastAsia="Arial" w:hAnsi="Arial"/>
          <w:sz w:val="16"/>
          <w:szCs w:val="16"/>
          <w:color w:val="auto"/>
        </w:rPr>
      </w:pPr>
    </w:p>
    <w:p>
      <w:pPr>
        <w:jc w:val="both"/>
        <w:ind w:firstLine="1304"/>
        <w:spacing w:after="0" w:line="296" w:lineRule="auto"/>
        <w:tabs>
          <w:tab w:leader="none" w:pos="1551"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Statutory Prospectus</w:t>
      </w:r>
      <w:r>
        <w:rPr>
          <w:rFonts w:ascii="Arial" w:cs="Arial" w:eastAsia="Arial" w:hAnsi="Arial"/>
          <w:sz w:val="16"/>
          <w:szCs w:val="16"/>
          <w:color w:val="auto"/>
        </w:rPr>
        <w:t>. 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any use of the Statutory Prospectus may cease until it is amended or supplemented; (ii) amend or supplement the Statutory Prospectus to correct such statement or omission; and (iii) supply any amendment or supplement to you in such quantities as you may reasonably request.</w:t>
      </w:r>
    </w:p>
    <w:p>
      <w:pPr>
        <w:spacing w:after="0" w:line="161" w:lineRule="exact"/>
        <w:rPr>
          <w:rFonts w:ascii="Arial" w:cs="Arial" w:eastAsia="Arial" w:hAnsi="Arial"/>
          <w:sz w:val="16"/>
          <w:szCs w:val="16"/>
          <w:color w:val="auto"/>
        </w:rPr>
      </w:pPr>
    </w:p>
    <w:p>
      <w:pPr>
        <w:jc w:val="both"/>
        <w:ind w:firstLine="1304"/>
        <w:spacing w:after="0" w:line="254" w:lineRule="auto"/>
        <w:tabs>
          <w:tab w:leader="none" w:pos="155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Amendment to Prospectus</w:t>
      </w:r>
      <w:r>
        <w:rPr>
          <w:rFonts w:ascii="Arial" w:cs="Arial" w:eastAsia="Arial" w:hAnsi="Arial"/>
          <w:sz w:val="18"/>
          <w:szCs w:val="18"/>
          <w:color w:val="auto"/>
        </w:rPr>
        <w:t>. 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 of any such event; (ii) 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191"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Delivery of Earnings Statements</w:t>
      </w:r>
      <w:r>
        <w:rPr>
          <w:rFonts w:ascii="Arial" w:cs="Arial" w:eastAsia="Arial" w:hAnsi="Arial"/>
          <w:sz w:val="18"/>
          <w:szCs w:val="18"/>
          <w:color w:val="auto"/>
        </w:rPr>
        <w:t>. As soon as practicable, the Company will make generally available to its security holders and to the Representative an earnings statement or statements of the Company and its subsidiaries which will satisfy the provisions of Section 11(a) of the Act and Rule 158.</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5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Delivery of Documents</w:t>
      </w:r>
      <w:r>
        <w:rPr>
          <w:rFonts w:ascii="Arial" w:cs="Arial" w:eastAsia="Arial" w:hAnsi="Arial"/>
          <w:sz w:val="16"/>
          <w:szCs w:val="16"/>
          <w:color w:val="auto"/>
        </w:rPr>
        <w:t>. 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Representative may reasonably request. The Company will pay the expenses of printing or other production of all documents s relating to the Offering.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304"/>
        <w:spacing w:after="0" w:line="257" w:lineRule="auto"/>
        <w:tabs>
          <w:tab w:leader="none" w:pos="152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Qualification of Securities</w:t>
      </w:r>
      <w:r>
        <w:rPr>
          <w:rFonts w:ascii="Arial" w:cs="Arial" w:eastAsia="Arial" w:hAnsi="Arial"/>
          <w:sz w:val="18"/>
          <w:szCs w:val="18"/>
          <w:color w:val="auto"/>
        </w:rPr>
        <w:t xml:space="preserve">. The Company will arrange, if necessary, for the qualification of the Securities for sale under the laws of such jurisdictions as the Representative may designate and will maintain such qualifications in effect so long as required for the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7" w:lineRule="exact"/>
        <w:rPr>
          <w:rFonts w:ascii="Arial" w:cs="Arial" w:eastAsia="Arial" w:hAnsi="Arial"/>
          <w:sz w:val="18"/>
          <w:szCs w:val="18"/>
          <w:color w:val="auto"/>
        </w:rPr>
      </w:pPr>
    </w:p>
    <w:p>
      <w:pPr>
        <w:jc w:val="both"/>
        <w:ind w:firstLine="1304"/>
        <w:spacing w:after="0" w:line="284" w:lineRule="auto"/>
        <w:tabs>
          <w:tab w:leader="none" w:pos="1551"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The Company will not, without the prior written consent of the Representative,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shares of Common Stock, Warrants or any securities convertible into, or exercisable, or exchangeable for, shares of Common Stock or publicly announce an intention to effect any such transaction during the period commencing on the date hereof and ending 180 days after the date of this Agreement; provided, however, that the Company may (1) issue and sell the Private Placement Warrants,</w:t>
      </w:r>
    </w:p>
    <w:p>
      <w:pPr>
        <w:jc w:val="both"/>
        <w:ind w:firstLine="8"/>
        <w:spacing w:after="0" w:line="253" w:lineRule="auto"/>
        <w:tabs>
          <w:tab w:leader="none" w:pos="2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issue and sell the Option Securities on exercise of the option provided for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(3) issue shares of Common Stock or any securities convertible into, or exchangeable for, shares of Common Stock in connection with a Business Combination, and (4) register with the Commission pursuant to the Registration Rights Agreement, in accordance with the terms of the Registration Rights Agreement, the resale of the Founder Shares, the Private Placement Warrants and the shares of Common Stock issuable upon exercise thereof.</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No Stabilization or Manipulation</w:t>
      </w:r>
      <w:r>
        <w:rPr>
          <w:rFonts w:ascii="Arial" w:cs="Arial" w:eastAsia="Arial" w:hAnsi="Arial"/>
          <w:sz w:val="18"/>
          <w:szCs w:val="18"/>
          <w:color w:val="auto"/>
        </w:rPr>
        <w:t>.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38"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(v) the registration of the Securities under the Exchange Act and the listing of the Securities on the New York Stock Exchange; (vi) the printing and delivery of a preliminary blue sky memorandum, any registration or qualification of the Securities for offer and sale under the securities or blue sky laws of the several U.S. States (including filing fees and the reasonable and documented fees and expenses of counsel for the Underwriters relating to such registration and qualification); (vii) any filings required to be made with FINRA (including filing fees and up to $20,000 for the reasonable and documented fees and expenses of counsel for the Underwriters relating to such filings); (viii) the transportation and other expenses incurred by the Company and its executive officers (and not the Underwriters)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179" w:lineRule="exact"/>
        <w:rPr>
          <w:rFonts w:ascii="Arial" w:cs="Arial" w:eastAsia="Arial" w:hAnsi="Arial"/>
          <w:sz w:val="17"/>
          <w:szCs w:val="17"/>
          <w:color w:val="auto"/>
        </w:rPr>
      </w:pPr>
    </w:p>
    <w:p>
      <w:pPr>
        <w:jc w:val="both"/>
        <w:ind w:firstLine="1304"/>
        <w:spacing w:after="0" w:line="263" w:lineRule="auto"/>
        <w:tabs>
          <w:tab w:leader="none" w:pos="1511"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The Company agrees that it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51"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Maintenance of Registration</w:t>
      </w:r>
      <w:r>
        <w:rPr>
          <w:rFonts w:ascii="Arial" w:cs="Arial" w:eastAsia="Arial" w:hAnsi="Arial"/>
          <w:sz w:val="17"/>
          <w:szCs w:val="17"/>
          <w:color w:val="auto"/>
        </w:rPr>
        <w:t>. For a period of at least five (5) years from the Effective Date, or until such earlier time upon which the Company is required to be liquidated, the Company will use its best efforts to maintain the registration of the Units, Common Stock and Warrants under the provisions of the Exchange Act, except after giving effect to a going private transaction after the completion of an Initial Business Combination. The Company will not deregister the Units, Common Stock or Warrants under the Exchange Act (except in connection with a going private transaction after the completion of an Initial Business Combination) without the prior consent of the Representative.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304"/>
        <w:spacing w:after="0" w:line="272" w:lineRule="auto"/>
        <w:tabs>
          <w:tab w:leader="none" w:pos="151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Form 8-K</w:t>
      </w:r>
      <w:r>
        <w:rPr>
          <w:rFonts w:ascii="Arial" w:cs="Arial" w:eastAsia="Arial" w:hAnsi="Arial"/>
          <w:sz w:val="17"/>
          <w:szCs w:val="17"/>
          <w:color w:val="auto"/>
        </w:rPr>
        <w:t>. The Company shall, on the date hereof, retain its independent registered public accounting firm to audit the balance sheet of the Company as of the Closing Date (the “</w:t>
      </w:r>
      <w:r>
        <w:rPr>
          <w:rFonts w:ascii="Arial" w:cs="Arial" w:eastAsia="Arial" w:hAnsi="Arial"/>
          <w:sz w:val="17"/>
          <w:szCs w:val="17"/>
          <w:u w:val="single" w:color="auto"/>
          <w:color w:val="auto"/>
        </w:rPr>
        <w:t>Audited Balance Sheet</w:t>
      </w:r>
      <w:r>
        <w:rPr>
          <w:rFonts w:ascii="Arial" w:cs="Arial" w:eastAsia="Arial" w:hAnsi="Arial"/>
          <w:sz w:val="17"/>
          <w:szCs w:val="17"/>
          <w:color w:val="auto"/>
        </w:rPr>
        <w:t xml:space="preserve">”) reflecting the receipt by the Company of the proceeds of the Offering on the Closing Date. As soon as the Audited Balance Sheet becomes available, the Company shall promptly, but not later than four Business Days after the Closing Date, file the Closing Form 8-K with the Commission, which shall contain the Company’s Audited Balance Sheet. Additionally, if not disclosed on the Closing Form 8-K, upon the Company’s receipt of the proceeds from the exercise of all or any portion of the option provided for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the Company shall promptly, but not later than four Business Days after the receipt of such proceeds, file a Current Report on Form 8-K with the Commission, which report shall disclose the Company’s sale of the Option Securities and its receipt of the proceeds therefrom.</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60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Review of Financial Statements</w:t>
      </w:r>
      <w:r>
        <w:rPr>
          <w:rFonts w:ascii="Arial" w:cs="Arial" w:eastAsia="Arial" w:hAnsi="Arial"/>
          <w:sz w:val="16"/>
          <w:szCs w:val="16"/>
          <w:color w:val="auto"/>
        </w:rPr>
        <w:t>. For a period commencing on the Effective Date and ending at least five (5) years from the date of the consummation of the Initial Business Combination or until such earlier time at which the Company is required to be liquidated or the Common Stock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stockholders.</w:t>
      </w:r>
    </w:p>
    <w:p>
      <w:pPr>
        <w:spacing w:after="0" w:line="161" w:lineRule="exact"/>
        <w:rPr>
          <w:rFonts w:ascii="Arial" w:cs="Arial" w:eastAsia="Arial" w:hAnsi="Arial"/>
          <w:sz w:val="16"/>
          <w:szCs w:val="16"/>
          <w:color w:val="auto"/>
        </w:rPr>
      </w:pPr>
    </w:p>
    <w:p>
      <w:pPr>
        <w:jc w:val="both"/>
        <w:ind w:firstLine="1304"/>
        <w:spacing w:after="0" w:line="255" w:lineRule="auto"/>
        <w:tabs>
          <w:tab w:leader="none" w:pos="155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Publicly Available Statements and Reports</w:t>
      </w:r>
      <w:r>
        <w:rPr>
          <w:rFonts w:ascii="Arial" w:cs="Arial" w:eastAsia="Arial" w:hAnsi="Arial"/>
          <w:sz w:val="18"/>
          <w:szCs w:val="18"/>
          <w:color w:val="auto"/>
        </w:rPr>
        <w:t>. For a period of five (5) years from the Effective Date or until such earlier time that the Company is required to be liquidated or the Common Stock and Warrants cease to be publicly traded, the Company will furnish to the Representative such copies of financial statements and other periodic and special reports as the Company from time to time furnishes generally to holders of any class of its securities and such additional documents and information with respect to the Company as the Representative may from time to time reasonably request. Any financial statements and reports filed on the Commission’s EDGAR website or otherwise available on the Company’s website will be considered furnished for purposes of this section.</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157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disclosed in the Registration Statement, the Company shall not pay the Sponsor, any of the Company’s directors or executive officers, any special advisor, or any of the Company’s or their respective affiliates any fees or compensation of any kind (including finder’s and consulting fees reimbursement, monies in respect of any payment of a loan or other compensation paid by the Company to the Sponsor, the Company’s executive officers, directors or any of their respective affiliates, except as otherwise disclosed in the Registration Statement) for services rendered to the Company prior to, or in connection with, the consummation of the Initial Business Combination.</w:t>
      </w:r>
    </w:p>
    <w:p>
      <w:pPr>
        <w:spacing w:after="0" w:line="176" w:lineRule="exact"/>
        <w:rPr>
          <w:rFonts w:ascii="Arial" w:cs="Arial" w:eastAsia="Arial" w:hAnsi="Arial"/>
          <w:sz w:val="17"/>
          <w:szCs w:val="17"/>
          <w:color w:val="auto"/>
        </w:rPr>
      </w:pPr>
    </w:p>
    <w:p>
      <w:pPr>
        <w:ind w:firstLine="1304"/>
        <w:spacing w:after="0" w:line="342" w:lineRule="auto"/>
        <w:tabs>
          <w:tab w:leader="none" w:pos="155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Net Proceeds</w:t>
      </w:r>
      <w:r>
        <w:rPr>
          <w:rFonts w:ascii="Arial" w:cs="Arial" w:eastAsia="Arial" w:hAnsi="Arial"/>
          <w:sz w:val="16"/>
          <w:szCs w:val="16"/>
          <w:color w:val="auto"/>
        </w:rPr>
        <w:t>. The Company will apply the net proceeds from the Offering and the sale of the Private Placement Warrants received by it in a manner consistent with the applications described under the caption “Use of Proceeds” in the Statutory Prospectus and the Prospectus.</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69" w:lineRule="auto"/>
        <w:tabs>
          <w:tab w:leader="none" w:pos="221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For a period of 90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stockholders or for soliciting stockholder approval, as applicable.</w:t>
      </w:r>
    </w:p>
    <w:p>
      <w:pPr>
        <w:spacing w:after="0" w:line="185" w:lineRule="exact"/>
        <w:rPr>
          <w:rFonts w:ascii="Arial" w:cs="Arial" w:eastAsia="Arial" w:hAnsi="Arial"/>
          <w:sz w:val="17"/>
          <w:szCs w:val="17"/>
          <w:color w:val="auto"/>
        </w:rPr>
      </w:pPr>
    </w:p>
    <w:p>
      <w:pPr>
        <w:ind w:left="660" w:firstLine="1292"/>
        <w:spacing w:after="0" w:line="308" w:lineRule="auto"/>
        <w:tabs>
          <w:tab w:leader="none" w:pos="221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shall advise FINRA, the Representative and its counsel if it is aware that any 5% or greater stockholder of the Company becomes an affiliate or associated person of a Member participating in the distribution of the Company’s Securities.</w:t>
      </w:r>
    </w:p>
    <w:p>
      <w:pPr>
        <w:spacing w:after="0" w:line="146" w:lineRule="exact"/>
        <w:rPr>
          <w:rFonts w:ascii="Arial" w:cs="Arial" w:eastAsia="Arial" w:hAnsi="Arial"/>
          <w:sz w:val="17"/>
          <w:szCs w:val="17"/>
          <w:color w:val="auto"/>
        </w:rPr>
      </w:pPr>
    </w:p>
    <w:p>
      <w:pPr>
        <w:jc w:val="both"/>
        <w:ind w:firstLine="1304"/>
        <w:spacing w:after="0" w:line="254" w:lineRule="auto"/>
        <w:tabs>
          <w:tab w:leader="none" w:pos="152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and the sale of Private Placement Warrants to be held in the Trust Account to be invested only in United States “government securities” within the meaning of Section 2(a)(16) of the Investment Company Act of 1940 having a maturity of 185 days or less or in money market funds meeting certain conditions under Rule 2a-7 promulgated under the Investment Company Act which invest only in direct U.S. government treasury obligations, as set forth in the Trust Agreement and disclosed in the Statutory Prospectus and the Prospectus. The Company will otherwise conduct its business in a manner so that it will not become subject to the Investment Company Act. Furthermore, once the Company consummates the Initial Business Combination, it will be engaged in a business other than that of investing, reinvesting, owning, holding or trading securities.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304"/>
        <w:spacing w:after="0" w:line="263" w:lineRule="auto"/>
        <w:tabs>
          <w:tab w:leader="none" w:pos="153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the exercise of any of the Warrants and the Private Placement Warrants outstanding from time to time and the conversion of the Founder Shares.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3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Prior to the consummation of the Initial Business Combination or the liquidation of the Trust Account, the Company shall not issue any Common Stock, Warrants or any options or other securities convertible into Common Stock, or any shares of preferred stock, in each case, which participate in any manner in the Trust Account or which vote as a class with the shares of Common Stock on an Initial Business Combination.</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Independent Director Review of Expenses</w:t>
      </w:r>
      <w:r>
        <w:rPr>
          <w:rFonts w:ascii="Arial" w:cs="Arial" w:eastAsia="Arial" w:hAnsi="Arial"/>
          <w:sz w:val="18"/>
          <w:szCs w:val="18"/>
          <w:color w:val="auto"/>
        </w:rPr>
        <w:t>. Prior to the consummation of the Initial Business Combination or the liquidation of the Trust, the Company shall cause its Board of Directors to review and approve all payments made to the Sponsor, any of the Company’s directors or executive officers, any special advisor, or any of the Company’s or their respective affiliates, with any interested directors abstaining from such review and approval.</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the Initial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6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will maintain “disclosure controls and procedures” (as defined under Rule 13a-15(e) under the Exchange Act) and a system of internal accounting controls sufficient to provide reasonable assurances that: (1) transactions are executed in accordance with management’s general or specific authorization, (2) transactions are recorded as necessary in order to permit preparation of financial statements in accordance with GAAP and to maintain accountability for assets, (3) access to assets is permitted only in accordance with management’s general or specific authorization, and (4) the recorded accountability for assets is compared with existing assets at reasonable intervals and appropriate action is taken with respect to any differences.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Sarbanes-Oxley, New York Stock Exchange Listing Standards</w:t>
      </w:r>
      <w:r>
        <w:rPr>
          <w:rFonts w:ascii="Arial" w:cs="Arial" w:eastAsia="Arial" w:hAnsi="Arial"/>
          <w:sz w:val="18"/>
          <w:szCs w:val="18"/>
          <w:color w:val="auto"/>
        </w:rPr>
        <w:t>. As soon as legally required to do so, the Company and its directors and executive officers, in their capacities as such, shall take all actions necessary to comply with any applicable provision of the Sarbanes-Oxley Act, including Section 402 related to loans and Sections 302 and 906 related to certifications, and to comply with the New York Stock Exchange’s Listing Standards.</w:t>
      </w:r>
    </w:p>
    <w:p>
      <w:pPr>
        <w:spacing w:after="0" w:line="186" w:lineRule="exact"/>
        <w:rPr>
          <w:rFonts w:ascii="Arial" w:cs="Arial" w:eastAsia="Arial" w:hAnsi="Arial"/>
          <w:sz w:val="18"/>
          <w:szCs w:val="18"/>
          <w:color w:val="auto"/>
        </w:rPr>
      </w:pPr>
    </w:p>
    <w:p>
      <w:pPr>
        <w:ind w:firstLine="1304"/>
        <w:spacing w:after="0" w:line="277" w:lineRule="auto"/>
        <w:tabs>
          <w:tab w:leader="none" w:pos="155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 Violation of Amended and Restated Certificate of Incorporation</w:t>
      </w:r>
      <w:r>
        <w:rPr>
          <w:rFonts w:ascii="Arial" w:cs="Arial" w:eastAsia="Arial" w:hAnsi="Arial"/>
          <w:sz w:val="18"/>
          <w:szCs w:val="18"/>
          <w:color w:val="auto"/>
        </w:rPr>
        <w:t>. The Company shall not take any action or omit to take any action that would cause the Company to be in breach or violation of its Amended and Restated Certificate of Incorporation.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Transfer and Warrant Agent.</w:t>
      </w:r>
      <w:r>
        <w:rPr>
          <w:rFonts w:ascii="Arial" w:cs="Arial" w:eastAsia="Arial" w:hAnsi="Arial"/>
          <w:sz w:val="18"/>
          <w:szCs w:val="18"/>
          <w:color w:val="auto"/>
        </w:rPr>
        <w:t xml:space="preserve"> For a period commencing on the Effective Date and ending at least five (5) years from the date of the consummation of the initial Business Combination or until such earlier time at which the company is required to be liquidated or the Common Stock and Warrants cease to be publicly traded, the Company shall retain a transfer and warrant agent.</w:t>
      </w:r>
    </w:p>
    <w:p>
      <w:pPr>
        <w:spacing w:after="0" w:line="184" w:lineRule="exact"/>
        <w:rPr>
          <w:sz w:val="20"/>
          <w:szCs w:val="20"/>
          <w:color w:val="auto"/>
        </w:rPr>
      </w:pPr>
    </w:p>
    <w:p>
      <w:pPr>
        <w:ind w:left="1620" w:hanging="316"/>
        <w:spacing w:after="0"/>
        <w:tabs>
          <w:tab w:leader="none" w:pos="162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Initial Business Combination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660" w:firstLine="1292"/>
        <w:spacing w:after="0" w:line="273" w:lineRule="auto"/>
        <w:tabs>
          <w:tab w:leader="none" w:pos="2251"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Trust Account Waiver Acknowledgment</w:t>
      </w:r>
      <w:r>
        <w:rPr>
          <w:rFonts w:ascii="Arial" w:cs="Arial" w:eastAsia="Arial" w:hAnsi="Arial"/>
          <w:sz w:val="17"/>
          <w:szCs w:val="17"/>
          <w:color w:val="auto"/>
        </w:rPr>
        <w:t>. The Company will seek to have all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Stockholders. If a prospective target business or vendors, service providers or third party were to refuse to enter into such a waiver, management will perform an analysis of the alternatives available to it and will only enter into an agreement with a third party that has not executed a waiver if management believes that such third party’s engagement would be significantly more beneficial than any alternative.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left="4" w:firstLine="1292"/>
        <w:spacing w:after="0" w:line="284" w:lineRule="auto"/>
        <w:tabs>
          <w:tab w:leader="none" w:pos="1555"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Initial Business Combination/Distribution Procedure</w:t>
      </w:r>
      <w:r>
        <w:rPr>
          <w:rFonts w:ascii="Arial" w:cs="Arial" w:eastAsia="Arial" w:hAnsi="Arial"/>
          <w:sz w:val="16"/>
          <w:szCs w:val="16"/>
          <w:color w:val="auto"/>
        </w:rPr>
        <w:t>. The Company may consummate the Initial Business Combination and conduct redemptions of Common Stock for cash upon consummation of such Initial Business Combination without a stockholder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Common Stock held by such stockholder for an amount of cash equal to (A) the aggregate amount then on deposit in the Trust Account as of two Business Days prior to the consummation of the Initial Business Combination representing</w:t>
      </w:r>
    </w:p>
    <w:p>
      <w:pPr>
        <w:spacing w:after="0" w:line="2" w:lineRule="exact"/>
        <w:rPr>
          <w:rFonts w:ascii="Arial" w:cs="Arial" w:eastAsia="Arial" w:hAnsi="Arial"/>
          <w:sz w:val="16"/>
          <w:szCs w:val="16"/>
          <w:color w:val="auto"/>
        </w:rPr>
      </w:pPr>
    </w:p>
    <w:p>
      <w:pPr>
        <w:jc w:val="both"/>
        <w:ind w:left="4" w:hanging="4"/>
        <w:spacing w:after="0" w:line="282" w:lineRule="auto"/>
        <w:tabs>
          <w:tab w:leader="none" w:pos="26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proceeds held in the Trust Account from the Offering and the sale of the Private Placement Warrants and (y) any interest (which shall be net of amounts withdrawn to fund the Company’s working capital requirements, subject to an annual limit of $1,000,000 and/or to pay taxes), divided by (B) the total number of Public Shares then outstanding. In the event the Company conducts redemptions pursuant to the tender offer rules, the Company’s offer to redeem will remain open for at least 20 Business Days, in accordance with Rule 14e-1(a) under the Exchange Act, and the Company will not be permitted to complete the Initial Business Combination until the expiration of the tender offer period. If, however, the Company elects not to file such tender offer documents, a stockholder vote is required by law or stock exchange listing requirement in connection with the Initial Business Combination, or the Company decides to hold a stockholder vote for business or other legal reasons, the Company will submit such Initial Business Combination to the Company’s stockholders for their approval (“</w:t>
      </w: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The company will give not less than 10 days nor more than 60 days prior written notice of any such meeting, if required, at which a Business Combination Vote shall be taken. With respect to the Business Combination Vote, the Sponsor and the Company’s initial stockholders, executive officers and directors have agreed to vote all of their Founder Shares and Public Shares in favor of the Company’s initial Business Combination. If the Company seeks stockholder approval of the Initial Business Combination, the Company will offer to each Public Stockholder holding shares of Common Stock the right to have its shares redeemed in conjunction with a proxy solicitation pursuant to the proxy rules of the Commission at a per share redemption price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equal to (I) the aggregate amount then on deposit in the Trust Account as of two Business Days prior to the consummation of the Initial Business Combination representing (1) the proceeds held in the Trust Account from the Offering and the sale of the Private Placement Warrants and (2) any interest, (which shall be net of amounts withdrawn to fund the Company’s working capital requirements, subject to an annual limit of $1,000,000 and/or to pay taxes), divided by (II) the total number of Public Shares then outstanding. The Company may proceed with such Initial Business Combination only if a majority of the shares voted are voted to approve such Initial Business Combination. If, after seeking and receiving such stockholder approval, the Company elects to so proceed, it will redeem shares, at the Redemption Price, from those Public Stockholders who affirmatively requested such redemption. Only Public Stockholders holding Common Stock who properly exercise their redemption rights, in accordance with the applicable tender offer or proxy materials related to such Initial Business Combination, shall be entitled to receive distributions from the Trust Account in connection with an Initial Business Combination, and the Company shall pay no distributions with respect to any other holders or shares of capital stock of the Company in connection therewith. In the event that the Company does not effect an Initial Business Combination within the time period set forth in the Amended and Restated Certificate of Incorporation, the Company will (i) cease all operations except for the purpose of winding up, (ii) as promptly as reasonably possible but not more than ten (10) Business Days thereafter, redeem 100% of the Public Shares, at a per-share price, payable in cash, equal to the aggregate amount then on deposit in the Trust Account, including any interest (which shall be net of amounts withdrawn to fund the Company’s working capital requirements, subject to an annual limit of $1,000,000 and/or to pay taxes and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Only Public Stockholders holding Common Stock included in the Securities shall be entitled to receive such redemption amounts and the Company shall pay no such redemption amounts or any distributions in liquidation with respect to any other shares of capital stock of the Company. The Company will not propose any amendment to the Amended and Restated Certificate of Incorporation to modify the substance or timing of the Company’s obligation to provide for the redemption of the Public Shares in connection with an Initial Business Combination or to redeem 100% of its Public Shares if it does not complete its initial business combination within the time period set forth in the Amended and Restated Certificate of Incorporation, unless it provides its public stockholders with the opportunity to redeem their shares of Class A common stock upon approval of any such amendment, as described in the Statutory Prospectus and Prospectus.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jc w:val="both"/>
        <w:ind w:left="4" w:firstLine="1292"/>
        <w:spacing w:after="0" w:line="254" w:lineRule="auto"/>
        <w:tabs>
          <w:tab w:leader="none" w:pos="155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7" w:name="page198"/>
    <w:bookmarkEnd w:id="197"/>
    <w:p>
      <w:pPr>
        <w:jc w:val="both"/>
        <w:ind w:firstLine="1304"/>
        <w:spacing w:after="0" w:line="272" w:lineRule="auto"/>
        <w:tabs>
          <w:tab w:leader="none" w:pos="1641"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Upon the consummation of the Initial Business Combination, the Company will cause the Trustee to pay to the Representative,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Amended and Restated Certificate of Incorporation, the Deferred Discount will not be paid to the Representative and will, instead, be included in the liquidation distribution of the proceeds held in the Trust Account made to the Public Stockholders. In connection with any such liquidation distribution, the Underwriters will forfeit any rights or claims to the Deferred Discount.</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and ending at least five (5) years from the date of the consummation of the Initial Business Combination or until such earlier time at which the liquidation occurs or the Common Stock and Warrants cease to be publicly traded, maintain the listing of the Securities, Common Stock and Warrants on the New York Stock Exchange (or another national securities exchange).</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65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62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 if the Company ceases to be an Emerging Growth Company at any time prior to the later of (a) completion of the distribution of the Securities within the meaning of the Act and (b) completion of the 180-day restricted period referred to in Section 5(g) hereof.</w:t>
      </w:r>
    </w:p>
    <w:p>
      <w:pPr>
        <w:spacing w:after="0" w:line="165" w:lineRule="exact"/>
        <w:rPr>
          <w:rFonts w:ascii="Arial" w:cs="Arial" w:eastAsia="Arial" w:hAnsi="Arial"/>
          <w:sz w:val="17"/>
          <w:szCs w:val="17"/>
          <w:color w:val="auto"/>
        </w:rPr>
      </w:pPr>
    </w:p>
    <w:p>
      <w:pPr>
        <w:jc w:val="both"/>
        <w:ind w:firstLine="1304"/>
        <w:spacing w:after="0" w:line="301" w:lineRule="auto"/>
        <w:tabs>
          <w:tab w:leader="none" w:pos="159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If the Representative, in its sole discretion, agrees to release or waive the transfer restrictions set forth in any Insider Letter for an executive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through a major news service at least two Business Days before the effective date of the release or waiver.</w:t>
      </w:r>
    </w:p>
    <w:p>
      <w:pPr>
        <w:spacing w:after="0" w:line="157" w:lineRule="exact"/>
        <w:rPr>
          <w:rFonts w:ascii="Arial" w:cs="Arial" w:eastAsia="Arial" w:hAnsi="Arial"/>
          <w:sz w:val="16"/>
          <w:szCs w:val="16"/>
          <w:color w:val="auto"/>
        </w:rPr>
      </w:pPr>
    </w:p>
    <w:p>
      <w:pPr>
        <w:jc w:val="both"/>
        <w:ind w:firstLine="1304"/>
        <w:spacing w:after="0" w:line="255" w:lineRule="auto"/>
        <w:tabs>
          <w:tab w:leader="none" w:pos="164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Upon the earlier to occur of the expiration or termination of the Underwriters’ over-allotment option, the Company shall cancel or otherwise effect the forfeiture of Founder Shares from the Sponsor, in an aggregate amount equal to the number of Founder Shares determined by multiplying (a) 3,750,000 by (b) a fraction, (i) the numerator of which is 15,000,000 minus the number of shares of Common Stock purchased by the Underwriters upon the exercise of their over-allotment option, and (ii) the denominator of which is 15,000,000. For the avoidance of doubt, if the Underwriters exercise their over-allotment option in full, the Company shall not cancel or otherwise effect the forfeiture of the Founder Shares pursuant to this subsection.</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65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will deliver to the Representative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no event will the amounts payable by the Company under the Administrative Services Agreement be more than $50,000 per month in the aggregate for office space, utilities, secretarial and administrative support until the earlier of the date of the consummation of the Initial Business Combination or until the time that the Company is required to liquidate.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42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87" w:lineRule="exact"/>
        <w:rPr>
          <w:rFonts w:ascii="Arial" w:cs="Arial" w:eastAsia="Arial" w:hAnsi="Arial"/>
          <w:sz w:val="18"/>
          <w:szCs w:val="18"/>
          <w:color w:val="auto"/>
        </w:rPr>
      </w:pPr>
    </w:p>
    <w:p>
      <w:pPr>
        <w:jc w:val="both"/>
        <w:ind w:firstLine="1304"/>
        <w:spacing w:after="0" w:line="301" w:lineRule="auto"/>
        <w:tabs>
          <w:tab w:leader="none" w:pos="1540"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Filing of Prospectus; No Stop Order</w:t>
      </w:r>
      <w:r>
        <w:rPr>
          <w:rFonts w:ascii="Arial" w:cs="Arial" w:eastAsia="Arial" w:hAnsi="Arial"/>
          <w:sz w:val="16"/>
          <w:szCs w:val="16"/>
          <w:color w:val="auto"/>
        </w:rPr>
        <w:t>. The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1551"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Opinion of U.S. Counsel for the Company</w:t>
      </w:r>
      <w:r>
        <w:rPr>
          <w:rFonts w:ascii="Arial" w:cs="Arial" w:eastAsia="Arial" w:hAnsi="Arial"/>
          <w:sz w:val="18"/>
          <w:szCs w:val="18"/>
          <w:color w:val="auto"/>
        </w:rPr>
        <w:t>. The Company shall have requested and caused Paul, Weiss, Rifkind, Wharton &amp; Garrison LLP, counsel for the Company, to have furnished to the Representative its opinions dated the Closing Date and addressed to the Representative in form and substance acceptable to the Representative.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1304"/>
        <w:spacing w:after="0" w:line="257" w:lineRule="auto"/>
        <w:tabs>
          <w:tab w:leader="none" w:pos="15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Opinion of Counsel for the Representative</w:t>
      </w:r>
      <w:r>
        <w:rPr>
          <w:rFonts w:ascii="Arial" w:cs="Arial" w:eastAsia="Arial" w:hAnsi="Arial"/>
          <w:sz w:val="18"/>
          <w:szCs w:val="18"/>
          <w:color w:val="auto"/>
        </w:rPr>
        <w:t>. The Representative shall have received from White &amp; Case LLP, counsel for the Underwriters, such opinion or opinions, dated the Closing Date and addressed to the Representative, with respect to the issuance and sale of the Securities, the Registration Statement, the Statutory Prospectus,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furnished to the Representative a certificate of the Company, signed by the Chief Executive Officer and the principal financial or accounting officer of the Company, dated the Closing Date, to the effect that the signers of such certificate have carefully examined the Registration Statement, each Preliminary Prospectus, the Prospectus and any amendment or supplement thereto, as well as each electronic road show used in connection with the Offering, and this Agreement and that:</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1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660" w:firstLine="1292"/>
        <w:spacing w:after="0" w:line="277" w:lineRule="auto"/>
        <w:tabs>
          <w:tab w:leader="none" w:pos="222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660" w:firstLine="1292"/>
        <w:spacing w:after="0" w:line="311" w:lineRule="auto"/>
        <w:tabs>
          <w:tab w:leader="none" w:pos="221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Statutory Prospectus and the Prospectus (exclusive of any supplement thereto), there has been no Material Adverse Effect, whether or not arising from transactions in the ordinary course of business, except as set forth in or contemplated in the Statutory Prospectus and the Prospectus (exclusive of any supplement thereto).</w:t>
      </w:r>
    </w:p>
    <w:p>
      <w:pPr>
        <w:spacing w:after="0" w:line="148" w:lineRule="exact"/>
        <w:rPr>
          <w:rFonts w:ascii="Arial" w:cs="Arial" w:eastAsia="Arial" w:hAnsi="Arial"/>
          <w:sz w:val="16"/>
          <w:szCs w:val="16"/>
          <w:color w:val="auto"/>
        </w:rPr>
      </w:pPr>
    </w:p>
    <w:p>
      <w:pPr>
        <w:jc w:val="both"/>
        <w:ind w:firstLine="1304"/>
        <w:spacing w:after="0" w:line="275" w:lineRule="auto"/>
        <w:tabs>
          <w:tab w:leader="none" w:pos="155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The Company shall have furnished to the Representative a certificate signed by the Secretary or Assistant Secretary of the Company, dated the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executive officers of the Company. The documents referred to in such certificate shall be attached to such certificate.</w:t>
      </w:r>
    </w:p>
    <w:p>
      <w:pPr>
        <w:spacing w:after="0" w:line="176" w:lineRule="exact"/>
        <w:rPr>
          <w:rFonts w:ascii="Arial" w:cs="Arial" w:eastAsia="Arial" w:hAnsi="Arial"/>
          <w:sz w:val="17"/>
          <w:szCs w:val="17"/>
          <w:color w:val="auto"/>
        </w:rPr>
      </w:pPr>
    </w:p>
    <w:p>
      <w:pPr>
        <w:jc w:val="both"/>
        <w:ind w:firstLine="1304"/>
        <w:spacing w:after="0" w:line="293" w:lineRule="auto"/>
        <w:tabs>
          <w:tab w:leader="none" w:pos="1534"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Comfort Letters</w:t>
      </w:r>
      <w:r>
        <w:rPr>
          <w:rFonts w:ascii="Arial" w:cs="Arial" w:eastAsia="Arial" w:hAnsi="Arial"/>
          <w:sz w:val="16"/>
          <w:szCs w:val="16"/>
          <w:color w:val="auto"/>
        </w:rPr>
        <w:t>. The Company shall have requested and caused Marcum to have furnished to the Representative, at the Execution Time and at the Closing Date, letters, dated respectively as of the Execution Time and as of the Closing Date, in form and substance satisfactory to the Representative, confirming that they are a registered public accounting firm that is independent with respect to the Company within the meaning of the Act and the Exchange Act and the applicable rules and regulations adopted by the Commission thereunder and that they have performed a review of the audited financial statements of the Company for the period April 30, 2020 (the date of inception) through May 22, 2020, provided that the cutoff date shall not be more than two Business Days prior to such Execution Time or Closing Date, as applicable, and stating in effect that:</w:t>
      </w:r>
    </w:p>
    <w:p>
      <w:pPr>
        <w:spacing w:after="0" w:line="164" w:lineRule="exact"/>
        <w:rPr>
          <w:rFonts w:ascii="Arial" w:cs="Arial" w:eastAsia="Arial" w:hAnsi="Arial"/>
          <w:sz w:val="16"/>
          <w:szCs w:val="16"/>
          <w:color w:val="auto"/>
        </w:rPr>
      </w:pPr>
    </w:p>
    <w:p>
      <w:pPr>
        <w:jc w:val="both"/>
        <w:ind w:left="1300" w:firstLine="1300"/>
        <w:spacing w:after="0" w:line="286" w:lineRule="auto"/>
        <w:tabs>
          <w:tab w:leader="none" w:pos="2838" w:val="left"/>
        </w:tabs>
        <w:numPr>
          <w:ilvl w:val="2"/>
          <w:numId w:val="123"/>
        </w:numPr>
        <w:rPr>
          <w:rFonts w:ascii="Arial" w:cs="Arial" w:eastAsia="Arial" w:hAnsi="Arial"/>
          <w:sz w:val="17"/>
          <w:szCs w:val="17"/>
          <w:color w:val="auto"/>
        </w:rPr>
      </w:pPr>
      <w:r>
        <w:rPr>
          <w:rFonts w:ascii="Arial" w:cs="Arial" w:eastAsia="Arial" w:hAnsi="Arial"/>
          <w:sz w:val="17"/>
          <w:szCs w:val="17"/>
          <w:color w:val="auto"/>
        </w:rPr>
        <w:t>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w:t>
      </w:r>
    </w:p>
    <w:p>
      <w:pPr>
        <w:spacing w:after="0" w:line="165" w:lineRule="exact"/>
        <w:rPr>
          <w:rFonts w:ascii="Arial" w:cs="Arial" w:eastAsia="Arial" w:hAnsi="Arial"/>
          <w:sz w:val="17"/>
          <w:szCs w:val="17"/>
          <w:color w:val="auto"/>
        </w:rPr>
      </w:pPr>
    </w:p>
    <w:p>
      <w:pPr>
        <w:jc w:val="both"/>
        <w:ind w:left="1300" w:firstLine="1300"/>
        <w:spacing w:after="0" w:line="275" w:lineRule="auto"/>
        <w:tabs>
          <w:tab w:leader="none" w:pos="2861" w:val="left"/>
        </w:tabs>
        <w:numPr>
          <w:ilvl w:val="2"/>
          <w:numId w:val="123"/>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 and</w:t>
      </w:r>
    </w:p>
    <w:p>
      <w:pPr>
        <w:spacing w:after="0" w:line="176" w:lineRule="exact"/>
        <w:rPr>
          <w:rFonts w:ascii="Arial" w:cs="Arial" w:eastAsia="Arial" w:hAnsi="Arial"/>
          <w:sz w:val="17"/>
          <w:szCs w:val="17"/>
          <w:color w:val="auto"/>
        </w:rPr>
      </w:pPr>
    </w:p>
    <w:p>
      <w:pPr>
        <w:ind w:left="2940" w:hanging="340"/>
        <w:spacing w:after="0"/>
        <w:tabs>
          <w:tab w:leader="none" w:pos="29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reasonably request.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Prospectus in this paragraph (f) include any supplement thereto at the date of the letter.</w:t>
      </w:r>
    </w:p>
    <w:p>
      <w:pPr>
        <w:spacing w:after="0" w:line="225" w:lineRule="exact"/>
        <w:rPr>
          <w:sz w:val="20"/>
          <w:szCs w:val="20"/>
          <w:color w:val="auto"/>
        </w:rPr>
      </w:pPr>
    </w:p>
    <w:p>
      <w:pPr>
        <w:jc w:val="both"/>
        <w:ind w:firstLine="1304"/>
        <w:spacing w:after="0" w:line="253" w:lineRule="auto"/>
        <w:tabs>
          <w:tab w:leader="none" w:pos="156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Material Change</w:t>
      </w:r>
      <w:r>
        <w:rPr>
          <w:rFonts w:ascii="Arial" w:cs="Arial" w:eastAsia="Arial" w:hAnsi="Arial"/>
          <w:sz w:val="18"/>
          <w:szCs w:val="18"/>
          <w:color w:val="auto"/>
        </w:rPr>
        <w:t>. Subsequent to the Execution Time or, if earlier, the dates as of which information is given in the Registration Statement (exclusive of any amendment thereof), the Statutory Prospectus and the Prospectus (exclusive of any amendment or supplement thereto), there shall not have been (1) any change or decrease specified in the letter or letters referred to in paragraph (f) of this Section 6 or (2) any change, or any development involving a prospective change, in or affecting the condition (financial or otherwise), prospects,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(1) or (2) above, is, in the sole judgment of the Representative, so material and adverse as to make it impractical or inadvisable to proceed with the offering or delivery of the Securities as contemplated by the Registration Statement (exclusive of any amendment thereof), the Statutory Prospectus and the Prospectus (exclusive of any amendment or supplement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firstLine="1304"/>
        <w:spacing w:after="0" w:line="277" w:lineRule="auto"/>
        <w:tabs>
          <w:tab w:leader="none" w:pos="156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Further Information</w:t>
      </w:r>
      <w:r>
        <w:rPr>
          <w:rFonts w:ascii="Arial" w:cs="Arial" w:eastAsia="Arial" w:hAnsi="Arial"/>
          <w:sz w:val="18"/>
          <w:szCs w:val="18"/>
          <w:color w:val="auto"/>
        </w:rPr>
        <w:t>. Prior to the Closing Date, the Company shall have furnished to the Representative such further information, certificates and documents as the Representative may reasonably request.</w:t>
      </w:r>
    </w:p>
    <w:p>
      <w:pPr>
        <w:spacing w:after="0" w:line="170" w:lineRule="exact"/>
        <w:rPr>
          <w:rFonts w:ascii="Arial" w:cs="Arial" w:eastAsia="Arial" w:hAnsi="Arial"/>
          <w:sz w:val="18"/>
          <w:szCs w:val="18"/>
          <w:color w:val="auto"/>
        </w:rPr>
      </w:pPr>
    </w:p>
    <w:p>
      <w:pPr>
        <w:ind w:firstLine="1304"/>
        <w:spacing w:after="0" w:line="277" w:lineRule="auto"/>
        <w:tabs>
          <w:tab w:leader="none" w:pos="153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firstLine="1304"/>
        <w:spacing w:after="0" w:line="277" w:lineRule="auto"/>
        <w:tabs>
          <w:tab w:leader="none" w:pos="15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New York Stock Exchange</w:t>
      </w:r>
      <w:r>
        <w:rPr>
          <w:rFonts w:ascii="Arial" w:cs="Arial" w:eastAsia="Arial" w:hAnsi="Arial"/>
          <w:sz w:val="18"/>
          <w:szCs w:val="18"/>
          <w:color w:val="auto"/>
        </w:rPr>
        <w:t>. The Securities shall be duly listed, subject to notice of issuance, on the New York Stock Exchange, satisfactory evidence of which shall have been provided to the Representative.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Representative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38"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 Brokers</w:t>
      </w:r>
      <w:r>
        <w:rPr>
          <w:rFonts w:ascii="Arial" w:cs="Arial" w:eastAsia="Arial" w:hAnsi="Arial"/>
          <w:sz w:val="16"/>
          <w:szCs w:val="16"/>
          <w:color w:val="auto"/>
        </w:rPr>
        <w:t>. On the Closing Date, the Company shall have requested and caused the Sponsor and the Company’s directors and executive officers to have executed and furnished to the Representative a certificate, dated the Closing Date and addressed to the Representative, to the effect that, 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Sponsor or the Company’s directors or executive officers with respect to the sale of the Securities hereunder or any other arrangements, agreements or understandings by the Sponsor or the Company’s directors or executive officers that may affect the Underwriters’ compensation, as determined by FINRA.</w:t>
      </w:r>
    </w:p>
    <w:p>
      <w:pPr>
        <w:spacing w:after="0" w:line="164" w:lineRule="exact"/>
        <w:rPr>
          <w:rFonts w:ascii="Arial" w:cs="Arial" w:eastAsia="Arial" w:hAnsi="Arial"/>
          <w:sz w:val="16"/>
          <w:szCs w:val="16"/>
          <w:color w:val="auto"/>
        </w:rPr>
      </w:pPr>
    </w:p>
    <w:p>
      <w:pPr>
        <w:ind w:firstLine="1304"/>
        <w:spacing w:after="0" w:line="277" w:lineRule="auto"/>
        <w:tabs>
          <w:tab w:leader="none" w:pos="160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Trust Account</w:t>
      </w:r>
      <w:r>
        <w:rPr>
          <w:rFonts w:ascii="Arial" w:cs="Arial" w:eastAsia="Arial" w:hAnsi="Arial"/>
          <w:sz w:val="18"/>
          <w:szCs w:val="18"/>
          <w:color w:val="auto"/>
        </w:rPr>
        <w:t>. On the Closing Date, the Company shall have furnished to the Representative one or more certificates signed by an authorized officer of the Trustee to the effect of certifying that $1,000,000,000 shall have been deposited in the Trust Account.</w:t>
      </w:r>
    </w:p>
    <w:p>
      <w:pPr>
        <w:spacing w:after="0" w:line="170" w:lineRule="exact"/>
        <w:rPr>
          <w:rFonts w:ascii="Arial" w:cs="Arial" w:eastAsia="Arial" w:hAnsi="Arial"/>
          <w:sz w:val="18"/>
          <w:szCs w:val="18"/>
          <w:color w:val="auto"/>
        </w:rPr>
      </w:pPr>
    </w:p>
    <w:p>
      <w:pPr>
        <w:ind w:firstLine="1304"/>
        <w:spacing w:after="0" w:line="308" w:lineRule="auto"/>
        <w:tabs>
          <w:tab w:leader="none" w:pos="156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 stop orders</w:t>
      </w:r>
      <w:r>
        <w:rPr>
          <w:rFonts w:ascii="Arial" w:cs="Arial" w:eastAsia="Arial" w:hAnsi="Arial"/>
          <w:sz w:val="17"/>
          <w:szCs w:val="17"/>
          <w:color w:val="auto"/>
        </w:rPr>
        <w:t>. No order preventing or suspending the sale of the Units in any jurisdiction designated by the Representative shall have been issued as of the Closing Date, and no proceedings for that purpose shall have been instituted or shall have been threatened.</w:t>
      </w:r>
    </w:p>
    <w:p>
      <w:pPr>
        <w:spacing w:after="0" w:line="146" w:lineRule="exact"/>
        <w:rPr>
          <w:rFonts w:ascii="Arial" w:cs="Arial" w:eastAsia="Arial" w:hAnsi="Arial"/>
          <w:sz w:val="17"/>
          <w:szCs w:val="17"/>
          <w:color w:val="auto"/>
        </w:rPr>
      </w:pPr>
    </w:p>
    <w:p>
      <w:pPr>
        <w:ind w:firstLine="1304"/>
        <w:spacing w:after="0" w:line="277" w:lineRule="auto"/>
        <w:tabs>
          <w:tab w:leader="none" w:pos="15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At least one (1) Business Day prior to the Closing Date, the Sponsor shall have paid to the Company the purchase price for the Private Placement Warrants, including the deposit of the net proceeds thereof into the Trust Account.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cancelled at, or at any time prior to, the Closing Date by the Representative. Notice of such cancellation shall be given to the Company in writing or by telephone or facsimile confirmed in writing.</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White &amp; Case LLP, counsel for the Underwriters, at 1221 Avenue of the Americas, New York, New York 10020, on the Closing Date.</w:t>
      </w:r>
    </w:p>
    <w:p>
      <w:pPr>
        <w:spacing w:after="0" w:line="170" w:lineRule="exact"/>
        <w:rPr>
          <w:sz w:val="20"/>
          <w:szCs w:val="20"/>
          <w:color w:val="auto"/>
        </w:rPr>
      </w:pPr>
    </w:p>
    <w:p>
      <w:pPr>
        <w:jc w:val="both"/>
        <w:ind w:firstLine="656"/>
        <w:spacing w:after="0" w:line="273" w:lineRule="auto"/>
        <w:tabs>
          <w:tab w:leader="none" w:pos="1961"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and documented out-of-pocket expenses (including reasonable and documented fees and disbursements of counsel) that shall have been incurred by them in connection with the proposed purchase and sale of the Securities.</w:t>
      </w:r>
    </w:p>
    <w:p>
      <w:pPr>
        <w:spacing w:after="0" w:line="177" w:lineRule="exact"/>
        <w:rPr>
          <w:rFonts w:ascii="Arial" w:cs="Arial" w:eastAsia="Arial" w:hAnsi="Arial"/>
          <w:sz w:val="17"/>
          <w:szCs w:val="17"/>
          <w:color w:val="auto"/>
        </w:rPr>
      </w:pPr>
    </w:p>
    <w:p>
      <w:pPr>
        <w:ind w:left="1640" w:hanging="984"/>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5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it being understood and agreed that only such information furnished by any Underwriter consists of the information described in the last sentence of Section 8(b) hereof. This indemnity agreement will be in addition to any liability which the Company may otherwise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304"/>
        <w:spacing w:after="0" w:line="268" w:lineRule="auto"/>
        <w:tabs>
          <w:tab w:leader="none" w:pos="156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executive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Securities and (ii) in the section entitled “Underwriting” of the Statutory Prospectus and Prospectus, the last sentence of the third paragraph concerning sales to discretionary accounts and the 11</w:t>
      </w:r>
      <w:r>
        <w:rPr>
          <w:rFonts w:ascii="Arial" w:cs="Arial" w:eastAsia="Arial" w:hAnsi="Arial"/>
          <w:sz w:val="26"/>
          <w:szCs w:val="26"/>
          <w:color w:val="auto"/>
          <w:vertAlign w:val="superscript"/>
        </w:rPr>
        <w:t>th</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and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paragraphs concerning the purchase and sale of Units in the open market and other stabilizing transactions by the underwriters and penalty bids, constitute the only information furnished in writing by or on behalf of the several Underwriters for inclusion in any Preliminary Prospectus and the Prospectus.</w:t>
      </w:r>
    </w:p>
    <w:p>
      <w:pPr>
        <w:spacing w:after="0" w:line="204" w:lineRule="exact"/>
        <w:rPr>
          <w:sz w:val="20"/>
          <w:szCs w:val="20"/>
          <w:color w:val="auto"/>
        </w:rPr>
      </w:pPr>
    </w:p>
    <w:p>
      <w:pPr>
        <w:jc w:val="both"/>
        <w:ind w:firstLine="1304"/>
        <w:spacing w:after="0" w:line="286" w:lineRule="auto"/>
        <w:tabs>
          <w:tab w:leader="none" w:pos="15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jc w:val="both"/>
        <w:ind w:firstLine="8"/>
        <w:spacing w:after="0" w:line="284" w:lineRule="auto"/>
        <w:tabs>
          <w:tab w:leader="none" w:pos="27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304"/>
        <w:spacing w:after="0" w:line="284" w:lineRule="auto"/>
        <w:tabs>
          <w:tab w:leader="none" w:pos="155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Company and one or more of the Underwriters may be subject in such proportion as is appropriate to reflect the relative benefits received by the Company on the one hand and by the Underwriters on the other from the Offering.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392" w:lineRule="exact"/>
        <w:rPr>
          <w:rFonts w:ascii="Arial" w:cs="Arial" w:eastAsia="Arial" w:hAnsi="Arial"/>
          <w:sz w:val="16"/>
          <w:szCs w:val="16"/>
          <w:color w:val="auto"/>
        </w:rPr>
      </w:pPr>
    </w:p>
    <w:p>
      <w:pPr>
        <w:jc w:val="both"/>
        <w:ind w:firstLine="656"/>
        <w:spacing w:after="0" w:line="268" w:lineRule="auto"/>
        <w:tabs>
          <w:tab w:leader="none" w:pos="182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provided, however,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 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79" w:lineRule="exact"/>
        <w:rPr>
          <w:rFonts w:ascii="Arial" w:cs="Arial" w:eastAsia="Arial" w:hAnsi="Arial"/>
          <w:sz w:val="17"/>
          <w:szCs w:val="17"/>
          <w:color w:val="auto"/>
        </w:rPr>
      </w:pPr>
    </w:p>
    <w:p>
      <w:pPr>
        <w:jc w:val="both"/>
        <w:ind w:firstLine="656"/>
        <w:spacing w:after="0" w:line="269" w:lineRule="auto"/>
        <w:tabs>
          <w:tab w:leader="none" w:pos="1687"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Units, Common Stock or Warrants shall have been suspended by the Commission or the New York Stock Exchange (or successor trading market) or trading in securities generally on the New York Stock Exchange or The Nasdaq Capital Market (or successor trading market) shall have been suspended or limited or minimum prices shall have been established on such exchange or trading market, (ii) the Company shall not have obtained authorization for quotation of the Common Stock, Warrants or Units on the New York Stock Exchange (or successor trading market),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national or international calamity or crisis the effect of which on financial markets is such as to make it, in the sole judgment of the Representative, impractical or inadvisable to proceed with the offering or delivery of the Securities as contemplated by the Statutory Prospectus or the Prospectus (exclusive of any supplement thereto).</w:t>
      </w:r>
    </w:p>
    <w:p>
      <w:pPr>
        <w:spacing w:after="0" w:line="181" w:lineRule="exact"/>
        <w:rPr>
          <w:rFonts w:ascii="Arial" w:cs="Arial" w:eastAsia="Arial" w:hAnsi="Arial"/>
          <w:sz w:val="17"/>
          <w:szCs w:val="17"/>
          <w:color w:val="auto"/>
        </w:rPr>
      </w:pPr>
    </w:p>
    <w:p>
      <w:pPr>
        <w:ind w:left="1600" w:hanging="944"/>
        <w:spacing w:after="0"/>
        <w:tabs>
          <w:tab w:leader="none" w:pos="16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304"/>
        <w:spacing w:after="0" w:line="259" w:lineRule="auto"/>
        <w:tabs>
          <w:tab w:leader="none" w:pos="1578" w:val="left"/>
        </w:tabs>
        <w:numPr>
          <w:ilvl w:val="2"/>
          <w:numId w:val="13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593"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executive officers and of the Underwriters set forth in or made pursuant to this Agreement will remain in full force and effect, regardless of any investigation made by or on behalf of any Underwriter or the Company or any of the executive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741"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 will be mailed, delivered or telefaxed to Citigroup Global Markets Inc., 388 Greenwich Street, New York, New York, 10013, Attention: General Counsel (fax no.:</w:t>
      </w:r>
    </w:p>
    <w:p>
      <w:pPr>
        <w:jc w:val="both"/>
        <w:ind w:firstLine="8"/>
        <w:spacing w:after="0" w:line="255" w:lineRule="auto"/>
        <w:tabs>
          <w:tab w:leader="none" w:pos="4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291-1469), and confirmed to White &amp; Case LLP, 1221 Avenue of the Americas, New York, NY 10020, Attention: Joel L. Rubinstein (fax no.: (212) 354-8113); or, if sent to the Company, will be mailed, delivered or telefaxed to Churchill Capital Corp IV, Attention: Michael Klein, and confirmed to Paul, Weiss, Rifkind, Wharton &amp; Garrison LLP, Attention: Raphael M. Russo (fax no.: (212) 492-0309).</w:t>
      </w:r>
    </w:p>
    <w:p>
      <w:pPr>
        <w:spacing w:after="0" w:line="189" w:lineRule="exact"/>
        <w:rPr>
          <w:rFonts w:ascii="Arial" w:cs="Arial" w:eastAsia="Arial" w:hAnsi="Arial"/>
          <w:sz w:val="18"/>
          <w:szCs w:val="18"/>
          <w:color w:val="auto"/>
        </w:rPr>
      </w:pPr>
    </w:p>
    <w:p>
      <w:pPr>
        <w:jc w:val="both"/>
        <w:ind w:firstLine="656"/>
        <w:spacing w:after="0" w:line="263" w:lineRule="auto"/>
        <w:tabs>
          <w:tab w:leader="none" w:pos="160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executive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60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ind w:firstLine="656"/>
        <w:spacing w:after="0" w:line="277" w:lineRule="auto"/>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firstLine="656"/>
        <w:spacing w:after="0" w:line="277" w:lineRule="auto"/>
        <w:tabs>
          <w:tab w:leader="none" w:pos="160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60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exclusive jurisdiction of such courts in any suit, action or proceeding.</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795"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color w:val="auto"/>
        </w:rPr>
      </w:pPr>
    </w:p>
    <w:p>
      <w:pPr>
        <w:ind w:firstLine="656"/>
        <w:spacing w:after="0" w:line="277" w:lineRule="auto"/>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which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shall mean “affiliate” as defined in, and shall be interpreted in accordance with, 12 U.S.C. § 1841(k).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shall mean any of the following: (i) a “covered entity” as that term is defined in, and interpreted in accordance with, 12 C.F.R.</w:t>
      </w:r>
    </w:p>
    <w:p>
      <w:pPr>
        <w:spacing w:after="0" w:line="46" w:lineRule="exact"/>
        <w:rPr>
          <w:sz w:val="20"/>
          <w:szCs w:val="20"/>
          <w:color w:val="auto"/>
        </w:rPr>
      </w:pPr>
    </w:p>
    <w:p>
      <w:pPr>
        <w:ind w:firstLine="8"/>
        <w:spacing w:after="0" w:line="260" w:lineRule="auto"/>
        <w:tabs>
          <w:tab w:leader="none" w:pos="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shall mean default right as defined and interpreted in accordance with, 12 C.F.R. §§ 252.81, 47.2 or 382.1, as applicable.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[__], 2020, at 5:30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relating to the Securities that is first filed pursuant to Rule 424(b) after the Execution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paragraph 1(a) above, including exhibits and financial statements and any information deemed part of such registration statement pursuant to Rule 430A, as amended or supplemented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419</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430A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shall mean the (i) Preliminary Prospectus dated [__], 2020, relating to the Securities and (ii) the Time of Delivery Information, if any, set forth on Schedule II hereto.</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left="4520"/>
        <w:spacing w:after="0"/>
        <w:rPr>
          <w:sz w:val="20"/>
          <w:szCs w:val="20"/>
          <w:color w:val="auto"/>
        </w:rPr>
      </w:pPr>
      <w:r>
        <w:rPr>
          <w:rFonts w:ascii="Arial" w:cs="Arial" w:eastAsia="Arial" w:hAnsi="Arial"/>
          <w:sz w:val="17"/>
          <w:szCs w:val="17"/>
          <w:color w:val="auto"/>
        </w:rPr>
        <w:t>CHURCHILL CAPITAL CORP IV</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Pavan Bellur</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to the foregoing Agreement.</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6140" w:type="dxa"/>
            <w:vAlign w:val="bottom"/>
            <w:gridSpan w:val="5"/>
          </w:tcPr>
          <w:p>
            <w:pPr>
              <w:jc w:val="center"/>
              <w:ind w:right="5100"/>
              <w:spacing w:after="0"/>
              <w:rPr>
                <w:sz w:val="20"/>
                <w:szCs w:val="20"/>
                <w:color w:val="auto"/>
              </w:rPr>
            </w:pPr>
            <w:r>
              <w:rPr>
                <w:rFonts w:ascii="Arial" w:cs="Arial" w:eastAsia="Arial" w:hAnsi="Arial"/>
                <w:sz w:val="18"/>
                <w:szCs w:val="18"/>
                <w:color w:val="auto"/>
                <w:w w:val="96"/>
              </w:rPr>
              <w:t>SCHEDULE I</w:t>
            </w:r>
          </w:p>
        </w:tc>
      </w:tr>
      <w:tr>
        <w:trPr>
          <w:trHeight w:val="434"/>
        </w:trPr>
        <w:tc>
          <w:tcPr>
            <w:tcW w:w="5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 of Underwritten</w:t>
            </w: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Purchased</w:t>
            </w: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tcBorders>
              <w:top w:val="single" w:sz="8" w:color="auto"/>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[__]</w:t>
            </w:r>
          </w:p>
        </w:tc>
        <w:tc>
          <w:tcPr>
            <w:tcW w:w="104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8"/>
                <w:szCs w:val="18"/>
                <w:color w:val="auto"/>
              </w:rPr>
            </w:pPr>
          </w:p>
        </w:tc>
      </w:tr>
      <w:tr>
        <w:trPr>
          <w:trHeight w:val="426"/>
        </w:trPr>
        <w:tc>
          <w:tcPr>
            <w:tcW w:w="5100" w:type="dxa"/>
            <w:vAlign w:val="bottom"/>
          </w:tcPr>
          <w:p>
            <w:pPr>
              <w:spacing w:after="0"/>
              <w:rPr>
                <w:sz w:val="24"/>
                <w:szCs w:val="24"/>
                <w:color w:val="auto"/>
              </w:rPr>
            </w:pPr>
          </w:p>
        </w:tc>
        <w:tc>
          <w:tcPr>
            <w:tcW w:w="6140" w:type="dxa"/>
            <w:vAlign w:val="bottom"/>
            <w:gridSpan w:val="5"/>
          </w:tcPr>
          <w:p>
            <w:pPr>
              <w:jc w:val="center"/>
              <w:ind w:right="5100"/>
              <w:spacing w:after="0"/>
              <w:rPr>
                <w:sz w:val="20"/>
                <w:szCs w:val="20"/>
                <w:color w:val="auto"/>
              </w:rPr>
            </w:pPr>
            <w:r>
              <w:rPr>
                <w:rFonts w:ascii="Arial" w:cs="Arial" w:eastAsia="Arial" w:hAnsi="Arial"/>
                <w:sz w:val="18"/>
                <w:szCs w:val="18"/>
                <w:color w:val="auto"/>
                <w:w w:val="90"/>
              </w:rPr>
              <w:t>Schedule I-1</w:t>
            </w:r>
          </w:p>
        </w:tc>
      </w:tr>
      <w:tr>
        <w:trPr>
          <w:trHeight w:val="432"/>
        </w:trPr>
        <w:tc>
          <w:tcPr>
            <w:tcW w:w="5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07" w:name="page208"/>
    <w:bookmarkEnd w:id="207"/>
    <w:p>
      <w:pPr>
        <w:jc w:val="center"/>
        <w:ind w:right="-59"/>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 Information</w:t>
      </w:r>
    </w:p>
    <w:p>
      <w:pPr>
        <w:spacing w:after="0" w:line="225" w:lineRule="exact"/>
        <w:rPr>
          <w:sz w:val="20"/>
          <w:szCs w:val="20"/>
          <w:color w:val="auto"/>
        </w:rPr>
      </w:pPr>
    </w:p>
    <w:p>
      <w:pPr>
        <w:ind w:left="1640" w:hanging="782"/>
        <w:spacing w:after="0"/>
        <w:tabs>
          <w:tab w:leader="none" w:pos="1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initial price to the public of the Securities: $10.00 per Unit.</w:t>
      </w:r>
    </w:p>
    <w:p>
      <w:pPr>
        <w:spacing w:after="0" w:line="23" w:lineRule="exact"/>
        <w:rPr>
          <w:rFonts w:ascii="Arial" w:cs="Arial" w:eastAsia="Arial" w:hAnsi="Arial"/>
          <w:sz w:val="18"/>
          <w:szCs w:val="18"/>
          <w:color w:val="auto"/>
        </w:rPr>
      </w:pPr>
    </w:p>
    <w:p>
      <w:pPr>
        <w:ind w:left="1640" w:hanging="782"/>
        <w:spacing w:after="0"/>
        <w:tabs>
          <w:tab w:leader="none" w:pos="1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Number of Underwritten Securities offered: 100,000,000.</w:t>
      </w:r>
    </w:p>
    <w:p>
      <w:pPr>
        <w:spacing w:after="0" w:line="9" w:lineRule="exact"/>
        <w:rPr>
          <w:rFonts w:ascii="Arial" w:cs="Arial" w:eastAsia="Arial" w:hAnsi="Arial"/>
          <w:sz w:val="18"/>
          <w:szCs w:val="18"/>
          <w:color w:val="auto"/>
        </w:rPr>
      </w:pPr>
    </w:p>
    <w:p>
      <w:pPr>
        <w:ind w:left="1640" w:hanging="782"/>
        <w:spacing w:after="0"/>
        <w:tabs>
          <w:tab w:leader="none" w:pos="16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to purchase an aggregate of not more than 15,000,000 Option Securities.</w:t>
      </w:r>
    </w:p>
    <w:p>
      <w:pPr>
        <w:spacing w:after="0" w:line="32" w:lineRule="exact"/>
        <w:rPr>
          <w:rFonts w:ascii="Arial" w:cs="Arial" w:eastAsia="Arial" w:hAnsi="Arial"/>
          <w:sz w:val="16"/>
          <w:szCs w:val="16"/>
          <w:color w:val="auto"/>
        </w:rPr>
      </w:pPr>
    </w:p>
    <w:p>
      <w:pPr>
        <w:jc w:val="both"/>
        <w:ind w:left="1640" w:hanging="782"/>
        <w:spacing w:after="0" w:line="255" w:lineRule="auto"/>
        <w:tabs>
          <w:tab w:leader="none" w:pos="1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Sponsor and the Company’s executive officers and directors have agreed to purchase additional Private Placement Warrants if and when the Underwriters exercise their over-allotment option as necessary to maintain 100% of the Offering proceeds in the Trust Account.</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8" w:name="page209"/>
    <w:bookmarkEnd w:id="208"/>
    <w:p>
      <w:pPr>
        <w:jc w:val="right"/>
        <w:ind w:right="3939"/>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Churchill Capital Corp IV (the “Company”) announced today that Citigroup Global Markets Inc., book-running manager in the Company’s recent public sale of [ ] units, each unit consisting of one share of the Company’s Class A common stock, par value $0.0001 per share (the “Common Stock”), and one-fifth of one warrant, where each whole warrant entitles the holder to purchase one share of Common Stock, is [waiving] [releasing] a lock-up restriction with respect to [ ] units held by [certain executive officers or directors] [an officer or director] of the Company. The [waiver] [release] will take effect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20____, and the units may be sold on or after such date.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ANNETTA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undersigned, for the purposes of forming a corporation under the laws of the State of Delaware, does make, file, and record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does hereby certify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Annetta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850 New Burton Road, Suite 201, Dover, County of Kent, Delaware 19904, and the name of the Corporation’s registered agent at such address is Cogency Global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xml:space="preserve">.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 240,000,000 shares of Class A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A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(ii) 60,000,000 shares of Class B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B Common Stock</w:t>
      </w:r>
      <w:r>
        <w:rPr>
          <w:rFonts w:ascii="Arial" w:cs="Arial" w:eastAsia="Arial" w:hAnsi="Arial"/>
          <w:sz w:val="17"/>
          <w:szCs w:val="17"/>
          <w:i w:val="1"/>
          <w:iCs w:val="1"/>
          <w:color w:val="auto"/>
        </w:rPr>
        <w:t>”</w:t>
      </w:r>
      <w:r>
        <w:rPr>
          <w:rFonts w:ascii="Arial" w:cs="Arial" w:eastAsia="Arial" w:hAnsi="Arial"/>
          <w:sz w:val="17"/>
          <w:szCs w:val="17"/>
          <w:color w:val="auto"/>
        </w:rPr>
        <w:t>), and (b) 1,000,000 shares of preferred stock (the</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ind w:left="180"/>
        <w:spacing w:after="0"/>
        <w:tabs>
          <w:tab w:leader="none" w:pos="12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300" w:hanging="468"/>
        <w:spacing w:after="0"/>
        <w:tabs>
          <w:tab w:leader="none" w:pos="1300"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firstLine="2406"/>
        <w:spacing w:after="0" w:line="277" w:lineRule="auto"/>
        <w:tabs>
          <w:tab w:leader="none" w:pos="2392" w:val="left"/>
        </w:tabs>
        <w:numPr>
          <w:ilvl w:val="3"/>
          <w:numId w:val="137"/>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1120" w:firstLine="2406"/>
        <w:spacing w:after="0" w:line="263" w:lineRule="auto"/>
        <w:tabs>
          <w:tab w:leader="none" w:pos="2383" w:val="left"/>
        </w:tabs>
        <w:numPr>
          <w:ilvl w:val="3"/>
          <w:numId w:val="137"/>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1120" w:firstLine="2406"/>
        <w:spacing w:after="0" w:line="290" w:lineRule="auto"/>
        <w:tabs>
          <w:tab w:leader="none" w:pos="2265" w:val="left"/>
        </w:tabs>
        <w:numPr>
          <w:ilvl w:val="3"/>
          <w:numId w:val="137"/>
        </w:numPr>
        <w:rPr>
          <w:rFonts w:ascii="Arial" w:cs="Arial" w:eastAsia="Arial" w:hAnsi="Arial"/>
          <w:sz w:val="16"/>
          <w:szCs w:val="16"/>
          <w:color w:val="auto"/>
        </w:rPr>
      </w:pPr>
      <w:r>
        <w:rPr>
          <w:rFonts w:ascii="Arial" w:cs="Arial" w:eastAsia="Arial" w:hAnsi="Arial"/>
          <w:sz w:val="16"/>
          <w:szCs w:val="16"/>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65" w:lineRule="exact"/>
        <w:rPr>
          <w:rFonts w:ascii="Arial" w:cs="Arial" w:eastAsia="Arial" w:hAnsi="Arial"/>
          <w:sz w:val="16"/>
          <w:szCs w:val="16"/>
          <w:color w:val="auto"/>
        </w:rPr>
      </w:pPr>
    </w:p>
    <w:p>
      <w:pPr>
        <w:ind w:left="1260" w:hanging="428"/>
        <w:spacing w:after="0"/>
        <w:tabs>
          <w:tab w:leader="none" w:pos="1260"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20" w:firstLine="2406"/>
        <w:spacing w:after="0" w:line="263" w:lineRule="auto"/>
        <w:tabs>
          <w:tab w:leader="none" w:pos="2149" w:val="left"/>
        </w:tabs>
        <w:numPr>
          <w:ilvl w:val="3"/>
          <w:numId w:val="137"/>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 at any time and from time to time at the option of the holder thereof and (B) automatically upon the consummation of the Business Combination (as defined below).</w:t>
      </w:r>
    </w:p>
    <w:p>
      <w:pPr>
        <w:spacing w:after="0" w:line="183" w:lineRule="exact"/>
        <w:rPr>
          <w:rFonts w:ascii="Arial" w:cs="Arial" w:eastAsia="Arial" w:hAnsi="Arial"/>
          <w:sz w:val="18"/>
          <w:szCs w:val="18"/>
          <w:color w:val="auto"/>
        </w:rPr>
      </w:pPr>
    </w:p>
    <w:p>
      <w:pPr>
        <w:jc w:val="both"/>
        <w:ind w:left="-1120" w:firstLine="2406"/>
        <w:spacing w:after="0" w:line="275" w:lineRule="auto"/>
        <w:tabs>
          <w:tab w:leader="none" w:pos="2167" w:val="left"/>
        </w:tabs>
        <w:numPr>
          <w:ilvl w:val="3"/>
          <w:numId w:val="137"/>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at a ratio for which:</w:t>
      </w:r>
    </w:p>
    <w:p>
      <w:pPr>
        <w:spacing w:after="0" w:line="176" w:lineRule="exact"/>
        <w:rPr>
          <w:rFonts w:ascii="Arial" w:cs="Arial" w:eastAsia="Arial" w:hAnsi="Arial"/>
          <w:sz w:val="17"/>
          <w:szCs w:val="17"/>
          <w:color w:val="auto"/>
        </w:rPr>
      </w:pPr>
    </w:p>
    <w:p>
      <w:pPr>
        <w:jc w:val="both"/>
        <w:ind w:left="500" w:hanging="316"/>
        <w:spacing w:after="0" w:line="287" w:lineRule="auto"/>
        <w:tabs>
          <w:tab w:leader="none" w:pos="5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w:t>
      </w:r>
    </w:p>
    <w:p>
      <w:pPr>
        <w:spacing w:after="0" w:line="2" w:lineRule="exact"/>
        <w:rPr>
          <w:rFonts w:ascii="Arial" w:cs="Arial" w:eastAsia="Arial" w:hAnsi="Arial"/>
          <w:sz w:val="16"/>
          <w:szCs w:val="16"/>
          <w:color w:val="auto"/>
        </w:rPr>
      </w:pPr>
    </w:p>
    <w:p>
      <w:pPr>
        <w:ind w:left="800" w:hanging="292"/>
        <w:spacing w:after="0"/>
        <w:tabs>
          <w:tab w:leader="none" w:pos="8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number of shares of Class B Common Stock issued and outstanding prior to the closing of the initial Business Combination;</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2" w:name="page213"/>
    <w:bookmarkEnd w:id="212"/>
    <w:p>
      <w:pPr>
        <w:ind w:left="1620" w:hanging="316"/>
        <w:spacing w:after="0" w:line="277" w:lineRule="auto"/>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firstLine="2406"/>
        <w:spacing w:after="0" w:line="268" w:lineRule="auto"/>
        <w:tabs>
          <w:tab w:leader="none" w:pos="3207"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Certificate (including any Preferred Stock Designation),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952"/>
        <w:spacing w:after="0" w:line="259" w:lineRule="auto"/>
        <w:tabs>
          <w:tab w:leader="none" w:pos="2427"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2406"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20" w:type="dxa"/>
            <w:vAlign w:val="bottom"/>
            <w:gridSpan w:val="3"/>
          </w:tcPr>
          <w:p>
            <w:pPr>
              <w:jc w:val="center"/>
              <w:ind w:right="3212"/>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gridSpan w:val="3"/>
          </w:tcPr>
          <w:p>
            <w:pPr>
              <w:jc w:val="center"/>
              <w:ind w:right="3232"/>
              <w:spacing w:after="0"/>
              <w:rPr>
                <w:sz w:val="20"/>
                <w:szCs w:val="20"/>
                <w:color w:val="auto"/>
              </w:rPr>
            </w:pPr>
            <w:r>
              <w:rPr>
                <w:rFonts w:ascii="Arial" w:cs="Arial" w:eastAsia="Arial" w:hAnsi="Arial"/>
                <w:sz w:val="18"/>
                <w:szCs w:val="18"/>
                <w:b w:val="1"/>
                <w:bCs w:val="1"/>
                <w:color w:val="auto"/>
                <w:w w:val="99"/>
              </w:rPr>
              <w:t>INCORPORATOR</w:t>
            </w:r>
          </w:p>
        </w:tc>
      </w:tr>
      <w:tr>
        <w:trPr>
          <w:trHeight w:val="392"/>
        </w:trPr>
        <w:tc>
          <w:tcPr>
            <w:tcW w:w="1080" w:type="dxa"/>
            <w:vAlign w:val="bottom"/>
          </w:tcPr>
          <w:p>
            <w:pPr>
              <w:spacing w:after="0"/>
              <w:rPr>
                <w:sz w:val="24"/>
                <w:szCs w:val="24"/>
                <w:color w:val="auto"/>
              </w:rPr>
            </w:pPr>
          </w:p>
        </w:tc>
        <w:tc>
          <w:tcPr>
            <w:tcW w:w="10160" w:type="dxa"/>
            <w:vAlign w:val="bottom"/>
            <w:gridSpan w:val="5"/>
          </w:tcPr>
          <w:p>
            <w:pPr>
              <w:ind w:left="220"/>
              <w:spacing w:after="0"/>
              <w:rPr>
                <w:sz w:val="20"/>
                <w:szCs w:val="20"/>
                <w:color w:val="auto"/>
              </w:rPr>
            </w:pPr>
            <w:r>
              <w:rPr>
                <w:rFonts w:ascii="Arial" w:cs="Arial" w:eastAsia="Arial" w:hAnsi="Arial"/>
                <w:sz w:val="18"/>
                <w:szCs w:val="18"/>
                <w:color w:val="auto"/>
              </w:rPr>
              <w:t>Section 5.1    Incorporator. The name and mailing address of the sole incorporator of the Corporation are as follows:</w:t>
            </w:r>
          </w:p>
        </w:tc>
      </w:tr>
      <w:tr>
        <w:trPr>
          <w:trHeight w:val="466"/>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Address</w:t>
            </w: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Jay Taragin</w:t>
            </w: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line="236" w:lineRule="exact"/>
              <w:rPr>
                <w:sz w:val="20"/>
                <w:szCs w:val="20"/>
                <w:color w:val="auto"/>
              </w:rPr>
            </w:pPr>
            <w:r>
              <w:rPr>
                <w:rFonts w:ascii="Arial" w:cs="Arial" w:eastAsia="Arial" w:hAnsi="Arial"/>
                <w:sz w:val="17"/>
                <w:szCs w:val="17"/>
                <w:color w:val="auto"/>
              </w:rPr>
              <w:t>640 Fifth Avenue,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230"/>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New York, NY 10019</w:t>
            </w:r>
          </w:p>
        </w:tc>
      </w:tr>
    </w:tbl>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Initial Director</w:t>
      </w:r>
      <w:r>
        <w:rPr>
          <w:rFonts w:ascii="Arial" w:cs="Arial" w:eastAsia="Arial" w:hAnsi="Arial"/>
          <w:sz w:val="18"/>
          <w:szCs w:val="18"/>
          <w:color w:val="auto"/>
        </w:rPr>
        <w:t>. The powers of the incorporator shall terminate upon the filing of this Certificate of Incorporation with the Secretary of the State of Delaware. The name and mailing address of the person who is to serve as the initial director of the Corporation, or until his successor is duly elected and qualified,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Address</w:t>
            </w: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Peter Seibold</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line="236" w:lineRule="exact"/>
              <w:rPr>
                <w:sz w:val="20"/>
                <w:szCs w:val="20"/>
                <w:color w:val="auto"/>
              </w:rPr>
            </w:pPr>
            <w:r>
              <w:rPr>
                <w:rFonts w:ascii="Arial" w:cs="Arial" w:eastAsia="Arial" w:hAnsi="Arial"/>
                <w:sz w:val="17"/>
                <w:szCs w:val="17"/>
                <w:color w:val="auto"/>
              </w:rPr>
              <w:t>640 Fifth Avenue,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230"/>
        </w:trPr>
        <w:tc>
          <w:tcPr>
            <w:tcW w:w="3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New York, NY 10019</w:t>
            </w:r>
          </w:p>
        </w:tc>
      </w:tr>
      <w:tr>
        <w:trPr>
          <w:trHeight w:val="414"/>
        </w:trPr>
        <w:tc>
          <w:tcPr>
            <w:tcW w:w="3040" w:type="dxa"/>
            <w:vAlign w:val="bottom"/>
          </w:tcPr>
          <w:p>
            <w:pPr>
              <w:spacing w:after="0"/>
              <w:rPr>
                <w:sz w:val="24"/>
                <w:szCs w:val="24"/>
                <w:color w:val="auto"/>
              </w:rPr>
            </w:pPr>
          </w:p>
        </w:tc>
        <w:tc>
          <w:tcPr>
            <w:tcW w:w="8200" w:type="dxa"/>
            <w:vAlign w:val="bottom"/>
            <w:gridSpan w:val="3"/>
          </w:tcPr>
          <w:p>
            <w:pPr>
              <w:ind w:left="206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3040" w:type="dxa"/>
            <w:vAlign w:val="bottom"/>
          </w:tcPr>
          <w:p>
            <w:pPr>
              <w:spacing w:after="0"/>
              <w:rPr>
                <w:sz w:val="20"/>
                <w:szCs w:val="20"/>
                <w:color w:val="auto"/>
              </w:rPr>
            </w:pPr>
          </w:p>
        </w:tc>
        <w:tc>
          <w:tcPr>
            <w:tcW w:w="8200" w:type="dxa"/>
            <w:vAlign w:val="bottom"/>
            <w:gridSpan w:val="3"/>
          </w:tcPr>
          <w:p>
            <w:pPr>
              <w:ind w:left="2060"/>
              <w:spacing w:after="0"/>
              <w:rPr>
                <w:sz w:val="20"/>
                <w:szCs w:val="20"/>
                <w:color w:val="auto"/>
              </w:rPr>
            </w:pPr>
            <w:r>
              <w:rPr>
                <w:rFonts w:ascii="Arial" w:cs="Arial" w:eastAsia="Arial" w:hAnsi="Arial"/>
                <w:sz w:val="18"/>
                <w:szCs w:val="18"/>
                <w:b w:val="1"/>
                <w:bCs w:val="1"/>
                <w:color w:val="auto"/>
              </w:rPr>
              <w:t>DIRECTORS</w:t>
            </w:r>
          </w:p>
        </w:tc>
      </w:tr>
    </w:tbl>
    <w:p>
      <w:pPr>
        <w:spacing w:after="0" w:line="20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76"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 xml:space="preserve">Election. </w:t>
      </w:r>
      <w:r>
        <w:rPr>
          <w:rFonts w:ascii="Arial" w:cs="Arial" w:eastAsia="Arial" w:hAnsi="Arial"/>
          <w:sz w:val="16"/>
          <w:szCs w:val="16"/>
          <w:color w:val="auto"/>
        </w:rPr>
        <w:t>Unless and except to the extent that the Bylaws shall so require, the election of directors need not be by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ballot.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1296"/>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ind w:left="46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Jay Taragin</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Incorporator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Annetta Acquisition Corp Certificate of Incorporation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CHURCHILL CAPITAL CORP IV</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2020</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Churchill Capital Corp IV, a corporation organized and existing under the laws of the State of Delaware, DOES HEREBY CERTIFY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360" w:firstLine="1304"/>
        <w:spacing w:after="0" w:line="342" w:lineRule="auto"/>
        <w:tabs>
          <w:tab w:leader="none" w:pos="147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name of the Corporation is “Churchill Capital Corp IV”. The original certificate of incorporation of the Corporation was filed under the name of Annetta Acquisition Corp with the Secretary of State of the State of Delaware on April 30, 2020 (the “</w:t>
      </w:r>
      <w:r>
        <w:rPr>
          <w:rFonts w:ascii="Arial" w:cs="Arial" w:eastAsia="Arial" w:hAnsi="Arial"/>
          <w:sz w:val="16"/>
          <w:szCs w:val="16"/>
          <w:u w:val="single" w:color="auto"/>
          <w:color w:val="auto"/>
        </w:rPr>
        <w:t>Original Certificate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60" w:firstLine="1304"/>
        <w:spacing w:after="0" w:line="263" w:lineRule="auto"/>
        <w:tabs>
          <w:tab w:leader="none" w:pos="14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u w:val="single" w:color="auto"/>
          <w:color w:val="auto"/>
        </w:rPr>
        <w:t>Amended and Restated Certificate</w:t>
      </w:r>
      <w:r>
        <w:rPr>
          <w:rFonts w:ascii="Arial" w:cs="Arial" w:eastAsia="Arial" w:hAnsi="Arial"/>
          <w:sz w:val="18"/>
          <w:szCs w:val="18"/>
          <w:color w:val="auto"/>
        </w:rPr>
        <w:t>”), which both restates and amends the provisions of the Original Certificate,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0" w:hanging="176"/>
        <w:spacing w:after="0"/>
        <w:tabs>
          <w:tab w:leader="none" w:pos="14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shall become effective on the date of filing with the Secretary of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210" w:lineRule="exact"/>
        <w:rPr>
          <w:rFonts w:ascii="Arial" w:cs="Arial" w:eastAsia="Arial" w:hAnsi="Arial"/>
          <w:sz w:val="17"/>
          <w:szCs w:val="17"/>
          <w:color w:val="auto"/>
        </w:rPr>
      </w:pPr>
    </w:p>
    <w:p>
      <w:pPr>
        <w:ind w:left="1480" w:hanging="176"/>
        <w:spacing w:after="0"/>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Churchill Capital Corp IV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1296"/>
        <w:spacing w:after="0" w:line="275"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8" w:name="page219"/>
    <w:bookmarkEnd w:id="218"/>
    <w:p>
      <w:pPr>
        <w:jc w:val="center"/>
        <w:ind w:right="-1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850 New Burton Road, Suite 201, Dover, County of Kent, State of Delaware, 19904, and the name of the Corporation’s registered agent at such address is Cogency Global Inc.</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including (i) 240,000,000 shares of Class A common stock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and (ii) 60,000,000 shares of Class B common stock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and (b) 1,000,000 shares of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u w:val="single" w:color="auto"/>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2820" w:hanging="868"/>
        <w:spacing w:after="0"/>
        <w:tabs>
          <w:tab w:leader="none" w:pos="28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2600"/>
        <w:spacing w:after="0" w:line="342" w:lineRule="auto"/>
        <w:tabs>
          <w:tab w:leader="none" w:pos="3436"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and Section 9.9), the holders of shares of Common Stock shall exclusively possess all voting power with respect to the Corporation.</w:t>
      </w:r>
    </w:p>
    <w:p>
      <w:pPr>
        <w:spacing w:after="0" w:line="123" w:lineRule="exact"/>
        <w:rPr>
          <w:rFonts w:ascii="Arial" w:cs="Arial" w:eastAsia="Arial" w:hAnsi="Arial"/>
          <w:sz w:val="16"/>
          <w:szCs w:val="16"/>
          <w:color w:val="auto"/>
        </w:rPr>
      </w:pPr>
    </w:p>
    <w:p>
      <w:pPr>
        <w:ind w:right="180" w:firstLine="2600"/>
        <w:spacing w:after="0" w:line="263" w:lineRule="auto"/>
        <w:tabs>
          <w:tab w:leader="none" w:pos="344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19" w:name="page220"/>
    <w:bookmarkEnd w:id="219"/>
    <w:p>
      <w:pPr>
        <w:ind w:left="-40" w:firstLine="2600"/>
        <w:spacing w:after="0" w:line="270" w:lineRule="auto"/>
        <w:tabs>
          <w:tab w:leader="none" w:pos="336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Amended and Restated Certificate (including any Preferred Stock Designation) or the DGCL.</w:t>
      </w:r>
    </w:p>
    <w:p>
      <w:pPr>
        <w:spacing w:after="0" w:line="180" w:lineRule="exact"/>
        <w:rPr>
          <w:rFonts w:ascii="Arial" w:cs="Arial" w:eastAsia="Arial" w:hAnsi="Arial"/>
          <w:sz w:val="17"/>
          <w:szCs w:val="17"/>
          <w:color w:val="auto"/>
        </w:rPr>
      </w:pPr>
    </w:p>
    <w:p>
      <w:pPr>
        <w:ind w:left="2800" w:hanging="888"/>
        <w:spacing w:after="0"/>
        <w:tabs>
          <w:tab w:leader="none" w:pos="28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00" w:firstLine="2600"/>
        <w:spacing w:after="0" w:line="277" w:lineRule="auto"/>
        <w:tabs>
          <w:tab w:leader="none" w:pos="339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u w:val="single" w:color="auto"/>
          <w:color w:val="auto"/>
        </w:rPr>
        <w:t>Initial Conversion Ratio</w:t>
      </w:r>
      <w:r>
        <w:rPr>
          <w:rFonts w:ascii="Arial" w:cs="Arial" w:eastAsia="Arial" w:hAnsi="Arial"/>
          <w:sz w:val="18"/>
          <w:szCs w:val="18"/>
          <w:color w:val="auto"/>
        </w:rPr>
        <w:t>”) automatically at the time of the Business Combination.</w:t>
      </w:r>
    </w:p>
    <w:p>
      <w:pPr>
        <w:spacing w:after="0" w:line="170" w:lineRule="exact"/>
        <w:rPr>
          <w:sz w:val="20"/>
          <w:szCs w:val="20"/>
          <w:color w:val="auto"/>
        </w:rPr>
      </w:pPr>
    </w:p>
    <w:p>
      <w:pPr>
        <w:ind w:left="-40" w:right="40" w:firstLine="2600"/>
        <w:spacing w:after="0" w:line="268" w:lineRule="auto"/>
        <w:tabs>
          <w:tab w:leader="none" w:pos="340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7"/>
          <w:szCs w:val="17"/>
          <w:u w:val="single" w:color="auto"/>
          <w:color w:val="auto"/>
        </w:rPr>
        <w:t>Offering</w:t>
      </w:r>
      <w:r>
        <w:rPr>
          <w:rFonts w:ascii="Arial" w:cs="Arial" w:eastAsia="Arial" w:hAnsi="Arial"/>
          <w:sz w:val="17"/>
          <w:szCs w:val="17"/>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20" w:name="page221"/>
    <w:bookmarkEnd w:id="220"/>
    <w:p>
      <w:pPr>
        <w:ind w:right="160" w:firstLine="1296"/>
        <w:spacing w:after="0" w:line="277"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Equity-linked Securities</w:t>
      </w:r>
      <w:r>
        <w:rPr>
          <w:rFonts w:ascii="Arial" w:cs="Arial" w:eastAsia="Arial" w:hAnsi="Arial"/>
          <w:sz w:val="18"/>
          <w:szCs w:val="18"/>
          <w:color w:val="auto"/>
        </w:rPr>
        <w:t>” means any securities of the Corporation which are convertible into or exchangeable or exercisable for Common Stock.</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ind w:firstLine="2600"/>
        <w:spacing w:after="0" w:line="286" w:lineRule="auto"/>
        <w:tabs>
          <w:tab w:leader="none" w:pos="3402"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otherwise required by law or this Amended and Restated Certificate (including any Preferred Stock 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1" w:name="page222"/>
    <w:bookmarkEnd w:id="221"/>
    <w:p>
      <w:pPr>
        <w:ind w:right="40" w:firstLine="1952"/>
        <w:spacing w:after="0" w:line="279" w:lineRule="auto"/>
        <w:tabs>
          <w:tab w:leader="none" w:pos="281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applicable law, the rights, if any, of the holders of any outstanding series of the Preferred Stock and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ind w:right="260" w:firstLine="1952"/>
        <w:spacing w:after="0" w:line="296" w:lineRule="auto"/>
        <w:tabs>
          <w:tab w:leader="none" w:pos="2828"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 of the 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applicable law, the rights, if any, of the holders of any outstanding series of the Preferred Stock and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6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consideration to be received for any shares of capital stock issuable upon exercise thereof may not be less than the par value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The business and affairs of the Corporation shall be managed by, or under the direction of, the Board. In addition to the powers and authority expressly conferred upon the Board by statute, this Amended and Restated Certificate or the By Laws of the Corporation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Bylaws hereafter adopted by the stockholders of the Corporation shall invalidate any prior act of the Board that would have been valid if such Bylaws had not been adopted.</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225" w:lineRule="exact"/>
        <w:rPr>
          <w:sz w:val="20"/>
          <w:szCs w:val="20"/>
          <w:color w:val="auto"/>
        </w:rPr>
      </w:pPr>
    </w:p>
    <w:p>
      <w:pPr>
        <w:ind w:right="60" w:firstLine="1952"/>
        <w:spacing w:after="0" w:line="263" w:lineRule="auto"/>
        <w:tabs>
          <w:tab w:leader="none" w:pos="28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right="20" w:firstLine="1952"/>
        <w:spacing w:after="0" w:line="268" w:lineRule="auto"/>
        <w:tabs>
          <w:tab w:leader="none" w:pos="28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successors to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84" w:lineRule="exact"/>
        <w:rPr>
          <w:rFonts w:ascii="Arial" w:cs="Arial" w:eastAsia="Arial" w:hAnsi="Arial"/>
          <w:sz w:val="17"/>
          <w:szCs w:val="17"/>
          <w:color w:val="auto"/>
        </w:rPr>
      </w:pPr>
    </w:p>
    <w:p>
      <w:pPr>
        <w:ind w:left="2820" w:hanging="868"/>
        <w:spacing w:after="0"/>
        <w:tabs>
          <w:tab w:leader="none" w:pos="28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Unless and except to the extent that the Bylaws shall so require, the election of directors need not be by written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ballot.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3" w:name="page224"/>
    <w:bookmarkEnd w:id="223"/>
    <w:p>
      <w:pPr>
        <w:ind w:firstLine="129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ind w:right="280" w:firstLine="129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and except as otherwise required by this Amended and Restated Certificate (including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7"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unless expressly provided by such terms.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In furtherance and not in limitation of the powers conferred upon it by law, the Board shall have the power and is expressly authorized to adopt, amend, alter or repeal the Bylaws. The Bylaws also may be adopted, amended, altered or repealed by the stockholders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addition to any vote of the holders of any class or series of capital stock of the Corporation required by law or by this Amended and Restated Certificate (including any Preferred Stock Designation), the affirmative vote of the holders of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Bylaws hereafter adopted by the stockholders of the Corporation shall invalidate any prior act of the Board that would have been valid if such Bylaws had not been adopted.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83" w:lineRule="auto"/>
        <w:tabs>
          <w:tab w:leader="none" w:pos="281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left="-100" w:right="160" w:firstLine="1952"/>
        <w:spacing w:after="0" w:line="263" w:lineRule="auto"/>
        <w:tabs>
          <w:tab w:leader="none" w:pos="27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ind w:left="-100" w:firstLine="1952"/>
        <w:spacing w:after="0" w:line="293" w:lineRule="auto"/>
        <w:tabs>
          <w:tab w:leader="none" w:pos="27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left="-100" w:right="20" w:firstLine="1952"/>
        <w:spacing w:after="0" w:line="277" w:lineRule="auto"/>
        <w:tabs>
          <w:tab w:leader="none" w:pos="27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226" w:name="page227"/>
    <w:bookmarkEnd w:id="226"/>
    <w:p>
      <w:pPr>
        <w:ind w:left="-60" w:firstLine="1952"/>
        <w:spacing w:after="0" w:line="269" w:lineRule="auto"/>
        <w:tabs>
          <w:tab w:leader="none" w:pos="275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the extent an indemnitee has rights to indemnification, advancement of expenses and/or insurance provided by a third party, (i) the 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Amended and Restated Certificate of Incorporation,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1240"/>
        <w:spacing w:after="0"/>
        <w:tabs>
          <w:tab w:leader="none" w:pos="25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5" w:lineRule="exact"/>
        <w:rPr>
          <w:sz w:val="20"/>
          <w:szCs w:val="20"/>
          <w:color w:val="auto"/>
        </w:rPr>
      </w:pPr>
    </w:p>
    <w:p>
      <w:pPr>
        <w:ind w:left="-60" w:right="20" w:firstLine="1952"/>
        <w:spacing w:after="0" w:line="259" w:lineRule="auto"/>
        <w:tabs>
          <w:tab w:leader="none" w:pos="27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ind w:left="-60" w:right="80" w:firstLine="1952"/>
        <w:spacing w:after="0" w:line="268" w:lineRule="auto"/>
        <w:tabs>
          <w:tab w:leader="none" w:pos="276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 as amended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shall be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established for the benefit of the Public Stockholders (as defined below) pursuant to a trust agreement described in the Registration Statement. Except for the amounts withdrawn to fund the Corporation’s working capital requirements, subject to an annual limit of $1,000,000, and/or to pay the Corporation’s taxes (“</w:t>
      </w:r>
      <w:r>
        <w:rPr>
          <w:rFonts w:ascii="Arial" w:cs="Arial" w:eastAsia="Arial" w:hAnsi="Arial"/>
          <w:sz w:val="17"/>
          <w:szCs w:val="17"/>
          <w:u w:val="single" w:color="auto"/>
          <w:color w:val="auto"/>
        </w:rPr>
        <w:t>Permitted Withdrawals</w:t>
      </w:r>
      <w:r>
        <w:rPr>
          <w:rFonts w:ascii="Arial" w:cs="Arial" w:eastAsia="Arial" w:hAnsi="Arial"/>
          <w:sz w:val="17"/>
          <w:szCs w:val="17"/>
          <w:color w:val="auto"/>
        </w:rPr>
        <w:t>”),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the 24 months from the closing of the Offering, or 27 months from the closing of the Offering if the Company has executed a letter of intent, agreement in principle or definitive agreement for an initial business combination within 24 months from the closing of the Offering (“</w:t>
      </w:r>
      <w:r>
        <w:rPr>
          <w:rFonts w:ascii="Arial" w:cs="Arial" w:eastAsia="Arial" w:hAnsi="Arial"/>
          <w:sz w:val="17"/>
          <w:szCs w:val="17"/>
          <w:u w:val="single" w:color="auto"/>
          <w:color w:val="auto"/>
        </w:rPr>
        <w:t>Completion Window</w:t>
      </w:r>
      <w:r>
        <w:rPr>
          <w:rFonts w:ascii="Arial" w:cs="Arial" w:eastAsia="Arial" w:hAnsi="Arial"/>
          <w:sz w:val="17"/>
          <w:szCs w:val="17"/>
          <w:color w:val="auto"/>
        </w:rPr>
        <w:t xml:space="preserve">”) or (iii) the redemption of shares in connection with a vote seeking to amend any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the Common Stock included as part of the units sold in the Offering (the “</w:t>
      </w:r>
      <w:r>
        <w:rPr>
          <w:rFonts w:ascii="Arial" w:cs="Arial" w:eastAsia="Arial" w:hAnsi="Arial"/>
          <w:sz w:val="17"/>
          <w:szCs w:val="17"/>
          <w:u w:val="single" w:color="auto"/>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Stockholders</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227" w:name="page228"/>
    <w:bookmarkEnd w:id="227"/>
    <w:p>
      <w:pPr>
        <w:ind w:left="1300"/>
        <w:spacing w:after="0"/>
        <w:tabs>
          <w:tab w:leader="none" w:pos="26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Redemption Rights</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70" w:lineRule="auto"/>
        <w:tabs>
          <w:tab w:leader="none" w:pos="281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u w:val="single" w:color="auto"/>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provided, however, that the Corporation shall not redeem or repurchase Offering Shares to the extent that such redemption would result in the Corporation’s failure to have net tangible assets (as determined in accordance with Rule 3a51-1(g)(1)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any successor rule)) in excess of $5 million (such limitation hereinafter called the “</w:t>
      </w:r>
      <w:r>
        <w:rPr>
          <w:rFonts w:ascii="Arial" w:cs="Arial" w:eastAsia="Arial" w:hAnsi="Arial"/>
          <w:sz w:val="17"/>
          <w:szCs w:val="17"/>
          <w:u w:val="single" w:color="auto"/>
          <w:color w:val="auto"/>
        </w:rPr>
        <w:t>Redemption Limitation</w:t>
      </w:r>
      <w:r>
        <w:rPr>
          <w:rFonts w:ascii="Arial" w:cs="Arial" w:eastAsia="Arial" w:hAnsi="Arial"/>
          <w:sz w:val="17"/>
          <w:szCs w:val="17"/>
          <w:color w:val="auto"/>
        </w:rPr>
        <w:t>”). Notwithstanding anything to the contrary contained in this Amended and Restated Certificate, there shall be no Redemption Rights or liquidating distributions with respect to any warrant issued pursuant to the Offering.</w:t>
      </w:r>
    </w:p>
    <w:p>
      <w:pPr>
        <w:spacing w:after="0" w:line="180" w:lineRule="exact"/>
        <w:rPr>
          <w:rFonts w:ascii="Arial" w:cs="Arial" w:eastAsia="Arial" w:hAnsi="Arial"/>
          <w:sz w:val="17"/>
          <w:szCs w:val="17"/>
          <w:color w:val="auto"/>
        </w:rPr>
      </w:pPr>
    </w:p>
    <w:p>
      <w:pPr>
        <w:ind w:firstLine="1952"/>
        <w:spacing w:after="0" w:line="284" w:lineRule="auto"/>
        <w:tabs>
          <w:tab w:leader="none" w:pos="28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If the Corporation offers to redeem the Offering Shares other than in conjunction with a stockholder vote on an initial Business Combination with a proxy solicitation pursuant to Regulation 14A under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under the Exchange Act (or any successor rule or regulation) (such rules and regulations hereinafter called the “</w:t>
      </w:r>
      <w:r>
        <w:rPr>
          <w:rFonts w:ascii="Arial" w:cs="Arial" w:eastAsia="Arial" w:hAnsi="Arial"/>
          <w:sz w:val="16"/>
          <w:szCs w:val="16"/>
          <w:u w:val="single" w:color="auto"/>
          <w:color w:val="auto"/>
        </w:rPr>
        <w:t>Tender Offer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Arial" w:cs="Arial" w:eastAsia="Arial" w:hAnsi="Arial"/>
          <w:sz w:val="16"/>
          <w:szCs w:val="16"/>
          <w:u w:val="single" w:color="auto"/>
          <w:color w:val="auto"/>
        </w:rPr>
        <w:t>Proxy Solicitation Rules</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as Permitted Withdrawals,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as Permitted Withdrawals, by (b) the total number of then outstanding Offering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ind w:left="-60" w:firstLine="1952"/>
        <w:spacing w:after="0" w:line="279" w:lineRule="auto"/>
        <w:tabs>
          <w:tab w:leader="none" w:pos="275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u w:val="single" w:color="auto"/>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15% of the Offering Shares without the consent of the Corporation.</w:t>
      </w:r>
    </w:p>
    <w:p>
      <w:pPr>
        <w:spacing w:after="0" w:line="171" w:lineRule="exact"/>
        <w:rPr>
          <w:rFonts w:ascii="Arial" w:cs="Arial" w:eastAsia="Arial" w:hAnsi="Arial"/>
          <w:sz w:val="17"/>
          <w:szCs w:val="17"/>
          <w:color w:val="auto"/>
        </w:rPr>
      </w:pPr>
    </w:p>
    <w:p>
      <w:pPr>
        <w:ind w:left="-60" w:right="20" w:firstLine="1952"/>
        <w:spacing w:after="0" w:line="270" w:lineRule="auto"/>
        <w:tabs>
          <w:tab w:leader="none" w:pos="276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the Completion Window, the Corporation shall (i) cease all operations except for the purpose of winding up, (ii) as promptly as reasonably possible but not more than ten business days thereafter subject to lawfully available funds therefor, redeem 100% of the Offering Shares in consideration of a per share price, payable in cash, equal to the quotient obtained by dividing (A) the aggregate amount then on deposit in the Trust Account (net of amounts withdrawn as Permitted Withdrawals and less up to $100,000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229" w:name="page230"/>
    <w:bookmarkEnd w:id="229"/>
    <w:p>
      <w:pPr>
        <w:ind w:firstLine="1952"/>
        <w:spacing w:after="0" w:line="257" w:lineRule="auto"/>
        <w:tabs>
          <w:tab w:leader="none" w:pos="28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(or such other vote as the applicable law or stock exchange rules then in effect may require) and (ii) the Redemption Limitation is not exceeded.</w:t>
      </w:r>
    </w:p>
    <w:p>
      <w:pPr>
        <w:spacing w:after="0" w:line="187" w:lineRule="exact"/>
        <w:rPr>
          <w:rFonts w:ascii="Arial" w:cs="Arial" w:eastAsia="Arial" w:hAnsi="Arial"/>
          <w:sz w:val="18"/>
          <w:szCs w:val="18"/>
          <w:color w:val="auto"/>
        </w:rPr>
      </w:pPr>
    </w:p>
    <w:p>
      <w:pPr>
        <w:ind w:right="640" w:firstLine="1952"/>
        <w:spacing w:after="0" w:line="277" w:lineRule="auto"/>
        <w:tabs>
          <w:tab w:leader="none" w:pos="284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Distributions from the Trust Account</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52"/>
        <w:spacing w:after="0" w:line="286" w:lineRule="auto"/>
        <w:tabs>
          <w:tab w:leader="none" w:pos="281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A Public Stockholder shall be entitled to receive funds from the Trust Account only as provided in </w:t>
      </w:r>
      <w:r>
        <w:rPr>
          <w:rFonts w:ascii="Arial" w:cs="Arial" w:eastAsia="Arial" w:hAnsi="Arial"/>
          <w:sz w:val="17"/>
          <w:szCs w:val="17"/>
          <w:u w:val="single" w:color="auto"/>
          <w:color w:val="auto"/>
        </w:rPr>
        <w:t>Sections 9.2(a)</w:t>
      </w:r>
      <w:r>
        <w:rPr>
          <w:rFonts w:ascii="Arial" w:cs="Arial" w:eastAsia="Arial" w:hAnsi="Arial"/>
          <w:sz w:val="17"/>
          <w:szCs w:val="17"/>
          <w:color w:val="auto"/>
        </w:rPr>
        <w:t xml:space="preserve">, </w:t>
      </w:r>
      <w:r>
        <w:rPr>
          <w:rFonts w:ascii="Arial" w:cs="Arial" w:eastAsia="Arial" w:hAnsi="Arial"/>
          <w:sz w:val="17"/>
          <w:szCs w:val="17"/>
          <w:u w:val="single" w:color="auto"/>
          <w:color w:val="auto"/>
        </w:rPr>
        <w:t>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9.2(d)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9.7</w:t>
      </w:r>
      <w:r>
        <w:rPr>
          <w:rFonts w:ascii="Arial" w:cs="Arial" w:eastAsia="Arial" w:hAnsi="Arial"/>
          <w:sz w:val="17"/>
          <w:szCs w:val="17"/>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65" w:lineRule="exact"/>
        <w:rPr>
          <w:rFonts w:ascii="Arial" w:cs="Arial" w:eastAsia="Arial" w:hAnsi="Arial"/>
          <w:sz w:val="17"/>
          <w:szCs w:val="17"/>
          <w:color w:val="auto"/>
        </w:rPr>
      </w:pPr>
    </w:p>
    <w:p>
      <w:pPr>
        <w:ind w:right="60" w:firstLine="1952"/>
        <w:spacing w:after="0" w:line="311" w:lineRule="auto"/>
        <w:tabs>
          <w:tab w:leader="none" w:pos="282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48" w:lineRule="exact"/>
        <w:rPr>
          <w:rFonts w:ascii="Arial" w:cs="Arial" w:eastAsia="Arial" w:hAnsi="Arial"/>
          <w:sz w:val="16"/>
          <w:szCs w:val="16"/>
          <w:color w:val="auto"/>
        </w:rPr>
      </w:pPr>
    </w:p>
    <w:p>
      <w:pPr>
        <w:ind w:right="20" w:firstLine="1952"/>
        <w:spacing w:after="0" w:line="259" w:lineRule="auto"/>
        <w:tabs>
          <w:tab w:leader="none" w:pos="28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30" w:name="page231"/>
    <w:bookmarkEnd w:id="230"/>
    <w:p>
      <w:pPr>
        <w:ind w:firstLine="1296"/>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ind w:left="1300"/>
              <w:spacing w:after="0"/>
              <w:rPr>
                <w:sz w:val="20"/>
                <w:szCs w:val="20"/>
                <w:color w:val="auto"/>
              </w:rPr>
            </w:pPr>
            <w:r>
              <w:rPr>
                <w:rFonts w:ascii="Arial" w:cs="Arial" w:eastAsia="Arial" w:hAnsi="Arial"/>
                <w:sz w:val="18"/>
                <w:szCs w:val="18"/>
                <w:color w:val="auto"/>
              </w:rPr>
              <w:t>Section 9.6</w:t>
            </w:r>
          </w:p>
        </w:tc>
        <w:tc>
          <w:tcPr>
            <w:tcW w:w="8220" w:type="dxa"/>
            <w:vAlign w:val="bottom"/>
            <w:gridSpan w:val="5"/>
          </w:tcPr>
          <w:p>
            <w:pPr>
              <w:spacing w:after="0"/>
              <w:rPr>
                <w:sz w:val="20"/>
                <w:szCs w:val="20"/>
                <w:color w:val="auto"/>
              </w:rPr>
            </w:pPr>
            <w:r>
              <w:rPr>
                <w:rFonts w:ascii="Arial" w:cs="Arial" w:eastAsia="Arial" w:hAnsi="Arial"/>
                <w:sz w:val="18"/>
                <w:szCs w:val="18"/>
                <w:color w:val="auto"/>
                <w:w w:val="95"/>
              </w:rPr>
              <w:t>No Transactions with Other Blank Check Companies. The Corporation shall not enter into an initial Business</w:t>
            </w:r>
          </w:p>
        </w:tc>
      </w:tr>
      <w:tr>
        <w:trPr>
          <w:trHeight w:val="20"/>
        </w:trPr>
        <w:tc>
          <w:tcPr>
            <w:tcW w:w="2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7"/>
        </w:trPr>
        <w:tc>
          <w:tcPr>
            <w:tcW w:w="11080" w:type="dxa"/>
            <w:vAlign w:val="bottom"/>
            <w:gridSpan w:val="6"/>
          </w:tcPr>
          <w:p>
            <w:pPr>
              <w:spacing w:after="0"/>
              <w:rPr>
                <w:sz w:val="20"/>
                <w:szCs w:val="20"/>
                <w:color w:val="auto"/>
              </w:rPr>
            </w:pPr>
            <w:r>
              <w:rPr>
                <w:rFonts w:ascii="Arial" w:cs="Arial" w:eastAsia="Arial" w:hAnsi="Arial"/>
                <w:sz w:val="18"/>
                <w:szCs w:val="18"/>
                <w:color w:val="auto"/>
              </w:rPr>
              <w:t>Combination with another blank check company or a similar company with nominal operations.</w:t>
            </w:r>
          </w:p>
        </w:tc>
      </w:tr>
      <w:tr>
        <w:trPr>
          <w:trHeight w:val="391"/>
        </w:trPr>
        <w:tc>
          <w:tcPr>
            <w:tcW w:w="2860" w:type="dxa"/>
            <w:vAlign w:val="bottom"/>
          </w:tcPr>
          <w:p>
            <w:pPr>
              <w:ind w:left="1300"/>
              <w:spacing w:after="0"/>
              <w:rPr>
                <w:sz w:val="20"/>
                <w:szCs w:val="20"/>
                <w:color w:val="auto"/>
              </w:rPr>
            </w:pPr>
            <w:r>
              <w:rPr>
                <w:rFonts w:ascii="Arial" w:cs="Arial" w:eastAsia="Arial" w:hAnsi="Arial"/>
                <w:sz w:val="18"/>
                <w:szCs w:val="18"/>
                <w:color w:val="auto"/>
              </w:rPr>
              <w:t>Section 9.7</w:t>
            </w:r>
          </w:p>
        </w:tc>
        <w:tc>
          <w:tcPr>
            <w:tcW w:w="8220" w:type="dxa"/>
            <w:vAlign w:val="bottom"/>
            <w:gridSpan w:val="5"/>
          </w:tcPr>
          <w:p>
            <w:pPr>
              <w:spacing w:after="0"/>
              <w:rPr>
                <w:sz w:val="20"/>
                <w:szCs w:val="20"/>
                <w:color w:val="auto"/>
              </w:rPr>
            </w:pPr>
            <w:r>
              <w:rPr>
                <w:rFonts w:ascii="Arial" w:cs="Arial" w:eastAsia="Arial" w:hAnsi="Arial"/>
                <w:sz w:val="18"/>
                <w:szCs w:val="18"/>
                <w:color w:val="auto"/>
                <w:w w:val="91"/>
              </w:rPr>
              <w:t>Additional Redemption Rights. If, in accordance with Section 9.1(a), any amendment is made to this Certificate of</w:t>
            </w:r>
          </w:p>
        </w:tc>
      </w:tr>
      <w:tr>
        <w:trPr>
          <w:trHeight w:val="20"/>
        </w:trPr>
        <w:tc>
          <w:tcPr>
            <w:tcW w:w="2860" w:type="dxa"/>
            <w:vAlign w:val="bottom"/>
            <w:tcBorders>
              <w:right w:val="single" w:sz="8" w:color="auto"/>
            </w:tcBorders>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Incorporation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Certificate of Incorporation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(net of amounts withdrawn as Permitted Withdrawals), divided by the number of then outstanding Offering Shares. The Corporation’s ability to provide such opportunity is subject to the Redemption Limitation.</w:t>
      </w:r>
    </w:p>
    <w:p>
      <w:pPr>
        <w:spacing w:after="0" w:line="195" w:lineRule="exact"/>
        <w:rPr>
          <w:sz w:val="20"/>
          <w:szCs w:val="20"/>
          <w:color w:val="auto"/>
        </w:rPr>
      </w:pPr>
    </w:p>
    <w:p>
      <w:pPr>
        <w:ind w:right="160" w:firstLine="1296"/>
        <w:spacing w:after="0" w:line="311"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Minimum Value of Target</w:t>
      </w:r>
      <w:r>
        <w:rPr>
          <w:rFonts w:ascii="Arial" w:cs="Arial" w:eastAsia="Arial" w:hAnsi="Arial"/>
          <w:sz w:val="16"/>
          <w:szCs w:val="16"/>
          <w:color w:val="auto"/>
        </w:rPr>
        <w:t>. The Corporation’s initial Business Combination must occur with one or more operating businesses that together have a fair market value of at least 80% of the net assets held in the Trust Account (net of amounts disbursed as Permitted Withdrawals and excluding the amount of any deferred underwriting discount) at the time of the agreement to enter into the initial Business Combination.</w:t>
      </w:r>
    </w:p>
    <w:p>
      <w:pPr>
        <w:spacing w:after="0" w:line="149" w:lineRule="exact"/>
        <w:rPr>
          <w:sz w:val="20"/>
          <w:szCs w:val="20"/>
          <w:color w:val="auto"/>
        </w:rPr>
      </w:pPr>
    </w:p>
    <w:p>
      <w:pPr>
        <w:ind w:right="80" w:firstLine="1296"/>
        <w:spacing w:after="0" w:line="279"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Appointment and Removal of Directors</w:t>
      </w:r>
      <w:r>
        <w:rPr>
          <w:rFonts w:ascii="Arial" w:cs="Arial" w:eastAsia="Arial" w:hAnsi="Arial"/>
          <w:sz w:val="17"/>
          <w:szCs w:val="17"/>
          <w:color w:val="auto"/>
        </w:rPr>
        <w:t>. Notwithstanding any other provision in this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Section 9.9 may be amended only by a resolution passed by a holders of at least 90% of the outstanding Common Stock entitled to vote thereon.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560" w:type="dxa"/>
            <w:vAlign w:val="bottom"/>
          </w:tcPr>
          <w:p>
            <w:pPr>
              <w:jc w:val="center"/>
              <w:ind w:right="4590"/>
              <w:spacing w:after="0"/>
              <w:rPr>
                <w:sz w:val="20"/>
                <w:szCs w:val="20"/>
                <w:color w:val="auto"/>
              </w:rPr>
            </w:pPr>
            <w:r>
              <w:rPr>
                <w:rFonts w:ascii="Arial" w:cs="Arial" w:eastAsia="Arial" w:hAnsi="Arial"/>
                <w:sz w:val="18"/>
                <w:szCs w:val="18"/>
                <w:b w:val="1"/>
                <w:bCs w:val="1"/>
                <w:color w:val="auto"/>
              </w:rPr>
              <w:t>ARTICLE X</w:t>
            </w:r>
          </w:p>
        </w:tc>
      </w:tr>
      <w:tr>
        <w:trPr>
          <w:trHeight w:val="234"/>
        </w:trPr>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w w:val="99"/>
              </w:rPr>
              <w:t>BUSINESS COMBINATIONS</w:t>
            </w:r>
          </w:p>
        </w:tc>
      </w:tr>
      <w:tr>
        <w:trPr>
          <w:trHeight w:val="391"/>
        </w:trPr>
        <w:tc>
          <w:tcPr>
            <w:tcW w:w="2520" w:type="dxa"/>
            <w:vAlign w:val="bottom"/>
          </w:tcPr>
          <w:p>
            <w:pPr>
              <w:ind w:left="1300"/>
              <w:spacing w:after="0"/>
              <w:rPr>
                <w:sz w:val="20"/>
                <w:szCs w:val="20"/>
                <w:color w:val="auto"/>
              </w:rPr>
            </w:pPr>
            <w:r>
              <w:rPr>
                <w:rFonts w:ascii="Arial" w:cs="Arial" w:eastAsia="Arial" w:hAnsi="Arial"/>
                <w:sz w:val="18"/>
                <w:szCs w:val="18"/>
                <w:color w:val="auto"/>
              </w:rPr>
              <w:t>Section 10.1</w:t>
            </w:r>
          </w:p>
        </w:tc>
        <w:tc>
          <w:tcPr>
            <w:tcW w:w="8720" w:type="dxa"/>
            <w:vAlign w:val="bottom"/>
            <w:gridSpan w:val="3"/>
          </w:tcPr>
          <w:p>
            <w:pPr>
              <w:ind w:left="320"/>
              <w:spacing w:after="0"/>
              <w:rPr>
                <w:sz w:val="20"/>
                <w:szCs w:val="20"/>
                <w:color w:val="auto"/>
              </w:rPr>
            </w:pPr>
            <w:r>
              <w:rPr>
                <w:rFonts w:ascii="Arial" w:cs="Arial" w:eastAsia="Arial" w:hAnsi="Arial"/>
                <w:sz w:val="18"/>
                <w:szCs w:val="18"/>
                <w:color w:val="auto"/>
              </w:rPr>
              <w:t>Section 203 of the DGCL. The Corporation will not be subject to Section 203 of the DGCL.</w:t>
            </w:r>
          </w:p>
        </w:tc>
      </w:tr>
      <w:tr>
        <w:trPr>
          <w:trHeight w:val="669"/>
        </w:trPr>
        <w:tc>
          <w:tcPr>
            <w:tcW w:w="2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6560" w:type="dxa"/>
            <w:vAlign w:val="bottom"/>
            <w:tcBorders>
              <w:bottom w:val="single" w:sz="8" w:color="auto"/>
            </w:tcBorders>
          </w:tcPr>
          <w:p>
            <w:pPr>
              <w:jc w:val="center"/>
              <w:ind w:right="4570"/>
              <w:spacing w:after="0"/>
              <w:rPr>
                <w:sz w:val="20"/>
                <w:szCs w:val="20"/>
                <w:color w:val="auto"/>
              </w:rPr>
            </w:pPr>
            <w:r>
              <w:rPr>
                <w:rFonts w:ascii="Arial" w:cs="Arial" w:eastAsia="Arial" w:hAnsi="Arial"/>
                <w:sz w:val="18"/>
                <w:szCs w:val="18"/>
                <w:color w:val="auto"/>
                <w:w w:val="89"/>
              </w:rPr>
              <w:t>14</w:t>
            </w:r>
          </w:p>
        </w:tc>
      </w:tr>
    </w:tbl>
    <w:p>
      <w:pPr>
        <w:sectPr>
          <w:pgSz w:w="11900" w:h="16838" w:orient="portrait"/>
          <w:cols w:equalWidth="0" w:num="1">
            <w:col w:w="11240"/>
          </w:cols>
          <w:pgMar w:left="320" w:top="908" w:right="339" w:bottom="1440" w:gutter="0" w:footer="0" w:header="0"/>
        </w:sectPr>
      </w:pPr>
    </w:p>
    <w:bookmarkStart w:id="231" w:name="page232"/>
    <w:bookmarkEnd w:id="231"/>
    <w:p>
      <w:pPr>
        <w:ind w:right="180" w:firstLine="129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Limitations on Business Combinations</w:t>
      </w:r>
      <w:r>
        <w:rPr>
          <w:rFonts w:ascii="Arial" w:cs="Arial" w:eastAsia="Arial" w:hAnsi="Arial"/>
          <w:sz w:val="18"/>
          <w:szCs w:val="18"/>
          <w:color w:val="auto"/>
        </w:rPr>
        <w:t>. Notwithstanding Section 10.1, the Corporation shall not engage in any business combination (as defined below), at any point in time at which the Corporation’s common stock is registered under Section 12(b) or 12(g) of the Exchange Act (as defined below), with any interested stockholder (as defined below) for a period of three years following the time that such stockholder became an interested stockholder, unless:</w:t>
      </w:r>
    </w:p>
    <w:p>
      <w:pPr>
        <w:spacing w:after="0" w:line="187" w:lineRule="exact"/>
        <w:rPr>
          <w:sz w:val="20"/>
          <w:szCs w:val="20"/>
          <w:color w:val="auto"/>
        </w:rPr>
      </w:pPr>
    </w:p>
    <w:p>
      <w:pPr>
        <w:ind w:right="580" w:firstLine="1952"/>
        <w:spacing w:after="0" w:line="277" w:lineRule="auto"/>
        <w:tabs>
          <w:tab w:leader="none" w:pos="26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ind w:right="20" w:firstLine="1952"/>
        <w:spacing w:after="0" w:line="296" w:lineRule="auto"/>
        <w:tabs>
          <w:tab w:leader="none" w:pos="264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of the Corporation or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right="120" w:firstLine="1952"/>
        <w:spacing w:after="0" w:line="263" w:lineRule="auto"/>
        <w:tabs>
          <w:tab w:leader="none" w:pos="26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8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w:t>
      </w:r>
      <w:r>
        <w:rPr>
          <w:rFonts w:ascii="Arial" w:cs="Arial" w:eastAsia="Arial" w:hAnsi="Arial"/>
          <w:sz w:val="16"/>
          <w:szCs w:val="16"/>
          <w:u w:val="single" w:color="auto"/>
          <w:color w:val="auto"/>
        </w:rPr>
        <w:t xml:space="preserve"> Article X</w:t>
      </w:r>
      <w:r>
        <w:rPr>
          <w:rFonts w:ascii="Arial" w:cs="Arial" w:eastAsia="Arial" w:hAnsi="Arial"/>
          <w:sz w:val="16"/>
          <w:szCs w:val="16"/>
          <w:color w:val="auto"/>
        </w:rPr>
        <w:t>:</w:t>
      </w:r>
    </w:p>
    <w:p>
      <w:pPr>
        <w:spacing w:after="0" w:line="225" w:lineRule="exact"/>
        <w:rPr>
          <w:sz w:val="20"/>
          <w:szCs w:val="20"/>
          <w:color w:val="auto"/>
        </w:rPr>
      </w:pPr>
    </w:p>
    <w:p>
      <w:pPr>
        <w:ind w:right="100" w:firstLine="1952"/>
        <w:spacing w:after="0" w:line="277" w:lineRule="auto"/>
        <w:tabs>
          <w:tab w:leader="none" w:pos="263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firstLine="1952"/>
        <w:spacing w:after="0" w:line="301" w:lineRule="auto"/>
        <w:tabs>
          <w:tab w:leader="none" w:pos="264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57" w:lineRule="exact"/>
        <w:rPr>
          <w:rFonts w:ascii="Arial" w:cs="Arial" w:eastAsia="Arial" w:hAnsi="Arial"/>
          <w:sz w:val="16"/>
          <w:szCs w:val="16"/>
          <w:color w:val="auto"/>
        </w:rPr>
      </w:pPr>
    </w:p>
    <w:p>
      <w:pPr>
        <w:ind w:left="2640" w:hanging="688"/>
        <w:spacing w:after="0"/>
        <w:tabs>
          <w:tab w:leader="none" w:pos="2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225" w:lineRule="exact"/>
        <w:rPr>
          <w:rFonts w:ascii="Arial" w:cs="Arial" w:eastAsia="Arial" w:hAnsi="Arial"/>
          <w:sz w:val="18"/>
          <w:szCs w:val="18"/>
          <w:color w:val="auto"/>
        </w:rPr>
      </w:pPr>
    </w:p>
    <w:p>
      <w:pPr>
        <w:jc w:val="both"/>
        <w:ind w:right="160" w:firstLine="2600"/>
        <w:spacing w:after="0" w:line="311" w:lineRule="auto"/>
        <w:tabs>
          <w:tab w:leader="none" w:pos="343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is not applicable to the surviving entity;</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32" w:name="page233"/>
    <w:bookmarkEnd w:id="232"/>
    <w:p>
      <w:pPr>
        <w:ind w:left="-40" w:firstLine="2600"/>
        <w:spacing w:after="0" w:line="257" w:lineRule="auto"/>
        <w:tabs>
          <w:tab w:leader="none" w:pos="335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40" w:right="20" w:firstLine="2600"/>
        <w:spacing w:after="0" w:line="288" w:lineRule="auto"/>
        <w:tabs>
          <w:tab w:leader="none" w:pos="33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8" w:lineRule="exact"/>
        <w:rPr>
          <w:rFonts w:ascii="Arial" w:cs="Arial" w:eastAsia="Arial" w:hAnsi="Arial"/>
          <w:sz w:val="16"/>
          <w:szCs w:val="16"/>
          <w:color w:val="auto"/>
        </w:rPr>
      </w:pPr>
    </w:p>
    <w:p>
      <w:pPr>
        <w:ind w:left="-40" w:firstLine="2600"/>
        <w:spacing w:after="0" w:line="257" w:lineRule="auto"/>
        <w:tabs>
          <w:tab w:leader="none" w:pos="335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7" w:lineRule="exact"/>
        <w:rPr>
          <w:rFonts w:ascii="Arial" w:cs="Arial" w:eastAsia="Arial" w:hAnsi="Arial"/>
          <w:sz w:val="18"/>
          <w:szCs w:val="18"/>
          <w:color w:val="auto"/>
        </w:rPr>
      </w:pPr>
    </w:p>
    <w:p>
      <w:pPr>
        <w:ind w:left="-40" w:right="40" w:firstLine="2600"/>
        <w:spacing w:after="0" w:line="263" w:lineRule="auto"/>
        <w:tabs>
          <w:tab w:leader="none" w:pos="33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or pledges (other than those expressly permitted in subsections (i)-(iv) above) provided by or through the Corporation or any direct or indirect majority-owned subsidiary.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33" w:name="page234"/>
    <w:bookmarkEnd w:id="233"/>
    <w:p>
      <w:pPr>
        <w:ind w:left="-40" w:right="40" w:firstLine="1952"/>
        <w:spacing w:after="0" w:line="254" w:lineRule="auto"/>
        <w:tabs>
          <w:tab w:leader="none" w:pos="25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8"/>
          <w:szCs w:val="18"/>
          <w:u w:val="single" w:color="auto"/>
          <w:color w:val="auto"/>
        </w:rPr>
        <w:t>Article X</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left="-40" w:right="40" w:firstLine="1952"/>
        <w:spacing w:after="0" w:line="287" w:lineRule="auto"/>
        <w:tabs>
          <w:tab w:leader="none" w:pos="25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the Principal Stockholder or Principal Stockholder Transferees or any “group” (within the meaning of Rule 13d-5 of the Exchange Act) that includes any Principal Stockholder or Principal Stockholder Transferee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67" w:lineRule="exact"/>
        <w:rPr>
          <w:rFonts w:ascii="Arial" w:cs="Arial" w:eastAsia="Arial" w:hAnsi="Arial"/>
          <w:sz w:val="16"/>
          <w:szCs w:val="16"/>
          <w:color w:val="auto"/>
        </w:rPr>
      </w:pPr>
    </w:p>
    <w:p>
      <w:pPr>
        <w:ind w:left="-40" w:right="800" w:firstLine="1952"/>
        <w:spacing w:after="0" w:line="277" w:lineRule="auto"/>
        <w:tabs>
          <w:tab w:leader="none" w:pos="257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3400" w:hanging="840"/>
        <w:spacing w:after="0"/>
        <w:tabs>
          <w:tab w:leader="none" w:pos="34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40" w:firstLine="2600"/>
        <w:spacing w:after="0" w:line="272" w:lineRule="auto"/>
        <w:tabs>
          <w:tab w:leader="none" w:pos="3401"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34" w:name="page235"/>
    <w:bookmarkEnd w:id="234"/>
    <w:p>
      <w:pPr>
        <w:jc w:val="both"/>
        <w:ind w:right="320" w:firstLine="2600"/>
        <w:spacing w:after="0" w:line="263" w:lineRule="auto"/>
        <w:tabs>
          <w:tab w:leader="none" w:pos="3402" w:val="left"/>
        </w:tabs>
        <w:numPr>
          <w:ilvl w:val="2"/>
          <w:numId w:val="16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3" w:lineRule="exact"/>
        <w:rPr>
          <w:rFonts w:ascii="Arial" w:cs="Arial" w:eastAsia="Arial" w:hAnsi="Arial"/>
          <w:sz w:val="18"/>
          <w:szCs w:val="18"/>
          <w:color w:val="auto"/>
        </w:rPr>
      </w:pPr>
    </w:p>
    <w:p>
      <w:pPr>
        <w:ind w:left="2560" w:hanging="608"/>
        <w:spacing w:after="0"/>
        <w:tabs>
          <w:tab w:leader="none" w:pos="25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w:t>
      </w:r>
      <w:r>
        <w:rPr>
          <w:rFonts w:ascii="Arial" w:cs="Arial" w:eastAsia="Arial" w:hAnsi="Arial"/>
          <w:sz w:val="16"/>
          <w:szCs w:val="16"/>
          <w:color w:val="auto"/>
        </w:rPr>
        <w:t>” means, with respect to any corporation, capital stock and, with respect to any other entity, any equity interest.</w:t>
      </w:r>
    </w:p>
    <w:p>
      <w:pPr>
        <w:spacing w:after="0" w:line="248" w:lineRule="exact"/>
        <w:rPr>
          <w:rFonts w:ascii="Arial" w:cs="Arial" w:eastAsia="Arial" w:hAnsi="Arial"/>
          <w:sz w:val="16"/>
          <w:szCs w:val="16"/>
          <w:color w:val="auto"/>
        </w:rPr>
      </w:pPr>
    </w:p>
    <w:p>
      <w:pPr>
        <w:ind w:left="2620" w:hanging="668"/>
        <w:spacing w:after="0"/>
        <w:tabs>
          <w:tab w:leader="none" w:pos="262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Stockholder</w:t>
      </w:r>
      <w:r>
        <w:rPr>
          <w:rFonts w:ascii="Arial" w:cs="Arial" w:eastAsia="Arial" w:hAnsi="Arial"/>
          <w:sz w:val="17"/>
          <w:szCs w:val="17"/>
          <w:color w:val="auto"/>
        </w:rPr>
        <w:t>” means, collectively, (i) the Sponsor, (ii) M. Klein and Company, (iii) Michael S. Klein, and</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affiliate or successor of a person referenced in clauses (i) through (iii) of this definition.</w:t>
      </w:r>
    </w:p>
    <w:p>
      <w:pPr>
        <w:spacing w:after="0" w:line="210" w:lineRule="exact"/>
        <w:rPr>
          <w:rFonts w:ascii="Arial" w:cs="Arial" w:eastAsia="Arial" w:hAnsi="Arial"/>
          <w:sz w:val="18"/>
          <w:szCs w:val="18"/>
          <w:color w:val="auto"/>
        </w:rPr>
      </w:pPr>
    </w:p>
    <w:p>
      <w:pPr>
        <w:ind w:right="40" w:firstLine="1952"/>
        <w:spacing w:after="0" w:line="263" w:lineRule="auto"/>
        <w:tabs>
          <w:tab w:leader="none" w:pos="260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 Transferee</w:t>
      </w:r>
      <w:r>
        <w:rPr>
          <w:rFonts w:ascii="Arial" w:cs="Arial" w:eastAsia="Arial" w:hAnsi="Arial"/>
          <w:sz w:val="18"/>
          <w:szCs w:val="18"/>
          <w:color w:val="auto"/>
        </w:rPr>
        <w:t>” means any Person who acquires voting stock of the Corporation from the Principal Stockholder (other than in connection with a public offering) and who is designated in writing by the Principal Stockholder as a “Principal Stockholder Transferee.”</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Forum.</w:t>
      </w:r>
      <w:r>
        <w:rPr>
          <w:rFonts w:ascii="Arial" w:cs="Arial" w:eastAsia="Arial" w:hAnsi="Arial"/>
          <w:sz w:val="16"/>
          <w:szCs w:val="16"/>
          <w:color w:val="auto"/>
        </w:rPr>
        <w:t xml:space="preserve"> Unless the Corporation consents in writing to the selection of an alternative forum,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as to which the Court of Chancery and the federal district court for the District of Delaware shall have concurrent jurisdiction. Notwithstanding the foregoing, the provisions of this Section 13.1 will not apply to suits brought to enforce a duty or liability creased by the Exchange Act or any other claim for which the federal courts have exclusive jurisdiction.</w:t>
      </w:r>
    </w:p>
    <w:p>
      <w:pPr>
        <w:spacing w:after="0" w:line="168" w:lineRule="exact"/>
        <w:rPr>
          <w:sz w:val="20"/>
          <w:szCs w:val="20"/>
          <w:color w:val="auto"/>
        </w:rPr>
      </w:pPr>
    </w:p>
    <w:p>
      <w:pPr>
        <w:ind w:right="60" w:firstLine="1296"/>
        <w:spacing w:after="0" w:line="296"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immediately above (an “</w:t>
      </w:r>
      <w:r>
        <w:rPr>
          <w:rFonts w:ascii="Arial" w:cs="Arial" w:eastAsia="Arial" w:hAnsi="Arial"/>
          <w:sz w:val="16"/>
          <w:szCs w:val="16"/>
          <w:u w:val="single" w:color="auto"/>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If any provision or provisions (or any part thereof) of this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7" w:name="page238"/>
    <w:bookmarkEnd w:id="237"/>
    <w:p>
      <w:pPr>
        <w:ind w:firstLine="1296"/>
        <w:spacing w:after="0" w:line="277" w:lineRule="auto"/>
        <w:rPr>
          <w:sz w:val="20"/>
          <w:szCs w:val="20"/>
          <w:color w:val="auto"/>
        </w:rPr>
      </w:pPr>
      <w:r>
        <w:rPr>
          <w:rFonts w:ascii="Arial" w:cs="Arial" w:eastAsia="Arial" w:hAnsi="Arial"/>
          <w:sz w:val="18"/>
          <w:szCs w:val="18"/>
          <w:color w:val="auto"/>
        </w:rPr>
        <w:t>IN WITNESS WHEREOF, Churchill Capital Corp IV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908" w:right="999"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b w:val="1"/>
          <w:bCs w:val="1"/>
          <w:color w:val="auto"/>
        </w:rPr>
        <w:t>Exhibit 3.3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w:t>
      </w:r>
    </w:p>
    <w:p>
      <w:pPr>
        <w:spacing w:after="0" w:line="184"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in addition to its registered office in the State of Delaware, have such other offices and places of business, both within and outside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9" w:lineRule="exact"/>
        <w:rPr>
          <w:sz w:val="20"/>
          <w:szCs w:val="20"/>
          <w:color w:val="auto"/>
        </w:rPr>
      </w:pPr>
    </w:p>
    <w:p>
      <w:pPr>
        <w:ind w:right="80" w:firstLine="1296"/>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Annual Meetings</w:t>
      </w:r>
      <w:r>
        <w:rPr>
          <w:rFonts w:ascii="Arial" w:cs="Arial" w:eastAsia="Arial" w:hAnsi="Arial"/>
          <w:sz w:val="16"/>
          <w:szCs w:val="16"/>
          <w:color w:val="auto"/>
        </w:rPr>
        <w:t xml:space="preserve">.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61"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of the holders of any outstanding series of the preferred stock of the Corporation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and to the requirements of applicable law, special meetings of stockholders, for any purpose or purposes, may be called only by the Chairman 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may in its sole discretion determine that the meeting shall not be held at any place, but may instead be held solely by means of remote communication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9.5(a)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9" w:name="page240"/>
    <w:bookmarkEnd w:id="239"/>
    <w:p>
      <w:pPr>
        <w:ind w:firstLine="1296"/>
        <w:spacing w:after="0" w:line="28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Arial" w:cs="Arial" w:eastAsia="Arial" w:hAnsi="Arial"/>
          <w:sz w:val="16"/>
          <w:szCs w:val="16"/>
          <w:u w:val="single" w:color="auto"/>
          <w:color w:val="auto"/>
        </w:rPr>
        <w:t>Section 2.7(c)</w:t>
      </w:r>
      <w:r>
        <w:rPr>
          <w:rFonts w:ascii="Arial" w:cs="Arial" w:eastAsia="Arial" w:hAnsi="Arial"/>
          <w:sz w:val="16"/>
          <w:szCs w:val="16"/>
          <w:color w:val="auto"/>
        </w:rPr>
        <w:t>) given before the date previously scheduled for such meeting.</w:t>
      </w:r>
    </w:p>
    <w:p>
      <w:pPr>
        <w:spacing w:after="0" w:line="168"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applicable law, the Corporation’s Certificate of Incorporation, as the same may be amended or restated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or these By 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or any such other corporation to vote shares held by it in a fiduciary capacity.</w:t>
      </w:r>
    </w:p>
    <w:p>
      <w:pPr>
        <w:spacing w:after="0" w:line="16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Voting of Shares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8" w:lineRule="auto"/>
        <w:tabs>
          <w:tab w:leader="none" w:pos="281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Voting Lists</w:t>
      </w:r>
      <w:r>
        <w:rPr>
          <w:rFonts w:ascii="Arial" w:cs="Arial" w:eastAsia="Arial" w:hAnsi="Arial"/>
          <w:sz w:val="17"/>
          <w:szCs w:val="17"/>
          <w:color w:val="auto"/>
        </w:rPr>
        <w:t>. The Secretary of the Corporation (the “</w:t>
      </w:r>
      <w:r>
        <w:rPr>
          <w:rFonts w:ascii="Arial" w:cs="Arial" w:eastAsia="Arial" w:hAnsi="Arial"/>
          <w:sz w:val="17"/>
          <w:szCs w:val="17"/>
          <w:u w:val="single" w:color="auto"/>
          <w:color w:val="auto"/>
        </w:rPr>
        <w:t>Secretary</w:t>
      </w:r>
      <w:r>
        <w:rPr>
          <w:rFonts w:ascii="Arial" w:cs="Arial" w:eastAsia="Arial" w:hAnsi="Arial"/>
          <w:sz w:val="17"/>
          <w:szCs w:val="17"/>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Arial" w:cs="Arial" w:eastAsia="Arial" w:hAnsi="Arial"/>
          <w:sz w:val="17"/>
          <w:szCs w:val="17"/>
          <w:u w:val="single" w:color="auto"/>
          <w:color w:val="auto"/>
        </w:rPr>
        <w:t>Section 9.5(a)</w:t>
      </w:r>
      <w:r>
        <w:rPr>
          <w:rFonts w:ascii="Arial" w:cs="Arial" w:eastAsia="Arial" w:hAnsi="Arial"/>
          <w:sz w:val="17"/>
          <w:szCs w:val="17"/>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or to vote in person or by proxy at any meeting of stockholders.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20" w:firstLine="1952"/>
        <w:spacing w:after="0" w:line="255" w:lineRule="auto"/>
        <w:tabs>
          <w:tab w:leader="none" w:pos="280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Manner of Voting</w:t>
      </w:r>
      <w:r>
        <w:rPr>
          <w:rFonts w:ascii="Arial" w:cs="Arial" w:eastAsia="Arial" w:hAnsi="Arial"/>
          <w:sz w:val="18"/>
          <w:szCs w:val="18"/>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92" w:lineRule="exact"/>
        <w:rPr>
          <w:rFonts w:ascii="Arial" w:cs="Arial" w:eastAsia="Arial" w:hAnsi="Arial"/>
          <w:sz w:val="18"/>
          <w:szCs w:val="18"/>
          <w:color w:val="auto"/>
        </w:rPr>
      </w:pPr>
    </w:p>
    <w:p>
      <w:pPr>
        <w:ind w:left="-20" w:right="20" w:firstLine="1952"/>
        <w:spacing w:after="0" w:line="255" w:lineRule="auto"/>
        <w:tabs>
          <w:tab w:leader="none" w:pos="279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ind w:left="-20" w:right="120" w:firstLine="2600"/>
        <w:spacing w:after="0" w:line="311" w:lineRule="auto"/>
        <w:tabs>
          <w:tab w:leader="none" w:pos="350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48" w:lineRule="exact"/>
        <w:rPr>
          <w:rFonts w:ascii="Arial" w:cs="Arial" w:eastAsia="Arial" w:hAnsi="Arial"/>
          <w:sz w:val="16"/>
          <w:szCs w:val="16"/>
          <w:color w:val="auto"/>
        </w:rPr>
      </w:pPr>
    </w:p>
    <w:p>
      <w:pPr>
        <w:ind w:left="-20" w:right="40" w:firstLine="2600"/>
        <w:spacing w:after="0" w:line="271" w:lineRule="auto"/>
        <w:tabs>
          <w:tab w:leader="none" w:pos="3421"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copy, facsimile telecommunication or other reproduction shall be a complete reproduction of the entire original writing or transmission.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41" w:name="page242"/>
    <w:bookmarkEnd w:id="241"/>
    <w:p>
      <w:pPr>
        <w:ind w:firstLine="1952"/>
        <w:spacing w:after="0" w:line="272" w:lineRule="auto"/>
        <w:tabs>
          <w:tab w:leader="none" w:pos="2828"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firstLine="1952"/>
        <w:spacing w:after="0" w:line="269" w:lineRule="auto"/>
        <w:tabs>
          <w:tab w:leader="none" w:pos="2818"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9" w:lineRule="exact"/>
        <w:rPr>
          <w:sz w:val="20"/>
          <w:szCs w:val="20"/>
          <w:color w:val="auto"/>
        </w:rPr>
      </w:pPr>
    </w:p>
    <w:p>
      <w:pPr>
        <w:ind w:right="40" w:firstLine="1296"/>
        <w:spacing w:after="0" w:line="28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ind w:left="1280"/>
        <w:spacing w:after="0"/>
        <w:tabs>
          <w:tab w:leader="none" w:pos="26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Advance Notice for Business</w:t>
      </w:r>
      <w:r>
        <w:rPr>
          <w:rFonts w:ascii="Arial" w:cs="Arial" w:eastAsia="Arial" w:hAnsi="Arial"/>
          <w:sz w:val="16"/>
          <w:szCs w:val="16"/>
          <w:color w:val="auto"/>
        </w:rPr>
        <w:t>.</w:t>
      </w:r>
    </w:p>
    <w:p>
      <w:pPr>
        <w:spacing w:after="0" w:line="225" w:lineRule="exact"/>
        <w:rPr>
          <w:sz w:val="20"/>
          <w:szCs w:val="20"/>
          <w:color w:val="auto"/>
        </w:rPr>
      </w:pPr>
    </w:p>
    <w:p>
      <w:pPr>
        <w:ind w:left="-20" w:firstLine="1952"/>
        <w:spacing w:after="0" w:line="254" w:lineRule="auto"/>
        <w:tabs>
          <w:tab w:leader="none" w:pos="279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be considered for election at such meeting.</w:t>
      </w:r>
    </w:p>
    <w:p>
      <w:pPr>
        <w:spacing w:after="0" w:line="191" w:lineRule="exact"/>
        <w:rPr>
          <w:rFonts w:ascii="Arial" w:cs="Arial" w:eastAsia="Arial" w:hAnsi="Arial"/>
          <w:sz w:val="18"/>
          <w:szCs w:val="18"/>
          <w:color w:val="auto"/>
        </w:rPr>
      </w:pPr>
    </w:p>
    <w:p>
      <w:pPr>
        <w:ind w:left="-20" w:firstLine="2600"/>
        <w:spacing w:after="0" w:line="288" w:lineRule="auto"/>
        <w:tabs>
          <w:tab w:leader="none" w:pos="350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20" w:firstLine="2600"/>
        <w:spacing w:after="0" w:line="287" w:lineRule="auto"/>
        <w:tabs>
          <w:tab w:leader="none" w:pos="342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3" w:name="page244"/>
    <w:bookmarkEnd w:id="243"/>
    <w:p>
      <w:pPr>
        <w:ind w:left="-20" w:firstLine="2600"/>
        <w:spacing w:after="0" w:line="287" w:lineRule="auto"/>
        <w:tabs>
          <w:tab w:leader="none" w:pos="338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7" w:lineRule="exact"/>
        <w:rPr>
          <w:rFonts w:ascii="Arial" w:cs="Arial" w:eastAsia="Arial" w:hAnsi="Arial"/>
          <w:sz w:val="16"/>
          <w:szCs w:val="16"/>
          <w:color w:val="auto"/>
        </w:rPr>
      </w:pPr>
    </w:p>
    <w:p>
      <w:pPr>
        <w:ind w:left="-20" w:right="140" w:firstLine="2600"/>
        <w:spacing w:after="0" w:line="259" w:lineRule="auto"/>
        <w:tabs>
          <w:tab w:leader="none" w:pos="341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6" w:lineRule="exact"/>
        <w:rPr>
          <w:rFonts w:ascii="Arial" w:cs="Arial" w:eastAsia="Arial" w:hAnsi="Arial"/>
          <w:sz w:val="18"/>
          <w:szCs w:val="18"/>
          <w:color w:val="auto"/>
        </w:rPr>
      </w:pPr>
    </w:p>
    <w:p>
      <w:pPr>
        <w:ind w:left="-20" w:right="40" w:firstLine="1952"/>
        <w:spacing w:after="0" w:line="311" w:lineRule="auto"/>
        <w:tabs>
          <w:tab w:leader="none" w:pos="280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0" w:right="40" w:firstLine="1952"/>
        <w:spacing w:after="0" w:line="286" w:lineRule="auto"/>
        <w:tabs>
          <w:tab w:leader="none" w:pos="279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 Laws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44" w:name="page245"/>
    <w:bookmarkEnd w:id="244"/>
    <w:p>
      <w:pPr>
        <w:ind w:firstLine="1296"/>
        <w:spacing w:after="0" w:line="267"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90"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Consents in Lieu of Meeting</w:t>
      </w:r>
      <w:r>
        <w:rPr>
          <w:rFonts w:ascii="Arial" w:cs="Arial" w:eastAsia="Arial" w:hAnsi="Arial"/>
          <w:sz w:val="17"/>
          <w:szCs w:val="17"/>
          <w:color w:val="auto"/>
        </w:rPr>
        <w:t>. Unless otherwise provided by the Certificate of Incorporation, until the Corporation consummates an initial public offering (“</w:t>
      </w:r>
      <w:r>
        <w:rPr>
          <w:rFonts w:ascii="Arial" w:cs="Arial" w:eastAsia="Arial" w:hAnsi="Arial"/>
          <w:sz w:val="17"/>
          <w:szCs w:val="17"/>
          <w:u w:val="single" w:color="auto"/>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78"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40" w:firstLine="1296"/>
        <w:spacing w:after="0" w:line="27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Powers; Number</w:t>
      </w:r>
      <w:r>
        <w:rPr>
          <w:rFonts w:ascii="Arial" w:cs="Arial" w:eastAsia="Arial" w:hAnsi="Arial"/>
          <w:sz w:val="17"/>
          <w:szCs w:val="17"/>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Advance Notice for Nomination of Directors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2" w:lineRule="auto"/>
        <w:tabs>
          <w:tab w:leader="none" w:pos="281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1952"/>
        <w:spacing w:after="0" w:line="287" w:lineRule="auto"/>
        <w:tabs>
          <w:tab w:leader="none" w:pos="282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annual meeting is more than 30 days before or more than 60 days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6" w:name="page247"/>
    <w:bookmarkEnd w:id="246"/>
    <w:p>
      <w:pPr>
        <w:ind w:left="-80" w:firstLine="1952"/>
        <w:spacing w:after="0" w:line="291" w:lineRule="auto"/>
        <w:tabs>
          <w:tab w:leader="none" w:pos="273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66" w:lineRule="exact"/>
        <w:rPr>
          <w:rFonts w:ascii="Arial" w:cs="Arial" w:eastAsia="Arial" w:hAnsi="Arial"/>
          <w:sz w:val="16"/>
          <w:szCs w:val="16"/>
          <w:color w:val="auto"/>
        </w:rPr>
      </w:pPr>
    </w:p>
    <w:p>
      <w:pPr>
        <w:ind w:left="-80" w:firstLine="1952"/>
        <w:spacing w:after="0" w:line="286" w:lineRule="auto"/>
        <w:tabs>
          <w:tab w:leader="none" w:pos="274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247" w:name="page248"/>
    <w:bookmarkEnd w:id="247"/>
    <w:p>
      <w:pPr>
        <w:ind w:right="20" w:firstLine="1952"/>
        <w:spacing w:after="0" w:line="296" w:lineRule="auto"/>
        <w:tabs>
          <w:tab w:leader="none" w:pos="28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ind w:right="120" w:firstLine="1952"/>
        <w:spacing w:after="0" w:line="286" w:lineRule="auto"/>
        <w:tabs>
          <w:tab w:leader="none" w:pos="284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In addition to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deemed to affect any rights of the holders of Preferred Stock to elect directors pursuant to the Certificate of Incorporation.</w:t>
      </w:r>
    </w:p>
    <w:p>
      <w:pPr>
        <w:spacing w:after="0" w:line="165" w:lineRule="exact"/>
        <w:rPr>
          <w:sz w:val="20"/>
          <w:szCs w:val="20"/>
          <w:color w:val="auto"/>
        </w:rPr>
      </w:pPr>
    </w:p>
    <w:p>
      <w:pPr>
        <w:jc w:val="both"/>
        <w:ind w:right="120" w:firstLine="1296"/>
        <w:spacing w:after="0" w:line="29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Compensation</w:t>
      </w:r>
      <w:r>
        <w:rPr>
          <w:rFonts w:ascii="Arial" w:cs="Arial" w:eastAsia="Arial" w:hAnsi="Arial"/>
          <w:sz w:val="16"/>
          <w:szCs w:val="16"/>
          <w:color w:val="auto"/>
        </w:rPr>
        <w:t>. Unless otherwise restricted by the Certificate of Incorporation or these By 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right="260" w:firstLine="1296"/>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Annual Meetings</w:t>
      </w:r>
      <w:r>
        <w:rPr>
          <w:rFonts w:ascii="Arial" w:cs="Arial" w:eastAsia="Arial" w:hAnsi="Arial"/>
          <w:sz w:val="18"/>
          <w:szCs w:val="18"/>
          <w:color w:val="auto"/>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w:t>
      </w:r>
    </w:p>
    <w:p>
      <w:pPr>
        <w:spacing w:after="0" w:line="187"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Regularly scheduled, periodic meetings of the Board may be held without notice at such times, dates and places (within or without the State of Delaware) as shall from time to time be determined by the Board.</w:t>
      </w:r>
    </w:p>
    <w:p>
      <w:pPr>
        <w:spacing w:after="0" w:line="170"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Board (a) may be called by the Chairman of the Board or President and (b) shall be called by 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8" w:name="page249"/>
    <w:bookmarkEnd w:id="248"/>
    <w:p>
      <w:pPr>
        <w:ind w:right="260"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Quorum; Required Vote</w:t>
      </w:r>
      <w:r>
        <w:rPr>
          <w:rFonts w:ascii="Arial" w:cs="Arial" w:eastAsia="Arial" w:hAnsi="Arial"/>
          <w:sz w:val="18"/>
          <w:szCs w:val="18"/>
          <w:color w:val="auto"/>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88"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Consent In Lieu of Meeting</w:t>
      </w:r>
      <w:r>
        <w:rPr>
          <w:rFonts w:ascii="Arial" w:cs="Arial" w:eastAsia="Arial" w:hAnsi="Arial"/>
          <w:sz w:val="17"/>
          <w:szCs w:val="17"/>
          <w:color w:val="auto"/>
        </w:rPr>
        <w:t>. Unless otherwise restricted by the Certificate of Incorporation or these By 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Organization</w:t>
      </w:r>
      <w:r>
        <w:rPr>
          <w:rFonts w:ascii="Arial" w:cs="Arial" w:eastAsia="Arial" w:hAnsi="Arial"/>
          <w:sz w:val="18"/>
          <w:szCs w:val="18"/>
          <w:color w:val="auto"/>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 OF DIRECTORS</w:t>
      </w:r>
    </w:p>
    <w:p>
      <w:pPr>
        <w:spacing w:after="0" w:line="229"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Establishment</w:t>
      </w:r>
      <w:r>
        <w:rPr>
          <w:rFonts w:ascii="Arial" w:cs="Arial" w:eastAsia="Arial" w:hAnsi="Arial"/>
          <w:sz w:val="18"/>
          <w:szCs w:val="18"/>
          <w:color w:val="auto"/>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Available Powers</w:t>
      </w:r>
      <w:r>
        <w:rPr>
          <w:rFonts w:ascii="Arial" w:cs="Arial" w:eastAsia="Arial" w:hAnsi="Arial"/>
          <w:sz w:val="18"/>
          <w:szCs w:val="18"/>
          <w:color w:val="auto"/>
        </w:rPr>
        <w:t xml:space="preserve">. Any committee established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9" w:name="page250"/>
    <w:bookmarkEnd w:id="249"/>
    <w:p>
      <w:pPr>
        <w:jc w:val="both"/>
        <w:ind w:firstLine="1296"/>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Alternate Members</w:t>
      </w:r>
      <w:r>
        <w:rPr>
          <w:rFonts w:ascii="Arial" w:cs="Arial" w:eastAsia="Arial" w:hAnsi="Arial"/>
          <w:sz w:val="17"/>
          <w:szCs w:val="17"/>
          <w:color w:val="auto"/>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71"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Procedures</w:t>
      </w:r>
      <w:r>
        <w:rPr>
          <w:rFonts w:ascii="Arial" w:cs="Arial" w:eastAsia="Arial" w:hAnsi="Arial"/>
          <w:sz w:val="16"/>
          <w:szCs w:val="16"/>
          <w:color w:val="auto"/>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 Laws.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xml:space="preserve">. The officers of the Corporation elected by the Board shall be a Chief Executive Officer, a Chief Financial Officer, a 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0" w:name="page251"/>
    <w:bookmarkEnd w:id="250"/>
    <w:p>
      <w:pPr>
        <w:ind w:left="-20" w:right="80" w:firstLine="1952"/>
        <w:spacing w:after="0" w:line="272" w:lineRule="auto"/>
        <w:tabs>
          <w:tab w:leader="none" w:pos="2798"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77" w:lineRule="exact"/>
        <w:rPr>
          <w:rFonts w:ascii="Arial" w:cs="Arial" w:eastAsia="Arial" w:hAnsi="Arial"/>
          <w:sz w:val="17"/>
          <w:szCs w:val="17"/>
          <w:color w:val="auto"/>
        </w:rPr>
      </w:pPr>
    </w:p>
    <w:p>
      <w:pPr>
        <w:ind w:left="-20" w:right="60" w:firstLine="1952"/>
        <w:spacing w:after="0" w:line="273" w:lineRule="auto"/>
        <w:tabs>
          <w:tab w:leader="none" w:pos="2808"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77" w:lineRule="exact"/>
        <w:rPr>
          <w:rFonts w:ascii="Arial" w:cs="Arial" w:eastAsia="Arial" w:hAnsi="Arial"/>
          <w:sz w:val="17"/>
          <w:szCs w:val="17"/>
          <w:color w:val="auto"/>
        </w:rPr>
      </w:pPr>
    </w:p>
    <w:p>
      <w:pPr>
        <w:ind w:left="-20" w:right="100" w:firstLine="1952"/>
        <w:spacing w:after="0" w:line="257" w:lineRule="auto"/>
        <w:tabs>
          <w:tab w:leader="none" w:pos="279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ind w:left="-20" w:right="340" w:firstLine="1952"/>
        <w:spacing w:after="0" w:line="286" w:lineRule="auto"/>
        <w:tabs>
          <w:tab w:leader="none" w:pos="2808"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Vice Presidents</w:t>
      </w:r>
      <w:r>
        <w:rPr>
          <w:rFonts w:ascii="Arial" w:cs="Arial" w:eastAsia="Arial" w:hAnsi="Arial"/>
          <w:sz w:val="17"/>
          <w:szCs w:val="17"/>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65" w:lineRule="exact"/>
        <w:rPr>
          <w:rFonts w:ascii="Arial" w:cs="Arial" w:eastAsia="Arial" w:hAnsi="Arial"/>
          <w:sz w:val="17"/>
          <w:szCs w:val="17"/>
          <w:color w:val="auto"/>
        </w:rPr>
      </w:pPr>
    </w:p>
    <w:p>
      <w:pPr>
        <w:ind w:left="2800" w:hanging="868"/>
        <w:spacing w:after="0"/>
        <w:tabs>
          <w:tab w:leader="none" w:pos="28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2600"/>
        <w:spacing w:after="0" w:line="254" w:lineRule="auto"/>
        <w:tabs>
          <w:tab w:leader="none" w:pos="350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51" w:name="page252"/>
    <w:bookmarkEnd w:id="251"/>
    <w:p>
      <w:pPr>
        <w:ind w:right="80" w:firstLine="2600"/>
        <w:spacing w:after="0" w:line="259" w:lineRule="auto"/>
        <w:tabs>
          <w:tab w:leader="none" w:pos="344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260" w:firstLine="1952"/>
        <w:spacing w:after="0" w:line="342" w:lineRule="auto"/>
        <w:tabs>
          <w:tab w:leader="none" w:pos="284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Assistant Secretaries</w:t>
      </w:r>
      <w:r>
        <w:rPr>
          <w:rFonts w:ascii="Arial" w:cs="Arial" w:eastAsia="Arial" w:hAnsi="Arial"/>
          <w:sz w:val="16"/>
          <w:szCs w:val="16"/>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23" w:lineRule="exact"/>
        <w:rPr>
          <w:rFonts w:ascii="Arial" w:cs="Arial" w:eastAsia="Arial" w:hAnsi="Arial"/>
          <w:sz w:val="16"/>
          <w:szCs w:val="16"/>
          <w:color w:val="auto"/>
        </w:rPr>
      </w:pPr>
    </w:p>
    <w:p>
      <w:pPr>
        <w:jc w:val="both"/>
        <w:ind w:right="80" w:firstLine="1952"/>
        <w:spacing w:after="0" w:line="259" w:lineRule="auto"/>
        <w:tabs>
          <w:tab w:leader="none" w:pos="282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86" w:lineRule="exact"/>
        <w:rPr>
          <w:rFonts w:ascii="Arial" w:cs="Arial" w:eastAsia="Arial" w:hAnsi="Arial"/>
          <w:sz w:val="18"/>
          <w:szCs w:val="18"/>
          <w:color w:val="auto"/>
        </w:rPr>
      </w:pPr>
    </w:p>
    <w:p>
      <w:pPr>
        <w:ind w:right="120" w:firstLine="1952"/>
        <w:spacing w:after="0" w:line="277" w:lineRule="auto"/>
        <w:tabs>
          <w:tab w:leader="none" w:pos="282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70"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Term of Office; Removal; Vacancies</w:t>
      </w:r>
      <w:r>
        <w:rPr>
          <w:rFonts w:ascii="Arial" w:cs="Arial" w:eastAsia="Arial" w:hAnsi="Arial"/>
          <w:sz w:val="17"/>
          <w:szCs w:val="17"/>
          <w:color w:val="auto"/>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7"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Officers</w:t>
      </w:r>
      <w:r>
        <w:rPr>
          <w:rFonts w:ascii="Arial" w:cs="Arial" w:eastAsia="Arial" w:hAnsi="Arial"/>
          <w:sz w:val="18"/>
          <w:szCs w:val="18"/>
          <w:color w:val="auto"/>
        </w:rPr>
        <w:t>. The Board may delegate the power to appoint such other officers and agents, and may also remove such officers and agents or delegate the power to remove same, as it shall from time to time deem necessary or desirable.</w:t>
      </w:r>
    </w:p>
    <w:p>
      <w:pPr>
        <w:spacing w:after="0" w:line="170" w:lineRule="exact"/>
        <w:rPr>
          <w:sz w:val="20"/>
          <w:szCs w:val="20"/>
          <w:color w:val="auto"/>
        </w:rPr>
      </w:pPr>
    </w:p>
    <w:p>
      <w:pPr>
        <w:ind w:right="280" w:firstLine="1296"/>
        <w:spacing w:after="0" w:line="34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Multiple Officeholders; Stockholder and Director Officers</w:t>
      </w:r>
      <w:r>
        <w:rPr>
          <w:rFonts w:ascii="Arial" w:cs="Arial" w:eastAsia="Arial" w:hAnsi="Arial"/>
          <w:sz w:val="16"/>
          <w:szCs w:val="16"/>
          <w:color w:val="auto"/>
        </w:rPr>
        <w:t>. Any number of offices may be held by the same person unless the Certificate of Incorporation or these By Laws otherwise provide. Officers need not be stockholders or residents of the State of Delaware.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Certificated and Uncertificated Shares</w:t>
      </w:r>
      <w:r>
        <w:rPr>
          <w:rFonts w:ascii="Arial" w:cs="Arial" w:eastAsia="Arial" w:hAnsi="Arial"/>
          <w:sz w:val="18"/>
          <w:szCs w:val="18"/>
          <w:color w:val="auto"/>
        </w:rPr>
        <w:t>. The shares of the Corporation may be certificated or uncertificated, subject to the sole discretion of the Board and the requirements of the DGCL.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52" w:name="page253"/>
    <w:bookmarkEnd w:id="252"/>
    <w:p>
      <w:pPr>
        <w:ind w:firstLine="1296"/>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Multiple Classes of Stock</w:t>
      </w:r>
      <w:r>
        <w:rPr>
          <w:rFonts w:ascii="Arial" w:cs="Arial" w:eastAsia="Arial" w:hAnsi="Arial"/>
          <w:sz w:val="18"/>
          <w:szCs w:val="18"/>
          <w:color w:val="auto"/>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9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Signatures</w:t>
      </w:r>
      <w:r>
        <w:rPr>
          <w:rFonts w:ascii="Arial" w:cs="Arial" w:eastAsia="Arial" w:hAnsi="Arial"/>
          <w:sz w:val="18"/>
          <w:szCs w:val="18"/>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5"/>
          <w:szCs w:val="15"/>
          <w:u w:val="single" w:color="auto"/>
          <w:color w:val="auto"/>
        </w:rPr>
        <w:t>Consideration and Payment for Shares</w:t>
      </w:r>
      <w:r>
        <w:rPr>
          <w:rFonts w:ascii="Arial" w:cs="Arial" w:eastAsia="Arial" w:hAnsi="Arial"/>
          <w:sz w:val="15"/>
          <w:szCs w:val="15"/>
          <w:color w:val="auto"/>
        </w:rPr>
        <w:t>.</w:t>
      </w:r>
    </w:p>
    <w:p>
      <w:pPr>
        <w:spacing w:after="0" w:line="225" w:lineRule="exact"/>
        <w:rPr>
          <w:sz w:val="20"/>
          <w:szCs w:val="20"/>
          <w:color w:val="auto"/>
        </w:rPr>
      </w:pPr>
    </w:p>
    <w:p>
      <w:pPr>
        <w:ind w:right="80" w:firstLine="1952"/>
        <w:spacing w:after="0" w:line="259" w:lineRule="auto"/>
        <w:tabs>
          <w:tab w:leader="none" w:pos="28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3" w:name="page254"/>
    <w:bookmarkEnd w:id="253"/>
    <w:p>
      <w:pPr>
        <w:ind w:right="80" w:firstLine="1952"/>
        <w:spacing w:after="0" w:line="257" w:lineRule="auto"/>
        <w:tabs>
          <w:tab w:leader="none" w:pos="28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Lost, Destroyed or Wrongfully Taken Certificates</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55" w:lineRule="auto"/>
        <w:tabs>
          <w:tab w:leader="none" w:pos="28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ind w:right="40" w:firstLine="1952"/>
        <w:spacing w:after="0" w:line="279" w:lineRule="auto"/>
        <w:tabs>
          <w:tab w:leader="none" w:pos="282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3" w:lineRule="auto"/>
        <w:tabs>
          <w:tab w:leader="none" w:pos="28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3540" w:hanging="940"/>
        <w:spacing w:after="0"/>
        <w:tabs>
          <w:tab w:leader="none" w:pos="35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 the case of certificated shares, the certificate representing such shares has been surrendered;</w:t>
      </w:r>
    </w:p>
    <w:p>
      <w:pPr>
        <w:spacing w:after="0" w:line="236" w:lineRule="exact"/>
        <w:rPr>
          <w:rFonts w:ascii="Arial" w:cs="Arial" w:eastAsia="Arial" w:hAnsi="Arial"/>
          <w:sz w:val="17"/>
          <w:szCs w:val="17"/>
          <w:color w:val="auto"/>
        </w:rPr>
      </w:pPr>
    </w:p>
    <w:p>
      <w:pPr>
        <w:ind w:firstLine="2600"/>
        <w:spacing w:after="0" w:line="259" w:lineRule="auto"/>
        <w:tabs>
          <w:tab w:leader="none" w:pos="344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6" w:lineRule="exact"/>
        <w:rPr>
          <w:rFonts w:ascii="Arial" w:cs="Arial" w:eastAsia="Arial" w:hAnsi="Arial"/>
          <w:sz w:val="18"/>
          <w:szCs w:val="18"/>
          <w:color w:val="auto"/>
        </w:rPr>
      </w:pPr>
    </w:p>
    <w:p>
      <w:pPr>
        <w:ind w:left="3400" w:hanging="800"/>
        <w:spacing w:after="0"/>
        <w:tabs>
          <w:tab w:leader="none" w:pos="340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Corporation has received a guarantee of signature of the person signing such endorsement or instruction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such other reasonable assurance that the endorsement or instruction is genuine and authorized as the Corporation may request;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54" w:name="page255"/>
    <w:bookmarkEnd w:id="254"/>
    <w:p>
      <w:pPr>
        <w:ind w:left="3440" w:hanging="840"/>
        <w:spacing w:after="0"/>
        <w:tabs>
          <w:tab w:leader="none" w:pos="34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transfer does not violate any restriction on transfer imposed by the Corporation that is enforceable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1" w:lineRule="exact"/>
        <w:rPr>
          <w:sz w:val="20"/>
          <w:szCs w:val="20"/>
          <w:color w:val="auto"/>
        </w:rPr>
      </w:pPr>
    </w:p>
    <w:p>
      <w:pPr>
        <w:ind w:left="3480" w:hanging="880"/>
        <w:spacing w:after="0"/>
        <w:tabs>
          <w:tab w:leader="none" w:pos="34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such other conditions for such transfer as shall be provided for under applicable law have been satisfied.</w:t>
      </w:r>
    </w:p>
    <w:p>
      <w:pPr>
        <w:spacing w:after="0" w:line="248" w:lineRule="exact"/>
        <w:rPr>
          <w:rFonts w:ascii="Arial" w:cs="Arial" w:eastAsia="Arial" w:hAnsi="Arial"/>
          <w:sz w:val="16"/>
          <w:szCs w:val="16"/>
          <w:color w:val="auto"/>
        </w:rPr>
      </w:pPr>
    </w:p>
    <w:p>
      <w:pPr>
        <w:ind w:right="280" w:firstLine="1952"/>
        <w:spacing w:after="0" w:line="259" w:lineRule="auto"/>
        <w:tabs>
          <w:tab w:leader="none" w:pos="282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9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Effect of the Corporation’s Restriction on Transfer</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55" w:lineRule="auto"/>
        <w:tabs>
          <w:tab w:leader="none" w:pos="28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ind w:right="40" w:firstLine="1952"/>
        <w:spacing w:after="0" w:line="275" w:lineRule="auto"/>
        <w:tabs>
          <w:tab w:leader="none" w:pos="282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76"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To the fullest extent permitted by applicable law, as the same exists or may hereafter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amended, the Corporation shall indemnify and hold harmless each person who was or is made a party or is threatened to be made a party to or is otherwise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involved in any threatened, pending or completed action, suit or proceeding, whether civil, criminal, administrative or investigative (hereinafter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serving at the request of the Corporation as a director, officer, employee or agent of another corporation or of a partnership, joint venture, trust,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enterprise or nonprofit entity, including service with respect to an employee benefit plan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whether the basis of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proceeding is alleged action in an official capacity as a director, officer, employee or agent, or in any other capacity while serving as a director,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or agent, against all liability and loss suffered and expenses (including, without limitation, attorneys’ fees, judgments, fines, ERISA excise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penalties and amounts paid in settlement) reasonably incurred by such Indemnitee in connection with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proceeding (or part thereof) initiated by such Indemnitee only if such proceeding (or part thereof) was authorized by the Board.</w:t>
      </w:r>
    </w:p>
    <w:p>
      <w:pPr>
        <w:spacing w:after="0" w:line="211"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Right to Advancement of Expenses</w:t>
      </w:r>
      <w:r>
        <w:rPr>
          <w:rFonts w:ascii="Arial" w:cs="Arial" w:eastAsia="Arial" w:hAnsi="Arial"/>
          <w:sz w:val="18"/>
          <w:szCs w:val="18"/>
          <w:color w:val="auto"/>
        </w:rPr>
        <w:t xml:space="preserve">. In addition to the right to indemnification conferred in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u w:val="single" w:color="auto"/>
          <w:color w:val="auto"/>
        </w:rPr>
        <w:t>advancement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right="20" w:firstLine="1296"/>
        <w:spacing w:after="0" w:line="285"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adjudication</w:t>
      </w:r>
      <w:r>
        <w:rPr>
          <w:rFonts w:ascii="Arial" w:cs="Arial" w:eastAsia="Arial" w:hAnsi="Arial"/>
          <w:sz w:val="16"/>
          <w:szCs w:val="16"/>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right="140" w:firstLine="1296"/>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provided to any Indemnitee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be exclusive of any other right, which such Indemnitee may have or hereafter acquire under applicable law, the Certificate of Incorporation, these By Laws, an agreement, a vote of stockholders or disinterested directors, or otherwise.</w:t>
      </w:r>
    </w:p>
    <w:p>
      <w:pPr>
        <w:spacing w:after="0" w:line="184" w:lineRule="exact"/>
        <w:rPr>
          <w:sz w:val="20"/>
          <w:szCs w:val="20"/>
          <w:color w:val="auto"/>
        </w:rPr>
      </w:pPr>
    </w:p>
    <w:p>
      <w:pPr>
        <w:jc w:val="both"/>
        <w:ind w:right="460" w:firstLine="1296"/>
        <w:spacing w:after="0" w:line="286"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Indemnification of Other Persons</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4"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Any repeal or amendment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by the Board or the stockholders of the Corporation or by changes in applicable law, or the adoption of any other provision of these By 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7" w:name="page258"/>
    <w:bookmarkEnd w:id="257"/>
    <w:p>
      <w:pPr>
        <w:ind w:left="1300"/>
        <w:spacing w:after="0"/>
        <w:tabs>
          <w:tab w:leader="none" w:pos="264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Article VIII</w:t>
      </w:r>
      <w:r>
        <w:rPr>
          <w:rFonts w:ascii="Arial" w:cs="Arial" w:eastAsia="Arial" w:hAnsi="Arial"/>
          <w:sz w:val="16"/>
          <w:szCs w:val="16"/>
          <w:color w:val="auto"/>
        </w:rPr>
        <w:t>, (a) references to “</w:t>
      </w:r>
      <w:r>
        <w:rPr>
          <w:rFonts w:ascii="Arial" w:cs="Arial" w:eastAsia="Arial" w:hAnsi="Arial"/>
          <w:sz w:val="16"/>
          <w:szCs w:val="16"/>
          <w:i w:val="1"/>
          <w:iCs w:val="1"/>
          <w:color w:val="auto"/>
        </w:rPr>
        <w:t>other enterprise</w:t>
      </w:r>
      <w:r>
        <w:rPr>
          <w:rFonts w:ascii="Arial" w:cs="Arial" w:eastAsia="Arial" w:hAnsi="Arial"/>
          <w:sz w:val="16"/>
          <w:szCs w:val="16"/>
          <w:color w:val="auto"/>
        </w:rPr>
        <w:t>” shall include any employee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benefit plan; (b) references to “</w:t>
      </w:r>
      <w:r>
        <w:rPr>
          <w:rFonts w:ascii="Arial" w:cs="Arial" w:eastAsia="Arial" w:hAnsi="Arial"/>
          <w:sz w:val="17"/>
          <w:szCs w:val="17"/>
          <w:i w:val="1"/>
          <w:iCs w:val="1"/>
          <w:color w:val="auto"/>
        </w:rPr>
        <w:t>fines</w:t>
      </w:r>
      <w:r>
        <w:rPr>
          <w:rFonts w:ascii="Arial" w:cs="Arial" w:eastAsia="Arial" w:hAnsi="Arial"/>
          <w:sz w:val="17"/>
          <w:szCs w:val="17"/>
          <w:color w:val="auto"/>
        </w:rPr>
        <w:t>” shall include any excise taxes assessed on a person with respect to an employee benefit plan; (c) references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serving at the request of the Corporation</w:t>
      </w:r>
      <w:r>
        <w:rPr>
          <w:rFonts w:ascii="Arial" w:cs="Arial" w:eastAsia="Arial" w:hAnsi="Arial"/>
          <w:sz w:val="16"/>
          <w:szCs w:val="16"/>
          <w:color w:val="auto"/>
        </w:rPr>
        <w:t>” shall include any service that imposes duties on, or involves services by, a person with respect to any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plan, its participants, or beneficiaries; and (d) a person who acted in good faith and in a manner such person reasonably believed to be in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participants and beneficiaries of an employee benefit plan shall be deemed to have acted in a manner “not opposed to the best interest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for purposes of Section 145 of the DGCL.</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Contract Rights</w:t>
      </w:r>
      <w:r>
        <w:rPr>
          <w:rFonts w:ascii="Arial" w:cs="Arial" w:eastAsia="Arial" w:hAnsi="Arial"/>
          <w:sz w:val="18"/>
          <w:szCs w:val="18"/>
          <w:color w:val="auto"/>
        </w:rPr>
        <w:t xml:space="preserve">. The rights provided to Indemnitees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184" w:lineRule="exact"/>
        <w:rPr>
          <w:sz w:val="20"/>
          <w:szCs w:val="20"/>
          <w:color w:val="auto"/>
        </w:rPr>
      </w:pPr>
    </w:p>
    <w:p>
      <w:pPr>
        <w:ind w:right="200" w:firstLine="1296"/>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held to be invalid, illegal or unenforceable for any reason 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Place of Meetings</w:t>
      </w:r>
      <w:r>
        <w:rPr>
          <w:rFonts w:ascii="Arial" w:cs="Arial" w:eastAsia="Arial" w:hAnsi="Arial"/>
          <w:sz w:val="17"/>
          <w:szCs w:val="17"/>
          <w:color w:val="auto"/>
        </w:rPr>
        <w:t xml:space="preserve">. If the place of any meeting of stockholders, the Board or committee of the Board for which notice is required under these By Laws is not designated in the notice of such meeting, such meeting shall be held at the principal business office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the Board has, in its sole discretion, determined that a meeting shall not be held at any place, but instead shall be held by means of remote communication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 then such meeting shall not be held at any place.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8" w:name="page259"/>
    <w:bookmarkEnd w:id="258"/>
    <w:p>
      <w:pPr>
        <w:ind w:left="1300"/>
        <w:spacing w:after="0"/>
        <w:tabs>
          <w:tab w:leader="none" w:pos="26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Fixing Record Dates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9" w:lineRule="auto"/>
        <w:tabs>
          <w:tab w:leader="none" w:pos="281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ind w:right="100" w:firstLine="1952"/>
        <w:spacing w:after="0" w:line="296" w:lineRule="auto"/>
        <w:tabs>
          <w:tab w:leader="none" w:pos="282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6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Means of Giving Notice</w:t>
      </w:r>
      <w:r>
        <w:rPr>
          <w:rFonts w:ascii="Arial" w:cs="Arial" w:eastAsia="Arial" w:hAnsi="Arial"/>
          <w:sz w:val="16"/>
          <w:szCs w:val="16"/>
          <w:color w:val="auto"/>
        </w:rPr>
        <w:t>.</w:t>
      </w:r>
    </w:p>
    <w:p>
      <w:pPr>
        <w:spacing w:after="0" w:line="225" w:lineRule="exact"/>
        <w:rPr>
          <w:sz w:val="20"/>
          <w:szCs w:val="20"/>
          <w:color w:val="auto"/>
        </w:rPr>
      </w:pPr>
    </w:p>
    <w:p>
      <w:pPr>
        <w:ind w:right="180" w:firstLine="1952"/>
        <w:spacing w:after="0" w:line="288" w:lineRule="auto"/>
        <w:tabs>
          <w:tab w:leader="none" w:pos="281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 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p>
      <w:pPr>
        <w:ind w:left="-8" w:firstLine="1952"/>
        <w:spacing w:after="0" w:line="286" w:lineRule="auto"/>
        <w:tabs>
          <w:tab w:leader="none" w:pos="282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 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w:t>
      </w:r>
    </w:p>
    <w:p>
      <w:pPr>
        <w:spacing w:after="0" w:line="1" w:lineRule="exact"/>
        <w:rPr>
          <w:rFonts w:ascii="Arial" w:cs="Arial" w:eastAsia="Arial" w:hAnsi="Arial"/>
          <w:sz w:val="16"/>
          <w:szCs w:val="16"/>
          <w:color w:val="auto"/>
        </w:rPr>
      </w:pPr>
    </w:p>
    <w:p>
      <w:pPr>
        <w:ind w:left="-8" w:right="20" w:firstLine="8"/>
        <w:spacing w:after="0" w:line="285" w:lineRule="auto"/>
        <w:tabs>
          <w:tab w:leader="none" w:pos="20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w:t>
      </w:r>
    </w:p>
    <w:p>
      <w:pPr>
        <w:spacing w:after="0" w:line="169" w:lineRule="exact"/>
        <w:rPr>
          <w:rFonts w:ascii="Arial" w:cs="Arial" w:eastAsia="Arial" w:hAnsi="Arial"/>
          <w:sz w:val="16"/>
          <w:szCs w:val="16"/>
          <w:color w:val="auto"/>
        </w:rPr>
      </w:pPr>
    </w:p>
    <w:p>
      <w:pPr>
        <w:ind w:left="-8" w:firstLine="1952"/>
        <w:spacing w:after="0" w:line="259" w:lineRule="auto"/>
        <w:tabs>
          <w:tab w:leader="none" w:pos="281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left="-8" w:right="60" w:firstLine="1952"/>
        <w:spacing w:after="0" w:line="293" w:lineRule="auto"/>
        <w:tabs>
          <w:tab w:leader="none" w:pos="2820"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Notice to Stockholders Sharing Same Address</w:t>
      </w:r>
      <w:r>
        <w:rPr>
          <w:rFonts w:ascii="Arial" w:cs="Arial" w:eastAsia="Arial" w:hAnsi="Arial"/>
          <w:sz w:val="16"/>
          <w:szCs w:val="16"/>
          <w:color w:val="auto"/>
        </w:rPr>
        <w:t>. Without limiting the manner by which notice otherwise may be given effectively by the 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60" w:name="page261"/>
    <w:bookmarkEnd w:id="260"/>
    <w:p>
      <w:pPr>
        <w:ind w:right="160" w:firstLine="1952"/>
        <w:spacing w:after="0" w:line="272" w:lineRule="auto"/>
        <w:tabs>
          <w:tab w:leader="none" w:pos="2818"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Exceptions to Notice Requirements</w:t>
      </w:r>
      <w:r>
        <w:rPr>
          <w:rFonts w:ascii="Arial" w:cs="Arial" w:eastAsia="Arial" w:hAnsi="Arial"/>
          <w:sz w:val="17"/>
          <w:szCs w:val="17"/>
          <w:color w:val="auto"/>
        </w:rPr>
        <w:t>. Whenever notice is required to be given, under the DGCL, the Certificate of Incorporation or these By 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77" w:lineRule="exact"/>
        <w:rPr>
          <w:sz w:val="20"/>
          <w:szCs w:val="20"/>
          <w:color w:val="auto"/>
        </w:rPr>
      </w:pPr>
    </w:p>
    <w:p>
      <w:pPr>
        <w:ind w:firstLine="1944"/>
        <w:spacing w:after="0" w:line="269" w:lineRule="auto"/>
        <w:rPr>
          <w:sz w:val="20"/>
          <w:szCs w:val="20"/>
          <w:color w:val="auto"/>
        </w:rPr>
      </w:pPr>
      <w:r>
        <w:rPr>
          <w:rFonts w:ascii="Arial" w:cs="Arial" w:eastAsia="Arial" w:hAnsi="Arial"/>
          <w:sz w:val="17"/>
          <w:szCs w:val="17"/>
          <w:color w:val="auto"/>
        </w:rPr>
        <w:t>Whenever notice is required to be given by the Corporation, under any provision of the DGCL, the Certificate of Incorporation or these By 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79"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is required to be given under applicable law, the Certificate of Incorporation, or these By 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61" w:name="page262"/>
    <w:bookmarkEnd w:id="261"/>
    <w:p>
      <w:pPr>
        <w:ind w:left="1300"/>
        <w:spacing w:after="0"/>
        <w:tabs>
          <w:tab w:leader="none" w:pos="26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Meeting Attendance via Remote Communication Equipment</w:t>
      </w:r>
      <w:r>
        <w:rPr>
          <w:rFonts w:ascii="Arial" w:cs="Arial" w:eastAsia="Arial" w:hAnsi="Arial"/>
          <w:sz w:val="16"/>
          <w:szCs w:val="16"/>
          <w:color w:val="auto"/>
        </w:rPr>
        <w:t>.</w:t>
      </w:r>
    </w:p>
    <w:p>
      <w:pPr>
        <w:spacing w:after="0" w:line="225" w:lineRule="exact"/>
        <w:rPr>
          <w:sz w:val="20"/>
          <w:szCs w:val="20"/>
          <w:color w:val="auto"/>
        </w:rPr>
      </w:pPr>
    </w:p>
    <w:p>
      <w:pPr>
        <w:ind w:right="360" w:firstLine="1952"/>
        <w:spacing w:after="0" w:line="263" w:lineRule="auto"/>
        <w:tabs>
          <w:tab w:leader="none" w:pos="281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3440" w:hanging="840"/>
        <w:spacing w:after="0"/>
        <w:tabs>
          <w:tab w:leader="none" w:pos="34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80" w:firstLine="2600"/>
        <w:spacing w:after="0" w:line="272" w:lineRule="auto"/>
        <w:tabs>
          <w:tab w:leader="none" w:pos="3441"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right="40" w:firstLine="1952"/>
        <w:spacing w:after="0" w:line="257" w:lineRule="auto"/>
        <w:tabs>
          <w:tab w:leader="none" w:pos="282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 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8"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spacing w:after="0" w:line="18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Reserves</w:t>
      </w:r>
      <w:r>
        <w:rPr>
          <w:rFonts w:ascii="Arial" w:cs="Arial" w:eastAsia="Arial" w:hAnsi="Arial"/>
          <w:sz w:val="18"/>
          <w:szCs w:val="18"/>
          <w:color w:val="auto"/>
        </w:rPr>
        <w:t>. The Board may set apart out of the funds of the Corporation available for dividends a reserve or reserves for any proper purpose and may abolish any such reserve.</w:t>
      </w:r>
    </w:p>
    <w:p>
      <w:pPr>
        <w:spacing w:after="0" w:line="170"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Contracts and Negotiable Instruments</w:t>
      </w:r>
      <w:r>
        <w:rPr>
          <w:rFonts w:ascii="Arial" w:cs="Arial" w:eastAsia="Arial" w:hAnsi="Arial"/>
          <w:sz w:val="18"/>
          <w:szCs w:val="18"/>
          <w:color w:val="auto"/>
        </w:rPr>
        <w:t>. Except as otherwise provided by applicable law, the Certificate of Incorporation or these By 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left="1300"/>
        <w:spacing w:after="0"/>
        <w:tabs>
          <w:tab w:leader="none" w:pos="264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the Board.</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Seal</w:t>
      </w:r>
      <w:r>
        <w:rPr>
          <w:rFonts w:ascii="Arial" w:cs="Arial" w:eastAsia="Arial" w:hAnsi="Arial"/>
          <w:sz w:val="18"/>
          <w:szCs w:val="18"/>
          <w:color w:val="auto"/>
        </w:rPr>
        <w:t>. The Board may adopt a corporate seal, which shall be in such form as the Board determines. The seal may be used by causing it or a facsimile thereof to be impressed, affixed or otherwise reproduced.</w:t>
      </w:r>
    </w:p>
    <w:p>
      <w:pPr>
        <w:spacing w:after="0" w:line="170"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Corporation may be kept within or outside the State of Delaware at such place or places as may from time to time be designated by the Board.</w:t>
      </w:r>
    </w:p>
    <w:p>
      <w:pPr>
        <w:spacing w:after="0" w:line="17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Surety Bonds</w:t>
      </w:r>
      <w:r>
        <w:rPr>
          <w:rFonts w:ascii="Arial" w:cs="Arial" w:eastAsia="Arial" w:hAnsi="Arial"/>
          <w:sz w:val="18"/>
          <w:szCs w:val="18"/>
          <w:color w:val="auto"/>
        </w:rPr>
        <w:t>.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92" w:lineRule="exact"/>
        <w:rPr>
          <w:sz w:val="20"/>
          <w:szCs w:val="20"/>
          <w:color w:val="auto"/>
        </w:rPr>
      </w:pPr>
    </w:p>
    <w:p>
      <w:pPr>
        <w:ind w:right="80" w:firstLine="1296"/>
        <w:spacing w:after="0" w:line="27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Securities of Other Corporations</w:t>
      </w:r>
      <w:r>
        <w:rPr>
          <w:rFonts w:ascii="Arial" w:cs="Arial" w:eastAsia="Arial" w:hAnsi="Arial"/>
          <w:sz w:val="17"/>
          <w:szCs w:val="17"/>
          <w:color w:val="auto"/>
        </w:rPr>
        <w:t>.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8"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 Board shall have the power to adopt, amend, alter or repeal the By Laws. The affirmative vote of a majority of the Board shall be required to adopt, amend, alter or repeal the By Laws. The By Laws also may be adopted, amended, altered or repealed by the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Arial" w:cs="Arial" w:eastAsia="Arial" w:hAnsi="Arial"/>
          <w:sz w:val="17"/>
          <w:szCs w:val="17"/>
          <w:u w:val="single" w:color="auto"/>
          <w:color w:val="auto"/>
        </w:rPr>
        <w:t>Section 8.7</w:t>
      </w:r>
      <w:r>
        <w:rPr>
          <w:rFonts w:ascii="Arial" w:cs="Arial" w:eastAsia="Arial" w:hAnsi="Arial"/>
          <w:sz w:val="17"/>
          <w:szCs w:val="17"/>
          <w:color w:val="auto"/>
        </w:rPr>
        <w:t>) of all outstanding shares of capital stock of the Corporation entitled to vote generally in the election of directors, voting together as a single class, shall be required for the stockholders to adopt, amend, alter or repeal the By 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OF UNITS</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8"/>
          <w:szCs w:val="18"/>
          <w:color w:val="auto"/>
        </w:rPr>
        <w:t>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5"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CUSIP [__________]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CONSISTING OF ONE SHARE OF CLASS A COMMON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ONE-FIFTH OF ONE REDEEMABLE WARRANT, EACH WHOLE WARRANT ENTITLING THE HOLDER TO PURCHASE ONE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CERTIFIES THAT is the owner of Units.</w:t>
      </w:r>
    </w:p>
    <w:p>
      <w:pPr>
        <w:spacing w:after="0" w:line="225"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u w:val="single" w:color="auto"/>
          <w:color w:val="auto"/>
        </w:rPr>
        <w:t>Unit</w:t>
      </w:r>
      <w:r>
        <w:rPr>
          <w:rFonts w:ascii="Arial" w:cs="Arial" w:eastAsia="Arial" w:hAnsi="Arial"/>
          <w:sz w:val="16"/>
          <w:szCs w:val="16"/>
          <w:color w:val="auto"/>
        </w:rPr>
        <w:t>”) consists of one (1) share of Class A common stock,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Churchill Capital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one-fifth (1/5) of one warrant (each whole warrant, a “</w:t>
      </w:r>
      <w:r>
        <w:rPr>
          <w:rFonts w:ascii="Arial" w:cs="Arial" w:eastAsia="Arial" w:hAnsi="Arial"/>
          <w:sz w:val="16"/>
          <w:szCs w:val="16"/>
          <w:u w:val="single" w:color="auto"/>
          <w:color w:val="auto"/>
        </w:rPr>
        <w:t>Warrant</w:t>
      </w:r>
      <w:r>
        <w:rPr>
          <w:rFonts w:ascii="Arial" w:cs="Arial" w:eastAsia="Arial" w:hAnsi="Arial"/>
          <w:sz w:val="16"/>
          <w:szCs w:val="16"/>
          <w:color w:val="auto"/>
        </w:rPr>
        <w:t>”). Each whole Warrant entitles the holder to purchase one (1) share (subject to adjustment) of Common Stock for $11.50 per share (subject to adjustment). Only whole Warrants are exercisable.</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whole Warrant will become exercisable on the later of (i) thirty (30) days after the Company’s completion of a merger, capital stock exchange, asset acquisition, stock purchase, reorganization or other similar business combination with one or more businesses (each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or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Common Stock and Warrants comprising the Units represented by this certificate are not transferable separately prior to , 2020, unless Citigroup Global Markets Inc. elects to allow earlier separate trading,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 will be issued upon separation of the Units. The terms of the Warrants are governed by a Warrant Agreement, dated as of , 2020,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One State Street, New York, New York 10004, and are available to any Warrant holder on written request and without cost.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signature of its duly authorized officers.</w:t>
      </w:r>
    </w:p>
    <w:p>
      <w:pPr>
        <w:spacing w:after="0" w:line="23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TEN COM —</w:t>
            </w:r>
          </w:p>
        </w:tc>
        <w:tc>
          <w:tcPr>
            <w:tcW w:w="340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2400" w:type="dxa"/>
            <w:vAlign w:val="bottom"/>
          </w:tcPr>
          <w:p>
            <w:pPr>
              <w:ind w:left="40"/>
              <w:spacing w:after="0"/>
              <w:rPr>
                <w:sz w:val="20"/>
                <w:szCs w:val="20"/>
                <w:color w:val="auto"/>
              </w:rPr>
            </w:pPr>
            <w:r>
              <w:rPr>
                <w:rFonts w:ascii="Arial" w:cs="Arial" w:eastAsia="Arial" w:hAnsi="Arial"/>
                <w:sz w:val="18"/>
                <w:szCs w:val="18"/>
                <w:color w:val="auto"/>
              </w:rPr>
              <w:t>UNIF GIFT MIN ACT —</w:t>
            </w:r>
          </w:p>
        </w:tc>
        <w:tc>
          <w:tcPr>
            <w:tcW w:w="1000" w:type="dxa"/>
            <w:vAlign w:val="bottom"/>
          </w:tcPr>
          <w:p>
            <w:pPr>
              <w:spacing w:after="0"/>
              <w:rPr>
                <w:sz w:val="20"/>
                <w:szCs w:val="20"/>
                <w:color w:val="auto"/>
              </w:rPr>
            </w:pPr>
          </w:p>
        </w:tc>
        <w:tc>
          <w:tcPr>
            <w:tcW w:w="3260" w:type="dxa"/>
            <w:vAlign w:val="bottom"/>
          </w:tcPr>
          <w:p>
            <w:pPr>
              <w:jc w:val="center"/>
              <w:ind w:right="450"/>
              <w:spacing w:after="0"/>
              <w:rPr>
                <w:sz w:val="20"/>
                <w:szCs w:val="20"/>
                <w:color w:val="auto"/>
              </w:rPr>
            </w:pPr>
            <w:r>
              <w:rPr>
                <w:rFonts w:ascii="Arial" w:cs="Arial" w:eastAsia="Arial" w:hAnsi="Arial"/>
                <w:sz w:val="18"/>
                <w:szCs w:val="18"/>
                <w:color w:val="auto"/>
                <w:w w:val="88"/>
              </w:rPr>
              <w:t>Custodian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TEN ENT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400" w:type="dxa"/>
            <w:vAlign w:val="bottom"/>
          </w:tcPr>
          <w:p>
            <w:pPr>
              <w:ind w:left="80"/>
              <w:spacing w:after="0"/>
              <w:rPr>
                <w:sz w:val="20"/>
                <w:szCs w:val="20"/>
                <w:color w:val="auto"/>
              </w:rPr>
            </w:pPr>
            <w:r>
              <w:rPr>
                <w:rFonts w:ascii="Arial" w:cs="Arial" w:eastAsia="Arial" w:hAnsi="Arial"/>
                <w:sz w:val="18"/>
                <w:szCs w:val="18"/>
                <w:color w:val="auto"/>
              </w:rPr>
              <w:t>as tenants by the entireties</w:t>
            </w:r>
          </w:p>
        </w:tc>
        <w:tc>
          <w:tcPr>
            <w:tcW w:w="240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(Cust)</w:t>
            </w:r>
          </w:p>
        </w:tc>
        <w:tc>
          <w:tcPr>
            <w:tcW w:w="3260" w:type="dxa"/>
            <w:vAlign w:val="bottom"/>
          </w:tcPr>
          <w:p>
            <w:pPr>
              <w:ind w:left="2700"/>
              <w:spacing w:after="0"/>
              <w:rPr>
                <w:sz w:val="20"/>
                <w:szCs w:val="20"/>
                <w:color w:val="auto"/>
              </w:rPr>
            </w:pPr>
            <w:r>
              <w:rPr>
                <w:rFonts w:ascii="Arial" w:cs="Arial" w:eastAsia="Arial" w:hAnsi="Arial"/>
                <w:sz w:val="18"/>
                <w:szCs w:val="18"/>
                <w:color w:val="auto"/>
                <w:w w:val="94"/>
              </w:rPr>
              <w:t>(Minor)</w:t>
            </w:r>
          </w:p>
        </w:tc>
      </w:tr>
      <w:tr>
        <w:trPr>
          <w:trHeight w:val="634"/>
        </w:trPr>
        <w:tc>
          <w:tcPr>
            <w:tcW w:w="840" w:type="dxa"/>
            <w:vAlign w:val="bottom"/>
          </w:tcPr>
          <w:p>
            <w:pPr>
              <w:spacing w:after="0"/>
              <w:rPr>
                <w:sz w:val="20"/>
                <w:szCs w:val="20"/>
                <w:color w:val="auto"/>
              </w:rPr>
            </w:pPr>
            <w:r>
              <w:rPr>
                <w:rFonts w:ascii="Arial" w:cs="Arial" w:eastAsia="Arial" w:hAnsi="Arial"/>
                <w:sz w:val="18"/>
                <w:szCs w:val="18"/>
                <w:color w:val="auto"/>
              </w:rPr>
              <w:t>JT TEN</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400" w:type="dxa"/>
            <w:vAlign w:val="bottom"/>
          </w:tcPr>
          <w:p>
            <w:pPr>
              <w:ind w:left="80"/>
              <w:spacing w:after="0"/>
              <w:rPr>
                <w:sz w:val="20"/>
                <w:szCs w:val="20"/>
                <w:color w:val="auto"/>
              </w:rPr>
            </w:pPr>
            <w:r>
              <w:rPr>
                <w:rFonts w:ascii="Arial" w:cs="Arial" w:eastAsia="Arial" w:hAnsi="Arial"/>
                <w:sz w:val="18"/>
                <w:szCs w:val="18"/>
                <w:color w:val="auto"/>
                <w:w w:val="93"/>
              </w:rPr>
              <w:t>as joint tenants with right of survivorship and</w:t>
            </w:r>
          </w:p>
        </w:tc>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5"/>
              </w:rPr>
              <w:t>under Uniform Gifts to Minors Act</w:t>
            </w:r>
          </w:p>
        </w:tc>
      </w:tr>
      <w:tr>
        <w:trPr>
          <w:trHeight w:val="230"/>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not as tenants in common</w:t>
            </w:r>
          </w:p>
        </w:tc>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jc w:val="center"/>
              <w:ind w:right="450"/>
              <w:spacing w:after="0"/>
              <w:rPr>
                <w:sz w:val="20"/>
                <w:szCs w:val="20"/>
                <w:color w:val="auto"/>
              </w:rPr>
            </w:pPr>
            <w:r>
              <w:rPr>
                <w:rFonts w:ascii="Arial" w:cs="Arial" w:eastAsia="Arial" w:hAnsi="Arial"/>
                <w:sz w:val="18"/>
                <w:szCs w:val="18"/>
                <w:color w:val="auto"/>
                <w:w w:val="88"/>
              </w:rPr>
              <w:t>(State)</w:t>
            </w:r>
          </w:p>
        </w:tc>
      </w:tr>
    </w:tbl>
    <w:p>
      <w:pPr>
        <w:spacing w:after="0" w:line="200" w:lineRule="exact"/>
        <w:rPr>
          <w:sz w:val="20"/>
          <w:szCs w:val="20"/>
          <w:color w:val="auto"/>
        </w:rPr>
      </w:pPr>
    </w:p>
    <w:p>
      <w:pPr>
        <w:spacing w:after="0" w:line="21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Units represented by the within Certificate, and do hereby irrevocably constitute and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written upon the face of the certificate in every particular, without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alteration or enlargement or any change whatever.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spacing w:after="0" w:line="269" w:lineRule="auto"/>
        <w:rPr>
          <w:sz w:val="20"/>
          <w:szCs w:val="20"/>
          <w:color w:val="auto"/>
        </w:rPr>
      </w:pPr>
      <w:r>
        <w:rPr>
          <w:rFonts w:ascii="Arial" w:cs="Arial" w:eastAsia="Arial" w:hAnsi="Arial"/>
          <w:sz w:val="17"/>
          <w:szCs w:val="17"/>
          <w:color w:val="auto"/>
        </w:rPr>
        <w:t>In each case, as more fully described in the Company’s final prospectus dated , 2020, the holder(s) of the Company’s Class A common stock shall be entitled to receive a pro-rata portion of certain funds held in the trust account established in connection with the Company’s initial public offering only in the event that (i) the Company redeems the shares of Class A common stock sold in its initial public offering and liquidates because it does not consummate an initial business combination by, 2022 (or such later date if such period is extended pursuant to the Company’s Certificate of Incorporation as in effect at such time), (ii) the Company redeems the shares of Class A common stock sold in its initial public offering in connection with a stockholder vote to amend the Company’s amended and restated certificate of incorporation to modify the substance or timing of the Company’s obligation to redeem 100% of the Class A common stock if it does not consummate an initial business combination by , 2022 (or such later date, if such period is extended pursuant to the Company’s Certificate of Incorporation as in effect at such time) or with respect to any other material provisions relating to stockholders’ rights of pre-initial business combination activity, or (iii) if the holder(s) seek(s) to redeem for cash his, her or its respective shares of Class A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266" w:name="page267"/>
    <w:bookmarkEnd w:id="266"/>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CLASS A COMMON STOCK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Corporation in person or by duly authorized attorney upon surrender of this certificate properly endorsed.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Corporation will be forced to offer to redeem of all its shares of Class A common stock in connection with an initial business combination or</w:t>
      </w:r>
    </w:p>
    <w:p>
      <w:pPr>
        <w:spacing w:after="0" w:line="46" w:lineRule="exact"/>
        <w:rPr>
          <w:sz w:val="20"/>
          <w:szCs w:val="20"/>
          <w:color w:val="auto"/>
        </w:rPr>
      </w:pPr>
    </w:p>
    <w:p>
      <w:pPr>
        <w:jc w:val="both"/>
        <w:ind w:right="280"/>
        <w:spacing w:after="0" w:line="290" w:lineRule="auto"/>
        <w:rPr>
          <w:sz w:val="20"/>
          <w:szCs w:val="20"/>
          <w:color w:val="auto"/>
        </w:rPr>
      </w:pPr>
      <w:r>
        <w:rPr>
          <w:rFonts w:ascii="Arial" w:cs="Arial" w:eastAsia="Arial" w:hAnsi="Arial"/>
          <w:sz w:val="17"/>
          <w:szCs w:val="17"/>
          <w:color w:val="auto"/>
        </w:rPr>
        <w:t>to redeem all of its shares of Class A common stock if it is unable to complete a business combination by , 2022 (unless extended pursuant to the Corporation’s Certificate of Incorporation as in effect at such time), all as more fully described in the Corporation’s final prospectus dated , 2020.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seal of the Corporation and the facsimile signatures of its duly authorized officers.</w:t>
      </w:r>
    </w:p>
    <w:p>
      <w:pPr>
        <w:spacing w:after="0" w:line="200" w:lineRule="exact"/>
        <w:rPr>
          <w:sz w:val="20"/>
          <w:szCs w:val="20"/>
          <w:color w:val="auto"/>
        </w:rPr>
      </w:pPr>
    </w:p>
    <w:p>
      <w:pPr>
        <w:spacing w:after="0" w:line="255" w:lineRule="exact"/>
        <w:rPr>
          <w:sz w:val="20"/>
          <w:szCs w:val="20"/>
          <w:color w:val="auto"/>
        </w:rPr>
      </w:pPr>
    </w:p>
    <w:p>
      <w:pPr>
        <w:spacing w:after="0"/>
        <w:tabs>
          <w:tab w:leader="none" w:pos="4240" w:val="left"/>
          <w:tab w:leader="none" w:pos="718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u w:val="single" w:color="auto"/>
          <w:color w:val="auto"/>
        </w:rPr>
        <w:t>[Corporate Seal] Delaware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6403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 This certificate and the shares represented thereby are issued and shall be held subject to all the provisions of the Certificate of Incorporation and all amendments thereto and resolutions of the Board of Directors providing for the issue of securities (copies of which may be obtained from the secretary of the Corporation),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TEN COM</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3400" w:type="dxa"/>
            <w:vAlign w:val="bottom"/>
          </w:tcPr>
          <w:p>
            <w:pPr>
              <w:ind w:left="240"/>
              <w:spacing w:after="0"/>
              <w:rPr>
                <w:sz w:val="20"/>
                <w:szCs w:val="20"/>
                <w:color w:val="auto"/>
              </w:rPr>
            </w:pPr>
            <w:r>
              <w:rPr>
                <w:rFonts w:ascii="Arial" w:cs="Arial" w:eastAsia="Arial" w:hAnsi="Arial"/>
                <w:sz w:val="18"/>
                <w:szCs w:val="18"/>
                <w:color w:val="auto"/>
              </w:rPr>
              <w:t>as tenants in common</w:t>
            </w:r>
          </w:p>
        </w:tc>
        <w:tc>
          <w:tcPr>
            <w:tcW w:w="2380" w:type="dxa"/>
            <w:vAlign w:val="bottom"/>
          </w:tcPr>
          <w:p>
            <w:pPr>
              <w:ind w:left="200"/>
              <w:spacing w:after="0"/>
              <w:rPr>
                <w:sz w:val="20"/>
                <w:szCs w:val="20"/>
                <w:color w:val="auto"/>
              </w:rPr>
            </w:pPr>
            <w:r>
              <w:rPr>
                <w:rFonts w:ascii="Arial" w:cs="Arial" w:eastAsia="Arial" w:hAnsi="Arial"/>
                <w:sz w:val="18"/>
                <w:szCs w:val="18"/>
                <w:color w:val="auto"/>
              </w:rPr>
              <w:t>UNIF GIFT MIN ACT —</w:t>
            </w:r>
          </w:p>
        </w:tc>
        <w:tc>
          <w:tcPr>
            <w:tcW w:w="1320" w:type="dxa"/>
            <w:vAlign w:val="bottom"/>
          </w:tcPr>
          <w:p>
            <w:pPr>
              <w:spacing w:after="0"/>
              <w:rPr>
                <w:sz w:val="20"/>
                <w:szCs w:val="20"/>
                <w:color w:val="auto"/>
              </w:rPr>
            </w:pPr>
          </w:p>
        </w:tc>
        <w:tc>
          <w:tcPr>
            <w:tcW w:w="2440" w:type="dxa"/>
            <w:vAlign w:val="bottom"/>
            <w:gridSpan w:val="3"/>
          </w:tcPr>
          <w:p>
            <w:pPr>
              <w:jc w:val="center"/>
              <w:ind w:right="1230"/>
              <w:spacing w:after="0"/>
              <w:rPr>
                <w:sz w:val="20"/>
                <w:szCs w:val="20"/>
                <w:color w:val="auto"/>
              </w:rPr>
            </w:pPr>
            <w:r>
              <w:rPr>
                <w:rFonts w:ascii="Arial" w:cs="Arial" w:eastAsia="Arial" w:hAnsi="Arial"/>
                <w:sz w:val="18"/>
                <w:szCs w:val="18"/>
                <w:color w:val="auto"/>
                <w:w w:val="88"/>
              </w:rPr>
              <w:t>Custodian</w:t>
            </w: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6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0" w:type="dxa"/>
            <w:vAlign w:val="bottom"/>
            <w:vMerge w:val="restart"/>
          </w:tcPr>
          <w:p>
            <w:pPr>
              <w:ind w:left="240"/>
              <w:spacing w:after="0"/>
              <w:rPr>
                <w:sz w:val="20"/>
                <w:szCs w:val="20"/>
                <w:color w:val="auto"/>
              </w:rPr>
            </w:pPr>
            <w:r>
              <w:rPr>
                <w:rFonts w:ascii="Arial" w:cs="Arial" w:eastAsia="Arial" w:hAnsi="Arial"/>
                <w:sz w:val="18"/>
                <w:szCs w:val="18"/>
                <w:color w:val="auto"/>
              </w:rPr>
              <w:t>as tenants by the entireties</w:t>
            </w:r>
          </w:p>
        </w:tc>
        <w:tc>
          <w:tcPr>
            <w:tcW w:w="23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340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(Cust)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03"/>
        </w:trPr>
        <w:tc>
          <w:tcPr>
            <w:tcW w:w="1020" w:type="dxa"/>
            <w:vAlign w:val="bottom"/>
          </w:tcPr>
          <w:p>
            <w:pPr>
              <w:spacing w:after="0"/>
              <w:rPr>
                <w:sz w:val="20"/>
                <w:szCs w:val="20"/>
                <w:color w:val="auto"/>
              </w:rPr>
            </w:pPr>
            <w:r>
              <w:rPr>
                <w:rFonts w:ascii="Arial" w:cs="Arial" w:eastAsia="Arial" w:hAnsi="Arial"/>
                <w:sz w:val="18"/>
                <w:szCs w:val="18"/>
                <w:color w:val="auto"/>
              </w:rPr>
              <w:t>JT TEN</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3400" w:type="dxa"/>
            <w:vAlign w:val="bottom"/>
          </w:tcPr>
          <w:p>
            <w:pPr>
              <w:ind w:left="240"/>
              <w:spacing w:after="0"/>
              <w:rPr>
                <w:sz w:val="20"/>
                <w:szCs w:val="20"/>
                <w:color w:val="auto"/>
              </w:rPr>
            </w:pPr>
            <w:r>
              <w:rPr>
                <w:rFonts w:ascii="Arial" w:cs="Arial" w:eastAsia="Arial" w:hAnsi="Arial"/>
                <w:sz w:val="18"/>
                <w:szCs w:val="18"/>
                <w:color w:val="auto"/>
                <w:w w:val="98"/>
              </w:rPr>
              <w:t>as joint tenants with right of survivorship</w:t>
            </w:r>
          </w:p>
        </w:tc>
        <w:tc>
          <w:tcPr>
            <w:tcW w:w="2380" w:type="dxa"/>
            <w:vAlign w:val="bottom"/>
          </w:tcPr>
          <w:p>
            <w:pPr>
              <w:spacing w:after="0"/>
              <w:rPr>
                <w:sz w:val="24"/>
                <w:szCs w:val="24"/>
                <w:color w:val="auto"/>
              </w:rPr>
            </w:pPr>
          </w:p>
        </w:tc>
        <w:tc>
          <w:tcPr>
            <w:tcW w:w="3760" w:type="dxa"/>
            <w:vAlign w:val="bottom"/>
            <w:gridSpan w:val="4"/>
          </w:tcPr>
          <w:p>
            <w:pPr>
              <w:jc w:val="center"/>
              <w:spacing w:after="0"/>
              <w:rPr>
                <w:sz w:val="20"/>
                <w:szCs w:val="20"/>
                <w:color w:val="auto"/>
              </w:rPr>
            </w:pPr>
            <w:r>
              <w:rPr>
                <w:rFonts w:ascii="Arial" w:cs="Arial" w:eastAsia="Arial" w:hAnsi="Arial"/>
                <w:sz w:val="18"/>
                <w:szCs w:val="18"/>
                <w:color w:val="auto"/>
                <w:w w:val="95"/>
              </w:rPr>
              <w:t>under Uniform Gifts to Minors Act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and not as tenants in common</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40" w:type="dxa"/>
            <w:vAlign w:val="bottom"/>
            <w:gridSpan w:val="3"/>
          </w:tcPr>
          <w:p>
            <w:pPr>
              <w:jc w:val="center"/>
              <w:ind w:right="1230"/>
              <w:spacing w:after="0"/>
              <w:rPr>
                <w:sz w:val="20"/>
                <w:szCs w:val="20"/>
                <w:color w:val="auto"/>
              </w:rPr>
            </w:pPr>
            <w:r>
              <w:rPr>
                <w:rFonts w:ascii="Arial" w:cs="Arial" w:eastAsia="Arial" w:hAnsi="Arial"/>
                <w:sz w:val="18"/>
                <w:szCs w:val="18"/>
                <w:color w:val="auto"/>
                <w:w w:val="88"/>
              </w:rPr>
              <w:t>(State)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the capital stock represented by the within Certificate, and hereby irrevocably constitutes and appoints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 to transfer the said stock on the books of the within named Corporation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21" w:lineRule="exact"/>
        <w:rPr>
          <w:sz w:val="20"/>
          <w:szCs w:val="20"/>
          <w:color w:val="auto"/>
        </w:rPr>
      </w:pPr>
    </w:p>
    <w:p>
      <w:pPr>
        <w:ind w:left="4540" w:right="60"/>
        <w:spacing w:after="0" w:line="257"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face of the certificate in every particular, without alteration or enlargement or any change whatever.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8" w:name="page269"/>
    <w:bookmarkEnd w:id="268"/>
    <w:p>
      <w:pPr>
        <w:ind w:firstLine="648"/>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4"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In each case, as more fully described in the Corporation’s final prospectus dated , 2020, the holder(s) of this certificate shall be entitled to receive a pro-rata portion of certain funds held in the trust account established in connection with its initial public offering only in the event that (i) the Corporation redeems the shares of Class A common stock sold in the Company’s initial public offering and liquidates because it does not consummate an</w:t>
      </w:r>
    </w:p>
    <w:p>
      <w:pPr>
        <w:spacing w:after="0" w:line="2"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initial business combination by , 2022 (or such later date if such period is extended pursuant to the Company’s Certificate of Incorporation as in effect at such time), (ii) the Corporation redeems the shares of Class A common stock sold in its initial public offering in connection with a stockholder vote to amend the Corporation’s amended and restated certificate of incorporation to modify the substance or timing of the Corporation’s obligation to</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redeem 100% of the Class A common stock if it does not consummate an initial business combination by , 2022 (or such later date if such period is extended pursuant to the Company’s Certificate of Incorporation as in effect at such time) or with respect to any other material provisions relating to stockholders’ rights of pre-initial business combination activity, or (iii) if the holder(s) seek(s) to redeem for cash his, her or its respective shares of Class A common stock in connection with a tender offer (or proxy solicitation, solely in the event the Corporation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AGREEMENT</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Dated as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5680" w:space="260"/>
            <w:col w:w="5300"/>
          </w:cols>
          <w:pgMar w:left="320" w:top="337" w:right="339" w:bottom="1440" w:gutter="0" w:footer="0" w:header="0"/>
          <w:type w:val="continuous"/>
        </w:sectPr>
      </w:pPr>
    </w:p>
    <w:p>
      <w:pPr>
        <w:spacing w:after="0" w:line="44" w:lineRule="exact"/>
        <w:rPr>
          <w:sz w:val="20"/>
          <w:szCs w:val="20"/>
          <w:color w:val="auto"/>
        </w:rPr>
      </w:pPr>
    </w:p>
    <w:p>
      <w:pPr>
        <w:ind w:left="660"/>
        <w:spacing w:after="0"/>
        <w:tabs>
          <w:tab w:leader="none" w:pos="5780" w:val="left"/>
        </w:tabs>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2020 is by and between Churchill Capital Corp IV, a Delaware</w:t>
      </w:r>
    </w:p>
    <w:p>
      <w:pPr>
        <w:sectPr>
          <w:pgSz w:w="11900" w:h="16838" w:orient="portrait"/>
          <w:cols w:equalWidth="0" w:num="1">
            <w:col w:w="11240"/>
          </w:cols>
          <w:pgMar w:left="320" w:top="337"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Continental Stock Transfer &amp; Trust Company, a New York corporation, as warrant agent (the “</w:t>
      </w:r>
      <w:r>
        <w:rPr>
          <w:rFonts w:ascii="Arial" w:cs="Arial" w:eastAsia="Arial" w:hAnsi="Arial"/>
          <w:sz w:val="17"/>
          <w:szCs w:val="17"/>
          <w:b w:val="1"/>
          <w:bCs w:val="1"/>
          <w:color w:val="auto"/>
        </w:rPr>
        <w:t>Warrant Agent</w:t>
      </w:r>
      <w:r>
        <w:rPr>
          <w:rFonts w:ascii="Arial" w:cs="Arial" w:eastAsia="Arial" w:hAnsi="Arial"/>
          <w:sz w:val="17"/>
          <w:szCs w:val="17"/>
          <w:color w:val="auto"/>
        </w:rPr>
        <w:t>”).</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WHEREAS, on , 2020 the Company entered into that certain Private Placement Warrants Purchase Agreement, with Churchill Sponsor IV LLC, a 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pursuant to which Sponsor will purchase an aggregate of up to 24,250,000 warrants (including up to 3,000,000 warrants subject to the Over-allotment Option (as defined below)) simultaneously with the closing of the Offering (and the closing of the Over-allotment Option) (as defined below), if applicable), bearing the legend set forth in Exhibit B hereto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at a purchase price of $1.00 per Private Placement Warrant; and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Business Combination, the Sponsor or affiliates of the Sponsor or certain of the Company’s officers and directors may, but are not obligated to, loan the Company funds as the Company may require, of which up to $1,500,000 may be convertible into up to an additional 1,500,000 Private Placement Warrants of the post Business Combination entity at a price of $1.00 per warrant;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is engaged in an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units of the Company’s equity securities, each such unit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comprised of one share of Common Stock (as defined below) and one-fifth of one redeemable Public Warrant (as defined below) (the “</w:t>
      </w:r>
      <w:r>
        <w:rPr>
          <w:rFonts w:ascii="Arial" w:cs="Arial" w:eastAsia="Arial" w:hAnsi="Arial"/>
          <w:sz w:val="17"/>
          <w:szCs w:val="17"/>
          <w:b w:val="1"/>
          <w:bCs w:val="1"/>
          <w:color w:val="auto"/>
        </w:rPr>
        <w:t>Units</w:t>
      </w:r>
      <w:r>
        <w:rPr>
          <w:rFonts w:ascii="Arial" w:cs="Arial" w:eastAsia="Arial" w:hAnsi="Arial"/>
          <w:sz w:val="17"/>
          <w:szCs w:val="17"/>
          <w:color w:val="auto"/>
        </w:rPr>
        <w:t>”) and,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therewith, has determined to issue and deliver up to 28,750,000 warrants (including up to 3,750,000 warrants subject to the Over-allotment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(as defined below)) to public investors in the Offering (the “</w:t>
      </w:r>
      <w:r>
        <w:rPr>
          <w:rFonts w:ascii="Arial" w:cs="Arial" w:eastAsia="Arial" w:hAnsi="Arial"/>
          <w:sz w:val="18"/>
          <w:szCs w:val="18"/>
          <w:b w:val="1"/>
          <w:bCs w:val="1"/>
          <w:color w:val="auto"/>
        </w:rPr>
        <w:t>Public Warrants</w:t>
      </w:r>
      <w:r>
        <w:rPr>
          <w:rFonts w:ascii="Arial" w:cs="Arial" w:eastAsia="Arial" w:hAnsi="Arial"/>
          <w:sz w:val="18"/>
          <w:szCs w:val="18"/>
          <w:color w:val="auto"/>
        </w:rPr>
        <w:t>” and, together with the Private Placement Warrants,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entitles the holder thereof to purchase one share of Class A common stock of the Company, par value $0.0001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for $11.50 per whole share, subject to adjustment as described herein. Only whole warrants are exercisable. A holder of the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not be able to exercise any fraction of a Warrant;</w:t>
      </w:r>
    </w:p>
    <w:p>
      <w:pPr>
        <w:spacing w:after="0" w:line="207"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WHEREAS, the Company has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S-1, File No. 333-[·] and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Units, the Public Warrants and the shares of Common Stock included in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0" w:name="page271"/>
    <w:bookmarkEnd w:id="270"/>
    <w:p>
      <w:pPr>
        <w:ind w:right="260"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140" w:firstLine="656"/>
        <w:spacing w:after="0" w:line="263" w:lineRule="auto"/>
        <w:tabs>
          <w:tab w:leader="none" w:pos="159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express terms and conditions set forth in this Agreement.</w:t>
      </w:r>
    </w:p>
    <w:p>
      <w:pPr>
        <w:spacing w:after="0" w:line="183" w:lineRule="exact"/>
        <w:rPr>
          <w:rFonts w:ascii="Arial" w:cs="Arial" w:eastAsia="Arial" w:hAnsi="Arial"/>
          <w:sz w:val="18"/>
          <w:szCs w:val="18"/>
          <w:color w:val="auto"/>
        </w:rPr>
      </w:pPr>
    </w:p>
    <w:p>
      <w:pPr>
        <w:ind w:left="1600" w:hanging="944"/>
        <w:spacing w:after="0"/>
        <w:tabs>
          <w:tab w:leader="none" w:pos="16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8440" w:type="dxa"/>
            <w:vAlign w:val="bottom"/>
            <w:gridSpan w:val="3"/>
          </w:tcPr>
          <w:p>
            <w:pPr>
              <w:spacing w:after="0"/>
              <w:rPr>
                <w:sz w:val="20"/>
                <w:szCs w:val="20"/>
                <w:color w:val="auto"/>
              </w:rPr>
            </w:pPr>
            <w:r>
              <w:rPr>
                <w:rFonts w:ascii="Arial" w:cs="Arial" w:eastAsia="Arial" w:hAnsi="Arial"/>
                <w:sz w:val="18"/>
                <w:szCs w:val="18"/>
                <w:color w:val="auto"/>
                <w:w w:val="91"/>
              </w:rPr>
              <w:t>Form of Warrant. Each Warrant shall initially be issued in registered form only. Warrants may be represented by one</w:t>
            </w:r>
          </w:p>
        </w:tc>
      </w:tr>
      <w:tr>
        <w:trPr>
          <w:trHeight w:val="20"/>
        </w:trPr>
        <w:tc>
          <w:tcPr>
            <w:tcW w:w="2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37"/>
        </w:trPr>
        <w:tc>
          <w:tcPr>
            <w:tcW w:w="10580" w:type="dxa"/>
            <w:vAlign w:val="bottom"/>
            <w:gridSpan w:val="4"/>
          </w:tcPr>
          <w:p>
            <w:pPr>
              <w:spacing w:after="0"/>
              <w:rPr>
                <w:sz w:val="20"/>
                <w:szCs w:val="20"/>
                <w:color w:val="auto"/>
              </w:rPr>
            </w:pPr>
            <w:r>
              <w:rPr>
                <w:rFonts w:ascii="Arial" w:cs="Arial" w:eastAsia="Arial" w:hAnsi="Arial"/>
                <w:sz w:val="18"/>
                <w:szCs w:val="18"/>
                <w:color w:val="auto"/>
              </w:rPr>
              <w:t>or more physical definitive certificates or by book entry.</w:t>
            </w:r>
          </w:p>
        </w:tc>
      </w:tr>
      <w:tr>
        <w:trPr>
          <w:trHeight w:val="392"/>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8440" w:type="dxa"/>
            <w:vAlign w:val="bottom"/>
            <w:gridSpan w:val="3"/>
          </w:tcPr>
          <w:p>
            <w:pPr>
              <w:spacing w:after="0"/>
              <w:rPr>
                <w:sz w:val="20"/>
                <w:szCs w:val="20"/>
                <w:color w:val="auto"/>
              </w:rPr>
            </w:pPr>
            <w:r>
              <w:rPr>
                <w:rFonts w:ascii="Arial" w:cs="Arial" w:eastAsia="Arial" w:hAnsi="Arial"/>
                <w:sz w:val="18"/>
                <w:szCs w:val="18"/>
                <w:color w:val="auto"/>
                <w:w w:val="91"/>
              </w:rPr>
              <w:t>Effect of Countersignature. If a physical definitive certificate is issued, unless and until countersigned by the Warrant</w:t>
            </w:r>
          </w:p>
        </w:tc>
      </w:tr>
      <w:tr>
        <w:trPr>
          <w:trHeight w:val="20"/>
        </w:trPr>
        <w:tc>
          <w:tcPr>
            <w:tcW w:w="2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Agent, either by manual or facsimile signature, pursuant to this Agreement, a Warrant certificate shall be invalid and of no effect and may not be exercised by the holder thereof.</w:t>
      </w:r>
    </w:p>
    <w:p>
      <w:pPr>
        <w:spacing w:after="0" w:line="153"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2.3</w:t>
            </w:r>
          </w:p>
        </w:tc>
        <w:tc>
          <w:tcPr>
            <w:tcW w:w="132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12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w w:val="91"/>
              </w:rPr>
              <w:t>Warrant Register. The Warrant Agent shall maintain books (the “</w:t>
            </w:r>
            <w:r>
              <w:rPr>
                <w:rFonts w:ascii="Arial" w:cs="Arial" w:eastAsia="Arial" w:hAnsi="Arial"/>
                <w:sz w:val="18"/>
                <w:szCs w:val="18"/>
                <w:b w:val="1"/>
                <w:bCs w:val="1"/>
                <w:color w:val="auto"/>
                <w:w w:val="91"/>
              </w:rPr>
              <w:t>Warrant Register</w:t>
            </w:r>
            <w:r>
              <w:rPr>
                <w:rFonts w:ascii="Arial" w:cs="Arial" w:eastAsia="Arial" w:hAnsi="Arial"/>
                <w:sz w:val="18"/>
                <w:szCs w:val="18"/>
                <w:color w:val="auto"/>
                <w:w w:val="91"/>
              </w:rPr>
              <w:t>”), for the</w:t>
            </w: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060"/>
        <w:spacing w:after="0" w:line="286" w:lineRule="auto"/>
        <w:rPr>
          <w:sz w:val="20"/>
          <w:szCs w:val="20"/>
          <w:color w:val="auto"/>
        </w:rPr>
      </w:pPr>
      <w:r>
        <w:rPr>
          <w:rFonts w:ascii="Arial" w:cs="Arial" w:eastAsia="Arial" w:hAnsi="Arial"/>
          <w:sz w:val="16"/>
          <w:szCs w:val="16"/>
          <w:color w:val="auto"/>
        </w:rPr>
        <w:t>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 entry certificates deposited with the Depository and registered in the name of a nominee of the Depositary (as defined below).</w:t>
      </w:r>
    </w:p>
    <w:p>
      <w:pPr>
        <w:spacing w:after="0" w:line="1" w:lineRule="exact"/>
        <w:rPr>
          <w:sz w:val="20"/>
          <w:szCs w:val="20"/>
          <w:color w:val="auto"/>
        </w:rPr>
      </w:pPr>
    </w:p>
    <w:p>
      <w:pPr>
        <w:ind w:left="1060" w:right="360"/>
        <w:spacing w:after="0" w:line="302" w:lineRule="auto"/>
        <w:rPr>
          <w:sz w:val="20"/>
          <w:szCs w:val="20"/>
          <w:color w:val="auto"/>
        </w:rPr>
      </w:pPr>
      <w:r>
        <w:rPr>
          <w:rFonts w:ascii="Arial" w:cs="Arial" w:eastAsia="Arial" w:hAnsi="Arial"/>
          <w:sz w:val="16"/>
          <w:szCs w:val="16"/>
          <w:color w:val="auto"/>
        </w:rPr>
        <w:t>Ownership of beneficial interests in the Public Warrants shall be shown on, and the transfer of such ownership shall be effected through, records maintained by (i) the Depositary or its nominee for each book-entry certificate or (ii) institutions that have accounts with The Depository Trust Company (the “</w:t>
      </w:r>
      <w:r>
        <w:rPr>
          <w:rFonts w:ascii="Arial" w:cs="Arial" w:eastAsia="Arial" w:hAnsi="Arial"/>
          <w:sz w:val="16"/>
          <w:szCs w:val="16"/>
          <w:b w:val="1"/>
          <w:bCs w:val="1"/>
          <w:color w:val="auto"/>
        </w:rPr>
        <w:t>Depositary</w:t>
      </w:r>
      <w:r>
        <w:rPr>
          <w:rFonts w:ascii="Arial" w:cs="Arial" w:eastAsia="Arial" w:hAnsi="Arial"/>
          <w:sz w:val="16"/>
          <w:szCs w:val="16"/>
          <w:color w:val="auto"/>
        </w:rPr>
        <w:t>”) (such institution, with respect to a Warrant in its account, a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right="40" w:firstLine="648"/>
        <w:spacing w:after="0" w:line="275" w:lineRule="auto"/>
        <w:rPr>
          <w:sz w:val="20"/>
          <w:szCs w:val="20"/>
          <w:color w:val="auto"/>
        </w:rPr>
      </w:pPr>
      <w:r>
        <w:rPr>
          <w:rFonts w:ascii="Arial" w:cs="Arial" w:eastAsia="Arial" w:hAnsi="Arial"/>
          <w:sz w:val="17"/>
          <w:szCs w:val="17"/>
          <w:color w:val="auto"/>
        </w:rPr>
        <w:t xml:space="preserve">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which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physical definitive certificates, if issued, shall be signed by, or bear the facsimile signature of, the Chairman of the Board, Chief Executive Officer, Chief Financial Officer, the President or the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71" w:lineRule="exact"/>
        <w:rPr>
          <w:sz w:val="20"/>
          <w:szCs w:val="20"/>
          <w:color w:val="auto"/>
        </w:rPr>
      </w:pPr>
    </w:p>
    <w:p>
      <w:pPr>
        <w:ind w:left="1060" w:firstLine="1944"/>
        <w:spacing w:after="0" w:line="25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definitive certificate made by anyone other than the Company or the Warrant Agent), for the purpose of any exercise thereof, and for all other purposes, and neither the Company nor the Warrant Agent shall be affected by any notice to the contrary.</w:t>
      </w:r>
    </w:p>
    <w:p>
      <w:pPr>
        <w:spacing w:after="0" w:line="192" w:lineRule="exact"/>
        <w:rPr>
          <w:sz w:val="20"/>
          <w:szCs w:val="20"/>
          <w:color w:val="auto"/>
        </w:rPr>
      </w:pPr>
    </w:p>
    <w:p>
      <w:pPr>
        <w:ind w:left="660" w:right="80" w:firstLine="1296"/>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6"/>
          <w:szCs w:val="16"/>
          <w:b w:val="1"/>
          <w:bCs w:val="1"/>
          <w:color w:val="auto"/>
        </w:rPr>
        <w:t>Business Day</w:t>
      </w:r>
      <w:r>
        <w:rPr>
          <w:rFonts w:ascii="Arial" w:cs="Arial" w:eastAsia="Arial" w:hAnsi="Arial"/>
          <w:sz w:val="16"/>
          <w:szCs w:val="16"/>
          <w:color w:val="auto"/>
        </w:rPr>
        <w:t>”), then on the immediately succeeding Business Day following such date, or earlier (the “</w:t>
      </w:r>
      <w:r>
        <w:rPr>
          <w:rFonts w:ascii="Arial" w:cs="Arial" w:eastAsia="Arial" w:hAnsi="Arial"/>
          <w:sz w:val="16"/>
          <w:szCs w:val="16"/>
          <w:b w:val="1"/>
          <w:bCs w:val="1"/>
          <w:color w:val="auto"/>
        </w:rPr>
        <w:t>Detachment Date</w:t>
      </w:r>
      <w:r>
        <w:rPr>
          <w:rFonts w:ascii="Arial" w:cs="Arial" w:eastAsia="Arial" w:hAnsi="Arial"/>
          <w:sz w:val="16"/>
          <w:szCs w:val="16"/>
          <w:color w:val="auto"/>
        </w:rPr>
        <w:t>”) with the consent of Citibank Global Markets Inc.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if the Over-allotment Option is exercised prior to the filing of the Form 8-K, and a second or amended current report on Form 8-K to provide updated financial information to reflect the exercise of the Underwriters’ Over-allotment option, if the Over-allotment option is exercised following the initial filing of such current report on Form 8-K and (B) the Company issues a press release and files with the Commission a Current Report on Form 8-K announcing when such separate trading shall begin.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2" w:name="page273"/>
    <w:bookmarkEnd w:id="272"/>
    <w:p>
      <w:pPr>
        <w:ind w:left="660" w:right="8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one-fifth of one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firstLine="1296"/>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xml:space="preserve">. The Private Placement Warrants shall be identical to the Public Warrants, except that so long as they are held by the Sponsor or any of its Permitted Transferees (as defined below) the Private Placement Warrants: (i) may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hereof, (ii) may not be transferred, assigned or sold until thirty (30) days after the completion by the Company of an initial Business Combination (as defined below), and (iii) shall not be redeemable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ind w:right="160" w:firstLine="2600"/>
        <w:spacing w:after="0" w:line="277" w:lineRule="auto"/>
        <w:tabs>
          <w:tab w:leader="none" w:pos="346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any affiliates of the Sponsor;</w:t>
      </w:r>
    </w:p>
    <w:p>
      <w:pPr>
        <w:spacing w:after="0" w:line="170" w:lineRule="exact"/>
        <w:rPr>
          <w:rFonts w:ascii="Arial" w:cs="Arial" w:eastAsia="Arial" w:hAnsi="Arial"/>
          <w:sz w:val="18"/>
          <w:szCs w:val="18"/>
          <w:color w:val="auto"/>
        </w:rPr>
      </w:pPr>
    </w:p>
    <w:p>
      <w:pPr>
        <w:ind w:left="3480" w:hanging="880"/>
        <w:spacing w:after="0"/>
        <w:tabs>
          <w:tab w:leader="none" w:pos="34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case of an individual, transfers by gift to a member of the individual’s immediate family, to a trust,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beneficiary of which is a member of the individual’s immediate family or an affiliate of such person, or to a charitable organization;</w:t>
      </w:r>
    </w:p>
    <w:p>
      <w:pPr>
        <w:spacing w:after="0" w:line="210" w:lineRule="exact"/>
        <w:rPr>
          <w:rFonts w:ascii="Arial" w:cs="Arial" w:eastAsia="Arial" w:hAnsi="Arial"/>
          <w:sz w:val="17"/>
          <w:szCs w:val="17"/>
          <w:color w:val="auto"/>
        </w:rPr>
      </w:pPr>
    </w:p>
    <w:p>
      <w:pPr>
        <w:ind w:left="3480" w:hanging="880"/>
        <w:spacing w:after="0"/>
        <w:tabs>
          <w:tab w:leader="none" w:pos="34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case of an individual, transfers by virtue of laws of descent and distribution upon death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individual;</w:t>
      </w:r>
    </w:p>
    <w:p>
      <w:pPr>
        <w:spacing w:after="0" w:line="210" w:lineRule="exact"/>
        <w:rPr>
          <w:rFonts w:ascii="Arial" w:cs="Arial" w:eastAsia="Arial" w:hAnsi="Arial"/>
          <w:sz w:val="17"/>
          <w:szCs w:val="17"/>
          <w:color w:val="auto"/>
        </w:rPr>
      </w:pPr>
    </w:p>
    <w:p>
      <w:pPr>
        <w:ind w:left="3480" w:hanging="880"/>
        <w:spacing w:after="0"/>
        <w:tabs>
          <w:tab w:leader="none" w:pos="3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an individual, transfers pursuant to a qualified domestic relations order;</w:t>
      </w:r>
    </w:p>
    <w:p>
      <w:pPr>
        <w:spacing w:after="0" w:line="225" w:lineRule="exact"/>
        <w:rPr>
          <w:rFonts w:ascii="Arial" w:cs="Arial" w:eastAsia="Arial" w:hAnsi="Arial"/>
          <w:sz w:val="18"/>
          <w:szCs w:val="18"/>
          <w:color w:val="auto"/>
        </w:rPr>
      </w:pPr>
    </w:p>
    <w:p>
      <w:pPr>
        <w:ind w:left="3480" w:hanging="880"/>
        <w:spacing w:after="0"/>
        <w:tabs>
          <w:tab w:leader="none" w:pos="3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transfers by private sales or transfers made in connection with the consummation of a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 at prices no greater than the price at which the securities were originally purchased;</w:t>
      </w:r>
    </w:p>
    <w:p>
      <w:pPr>
        <w:spacing w:after="0" w:line="210" w:lineRule="exact"/>
        <w:rPr>
          <w:rFonts w:ascii="Arial" w:cs="Arial" w:eastAsia="Arial" w:hAnsi="Arial"/>
          <w:sz w:val="18"/>
          <w:szCs w:val="18"/>
          <w:color w:val="auto"/>
        </w:rPr>
      </w:pPr>
    </w:p>
    <w:p>
      <w:pPr>
        <w:ind w:left="3500" w:hanging="900"/>
        <w:spacing w:after="0"/>
        <w:tabs>
          <w:tab w:leader="none" w:pos="3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transfers in the event of the Company’s liquidation prior to the completion of an initial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w:t>
      </w:r>
    </w:p>
    <w:p>
      <w:pPr>
        <w:spacing w:after="0" w:line="210" w:lineRule="exact"/>
        <w:rPr>
          <w:rFonts w:ascii="Arial" w:cs="Arial" w:eastAsia="Arial" w:hAnsi="Arial"/>
          <w:sz w:val="18"/>
          <w:szCs w:val="18"/>
          <w:color w:val="auto"/>
        </w:rPr>
      </w:pPr>
    </w:p>
    <w:p>
      <w:pPr>
        <w:ind w:left="3480" w:hanging="880"/>
        <w:spacing w:after="0"/>
        <w:tabs>
          <w:tab w:leader="none" w:pos="3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transfers by virtue of the laws of the State of Delaware or the Sponsor’s limited liability company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 upon dissolution of the Sponsor;</w:t>
      </w:r>
    </w:p>
    <w:p>
      <w:pPr>
        <w:spacing w:after="0" w:line="210" w:lineRule="exact"/>
        <w:rPr>
          <w:rFonts w:ascii="Arial" w:cs="Arial" w:eastAsia="Arial" w:hAnsi="Arial"/>
          <w:sz w:val="18"/>
          <w:szCs w:val="18"/>
          <w:color w:val="auto"/>
        </w:rPr>
      </w:pPr>
    </w:p>
    <w:p>
      <w:pPr>
        <w:ind w:right="60" w:firstLine="2600"/>
        <w:spacing w:after="0" w:line="263" w:lineRule="auto"/>
        <w:tabs>
          <w:tab w:leader="none" w:pos="347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of the Company’s completion of a liquidation, merger, stock exchange, reorganization or other similar transaction which results in all of the Company’s public stockholders having the right to exchange their shares of Common Stock for cash, securities or other property subsequent to the completion of the initial Business Combination;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3" w:name="page274"/>
    <w:bookmarkEnd w:id="273"/>
    <w:p>
      <w:pPr>
        <w:ind w:left="-40" w:right="320" w:firstLine="2600"/>
        <w:spacing w:after="0" w:line="311" w:lineRule="auto"/>
        <w:tabs>
          <w:tab w:leader="none" w:pos="348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to a nominee or custodian of a person or entity to whom a disposition or transfer would be permissible under clauses (a) through (h) above;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case of clauses (a) through (e) and (i), these permitted transferees (the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Transferees</w:t>
      </w:r>
      <w:r>
        <w:rPr>
          <w:rFonts w:ascii="Arial" w:cs="Arial" w:eastAsia="Arial" w:hAnsi="Arial"/>
          <w:sz w:val="16"/>
          <w:szCs w:val="16"/>
          <w:color w:val="auto"/>
        </w:rPr>
        <w:t>”) must enter into a written agreement with the Company agreeing to be bound by the transfer restrictions in this Agreement.</w:t>
      </w:r>
    </w:p>
    <w:p>
      <w:pPr>
        <w:spacing w:after="0" w:line="148" w:lineRule="exact"/>
        <w:rPr>
          <w:rFonts w:ascii="Arial" w:cs="Arial" w:eastAsia="Arial" w:hAnsi="Arial"/>
          <w:sz w:val="16"/>
          <w:szCs w:val="16"/>
          <w:color w:val="auto"/>
        </w:rPr>
      </w:pPr>
    </w:p>
    <w:p>
      <w:pPr>
        <w:ind w:left="1560" w:hanging="944"/>
        <w:spacing w:after="0"/>
        <w:tabs>
          <w:tab w:leader="none" w:pos="15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left="620" w:right="100" w:firstLine="129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xml:space="preserve">. Each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in the last sentence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term “</w:t>
      </w:r>
      <w:r>
        <w:rPr>
          <w:rFonts w:ascii="Arial" w:cs="Arial" w:eastAsia="Arial" w:hAnsi="Arial"/>
          <w:sz w:val="16"/>
          <w:szCs w:val="16"/>
          <w:b w:val="1"/>
          <w:bCs w:val="1"/>
          <w:color w:val="auto"/>
        </w:rPr>
        <w:t>Warrant Price</w:t>
      </w:r>
      <w:r>
        <w:rPr>
          <w:rFonts w:ascii="Arial" w:cs="Arial" w:eastAsia="Arial" w:hAnsi="Arial"/>
          <w:sz w:val="16"/>
          <w:szCs w:val="16"/>
          <w:color w:val="auto"/>
        </w:rPr>
        <w:t>” as used in this Agreement shall mean the price per share described in the prior sentence at which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identical among all of the Warrants.</w:t>
      </w:r>
    </w:p>
    <w:p>
      <w:pPr>
        <w:spacing w:after="0" w:line="162" w:lineRule="exact"/>
        <w:rPr>
          <w:sz w:val="20"/>
          <w:szCs w:val="20"/>
          <w:color w:val="auto"/>
        </w:rPr>
      </w:pPr>
    </w:p>
    <w:p>
      <w:pPr>
        <w:ind w:left="1920"/>
        <w:spacing w:after="0"/>
        <w:tabs>
          <w:tab w:leader="none" w:pos="2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color w:val="auto"/>
        </w:rPr>
        <w:t>Exercise Period</w:t>
      </w:r>
      <w:r>
        <w:rPr>
          <w:rFonts w:ascii="Arial" w:cs="Arial" w:eastAsia="Arial" w:hAnsi="Arial"/>
          <w:sz w:val="16"/>
          <w:szCs w:val="16"/>
          <w:color w:val="auto"/>
        </w:rPr>
        <w:t>”) (A) commencing</w:t>
      </w:r>
    </w:p>
    <w:p>
      <w:pPr>
        <w:spacing w:after="0" w:line="27" w:lineRule="exact"/>
        <w:rPr>
          <w:sz w:val="20"/>
          <w:szCs w:val="20"/>
          <w:color w:val="auto"/>
        </w:rPr>
      </w:pPr>
    </w:p>
    <w:p>
      <w:pPr>
        <w:ind w:left="620"/>
        <w:spacing w:after="0" w:line="284" w:lineRule="auto"/>
        <w:rPr>
          <w:sz w:val="20"/>
          <w:szCs w:val="20"/>
          <w:color w:val="auto"/>
        </w:rPr>
      </w:pPr>
      <w:r>
        <w:rPr>
          <w:rFonts w:ascii="Arial" w:cs="Arial" w:eastAsia="Arial" w:hAnsi="Arial"/>
          <w:sz w:val="16"/>
          <w:szCs w:val="16"/>
          <w:color w:val="auto"/>
        </w:rPr>
        <w:t>on the later of: (i) the date that is thirty (30) days after the first date on which the Company completes a merger, share exchange, asset acquisition, share purchase, reorganization or similar transaction, involving the Company and one or more businesses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xml:space="preserve">”), and (ii) the date that is twelve (12) months from the date of the closing of the Offering, and (B) terminating at 5:00 p.m., New York City time on the earlier to occur of: (w) the date that is five (5) years after the date on which the Company completes its initial Business Combination, (x) the liquidation of the Company in accordance with the Company’s certificate of incorporation, as amended from time to time, if the Company fails to consummate a Business Combination, and (y) other than with respect to the Private Placement Warrants, the Redemption Date (as defined below)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Sponsor Warrant in the event of a redemption) not exercised on or before the Expiration Date shall become null and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74" w:name="page275"/>
    <w:bookmarkEnd w:id="274"/>
    <w:tbl>
      <w:tblPr>
        <w:tblLayout w:type="fixed"/>
        <w:tblInd w:w="196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3.3</w:t>
            </w:r>
          </w:p>
        </w:tc>
        <w:tc>
          <w:tcPr>
            <w:tcW w:w="7720" w:type="dxa"/>
            <w:vAlign w:val="bottom"/>
            <w:gridSpan w:val="4"/>
          </w:tcPr>
          <w:p>
            <w:pPr>
              <w:spacing w:after="0"/>
              <w:rPr>
                <w:sz w:val="20"/>
                <w:szCs w:val="20"/>
                <w:color w:val="auto"/>
              </w:rPr>
            </w:pPr>
            <w:r>
              <w:rPr>
                <w:rFonts w:ascii="Arial" w:cs="Arial" w:eastAsia="Arial" w:hAnsi="Arial"/>
                <w:sz w:val="18"/>
                <w:szCs w:val="18"/>
                <w:color w:val="auto"/>
              </w:rPr>
              <w:t>Exercise of Warrants.</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3.3.1</w:t>
            </w:r>
          </w:p>
        </w:tc>
        <w:tc>
          <w:tcPr>
            <w:tcW w:w="6400" w:type="dxa"/>
            <w:vAlign w:val="bottom"/>
            <w:gridSpan w:val="3"/>
          </w:tcPr>
          <w:p>
            <w:pPr>
              <w:spacing w:after="0"/>
              <w:rPr>
                <w:sz w:val="20"/>
                <w:szCs w:val="20"/>
                <w:color w:val="auto"/>
              </w:rPr>
            </w:pPr>
            <w:r>
              <w:rPr>
                <w:rFonts w:ascii="Arial" w:cs="Arial" w:eastAsia="Arial" w:hAnsi="Arial"/>
                <w:sz w:val="18"/>
                <w:szCs w:val="18"/>
                <w:color w:val="auto"/>
                <w:w w:val="89"/>
              </w:rPr>
              <w:t>Payment. Subject to the provisions of the Warrant and this Agreement, a Warrant may be</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3" w:lineRule="exact"/>
        <w:rPr>
          <w:sz w:val="20"/>
          <w:szCs w:val="20"/>
          <w:color w:val="auto"/>
        </w:rPr>
      </w:pPr>
    </w:p>
    <w:p>
      <w:pPr>
        <w:ind w:left="1060" w:right="160"/>
        <w:spacing w:after="0" w:line="257" w:lineRule="auto"/>
        <w:rPr>
          <w:sz w:val="20"/>
          <w:szCs w:val="20"/>
          <w:color w:val="auto"/>
        </w:rPr>
      </w:pPr>
      <w:r>
        <w:rPr>
          <w:rFonts w:ascii="Arial" w:cs="Arial" w:eastAsia="Arial" w:hAnsi="Arial"/>
          <w:sz w:val="18"/>
          <w:szCs w:val="18"/>
          <w:color w:val="auto"/>
        </w:rPr>
        <w:t>exercised by the Registered Holder thereof by surrendering it at the office of the Warrant Agent or at the office of its successor as Warrant Agent, together with (i) an election to purchase form, duly executed, electing to exercise such Warrant; and (ii) payment in full of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8" w:lineRule="exact"/>
        <w:rPr>
          <w:sz w:val="20"/>
          <w:szCs w:val="20"/>
          <w:color w:val="auto"/>
        </w:rPr>
      </w:pPr>
    </w:p>
    <w:p>
      <w:pPr>
        <w:ind w:left="3480" w:hanging="880"/>
        <w:spacing w:after="0"/>
        <w:tabs>
          <w:tab w:leader="none" w:pos="34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lawful money of the United States, in good certified check or good bank draft payable to the order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 Agent or by wire;</w:t>
      </w:r>
    </w:p>
    <w:p>
      <w:pPr>
        <w:spacing w:after="0" w:line="211" w:lineRule="exact"/>
        <w:rPr>
          <w:sz w:val="20"/>
          <w:szCs w:val="20"/>
          <w:color w:val="auto"/>
        </w:rPr>
      </w:pPr>
    </w:p>
    <w:p>
      <w:pPr>
        <w:ind w:left="3480" w:hanging="880"/>
        <w:spacing w:after="0"/>
        <w:tabs>
          <w:tab w:leader="none" w:pos="34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in the event of a redemption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in which the Company’s board of directors (the</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xml:space="preserve">”) has elected to require all holders of the Warrants to exercise such Warrants on a “cashless basis,”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the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shall mean the average closing price of the Common Stock for the ten (10) trading days ending on the third trading day prior to the date on which the notice of redemption is sent to the holders of the Warrants,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94" w:lineRule="exact"/>
        <w:rPr>
          <w:sz w:val="20"/>
          <w:szCs w:val="20"/>
          <w:color w:val="auto"/>
        </w:rPr>
      </w:pPr>
    </w:p>
    <w:p>
      <w:pPr>
        <w:ind w:firstLine="2600"/>
        <w:spacing w:after="0" w:line="255" w:lineRule="auto"/>
        <w:tabs>
          <w:tab w:leader="none" w:pos="346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Sponsor Warrant is held by the Sponsor or a Permitted Transferee,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“Fair Market Value” shall mean the average closing price of the Common Stock for the ten (10)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3480" w:hanging="880"/>
        <w:spacing w:after="0"/>
        <w:tabs>
          <w:tab w:leader="none" w:pos="3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Warrant Agent shall forward funds received for warrant exercises in a given month by the 5th business day of the following month by wire transfer to an account designated by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5" w:name="page276"/>
    <w:bookmarkEnd w:id="275"/>
    <w:p>
      <w:pPr>
        <w:ind w:firstLine="1944"/>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If fewer than all the Warrants evidenced by a book-entry Warrant are exercised, a notation shall be made to the records maintained by the Depositary, its nominee to each book-entry Warrant, or a Participant, as appropriate, evidencing the balance of the Warrants remaining after such exercise. Notwithstanding the foregoing, the Company shall not be obligated to deliver any shares of Common Stock pursuant to the exercise of a Warrant and shall have no obligation to settle such Warrant exercise unless a (a) registration statement under the Securities Act covering the issuance of the Common Stock underlying the Public Warrants is then effective and (b)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 solely for the shares of Common Stock underlying such Unit.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this Agreement, a Registered Holder of Public Warrants may exercise its Public Warrants only for a whole number of shares of Common Stock. In no event will the Company be required to net cash settle the Warrant exercise. The Company may require holders of Public Warrants to settle the Warrant on a “cashless basis” pursuant to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394" w:lineRule="exact"/>
        <w:rPr>
          <w:sz w:val="20"/>
          <w:szCs w:val="20"/>
          <w:color w:val="auto"/>
        </w:rPr>
      </w:pPr>
    </w:p>
    <w:p>
      <w:pPr>
        <w:ind w:right="440"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1380" w:top="908" w:right="339" w:bottom="1440" w:gutter="0" w:footer="0" w:header="0"/>
        </w:sectPr>
      </w:pPr>
    </w:p>
    <w:bookmarkStart w:id="276" w:name="page277"/>
    <w:bookmarkEnd w:id="276"/>
    <w:p>
      <w:pPr>
        <w:ind w:firstLine="1944"/>
        <w:spacing w:after="0" w:line="272"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Each person in whose name any book entry position or certificate, as applicable, for shares of Common Stock is issued shall for all purposes be deemed to have become the holder of record of such shares of Common Stock on the date on which the Warrant, or book 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77" w:lineRule="exact"/>
        <w:rPr>
          <w:sz w:val="20"/>
          <w:szCs w:val="20"/>
          <w:color w:val="auto"/>
        </w:rPr>
      </w:pPr>
    </w:p>
    <w:p>
      <w:pPr>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3.3.5</w:t>
      </w:r>
      <w:r>
        <w:rPr>
          <w:rFonts w:ascii="Arial" w:cs="Arial" w:eastAsia="Arial" w:hAnsi="Arial"/>
          <w:sz w:val="16"/>
          <w:szCs w:val="16"/>
          <w:color w:val="auto"/>
        </w:rPr>
        <w:t xml:space="preserve"> unless he, she or it makes such election. If the election is made by a holder, the Warrant Agent shall not affect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For purposes of the Warrant, in determining the number of issued and outstanding Common Stock, the holder may rely on the number of issued and outstanding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Common Stock issued and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60"/>
          </w:cols>
          <w:pgMar w:left="1380" w:top="908" w:right="359" w:bottom="1440" w:gutter="0" w:footer="0" w:header="0"/>
        </w:sectPr>
      </w:pPr>
    </w:p>
    <w:bookmarkStart w:id="277" w:name="page278"/>
    <w:bookmarkEnd w:id="277"/>
    <w:p>
      <w:pPr>
        <w:ind w:left="944" w:hanging="944"/>
        <w:spacing w:after="0"/>
        <w:tabs>
          <w:tab w:leader="none" w:pos="944"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08" w:lineRule="exact"/>
        <w:rPr>
          <w:sz w:val="20"/>
          <w:szCs w:val="20"/>
          <w:color w:val="auto"/>
        </w:rPr>
      </w:pPr>
    </w:p>
    <w:tbl>
      <w:tblPr>
        <w:tblLayout w:type="fixed"/>
        <w:tblInd w:w="1304"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4.1</w:t>
            </w:r>
          </w:p>
        </w:tc>
        <w:tc>
          <w:tcPr>
            <w:tcW w:w="1320" w:type="dxa"/>
            <w:vAlign w:val="bottom"/>
            <w:gridSpan w:val="2"/>
          </w:tcPr>
          <w:p>
            <w:pPr>
              <w:spacing w:after="0"/>
              <w:rPr>
                <w:sz w:val="20"/>
                <w:szCs w:val="20"/>
                <w:color w:val="auto"/>
              </w:rPr>
            </w:pPr>
            <w:r>
              <w:rPr>
                <w:rFonts w:ascii="Arial" w:cs="Arial" w:eastAsia="Arial" w:hAnsi="Arial"/>
                <w:sz w:val="18"/>
                <w:szCs w:val="18"/>
                <w:color w:val="auto"/>
                <w:w w:val="96"/>
              </w:rPr>
              <w:t>Stock Dividends.</w:t>
            </w:r>
          </w:p>
        </w:tc>
        <w:tc>
          <w:tcPr>
            <w:tcW w:w="7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1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w w:val="90"/>
              </w:rPr>
              <w:t>Split-Ups. If after the date hereof, and subject to the provisions of Section 4.6 below, the number</w:t>
            </w:r>
          </w:p>
        </w:tc>
      </w:tr>
      <w:tr>
        <w:trPr>
          <w:trHeight w:val="20"/>
        </w:trPr>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3" w:lineRule="exact"/>
        <w:rPr>
          <w:sz w:val="20"/>
          <w:szCs w:val="20"/>
          <w:color w:val="auto"/>
        </w:rPr>
      </w:pPr>
    </w:p>
    <w:p>
      <w:pPr>
        <w:ind w:left="404"/>
        <w:spacing w:after="0" w:line="286" w:lineRule="auto"/>
        <w:rPr>
          <w:sz w:val="20"/>
          <w:szCs w:val="20"/>
          <w:color w:val="auto"/>
        </w:rPr>
      </w:pPr>
      <w:r>
        <w:rPr>
          <w:rFonts w:ascii="Arial" w:cs="Arial" w:eastAsia="Arial" w:hAnsi="Arial"/>
          <w:sz w:val="16"/>
          <w:szCs w:val="16"/>
          <w:color w:val="auto"/>
        </w:rPr>
        <w:t xml:space="preserve">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the outstanding shares of Common Stock. A rights offering to holders of shares of Common Stock entitling holders to purchase shares of Common Stock at a price less than the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w:t>
      </w:r>
      <w:r>
        <w:rPr>
          <w:rFonts w:ascii="Arial" w:cs="Arial" w:eastAsia="Arial" w:hAnsi="Arial"/>
          <w:sz w:val="16"/>
          <w:szCs w:val="16"/>
          <w:u w:val="single" w:color="auto"/>
          <w:color w:val="auto"/>
        </w:rPr>
        <w:t>subsection 4.1.1</w:t>
      </w:r>
      <w:r>
        <w:rPr>
          <w:rFonts w:ascii="Arial" w:cs="Arial" w:eastAsia="Arial" w:hAnsi="Arial"/>
          <w:sz w:val="16"/>
          <w:szCs w:val="16"/>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“Fair Market Value” means the volume weighted average price of the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174" w:lineRule="exact"/>
        <w:rPr>
          <w:sz w:val="20"/>
          <w:szCs w:val="20"/>
          <w:color w:val="auto"/>
        </w:rPr>
      </w:pPr>
    </w:p>
    <w:p>
      <w:pPr>
        <w:ind w:left="404" w:firstLine="1944"/>
        <w:spacing w:after="0" w:line="28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shares of Common Stock in connection with a proposed initial Business Combination, (d) to satisfy the redemption rights of the holders of the shares of Common Stock in connection with a stockholder vote to amend the Company’s amended and restated certificate of incorporation to modify the substance or timing of the Company’s obligation to redeem 100% of the shares of Common Stock included in the Units sold in the Offering if the Company does not complete the Business Combination within the period set forth in the Company’s amended and restated certificate of incorporation or with respect to any other material provisions relating to stockholders’ rights or pre-Business Combination activity, or (e) in connection with the redemption of shares of Common Stock included in the Units sold in the Offering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share of Common Stock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78" w:name="page279"/>
    <w:bookmarkEnd w:id="278"/>
    <w:p>
      <w:pPr>
        <w:ind w:left="4"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8" w:lineRule="exact"/>
        <w:rPr>
          <w:sz w:val="20"/>
          <w:szCs w:val="20"/>
          <w:color w:val="auto"/>
        </w:rPr>
      </w:pPr>
    </w:p>
    <w:p>
      <w:pPr>
        <w:ind w:left="4" w:right="80"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Warrant Price</w:t>
      </w:r>
      <w:r>
        <w:rPr>
          <w:rFonts w:ascii="Arial" w:cs="Arial" w:eastAsia="Arial" w:hAnsi="Arial"/>
          <w:sz w:val="18"/>
          <w:szCs w:val="18"/>
          <w:color w:val="auto"/>
        </w:rPr>
        <w:t>. Whenever the number of shares of Common Stock purchasable upon the exercise of the Warrants is adjusted,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ind w:left="4" w:right="20" w:firstLine="1296"/>
        <w:spacing w:after="0" w:line="28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entity or conversion of the Company into another type of entity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shares of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shares of Common Stock in such consolidation or merger that affirmatively make such election, and (ii) if a tender, exchange or redemption offer shall have been made to and accepted by the holders of the shares of Common Stock (other than a tender, exchange or redemption offer made by the Company in connection with redemption rights held by stockholders of the Company as provided for in the Company’s amended and restated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w:t>
      </w:r>
    </w:p>
    <w:p>
      <w:pPr>
        <w:spacing w:after="0" w:line="11" w:lineRule="exact"/>
        <w:rPr>
          <w:sz w:val="20"/>
          <w:szCs w:val="20"/>
          <w:color w:val="auto"/>
        </w:rPr>
      </w:pPr>
    </w:p>
    <w:p>
      <w:pPr>
        <w:ind w:left="4" w:right="20" w:hanging="4"/>
        <w:spacing w:after="0" w:line="283" w:lineRule="auto"/>
        <w:tabs>
          <w:tab w:leader="none" w:pos="25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shares of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if positive, of (i) the Warrant Price in effect prior to such reduction minus (ii) (A) the Per Share Consideration (as defined below) minus (B) the Black-Scholes Warrant Value (as defined below) (which amount determined under this clause (ii) shall not be less than zero). The “</w:t>
      </w:r>
      <w:r>
        <w:rPr>
          <w:rFonts w:ascii="Arial" w:cs="Arial" w:eastAsia="Arial" w:hAnsi="Arial"/>
          <w:sz w:val="16"/>
          <w:szCs w:val="16"/>
          <w:b w:val="1"/>
          <w:b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share of Common Stock shall be the volume weighted average price of the Common Stock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6"/>
          <w:szCs w:val="16"/>
          <w:b w:val="1"/>
          <w:bCs w:val="1"/>
          <w:color w:val="auto"/>
        </w:rPr>
        <w:t>Per Share Consideration</w:t>
      </w:r>
      <w:r>
        <w:rPr>
          <w:rFonts w:ascii="Arial" w:cs="Arial" w:eastAsia="Arial" w:hAnsi="Arial"/>
          <w:sz w:val="16"/>
          <w:szCs w:val="16"/>
          <w:color w:val="auto"/>
        </w:rPr>
        <w:t xml:space="preserve">” means (i) if the consideration paid to holders of the shares of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9" w:name="page280"/>
    <w:bookmarkEnd w:id="279"/>
    <w:p>
      <w:pPr>
        <w:ind w:left="4" w:right="60" w:firstLine="1296"/>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Notices of Changes in Warrant</w:t>
      </w:r>
      <w:r>
        <w:rPr>
          <w:rFonts w:ascii="Arial" w:cs="Arial" w:eastAsia="Arial" w:hAnsi="Arial"/>
          <w:sz w:val="17"/>
          <w:szCs w:val="17"/>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adjustment to the number of shares of Common Stock issuable upon exercise of a Warrant shall be required until cumulative adjustments amount to 1% or more of the number of shares of Common Stock issuable upon exercise of a Warrant as last adjusted;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adjustments that are not made are carried forward and taken into account in any subsequent adjustment. Notwithstanding the foregoing, all such carried forward adjustments shall be made (i) in connection with any subsequent adjustment that (taken together with such carried forward adjustments) would result in a change of at least 1% in the number of shares of Common Stock issuable upon exercise of a Warrant and (ii) on the exercise date of any Warrant. Upon the occurrence of any event specified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in connection with which an adjustment is made to the Warrant Price or the number of shares of Common Stock issuable upon exercise of a Warrant,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4" w:lineRule="exact"/>
        <w:rPr>
          <w:sz w:val="20"/>
          <w:szCs w:val="20"/>
          <w:color w:val="auto"/>
        </w:rPr>
      </w:pPr>
    </w:p>
    <w:p>
      <w:pPr>
        <w:ind w:left="4" w:right="60" w:firstLine="1296"/>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71" w:lineRule="exact"/>
        <w:rPr>
          <w:sz w:val="20"/>
          <w:szCs w:val="20"/>
          <w:color w:val="auto"/>
        </w:rPr>
      </w:pPr>
    </w:p>
    <w:p>
      <w:pPr>
        <w:ind w:left="4" w:firstLine="1296"/>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The form of Warrant need not be changed because of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Warrants issued after such adjustment may state the same Warrant Price and the same number of shares of Common Stock as is stated in the Warrants initially issued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1" w:lineRule="exact"/>
        <w:rPr>
          <w:sz w:val="20"/>
          <w:szCs w:val="20"/>
          <w:color w:val="auto"/>
        </w:rPr>
      </w:pPr>
    </w:p>
    <w:p>
      <w:pPr>
        <w:ind w:left="4" w:right="100" w:firstLine="1296"/>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Other Events</w:t>
      </w:r>
      <w:r>
        <w:rPr>
          <w:rFonts w:ascii="Arial" w:cs="Arial" w:eastAsia="Arial" w:hAnsi="Arial"/>
          <w:sz w:val="18"/>
          <w:szCs w:val="18"/>
          <w:color w:val="auto"/>
        </w:rPr>
        <w:t xml:space="preserve">. In case any event shall occur affecting the Company as to which none of the provisions of the preceding subsections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if they determine that an adjustment is necessary, the terms of such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under no circumstances shall the Warrants be adjusted pursuant to this Section 4.8(ii) as a result of any issuance of securities in connection with a Business Combination or (ii) solely as a result of an adjustment to the conversion ratio of the Company’s Class B common stock, $0.0001 par value per share, into Common Stock. The Company shall adjust the terms of the Warrants in a manner that is consistent with any adjustment recommended in such opinion.</w:t>
      </w:r>
    </w:p>
    <w:p>
      <w:pPr>
        <w:spacing w:after="0" w:line="194" w:lineRule="exact"/>
        <w:rPr>
          <w:sz w:val="20"/>
          <w:szCs w:val="20"/>
          <w:color w:val="auto"/>
        </w:rPr>
      </w:pPr>
    </w:p>
    <w:p>
      <w:pPr>
        <w:ind w:left="944" w:hanging="944"/>
        <w:spacing w:after="0"/>
        <w:tabs>
          <w:tab w:leader="none" w:pos="94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in the case of certificated warrants,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0" w:name="page281"/>
    <w:bookmarkEnd w:id="280"/>
    <w:p>
      <w:pPr>
        <w:ind w:left="4" w:right="40" w:firstLine="1296"/>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5.3</w:t>
            </w:r>
          </w:p>
        </w:tc>
        <w:tc>
          <w:tcPr>
            <w:tcW w:w="8420" w:type="dxa"/>
            <w:vAlign w:val="bottom"/>
            <w:gridSpan w:val="4"/>
          </w:tcPr>
          <w:p>
            <w:pPr>
              <w:spacing w:after="0"/>
              <w:rPr>
                <w:sz w:val="20"/>
                <w:szCs w:val="20"/>
                <w:color w:val="auto"/>
              </w:rPr>
            </w:pPr>
            <w:r>
              <w:rPr>
                <w:rFonts w:ascii="Arial" w:cs="Arial" w:eastAsia="Arial" w:hAnsi="Arial"/>
                <w:sz w:val="18"/>
                <w:szCs w:val="18"/>
                <w:color w:val="auto"/>
                <w:w w:val="90"/>
              </w:rPr>
              <w:t>Fractional Warrants. The Warrant Agent shall not be required to effect any registration of transfer or exchange which</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10560" w:type="dxa"/>
            <w:vAlign w:val="bottom"/>
            <w:gridSpan w:val="5"/>
          </w:tcPr>
          <w:p>
            <w:pPr>
              <w:spacing w:after="0"/>
              <w:rPr>
                <w:sz w:val="20"/>
                <w:szCs w:val="20"/>
                <w:color w:val="auto"/>
              </w:rPr>
            </w:pPr>
            <w:r>
              <w:rPr>
                <w:rFonts w:ascii="Arial" w:cs="Arial" w:eastAsia="Arial" w:hAnsi="Arial"/>
                <w:sz w:val="18"/>
                <w:szCs w:val="18"/>
                <w:color w:val="auto"/>
              </w:rPr>
              <w:t>shall result in the issuance of a warrant certificate or book-entry position for a fraction of a Warrant, except as part of the Units.</w:t>
            </w:r>
          </w:p>
        </w:tc>
      </w:tr>
      <w:tr>
        <w:trPr>
          <w:trHeight w:val="391"/>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5.4</w:t>
            </w:r>
          </w:p>
        </w:tc>
        <w:tc>
          <w:tcPr>
            <w:tcW w:w="8420" w:type="dxa"/>
            <w:vAlign w:val="bottom"/>
            <w:gridSpan w:val="4"/>
          </w:tcPr>
          <w:p>
            <w:pPr>
              <w:spacing w:after="0"/>
              <w:rPr>
                <w:sz w:val="20"/>
                <w:szCs w:val="20"/>
                <w:color w:val="auto"/>
              </w:rPr>
            </w:pPr>
            <w:r>
              <w:rPr>
                <w:rFonts w:ascii="Arial" w:cs="Arial" w:eastAsia="Arial" w:hAnsi="Arial"/>
                <w:sz w:val="18"/>
                <w:szCs w:val="18"/>
                <w:color w:val="auto"/>
                <w:w w:val="98"/>
              </w:rPr>
              <w:t>Service Charges. No service charge shall be made for any exchange or registration of transfer of Warrants.</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5.5</w:t>
            </w: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Warrant Execution and Countersignature. The Warrant Agent is hereby authorized to countersign and to deliver, in</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 xml:space="preserve">accordance with the terms of this Agreement, the Warrants required to be issued pursuant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and the Company, whenever required by the Warrant Agent, shall supply the Warrant Agent with Warrants duly executed on behalf of the Company for such purpose.</w:t>
      </w:r>
    </w:p>
    <w:p>
      <w:pPr>
        <w:spacing w:after="0" w:line="124" w:lineRule="exact"/>
        <w:rPr>
          <w:sz w:val="20"/>
          <w:szCs w:val="20"/>
          <w:color w:val="auto"/>
        </w:rPr>
      </w:pPr>
    </w:p>
    <w:p>
      <w:pPr>
        <w:ind w:left="4" w:right="220" w:firstLine="1296"/>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have no effect on any transfer of Warrants on and after the Detachment Date.</w:t>
      </w:r>
    </w:p>
    <w:p>
      <w:pPr>
        <w:spacing w:after="0" w:line="188" w:lineRule="exact"/>
        <w:rPr>
          <w:sz w:val="20"/>
          <w:szCs w:val="20"/>
          <w:color w:val="auto"/>
        </w:rPr>
      </w:pPr>
    </w:p>
    <w:p>
      <w:pPr>
        <w:ind w:left="944" w:hanging="944"/>
        <w:spacing w:after="0"/>
        <w:tabs>
          <w:tab w:leader="none" w:pos="944"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 of Warrants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at the price of $0.01 per Warrant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provided that the closing price of the Common Stock reported has been at least $18.00 per share (subject to adjustment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on each of twenty (20) trading days, within the thirty (30) trading-day period ending on the third trading day prior to the date on which notice of the redemption is given and provided that there is an effective registration statement covering the shares of Common Stock issuable upon exercise of the Warrants, and a current prospectus relating thereto, available throughout the 30-day Redemption Period (as defined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or the Company has elected to require the exercise of the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such cashless exercise is exempt from registration under the Securities Act.</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1" w:name="page282"/>
    <w:bookmarkEnd w:id="281"/>
    <w:p>
      <w:pPr>
        <w:ind w:firstLine="129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xml:space="preserve">. In the event that the Company elects to redeem all of the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(such 30-day period,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the Registered Holders of the Warrants to be redeemed at their last addresses as they shall appear on the registration books.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mailed in the manner herein provided shall be conclusively presumed to have been duly given whether or not the Registered Holder received such notice.</w:t>
      </w:r>
    </w:p>
    <w:p>
      <w:pPr>
        <w:spacing w:after="0" w:line="192"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for cash (or on a “cashless basis” in accordance with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of this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7"/>
          <w:szCs w:val="17"/>
          <w:u w:val="single" w:color="auto"/>
          <w:color w:val="auto"/>
        </w:rPr>
        <w:t>subsection 3.3.1</w:t>
      </w:r>
      <w:r>
        <w:rPr>
          <w:rFonts w:ascii="Arial" w:cs="Arial" w:eastAsia="Arial" w:hAnsi="Arial"/>
          <w:sz w:val="17"/>
          <w:szCs w:val="17"/>
          <w:color w:val="auto"/>
        </w:rPr>
        <w:t>, the notice of redemption shall contain the information necessary to calculate the number of shares of Common Stock to be received upon exercise of the Warrants, including the “</w:t>
      </w:r>
      <w:r>
        <w:rPr>
          <w:rFonts w:ascii="Arial" w:cs="Arial" w:eastAsia="Arial" w:hAnsi="Arial"/>
          <w:sz w:val="17"/>
          <w:szCs w:val="17"/>
          <w:b w:val="1"/>
          <w:bCs w:val="1"/>
          <w:color w:val="auto"/>
        </w:rPr>
        <w:t>Fair Market Value</w:t>
      </w:r>
      <w:r>
        <w:rPr>
          <w:rFonts w:ascii="Arial" w:cs="Arial" w:eastAsia="Arial" w:hAnsi="Arial"/>
          <w:sz w:val="17"/>
          <w:szCs w:val="17"/>
          <w:color w:val="auto"/>
        </w:rPr>
        <w:t xml:space="preserve">” (as such term is defined in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hereof) in such case. On and after the Redemption Date, the record holder of the Warrants shall have no further rights except to receive, upon surrender of the Warrants, the Redemption Price.</w:t>
      </w:r>
    </w:p>
    <w:p>
      <w:pPr>
        <w:spacing w:after="0" w:line="177" w:lineRule="exact"/>
        <w:rPr>
          <w:sz w:val="20"/>
          <w:szCs w:val="20"/>
          <w:color w:val="auto"/>
        </w:rPr>
      </w:pPr>
    </w:p>
    <w:p>
      <w:pPr>
        <w:ind w:right="140" w:firstLine="1296"/>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apply to the Private Placement Warrants if at the time of the redemption such Private Placement Warrants continue to be held by the Sponsor or its Permitted Transferees.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once such Private Placement Warrants are transferred (other than to Permitted Transferees under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the Company may redeem the Private Placement Warrants,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282" w:name="page283"/>
    <w:bookmarkEnd w:id="282"/>
    <w:p>
      <w:pPr>
        <w:ind w:left="944" w:hanging="944"/>
        <w:spacing w:after="0"/>
        <w:tabs>
          <w:tab w:leader="none" w:pos="94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ind w:left="4" w:right="140" w:firstLine="1296"/>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Lost, Stolen, Mutilated, or Destroyed Warrants</w:t>
      </w:r>
      <w:r>
        <w:rPr>
          <w:rFonts w:ascii="Arial" w:cs="Arial" w:eastAsia="Arial" w:hAnsi="Arial"/>
          <w:sz w:val="16"/>
          <w:szCs w:val="16"/>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and countersigned by the Warrant Agent. Any such new Warrant shall constitute a substitute contractual obligation of the Company, whether or not the allegedly lost, stolen, mutilated or destroyed Warrant shall be at any time enforceable by anyone. Warrant Agent may, at its option, countersign replacement Warrants for mutilated certificates upon presentation thereof without such indemnity.</w:t>
      </w:r>
    </w:p>
    <w:p>
      <w:pPr>
        <w:spacing w:after="0" w:line="164" w:lineRule="exact"/>
        <w:rPr>
          <w:sz w:val="20"/>
          <w:szCs w:val="20"/>
          <w:color w:val="auto"/>
        </w:rPr>
      </w:pPr>
    </w:p>
    <w:p>
      <w:pPr>
        <w:jc w:val="both"/>
        <w:ind w:left="4" w:right="60" w:firstLine="129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84" w:lineRule="exact"/>
        <w:rPr>
          <w:sz w:val="20"/>
          <w:szCs w:val="20"/>
          <w:color w:val="auto"/>
        </w:rPr>
      </w:pPr>
    </w:p>
    <w:tbl>
      <w:tblPr>
        <w:tblLayout w:type="fixed"/>
        <w:tblInd w:w="1304" w:type="dxa"/>
        <w:tblCellMar>
          <w:top w:w="0" w:type="dxa"/>
          <w:left w:w="0" w:type="dxa"/>
          <w:bottom w:w="0" w:type="dxa"/>
          <w:right w:w="0" w:type="dxa"/>
        </w:tblCellMar>
      </w:tblP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7.4</w:t>
            </w:r>
          </w:p>
        </w:tc>
        <w:tc>
          <w:tcPr>
            <w:tcW w:w="8640" w:type="dxa"/>
            <w:vAlign w:val="bottom"/>
            <w:gridSpan w:val="3"/>
          </w:tcPr>
          <w:p>
            <w:pPr>
              <w:ind w:left="300"/>
              <w:spacing w:after="0"/>
              <w:rPr>
                <w:sz w:val="20"/>
                <w:szCs w:val="20"/>
                <w:color w:val="auto"/>
              </w:rPr>
            </w:pPr>
            <w:r>
              <w:rPr>
                <w:rFonts w:ascii="Arial" w:cs="Arial" w:eastAsia="Arial" w:hAnsi="Arial"/>
                <w:sz w:val="18"/>
                <w:szCs w:val="18"/>
                <w:color w:val="auto"/>
              </w:rPr>
              <w:t>Registration of Shares of Common Stock; Cashless Exercise at Company’s Option.</w:t>
            </w:r>
          </w:p>
        </w:tc>
      </w:tr>
      <w:tr>
        <w:trPr>
          <w:trHeight w:val="391"/>
        </w:trPr>
        <w:tc>
          <w:tcPr>
            <w:tcW w:w="540" w:type="dxa"/>
            <w:vAlign w:val="bottom"/>
          </w:tcPr>
          <w:p>
            <w:pPr>
              <w:spacing w:after="0"/>
              <w:rPr>
                <w:sz w:val="24"/>
                <w:szCs w:val="24"/>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7.4.1</w:t>
            </w:r>
          </w:p>
        </w:tc>
        <w:tc>
          <w:tcPr>
            <w:tcW w:w="7020" w:type="dxa"/>
            <w:vAlign w:val="bottom"/>
            <w:gridSpan w:val="2"/>
          </w:tcPr>
          <w:p>
            <w:pPr>
              <w:spacing w:after="0"/>
              <w:rPr>
                <w:sz w:val="20"/>
                <w:szCs w:val="20"/>
                <w:color w:val="auto"/>
              </w:rPr>
            </w:pPr>
            <w:r>
              <w:rPr>
                <w:rFonts w:ascii="Arial" w:cs="Arial" w:eastAsia="Arial" w:hAnsi="Arial"/>
                <w:sz w:val="18"/>
                <w:szCs w:val="18"/>
                <w:color w:val="auto"/>
                <w:w w:val="89"/>
              </w:rPr>
              <w:t>Registration of Shares of Common Stock. The Company agrees that as soon as practicable, but in</w:t>
            </w:r>
          </w:p>
        </w:tc>
      </w:tr>
      <w:tr>
        <w:trPr>
          <w:trHeight w:val="20"/>
        </w:trPr>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13" w:lineRule="exact"/>
        <w:rPr>
          <w:sz w:val="20"/>
          <w:szCs w:val="20"/>
          <w:color w:val="auto"/>
        </w:rPr>
      </w:pPr>
    </w:p>
    <w:p>
      <w:pPr>
        <w:ind w:left="404"/>
        <w:spacing w:after="0" w:line="284" w:lineRule="auto"/>
        <w:rPr>
          <w:sz w:val="20"/>
          <w:szCs w:val="20"/>
          <w:color w:val="auto"/>
        </w:rPr>
      </w:pPr>
      <w:r>
        <w:rPr>
          <w:rFonts w:ascii="Arial" w:cs="Arial" w:eastAsia="Arial" w:hAnsi="Arial"/>
          <w:sz w:val="16"/>
          <w:szCs w:val="16"/>
          <w:color w:val="auto"/>
        </w:rPr>
        <w:t xml:space="preserve">no event later than fifteen (15) 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Commission, and during any other period when the Company shall fail to have maintained an effective registration statement covering the shares of Common Stock issuable upon exercise of the Warrants, to exercise such Warrants on a “cashless basis,” by exchanging the Warrants (in accordance with Section 3(a)(9) of the Securities Act (or any successor statute) or another exemption) for that number of shares of Common Stock equal to the quotient obtained by dividing (x) the product of the number of shares of Common Stock underlying the Warrants, multiplied by the excess of the “Fair Market Value” (as defined below) over the Warrant Price by (y) the Fair Market Value.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shall mean the average closing price of the Common Stock for the ten (10) trading days ending on the third trading day prior to the date that notice of exercise is sent to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shares of Common Stock issued upon such exercise shall be freely tradable under United States federal securities laws by anyone who is not (and has not been during the preceding three months)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83" w:name="page284"/>
    <w:bookmarkEnd w:id="283"/>
    <w:p>
      <w:pPr>
        <w:ind w:left="404" w:right="20" w:firstLine="1944"/>
        <w:spacing w:after="0" w:line="289"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shares of Common Stock are at the time of any exercise of a Warrant not listed on a national securities exchange such that it satisfies the definition of a “covered security” under Section 18(b)(1) of the Securities Act (or any successor statute), the Company may, at its option, require holders of Public Warrants who exercise Public Warrants to exercise such Public Warrants on a “cashless basis” in accordance with Section 3(a)(9) of the Securities Act (or any successor statute)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 in the event the Company so elects, the Company shall not be required to file or maintain in effect a registration statement for the registration, under the Securities Act, of the shares of Common Stock issuable upon exercise of the Warrants, notwithstanding anything in this Agreement to the contrary or (ii) if the Company does not so elect, the Company agrees to use its best efforts to register or qualify for sale the shares of Common Stock issuable upon exercise of the Public Warrant under the blue sky laws of the state of residence of the exercising Public Warrant holder to the extent an exemption is not available.</w:t>
      </w:r>
    </w:p>
    <w:p>
      <w:pPr>
        <w:spacing w:after="0" w:line="166" w:lineRule="exact"/>
        <w:rPr>
          <w:sz w:val="20"/>
          <w:szCs w:val="20"/>
          <w:color w:val="auto"/>
        </w:rPr>
      </w:pPr>
    </w:p>
    <w:p>
      <w:pPr>
        <w:ind w:left="944" w:hanging="944"/>
        <w:spacing w:after="0"/>
        <w:tabs>
          <w:tab w:leader="none" w:pos="944"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left="4" w:firstLine="1296"/>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shall from time to time promptly pay all taxes and charges that may be imposed upon the Company or the Warrant Agent in respect of the issuance or delivery of shares of Common Stock upon the exercise of the Warrants, but the Company and the Warrant Agent shall not be obligated to pay any transfer taxes in respect of the Warrants or such shares of Common Stock.</w:t>
      </w:r>
    </w:p>
    <w:p>
      <w:pPr>
        <w:spacing w:after="0" w:line="365"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4"/>
          </w:cols>
          <w:pgMar w:left="976" w:top="908" w:right="479" w:bottom="1440" w:gutter="0" w:footer="0" w:header="0"/>
        </w:sectPr>
      </w:pPr>
    </w:p>
    <w:bookmarkStart w:id="284" w:name="page285"/>
    <w:bookmarkEnd w:id="284"/>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8.2</w:t>
            </w:r>
          </w:p>
        </w:tc>
        <w:tc>
          <w:tcPr>
            <w:tcW w:w="8120" w:type="dxa"/>
            <w:vAlign w:val="bottom"/>
            <w:gridSpan w:val="4"/>
          </w:tcPr>
          <w:p>
            <w:pPr>
              <w:spacing w:after="0"/>
              <w:rPr>
                <w:sz w:val="20"/>
                <w:szCs w:val="20"/>
                <w:color w:val="auto"/>
              </w:rPr>
            </w:pPr>
            <w:r>
              <w:rPr>
                <w:rFonts w:ascii="Arial" w:cs="Arial" w:eastAsia="Arial" w:hAnsi="Arial"/>
                <w:sz w:val="18"/>
                <w:szCs w:val="18"/>
                <w:color w:val="auto"/>
              </w:rPr>
              <w:t>Resignation, Consolidation, or Merger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8.2.1</w:t>
            </w:r>
          </w:p>
        </w:tc>
        <w:tc>
          <w:tcPr>
            <w:tcW w:w="6800" w:type="dxa"/>
            <w:vAlign w:val="bottom"/>
            <w:gridSpan w:val="3"/>
          </w:tcPr>
          <w:p>
            <w:pPr>
              <w:spacing w:after="0"/>
              <w:rPr>
                <w:sz w:val="20"/>
                <w:szCs w:val="20"/>
                <w:color w:val="auto"/>
              </w:rPr>
            </w:pPr>
            <w:r>
              <w:rPr>
                <w:rFonts w:ascii="Arial" w:cs="Arial" w:eastAsia="Arial" w:hAnsi="Arial"/>
                <w:sz w:val="18"/>
                <w:szCs w:val="18"/>
                <w:color w:val="auto"/>
                <w:w w:val="90"/>
              </w:rPr>
              <w:t>Appointment of Successor Warrant Agent. The Warrant Agent, or any successor to it hereafter</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ninety (90) days after it has been notified in writing of such resignation or incapacity by the Warrant Agent or by the holder of a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authorized under applicable laws to exercise the powers of a transfer agent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71" w:lineRule="exact"/>
        <w:rPr>
          <w:sz w:val="20"/>
          <w:szCs w:val="20"/>
          <w:color w:val="auto"/>
        </w:rPr>
      </w:pPr>
    </w:p>
    <w:p>
      <w:pPr>
        <w:ind w:right="100" w:firstLine="1944"/>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Company’s transfer agent for the shares of Common Stock not later than the effective date of any such appointment.</w:t>
      </w:r>
    </w:p>
    <w:p>
      <w:pPr>
        <w:spacing w:after="0" w:line="184"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6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8.3</w:t>
            </w:r>
          </w:p>
        </w:tc>
        <w:tc>
          <w:tcPr>
            <w:tcW w:w="8120" w:type="dxa"/>
            <w:vAlign w:val="bottom"/>
            <w:gridSpan w:val="4"/>
          </w:tcPr>
          <w:p>
            <w:pPr>
              <w:spacing w:after="0"/>
              <w:rPr>
                <w:sz w:val="20"/>
                <w:szCs w:val="20"/>
                <w:color w:val="auto"/>
              </w:rPr>
            </w:pPr>
            <w:r>
              <w:rPr>
                <w:rFonts w:ascii="Arial" w:cs="Arial" w:eastAsia="Arial" w:hAnsi="Arial"/>
                <w:sz w:val="18"/>
                <w:szCs w:val="18"/>
                <w:color w:val="auto"/>
              </w:rPr>
              <w:t>Fees and Expenses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8.3.1</w:t>
            </w:r>
          </w:p>
        </w:tc>
        <w:tc>
          <w:tcPr>
            <w:tcW w:w="6800" w:type="dxa"/>
            <w:vAlign w:val="bottom"/>
            <w:gridSpan w:val="3"/>
          </w:tcPr>
          <w:p>
            <w:pPr>
              <w:spacing w:after="0"/>
              <w:rPr>
                <w:sz w:val="20"/>
                <w:szCs w:val="20"/>
                <w:color w:val="auto"/>
              </w:rPr>
            </w:pPr>
            <w:r>
              <w:rPr>
                <w:rFonts w:ascii="Arial" w:cs="Arial" w:eastAsia="Arial" w:hAnsi="Arial"/>
                <w:sz w:val="18"/>
                <w:szCs w:val="18"/>
                <w:color w:val="auto"/>
                <w:w w:val="89"/>
              </w:rPr>
              <w:t>Remuneration. The Company agrees to pay the Warrant Agent reasonable remuneration for its</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300"/>
        <w:spacing w:after="0" w:line="308" w:lineRule="auto"/>
        <w:rPr>
          <w:sz w:val="20"/>
          <w:szCs w:val="20"/>
          <w:color w:val="auto"/>
        </w:rPr>
      </w:pPr>
      <w:r>
        <w:rPr>
          <w:rFonts w:ascii="Arial" w:cs="Arial" w:eastAsia="Arial" w:hAnsi="Arial"/>
          <w:sz w:val="17"/>
          <w:szCs w:val="17"/>
          <w:color w:val="auto"/>
        </w:rPr>
        <w:t>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3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40"/>
          </w:cols>
          <w:pgMar w:left="1380" w:top="891" w:right="379" w:bottom="1440" w:gutter="0" w:footer="0" w:header="0"/>
        </w:sectPr>
      </w:pPr>
    </w:p>
    <w:bookmarkStart w:id="285" w:name="page286"/>
    <w:bookmarkEnd w:id="285"/>
    <w:p>
      <w:pPr>
        <w:ind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6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8.4</w:t>
            </w:r>
          </w:p>
        </w:tc>
        <w:tc>
          <w:tcPr>
            <w:tcW w:w="7580" w:type="dxa"/>
            <w:vAlign w:val="bottom"/>
            <w:gridSpan w:val="4"/>
          </w:tcPr>
          <w:p>
            <w:pPr>
              <w:spacing w:after="0"/>
              <w:rPr>
                <w:sz w:val="20"/>
                <w:szCs w:val="20"/>
                <w:color w:val="auto"/>
              </w:rPr>
            </w:pPr>
            <w:r>
              <w:rPr>
                <w:rFonts w:ascii="Arial" w:cs="Arial" w:eastAsia="Arial" w:hAnsi="Arial"/>
                <w:sz w:val="18"/>
                <w:szCs w:val="18"/>
                <w:color w:val="auto"/>
              </w:rPr>
              <w:t>Liability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8.4.1</w:t>
            </w:r>
          </w:p>
        </w:tc>
        <w:tc>
          <w:tcPr>
            <w:tcW w:w="6260" w:type="dxa"/>
            <w:vAlign w:val="bottom"/>
            <w:gridSpan w:val="3"/>
          </w:tcPr>
          <w:p>
            <w:pPr>
              <w:spacing w:after="0"/>
              <w:rPr>
                <w:sz w:val="20"/>
                <w:szCs w:val="20"/>
                <w:color w:val="auto"/>
              </w:rPr>
            </w:pPr>
            <w:r>
              <w:rPr>
                <w:rFonts w:ascii="Arial" w:cs="Arial" w:eastAsia="Arial" w:hAnsi="Arial"/>
                <w:sz w:val="18"/>
                <w:szCs w:val="18"/>
                <w:color w:val="auto"/>
                <w:w w:val="90"/>
              </w:rPr>
              <w:t>Reliance on Company Statement. Whenever in the performance of its duties under this</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Chairman of the Board, Chief Executive Officer, Chief Financial Officer, the President or the Secretary or other principal officer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or its representatives’, gross negligence, willful misconduct, bad faith or material breach of this Agreement.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or its representatives’, gross negligence, willful misconduct, bad faith or material breach of this Agreement.</w:t>
      </w:r>
    </w:p>
    <w:p>
      <w:pPr>
        <w:spacing w:after="0" w:line="188"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200" w:lineRule="exact"/>
        <w:rPr>
          <w:sz w:val="20"/>
          <w:szCs w:val="20"/>
          <w:color w:val="auto"/>
        </w:rPr>
      </w:pPr>
    </w:p>
    <w:p>
      <w:pPr>
        <w:spacing w:after="0" w:line="2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380" w:top="908" w:right="419" w:bottom="1440" w:gutter="0" w:footer="0" w:header="0"/>
        </w:sectPr>
      </w:pPr>
    </w:p>
    <w:bookmarkStart w:id="286" w:name="page287"/>
    <w:bookmarkEnd w:id="286"/>
    <w:p>
      <w:pPr>
        <w:ind w:left="660" w:right="80"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3" w:lineRule="exact"/>
        <w:rPr>
          <w:sz w:val="20"/>
          <w:szCs w:val="20"/>
          <w:color w:val="auto"/>
        </w:rPr>
      </w:pPr>
    </w:p>
    <w:p>
      <w:pPr>
        <w:ind w:left="660" w:firstLine="1296"/>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7" w:lineRule="exact"/>
        <w:rPr>
          <w:sz w:val="20"/>
          <w:szCs w:val="20"/>
          <w:color w:val="auto"/>
        </w:rPr>
      </w:pPr>
    </w:p>
    <w:p>
      <w:pPr>
        <w:ind w:left="1600" w:hanging="944"/>
        <w:spacing w:after="0"/>
        <w:tabs>
          <w:tab w:leader="none" w:pos="16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9.1</w:t>
            </w:r>
          </w:p>
        </w:tc>
        <w:tc>
          <w:tcPr>
            <w:tcW w:w="8360" w:type="dxa"/>
            <w:vAlign w:val="bottom"/>
            <w:gridSpan w:val="3"/>
          </w:tcPr>
          <w:p>
            <w:pPr>
              <w:spacing w:after="0"/>
              <w:rPr>
                <w:sz w:val="20"/>
                <w:szCs w:val="20"/>
                <w:color w:val="auto"/>
              </w:rPr>
            </w:pPr>
            <w:r>
              <w:rPr>
                <w:rFonts w:ascii="Arial" w:cs="Arial" w:eastAsia="Arial" w:hAnsi="Arial"/>
                <w:sz w:val="18"/>
                <w:szCs w:val="18"/>
                <w:color w:val="auto"/>
                <w:w w:val="90"/>
              </w:rPr>
              <w:t>Successors. All the covenants and provisions of this Agreement by or for the benefit of the Company or the Warrant</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37"/>
        </w:trPr>
        <w:tc>
          <w:tcPr>
            <w:tcW w:w="10500" w:type="dxa"/>
            <w:vAlign w:val="bottom"/>
            <w:gridSpan w:val="4"/>
          </w:tcPr>
          <w:p>
            <w:pPr>
              <w:spacing w:after="0"/>
              <w:rPr>
                <w:sz w:val="20"/>
                <w:szCs w:val="20"/>
                <w:color w:val="auto"/>
              </w:rPr>
            </w:pPr>
            <w:r>
              <w:rPr>
                <w:rFonts w:ascii="Arial" w:cs="Arial" w:eastAsia="Arial" w:hAnsi="Arial"/>
                <w:sz w:val="18"/>
                <w:szCs w:val="18"/>
                <w:color w:val="auto"/>
              </w:rPr>
              <w:t>Agent shall bind and inure to the benefit of their respective successors and assigns.</w:t>
            </w:r>
          </w:p>
        </w:tc>
      </w:tr>
      <w:tr>
        <w:trPr>
          <w:trHeight w:val="392"/>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9.2</w:t>
            </w:r>
          </w:p>
        </w:tc>
        <w:tc>
          <w:tcPr>
            <w:tcW w:w="8360" w:type="dxa"/>
            <w:vAlign w:val="bottom"/>
            <w:gridSpan w:val="3"/>
          </w:tcPr>
          <w:p>
            <w:pPr>
              <w:spacing w:after="0"/>
              <w:rPr>
                <w:sz w:val="20"/>
                <w:szCs w:val="20"/>
                <w:color w:val="auto"/>
              </w:rPr>
            </w:pPr>
            <w:r>
              <w:rPr>
                <w:rFonts w:ascii="Arial" w:cs="Arial" w:eastAsia="Arial" w:hAnsi="Arial"/>
                <w:sz w:val="18"/>
                <w:szCs w:val="18"/>
                <w:color w:val="auto"/>
                <w:w w:val="91"/>
              </w:rPr>
              <w:t>Notices. Any notice, statement or demand authorized by this Agreement to be given or made by the Warrant Agent</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right="140"/>
        <w:spacing w:after="0" w:line="263" w:lineRule="auto"/>
        <w:rPr>
          <w:sz w:val="20"/>
          <w:szCs w:val="20"/>
          <w:color w:val="auto"/>
        </w:rPr>
      </w:pPr>
      <w:r>
        <w:rPr>
          <w:rFonts w:ascii="Arial" w:cs="Arial" w:eastAsia="Arial" w:hAnsi="Arial"/>
          <w:sz w:val="18"/>
          <w:szCs w:val="18"/>
          <w:color w:val="auto"/>
        </w:rPr>
        <w:t>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Jay Taragin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Raphael M. Russo</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7" w:name="page288"/>
    <w:bookmarkEnd w:id="287"/>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Joel L. Rubinstein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right="160" w:firstLine="1296"/>
        <w:spacing w:after="0" w:line="25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City of New York, County of New York,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95" w:lineRule="exact"/>
        <w:rPr>
          <w:sz w:val="20"/>
          <w:szCs w:val="20"/>
          <w:color w:val="auto"/>
        </w:rPr>
      </w:pPr>
    </w:p>
    <w:p>
      <w:pPr>
        <w:jc w:val="both"/>
        <w:ind w:left="660" w:right="240" w:firstLine="1296"/>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Compliance and Confidentiality</w:t>
      </w:r>
      <w:r>
        <w:rPr>
          <w:rFonts w:ascii="Arial" w:cs="Arial" w:eastAsia="Arial" w:hAnsi="Arial"/>
          <w:sz w:val="17"/>
          <w:szCs w:val="17"/>
          <w:color w:val="auto"/>
        </w:rPr>
        <w:t>. The Warrant Agent shall perform its duties under this Agreement in compliance with all applicable laws and keep confidential all information relating to this Agreement and, except as required by applicable law, shall not use such information for any purpose other than the performance of the Warrant Agent’s obligations under this Agreement.</w:t>
      </w:r>
    </w:p>
    <w:p>
      <w:pPr>
        <w:spacing w:after="0" w:line="165" w:lineRule="exact"/>
        <w:rPr>
          <w:sz w:val="20"/>
          <w:szCs w:val="20"/>
          <w:color w:val="auto"/>
        </w:rPr>
      </w:pPr>
    </w:p>
    <w:p>
      <w:pPr>
        <w:ind w:left="660" w:right="140" w:firstLine="1296"/>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jc w:val="both"/>
        <w:ind w:left="660" w:right="240" w:firstLine="1296"/>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ind w:left="660" w:firstLine="1296"/>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8" w:name="page289"/>
    <w:bookmarkEnd w:id="288"/>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9.8</w:t>
            </w:r>
          </w:p>
        </w:tc>
        <w:tc>
          <w:tcPr>
            <w:tcW w:w="8300" w:type="dxa"/>
            <w:vAlign w:val="bottom"/>
            <w:gridSpan w:val="3"/>
          </w:tcPr>
          <w:p>
            <w:pPr>
              <w:spacing w:after="0"/>
              <w:rPr>
                <w:sz w:val="20"/>
                <w:szCs w:val="20"/>
                <w:color w:val="auto"/>
              </w:rPr>
            </w:pPr>
            <w:r>
              <w:rPr>
                <w:rFonts w:ascii="Arial" w:cs="Arial" w:eastAsia="Arial" w:hAnsi="Arial"/>
                <w:sz w:val="18"/>
                <w:szCs w:val="18"/>
                <w:color w:val="auto"/>
                <w:w w:val="92"/>
              </w:rPr>
              <w:t>Effect of Headings. The section headings herein are for convenience only and are not part of this Agreement and</w:t>
            </w:r>
          </w:p>
        </w:tc>
      </w:tr>
      <w:tr>
        <w:trPr>
          <w:trHeight w:val="20"/>
        </w:trPr>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0440" w:type="dxa"/>
            <w:vAlign w:val="bottom"/>
            <w:gridSpan w:val="4"/>
          </w:tcPr>
          <w:p>
            <w:pPr>
              <w:spacing w:after="0"/>
              <w:rPr>
                <w:sz w:val="20"/>
                <w:szCs w:val="20"/>
                <w:color w:val="auto"/>
              </w:rPr>
            </w:pPr>
            <w:r>
              <w:rPr>
                <w:rFonts w:ascii="Arial" w:cs="Arial" w:eastAsia="Arial" w:hAnsi="Arial"/>
                <w:sz w:val="18"/>
                <w:szCs w:val="18"/>
                <w:color w:val="auto"/>
              </w:rPr>
              <w:t>shall not affect the interpretation thereof.</w:t>
            </w:r>
          </w:p>
        </w:tc>
      </w:tr>
      <w:tr>
        <w:trPr>
          <w:trHeight w:val="391"/>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9.9</w:t>
            </w:r>
          </w:p>
        </w:tc>
        <w:tc>
          <w:tcPr>
            <w:tcW w:w="8300" w:type="dxa"/>
            <w:vAlign w:val="bottom"/>
            <w:gridSpan w:val="3"/>
          </w:tcPr>
          <w:p>
            <w:pPr>
              <w:spacing w:after="0"/>
              <w:rPr>
                <w:sz w:val="20"/>
                <w:szCs w:val="20"/>
                <w:color w:val="auto"/>
              </w:rPr>
            </w:pPr>
            <w:r>
              <w:rPr>
                <w:rFonts w:ascii="Arial" w:cs="Arial" w:eastAsia="Arial" w:hAnsi="Arial"/>
                <w:sz w:val="18"/>
                <w:szCs w:val="18"/>
                <w:color w:val="auto"/>
                <w:w w:val="89"/>
              </w:rPr>
              <w:t>Amendments. This Agreement may be amended by the parties hereto without the consent of any Registered Holder</w:t>
            </w:r>
          </w:p>
        </w:tc>
      </w:tr>
      <w:tr>
        <w:trPr>
          <w:trHeight w:val="20"/>
        </w:trPr>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 xml:space="preserve">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50% of the number of then outstanding Private Placement Warrants. Notwithstanding the foregoing, the Company may lower the Warrant Price or extend the duration of the Exercise Period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respectively, without the consent of the Registered Holders.</w:t>
      </w:r>
    </w:p>
    <w:p>
      <w:pPr>
        <w:spacing w:after="0" w:line="192" w:lineRule="exact"/>
        <w:rPr>
          <w:sz w:val="20"/>
          <w:szCs w:val="20"/>
          <w:color w:val="auto"/>
        </w:rPr>
      </w:pPr>
    </w:p>
    <w:p>
      <w:pPr>
        <w:ind w:left="660" w:right="120" w:firstLine="1296"/>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Legend — Private Placement Warrants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WARRANT SHALL BE NULL AND VOID IF NOT EXERCISED PRIOR TO THE EXPIRATION OF THE EXERCISE PERIOD PROVIDED FOR IN THE WARRANT AGREEMENT DESCRIBED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CUSIP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color w:val="auto"/>
        </w:rPr>
        <w:t>Warrants</w:t>
      </w:r>
      <w:r>
        <w:rPr>
          <w:rFonts w:ascii="Arial" w:cs="Arial" w:eastAsia="Arial" w:hAnsi="Arial"/>
          <w:sz w:val="17"/>
          <w:szCs w:val="17"/>
          <w:color w:val="auto"/>
        </w:rPr>
        <w:t>” and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to purchase shares of Class A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Churchill Capital Corp IV,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shares of Common Stock as set forth below, at the exercise price (the “</w:t>
      </w:r>
      <w:r>
        <w:rPr>
          <w:rFonts w:ascii="Arial" w:cs="Arial" w:eastAsia="Arial" w:hAnsi="Arial"/>
          <w:sz w:val="17"/>
          <w:szCs w:val="17"/>
          <w:b w:val="1"/>
          <w:bCs w:val="1"/>
          <w:color w:val="auto"/>
        </w:rPr>
        <w:t>Warrant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share of Common Stock. No fractional shares will be issued upon exercise of any Warrant. If, upon the exercise of Warrants, a holder would be entitled to receive a fractional interest in a share of Common Stock, the Company will, upon exercise, round down to the nearest whole number of the number of shares of Common Stock to be issued to the holder. The number of shares of Common Stock issuable upon exercise of the Warrants is subject to adjustment upon the occurrence of certain events as set forth in the Warrant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1" w:name="page292"/>
    <w:bookmarkEnd w:id="291"/>
    <w:p>
      <w:pPr>
        <w:ind w:right="340"/>
        <w:spacing w:after="0" w:line="277" w:lineRule="auto"/>
        <w:rPr>
          <w:sz w:val="20"/>
          <w:szCs w:val="20"/>
          <w:color w:val="auto"/>
        </w:rPr>
      </w:pPr>
      <w:r>
        <w:rPr>
          <w:rFonts w:ascii="Arial" w:cs="Arial" w:eastAsia="Arial" w:hAnsi="Arial"/>
          <w:sz w:val="18"/>
          <w:szCs w:val="18"/>
          <w:color w:val="auto"/>
        </w:rPr>
        <w:t>The initial Warrant Price per share of Common Stock for any Warrant is equal to $11.50 per share. The Warrant Price is subject to adjustment upon the occurrence of certain events as set forth in the Warrant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null and void. The Warrants may be redeemed, subject to certain conditions, as set forth in the Warrant Agreement.</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jc w:val="both"/>
        <w:ind w:right="440"/>
        <w:spacing w:after="0" w:line="287"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 of Common Stock and are issued or to be issued pursuant to a Warrant Agreement dated as of , 2020 (the “</w:t>
      </w:r>
      <w:r>
        <w:rPr>
          <w:rFonts w:ascii="Arial" w:cs="Arial" w:eastAsia="Arial" w:hAnsi="Arial"/>
          <w:sz w:val="16"/>
          <w:szCs w:val="16"/>
          <w:b w:val="1"/>
          <w:bCs w:val="1"/>
          <w:color w:val="auto"/>
        </w:rPr>
        <w:t>Warrant Agreement</w:t>
      </w:r>
      <w:r>
        <w:rPr>
          <w:rFonts w:ascii="Arial" w:cs="Arial" w:eastAsia="Arial" w:hAnsi="Arial"/>
          <w:sz w:val="16"/>
          <w:szCs w:val="16"/>
          <w:color w:val="auto"/>
        </w:rPr>
        <w:t>”), duly executed and delivered by the Company to Continental Stock Transfer &amp; Trust Company, a New York corporation, as warrant agent (or successor warrant agent)</w:t>
      </w:r>
    </w:p>
    <w:p>
      <w:pPr>
        <w:spacing w:after="0" w:line="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Warrant Agent</w:t>
      </w:r>
      <w:r>
        <w:rPr>
          <w:rFonts w:ascii="Arial" w:cs="Arial" w:eastAsia="Arial" w:hAnsi="Arial"/>
          <w:sz w:val="17"/>
          <w:szCs w:val="17"/>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7"/>
          <w:szCs w:val="17"/>
          <w:b w:val="1"/>
          <w:bCs w:val="1"/>
          <w:color w:val="auto"/>
        </w:rPr>
        <w:t>holders</w:t>
      </w:r>
      <w:r>
        <w:rPr>
          <w:rFonts w:ascii="Arial" w:cs="Arial" w:eastAsia="Arial" w:hAnsi="Arial"/>
          <w:sz w:val="17"/>
          <w:szCs w:val="17"/>
          <w:color w:val="auto"/>
        </w:rPr>
        <w:t>” or “</w:t>
      </w:r>
      <w:r>
        <w:rPr>
          <w:rFonts w:ascii="Arial" w:cs="Arial" w:eastAsia="Arial" w:hAnsi="Arial"/>
          <w:sz w:val="17"/>
          <w:szCs w:val="17"/>
          <w:b w:val="1"/>
          <w:bCs w:val="1"/>
          <w:color w:val="auto"/>
        </w:rPr>
        <w:t>holder</w:t>
      </w:r>
      <w:r>
        <w:rPr>
          <w:rFonts w:ascii="Arial" w:cs="Arial" w:eastAsia="Arial" w:hAnsi="Arial"/>
          <w:sz w:val="17"/>
          <w:szCs w:val="17"/>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designated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and (ii) a prospectus thereunder relating to the shares of Common Stock is current, except through “cashless exercise” as provided for in the Warrant Agreement.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Common Stock issuable upon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Warrant Certificates, when surrendered at the designated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3" w:name="page294"/>
    <w:bookmarkEnd w:id="293"/>
    <w:p>
      <w:pPr>
        <w:jc w:val="both"/>
        <w:ind w:right="22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third-party charges imposed in connection therewith.</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8" w:right="71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and herewith tenders payment for such shares of Common Stock to the order of Churchill Capital Corp IV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$__________ in</w:t>
      </w:r>
    </w:p>
    <w:p>
      <w:pPr>
        <w:spacing w:after="0"/>
        <w:rPr>
          <w:sz w:val="20"/>
          <w:szCs w:val="20"/>
          <w:color w:val="auto"/>
        </w:rPr>
      </w:pPr>
      <w:r>
        <w:rPr>
          <w:rFonts w:ascii="Arial" w:cs="Arial" w:eastAsia="Arial" w:hAnsi="Arial"/>
          <w:sz w:val="16"/>
          <w:szCs w:val="16"/>
          <w:color w:val="auto"/>
        </w:rPr>
        <w:t>accordance with the terms hereof. The undersigned requests that a certificate for such shares of Common Stock be registered in the name of 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whose address is _______________________ and that such shares of Common Stock be delivered to 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 If said number of shares of Common Stock is less than all of the shares of Common Stock purchasable hereunder,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undersigned requests that a new Warrant Certificate representing the remaining balance of such shares of Common Stock be registered in the name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 whose address is ________________, and that such Warrant Certificate be delivered to __________,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 Warrant Certificate representing the remaining balance of such shares of Common Stock be registered in the name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whose address is ___________, and that such Warrant Certificate be delivered to ____________, whose address is ______________.</w:t>
      </w:r>
    </w:p>
    <w:p>
      <w:pPr>
        <w:spacing w:after="0" w:line="234"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center"/>
        <w:ind w:right="-9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CHURCHILL CAPITAL CORP IV (THE “COMPANY”), CHURCHILL SPONSOR IV LLC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SECURITIES EVIDENCED BY THIS CERTIFICATE AND SHARES OF COMMON STOCK OF THE COMPANY ISSUED UPON EXERCISE OF SUCH SECURITIES SHALL BE ENTITLED TO REGISTRATION RIGHTS UNDER A REGISTRATION RIGHTS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720840" cy="48177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20840"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CIK No. 0001811210</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1296"/>
        <w:spacing w:after="0" w:line="271" w:lineRule="auto"/>
        <w:rPr>
          <w:sz w:val="20"/>
          <w:szCs w:val="20"/>
          <w:color w:val="auto"/>
        </w:rPr>
      </w:pPr>
      <w:r>
        <w:rPr>
          <w:rFonts w:ascii="Arial" w:cs="Arial" w:eastAsia="Arial" w:hAnsi="Arial"/>
          <w:sz w:val="17"/>
          <w:szCs w:val="17"/>
          <w:color w:val="auto"/>
        </w:rPr>
        <w:t>We have acted as special counsel to Churchill Capital Corp IV,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the Company, filed with the Securities and Exchange Commission pursuant to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thereunder (the “</w:t>
      </w:r>
      <w:r>
        <w:rPr>
          <w:rFonts w:ascii="Arial" w:cs="Arial" w:eastAsia="Arial" w:hAnsi="Arial"/>
          <w:sz w:val="17"/>
          <w:szCs w:val="17"/>
          <w:u w:val="single" w:color="auto"/>
          <w:color w:val="auto"/>
        </w:rPr>
        <w:t>Rules</w:t>
      </w:r>
      <w:r>
        <w:rPr>
          <w:rFonts w:ascii="Arial" w:cs="Arial" w:eastAsia="Arial" w:hAnsi="Arial"/>
          <w:sz w:val="17"/>
          <w:szCs w:val="17"/>
          <w:color w:val="auto"/>
        </w:rPr>
        <w:t>”). You have asked us to furnish our opinion as to the legality of the securities being registered under the Registration Statement. The Registration Statement relates to the registration under the Act of (i) 115,000,000 units (the “</w:t>
      </w:r>
      <w:r>
        <w:rPr>
          <w:rFonts w:ascii="Arial" w:cs="Arial" w:eastAsia="Arial" w:hAnsi="Arial"/>
          <w:sz w:val="17"/>
          <w:szCs w:val="17"/>
          <w:u w:val="single" w:color="auto"/>
          <w:color w:val="auto"/>
        </w:rPr>
        <w:t>Units</w:t>
      </w:r>
      <w:r>
        <w:rPr>
          <w:rFonts w:ascii="Arial" w:cs="Arial" w:eastAsia="Arial" w:hAnsi="Arial"/>
          <w:sz w:val="17"/>
          <w:szCs w:val="17"/>
          <w:color w:val="auto"/>
        </w:rPr>
        <w:t>”) of the Company (including Units issuable by the Company upon exercise of the underwriters’ over-allotment option), each such unit consisting of one share of the Company’s Class A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one-fifth of one warrant of the Company (each whole warrant, a “</w:t>
      </w:r>
      <w:r>
        <w:rPr>
          <w:rFonts w:ascii="Arial" w:cs="Arial" w:eastAsia="Arial" w:hAnsi="Arial"/>
          <w:sz w:val="17"/>
          <w:szCs w:val="17"/>
          <w:u w:val="single" w:color="auto"/>
          <w:color w:val="auto"/>
        </w:rPr>
        <w:t>Warrant</w:t>
      </w:r>
      <w:r>
        <w:rPr>
          <w:rFonts w:ascii="Arial" w:cs="Arial" w:eastAsia="Arial" w:hAnsi="Arial"/>
          <w:sz w:val="17"/>
          <w:szCs w:val="17"/>
          <w:color w:val="auto"/>
        </w:rPr>
        <w:t>”) to purchase a share of Common Stock and (ii) all shares of Common Stock (the “</w:t>
      </w:r>
      <w:r>
        <w:rPr>
          <w:rFonts w:ascii="Arial" w:cs="Arial" w:eastAsia="Arial" w:hAnsi="Arial"/>
          <w:sz w:val="17"/>
          <w:szCs w:val="17"/>
          <w:u w:val="single" w:color="auto"/>
          <w:color w:val="auto"/>
        </w:rPr>
        <w:t>Unit Shares</w:t>
      </w:r>
      <w:r>
        <w:rPr>
          <w:rFonts w:ascii="Arial" w:cs="Arial" w:eastAsia="Arial" w:hAnsi="Arial"/>
          <w:sz w:val="17"/>
          <w:szCs w:val="17"/>
          <w:color w:val="auto"/>
        </w:rPr>
        <w:t>”) and all Warrants issued as part of the Units, as specified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8" w:name="page299"/>
    <w:bookmarkEnd w:id="298"/>
    <w:p>
      <w:pPr>
        <w:ind w:right="780" w:firstLine="129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200525" cy="1797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4200525" cy="179705"/>
                    </a:xfrm>
                    <a:prstGeom prst="rect">
                      <a:avLst/>
                    </a:prstGeom>
                    <a:noFill/>
                  </pic:spPr>
                </pic:pic>
              </a:graphicData>
            </a:graphic>
          </wp:anchor>
        </w:drawing>
        <w:t>In connection with the furnishing of this opinion, we have examined originals, or copies certified or otherwise identified to our satisfaction, of the following documents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170" w:lineRule="exact"/>
        <w:rPr>
          <w:sz w:val="20"/>
          <w:szCs w:val="20"/>
          <w:color w:val="auto"/>
        </w:rPr>
      </w:pPr>
    </w:p>
    <w:p>
      <w:pPr>
        <w:ind w:left="1700" w:hanging="396"/>
        <w:spacing w:after="0"/>
        <w:tabs>
          <w:tab w:leader="none" w:pos="1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firstLine="1304"/>
        <w:spacing w:after="0" w:line="277" w:lineRule="auto"/>
        <w:tabs>
          <w:tab w:leader="none" w:pos="17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form of the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proposed to be entered into between the Company and the underwriters named in the Registration Statement;</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Specimen Unit Certificate, included as Exhibit 4.1 to the Registration Statement;</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Specimen Class A Common Stock Certificate, included as Exhibit 4.2 to the Registration Statement;</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Specimen Warrant Certificate, included as Exhibit 4.3 to the Registration Statement;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form of warrant agreement proposed to be entered into by and between Continental Stock Transfer &amp; Trust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and the Company, included as Exhibit 4.4 to the Registration Statement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99" w:name="page300"/>
    <w:bookmarkEnd w:id="29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200525" cy="179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4200525" cy="179705"/>
                    </a:xfrm>
                    <a:prstGeom prst="rect">
                      <a:avLst/>
                    </a:prstGeom>
                    <a:noFill/>
                  </pic:spPr>
                </pic:pic>
              </a:graphicData>
            </a:graphic>
          </wp:anchor>
        </w:drawing>
      </w:r>
    </w:p>
    <w:p>
      <w:pPr>
        <w:ind w:right="100" w:firstLine="1296"/>
        <w:spacing w:after="0" w:line="287" w:lineRule="auto"/>
        <w:rPr>
          <w:sz w:val="20"/>
          <w:szCs w:val="20"/>
          <w:color w:val="auto"/>
        </w:rPr>
      </w:pPr>
      <w:r>
        <w:rPr>
          <w:rFonts w:ascii="Arial" w:cs="Arial" w:eastAsia="Arial" w:hAnsi="Arial"/>
          <w:sz w:val="16"/>
          <w:szCs w:val="16"/>
          <w:color w:val="auto"/>
        </w:rPr>
        <w:t>In addition, we have examined (i) such corporate records of the Company that we have considered appropriate, including a copy of the certificate of incorporation, as amended, and by-laws, of the Company, certified by the Company as in effect on the date of this letter and copies of resolutions of the board of directors of the Company relating to the issuance of the Units, Unit Shares and the Warrants, certified by the Company and</w:t>
      </w:r>
    </w:p>
    <w:p>
      <w:pPr>
        <w:spacing w:after="0" w:line="2" w:lineRule="exact"/>
        <w:rPr>
          <w:sz w:val="20"/>
          <w:szCs w:val="20"/>
          <w:color w:val="auto"/>
        </w:rPr>
      </w:pPr>
    </w:p>
    <w:p>
      <w:pPr>
        <w:ind w:right="180" w:firstLine="8"/>
        <w:spacing w:after="0" w:line="255" w:lineRule="auto"/>
        <w:tabs>
          <w:tab w:leader="none" w:pos="2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other certificates, agreements and documents that we deemed relevant and necessary as a basis for the opinions expressed below. We have also relied upon the factual matters contained in the representations and warranties of the Company made in the Documents and upon certificates of public officials and the officers of the Company.</w:t>
      </w:r>
    </w:p>
    <w:p>
      <w:pPr>
        <w:spacing w:after="0" w:line="190"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225" w:lineRule="exact"/>
        <w:rPr>
          <w:sz w:val="20"/>
          <w:szCs w:val="20"/>
          <w:color w:val="auto"/>
        </w:rPr>
      </w:pPr>
    </w:p>
    <w:p>
      <w:pPr>
        <w:ind w:right="80" w:firstLine="1304"/>
        <w:spacing w:after="0" w:line="257" w:lineRule="auto"/>
        <w:tabs>
          <w:tab w:leader="none" w:pos="178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Units, when duly issued, delivered and paid for as contemplated in the Registration Statement and in accordance with the terms of the Underwriting Agreement, and assuming the due authorization, execution and delivery thereof by Continental Stock Transfer &amp; Trust Company, as transfer agent, will constitute the legal, valid and binding obligations of the Company, enforceable against the Company in accordance with their terms, except that the enforceability of the Units may be subject to bankruptcy, insolvency, reorganization, fraudulent conveyance or transfer, moratorium or similar laws affecting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00" w:name="page301"/>
    <w:bookmarkEnd w:id="300"/>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200525" cy="1797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4200525" cy="179705"/>
                    </a:xfrm>
                    <a:prstGeom prst="rect">
                      <a:avLst/>
                    </a:prstGeom>
                    <a:noFill/>
                  </pic:spPr>
                </pic:pic>
              </a:graphicData>
            </a:graphic>
          </wp:anchor>
        </w:drawing>
      </w:r>
    </w:p>
    <w:p>
      <w:pPr>
        <w:ind w:left="-1120" w:right="220" w:firstLine="1304"/>
        <w:spacing w:after="0" w:line="263" w:lineRule="auto"/>
        <w:tabs>
          <w:tab w:leader="none" w:pos="62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Unit Shares have been duly authorized by all necessary corporate action on the part of the Company and, when the Units are duly issued, delivered and paid for as contemplated in the Registration Statement and in accordance with the terms of the Underwriting Agreement, the Unit Shares will be validly issued, fully paid and non-assessable.</w:t>
      </w:r>
    </w:p>
    <w:p>
      <w:pPr>
        <w:spacing w:after="0" w:line="183" w:lineRule="exact"/>
        <w:rPr>
          <w:rFonts w:ascii="Arial" w:cs="Arial" w:eastAsia="Arial" w:hAnsi="Arial"/>
          <w:sz w:val="18"/>
          <w:szCs w:val="18"/>
          <w:color w:val="auto"/>
        </w:rPr>
      </w:pPr>
    </w:p>
    <w:p>
      <w:pPr>
        <w:ind w:left="-1120" w:firstLine="1304"/>
        <w:spacing w:after="0" w:line="253" w:lineRule="auto"/>
        <w:tabs>
          <w:tab w:leader="none" w:pos="62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Warrants included in the Units, when the Units are duly issued, delivered and paid for as contemplated in the Registration Statement and in accordance with the terms of the Underwriting Agreement and the Warrant Agreement, and assuming the due authorization, execution and delivery of the Warrants by the Warrant Agent, will constitute the legal, valid and binding obligations of the Company, enforceable against the Company in accordance with their terms, except that (i) the enforceability of the Warrants may be subject to bankruptcy, insolvency, reorganization, fraudulent conveyance or transfer, moratorium or similar laws affecting creditors’ rights generally, possible judicial action and general principles of equity (regardless of whether enforceability is considered in a proceeding in equity or at law) and (ii) we express no opinion as to the validity, legally binding effect or enforceability of the second proviso in Section 4.4 of the Warrant Agreement or any related provision in the Warrants that requires or relates to adjustments to the conversion rate in an amount that a court would determine in the circumstances under applicable law to be commercially unreasonable or a penalty or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425450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01" w:name="page302"/>
    <w:bookmarkEnd w:id="30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200525"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4200525" cy="179705"/>
                    </a:xfrm>
                    <a:prstGeom prst="rect">
                      <a:avLst/>
                    </a:prstGeom>
                    <a:noFill/>
                  </pic:spPr>
                </pic:pic>
              </a:graphicData>
            </a:graphic>
          </wp:anchor>
        </w:drawing>
      </w:r>
    </w:p>
    <w:p>
      <w:pPr>
        <w:ind w:right="580" w:firstLine="1296"/>
        <w:spacing w:after="0" w:line="342" w:lineRule="auto"/>
        <w:rPr>
          <w:sz w:val="20"/>
          <w:szCs w:val="20"/>
          <w:color w:val="auto"/>
        </w:rPr>
      </w:pPr>
      <w:r>
        <w:rPr>
          <w:rFonts w:ascii="Arial" w:cs="Arial" w:eastAsia="Arial" w:hAnsi="Arial"/>
          <w:sz w:val="16"/>
          <w:szCs w:val="16"/>
          <w:color w:val="auto"/>
        </w:rPr>
        <w:t>The opinions expressed above are limited to the laws of the State of New York and the General Corporation Law of the State of Delaware. Our opinion is rendered only with respect to the laws, and the rules, regulations and orders under those laws, that are currently in effect.</w:t>
      </w:r>
    </w:p>
    <w:p>
      <w:pPr>
        <w:spacing w:after="0" w:line="124"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Exhibit 10.1</w:t>
      </w:r>
    </w:p>
    <w:p>
      <w:pPr>
        <w:spacing w:after="0" w:line="19"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EXECUTION VERSION</w:t>
      </w:r>
    </w:p>
    <w:p>
      <w:pPr>
        <w:spacing w:after="0" w:line="209"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Up to $600,000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Dated as of May 13, 2020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8660" w:space="720"/>
            <w:col w:w="1860"/>
          </w:cols>
          <w:pgMar w:left="320" w:top="355" w:right="339" w:bottom="1440" w:gutter="0" w:footer="0" w:header="0"/>
          <w:type w:val="continuous"/>
        </w:sectPr>
      </w:pPr>
    </w:p>
    <w:p>
      <w:pPr>
        <w:spacing w:after="0" w:line="223" w:lineRule="exact"/>
        <w:rPr>
          <w:sz w:val="20"/>
          <w:szCs w:val="20"/>
          <w:color w:val="auto"/>
        </w:rPr>
      </w:pPr>
    </w:p>
    <w:p>
      <w:pPr>
        <w:ind w:firstLine="1296"/>
        <w:spacing w:after="0" w:line="258" w:lineRule="auto"/>
        <w:rPr>
          <w:sz w:val="20"/>
          <w:szCs w:val="20"/>
          <w:color w:val="auto"/>
        </w:rPr>
      </w:pPr>
      <w:r>
        <w:rPr>
          <w:rFonts w:ascii="Arial" w:cs="Arial" w:eastAsia="Arial" w:hAnsi="Arial"/>
          <w:sz w:val="18"/>
          <w:szCs w:val="18"/>
          <w:color w:val="auto"/>
        </w:rPr>
        <w:t>Annetta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Annetta Sponsor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Six Hundred Thousand Dollars ($600,000)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ind w:right="20" w:firstLine="1304"/>
        <w:spacing w:after="0" w:line="261" w:lineRule="auto"/>
        <w:tabs>
          <w:tab w:leader="none" w:pos="22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December 31, 2021 or (ii)</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Maker 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ind w:right="100" w:firstLine="1304"/>
        <w:spacing w:after="0" w:line="291" w:lineRule="auto"/>
        <w:tabs>
          <w:tab w:leader="none" w:pos="2240"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Drawdown Requests. </w:t>
      </w:r>
      <w:r>
        <w:rPr>
          <w:rFonts w:ascii="Arial" w:cs="Arial" w:eastAsia="Arial" w:hAnsi="Arial"/>
          <w:sz w:val="16"/>
          <w:szCs w:val="16"/>
          <w:color w:val="auto"/>
        </w:rPr>
        <w:t>Maker and Payee agree that Maker may request up to Six Hundred Thousand Dollars ($600,000) for</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reasonably related to Maker’s initial public offering of its securities. The principal of this Note may be drawn down from time to time prior to the earlier of: (i) December 31, 2021 or (ii) the date on which Maker consummates an initial public offering of its securities, upon written request from Maker to Payee (each, a “</w:t>
      </w:r>
      <w:r>
        <w:rPr>
          <w:rFonts w:ascii="Arial" w:cs="Arial" w:eastAsia="Arial" w:hAnsi="Arial"/>
          <w:sz w:val="16"/>
          <w:szCs w:val="16"/>
          <w:b w:val="1"/>
          <w:bCs w:val="1"/>
          <w:color w:val="auto"/>
        </w:rPr>
        <w:t>Drawdown Request</w:t>
      </w:r>
      <w:r>
        <w:rPr>
          <w:rFonts w:ascii="Arial" w:cs="Arial" w:eastAsia="Arial" w:hAnsi="Arial"/>
          <w:sz w:val="16"/>
          <w:szCs w:val="16"/>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Six Hundred Thousand Dollars ($600,000). Once an amount is drawn down under this Note, it shall not be available for future Drawdown Requests even if prepaid. No fees, payments or other amounts shall be due to Payee in connection with, or as a result of, any Drawdown Request by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303" w:name="page304"/>
    <w:bookmarkEnd w:id="303"/>
    <w:p>
      <w:pPr>
        <w:ind w:left="-60" w:right="260" w:firstLine="1304"/>
        <w:spacing w:after="0" w:line="266" w:lineRule="auto"/>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sum due under this 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2180" w:hanging="936"/>
        <w:spacing w:after="0"/>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0" w:right="100" w:firstLine="1952"/>
        <w:spacing w:after="0" w:line="277" w:lineRule="auto"/>
        <w:tabs>
          <w:tab w:leader="none" w:pos="2758"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left="-60" w:firstLine="1952"/>
        <w:spacing w:after="0" w:line="257" w:lineRule="auto"/>
        <w:tabs>
          <w:tab w:leader="none" w:pos="2768"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jc w:val="both"/>
        <w:ind w:left="-60" w:right="160" w:firstLine="1952"/>
        <w:spacing w:after="0" w:line="279" w:lineRule="auto"/>
        <w:tabs>
          <w:tab w:leader="none" w:pos="2758"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Involuntary Bankruptcy, Etc</w:t>
      </w:r>
      <w:r>
        <w:rPr>
          <w:rFonts w:ascii="Arial" w:cs="Arial" w:eastAsia="Arial" w:hAnsi="Arial"/>
          <w:sz w:val="17"/>
          <w:szCs w:val="17"/>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67" w:lineRule="exact"/>
        <w:rPr>
          <w:rFonts w:ascii="Arial" w:cs="Arial" w:eastAsia="Arial" w:hAnsi="Arial"/>
          <w:sz w:val="17"/>
          <w:szCs w:val="17"/>
          <w:color w:val="auto"/>
        </w:rPr>
      </w:pPr>
    </w:p>
    <w:p>
      <w:pPr>
        <w:ind w:left="2180" w:hanging="936"/>
        <w:spacing w:after="0"/>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0" w:right="40" w:firstLine="1952"/>
        <w:spacing w:after="0" w:line="279" w:lineRule="auto"/>
        <w:tabs>
          <w:tab w:leader="none" w:pos="275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auto"/>
        </w:rPr>
      </w:pPr>
    </w:p>
    <w:p>
      <w:pPr>
        <w:jc w:val="both"/>
        <w:ind w:left="-60" w:right="100" w:firstLine="1952"/>
        <w:spacing w:after="0" w:line="263" w:lineRule="auto"/>
        <w:tabs>
          <w:tab w:leader="none" w:pos="276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79" w:lineRule="exact"/>
        <w:rPr>
          <w:rFonts w:ascii="Arial" w:cs="Arial" w:eastAsia="Arial" w:hAnsi="Arial"/>
          <w:sz w:val="18"/>
          <w:szCs w:val="18"/>
          <w:color w:val="auto"/>
        </w:rPr>
      </w:pPr>
    </w:p>
    <w:p>
      <w:pPr>
        <w:ind w:left="-60" w:right="120" w:firstLine="1304"/>
        <w:spacing w:after="0" w:line="294" w:lineRule="auto"/>
        <w:tabs>
          <w:tab w:leader="none" w:pos="2180"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04" w:name="page305"/>
    <w:bookmarkEnd w:id="304"/>
    <w:p>
      <w:pPr>
        <w:ind w:firstLine="1304"/>
        <w:spacing w:after="0" w:line="256" w:lineRule="auto"/>
        <w:tabs>
          <w:tab w:leader="none" w:pos="2240" w:val="left"/>
        </w:tabs>
        <w:numPr>
          <w:ilvl w:val="1"/>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87" w:lineRule="exact"/>
        <w:rPr>
          <w:rFonts w:ascii="Arial" w:cs="Arial" w:eastAsia="Arial" w:hAnsi="Arial"/>
          <w:sz w:val="18"/>
          <w:szCs w:val="18"/>
          <w:color w:val="auto"/>
        </w:rPr>
      </w:pPr>
    </w:p>
    <w:p>
      <w:pPr>
        <w:ind w:left="2240" w:hanging="936"/>
        <w:spacing w:after="0"/>
        <w:tabs>
          <w:tab w:leader="none" w:pos="2240" w:val="left"/>
        </w:tabs>
        <w:numPr>
          <w:ilvl w:val="1"/>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w:t>
      </w:r>
    </w:p>
    <w:p>
      <w:pPr>
        <w:spacing w:after="0" w:line="38" w:lineRule="exact"/>
        <w:rPr>
          <w:rFonts w:ascii="Arial" w:cs="Arial" w:eastAsia="Arial" w:hAnsi="Arial"/>
          <w:sz w:val="17"/>
          <w:szCs w:val="17"/>
          <w:color w:val="auto"/>
        </w:rPr>
      </w:pPr>
    </w:p>
    <w:p>
      <w:pPr>
        <w:ind w:right="40"/>
        <w:spacing w:after="0" w:line="281" w:lineRule="auto"/>
        <w:rPr>
          <w:rFonts w:ascii="Arial" w:cs="Arial" w:eastAsia="Arial" w:hAnsi="Arial"/>
          <w:sz w:val="17"/>
          <w:szCs w:val="17"/>
          <w:color w:val="auto"/>
        </w:rPr>
      </w:pPr>
      <w:r>
        <w:rPr>
          <w:rFonts w:ascii="Arial" w:cs="Arial" w:eastAsia="Arial" w:hAnsi="Arial"/>
          <w:sz w:val="16"/>
          <w:szCs w:val="16"/>
          <w:color w:val="auto"/>
        </w:rPr>
        <w:t>writing and delivered: (i)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w:t>
      </w:r>
    </w:p>
    <w:p>
      <w:pPr>
        <w:spacing w:after="0" w:line="2" w:lineRule="exact"/>
        <w:rPr>
          <w:rFonts w:ascii="Arial" w:cs="Arial" w:eastAsia="Arial" w:hAnsi="Arial"/>
          <w:sz w:val="17"/>
          <w:szCs w:val="17"/>
          <w:color w:val="auto"/>
        </w:rPr>
      </w:pPr>
    </w:p>
    <w:p>
      <w:pPr>
        <w:ind w:left="260" w:hanging="252"/>
        <w:spacing w:after="0"/>
        <w:tabs>
          <w:tab w:leader="none" w:pos="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business day after delivery to an overnight courier service or five (5) days after mailing if sent by mail.</w:t>
      </w:r>
    </w:p>
    <w:p>
      <w:pPr>
        <w:spacing w:after="0" w:line="206" w:lineRule="exact"/>
        <w:rPr>
          <w:rFonts w:ascii="Arial" w:cs="Arial" w:eastAsia="Arial" w:hAnsi="Arial"/>
          <w:sz w:val="18"/>
          <w:szCs w:val="18"/>
          <w:color w:val="auto"/>
        </w:rPr>
      </w:pPr>
    </w:p>
    <w:p>
      <w:pPr>
        <w:ind w:right="260" w:firstLine="1304"/>
        <w:spacing w:after="0" w:line="282" w:lineRule="auto"/>
        <w:tabs>
          <w:tab w:leader="none" w:pos="2241" w:val="left"/>
        </w:tabs>
        <w:numPr>
          <w:ilvl w:val="1"/>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CONFLICT OF LAW PROVISIONS THEREOF.</w:t>
      </w:r>
    </w:p>
    <w:p>
      <w:pPr>
        <w:spacing w:after="0" w:line="161" w:lineRule="exact"/>
        <w:rPr>
          <w:rFonts w:ascii="Arial" w:cs="Arial" w:eastAsia="Arial" w:hAnsi="Arial"/>
          <w:sz w:val="18"/>
          <w:szCs w:val="18"/>
          <w:color w:val="auto"/>
        </w:rPr>
      </w:pPr>
    </w:p>
    <w:p>
      <w:pPr>
        <w:ind w:right="100" w:firstLine="1304"/>
        <w:spacing w:after="0" w:line="289" w:lineRule="auto"/>
        <w:tabs>
          <w:tab w:leader="none" w:pos="2234" w:val="left"/>
        </w:tabs>
        <w:numPr>
          <w:ilvl w:val="1"/>
          <w:numId w:val="212"/>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rFonts w:ascii="Arial" w:cs="Arial" w:eastAsia="Arial" w:hAnsi="Arial"/>
          <w:sz w:val="17"/>
          <w:szCs w:val="17"/>
          <w:color w:val="auto"/>
        </w:rPr>
      </w:pPr>
    </w:p>
    <w:p>
      <w:pPr>
        <w:ind w:right="160" w:firstLine="1304"/>
        <w:spacing w:after="0" w:line="274" w:lineRule="auto"/>
        <w:tabs>
          <w:tab w:leader="none" w:pos="2241" w:val="left"/>
        </w:tabs>
        <w:numPr>
          <w:ilvl w:val="1"/>
          <w:numId w:val="212"/>
        </w:numPr>
        <w:rPr>
          <w:rFonts w:ascii="Arial" w:cs="Arial" w:eastAsia="Arial" w:hAnsi="Arial"/>
          <w:sz w:val="17"/>
          <w:szCs w:val="17"/>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w:t>
      </w:r>
      <w:r>
        <w:rPr>
          <w:rFonts w:ascii="Arial" w:cs="Arial" w:eastAsia="Arial" w:hAnsi="Arial"/>
          <w:sz w:val="17"/>
          <w:szCs w:val="17"/>
          <w:b w:val="1"/>
          <w:bCs w:val="1"/>
          <w:color w:val="auto"/>
        </w:rPr>
        <w:t xml:space="preserve"> </w:t>
      </w:r>
      <w:r>
        <w:rPr>
          <w:rFonts w:ascii="Arial" w:cs="Arial" w:eastAsia="Arial" w:hAnsi="Arial"/>
          <w:sz w:val="17"/>
          <w:szCs w:val="17"/>
          <w:color w:val="auto"/>
        </w:rPr>
        <w:t>claim of any kind (“</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to be established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ind w:left="-60" w:right="340" w:firstLine="1304"/>
        <w:spacing w:after="0" w:line="282" w:lineRule="auto"/>
        <w:tabs>
          <w:tab w:leader="none" w:pos="2181"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Amendment; Waiver</w:t>
      </w:r>
      <w:r>
        <w:rPr>
          <w:rFonts w:ascii="Arial" w:cs="Arial" w:eastAsia="Arial" w:hAnsi="Arial"/>
          <w:sz w:val="18"/>
          <w:szCs w:val="18"/>
          <w:color w:val="auto"/>
        </w:rPr>
        <w:t>. Any amendment hereto or waiver of any provision hereof may be made with, and only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Maker and the Payee.</w:t>
      </w:r>
    </w:p>
    <w:p>
      <w:pPr>
        <w:spacing w:after="0" w:line="161" w:lineRule="exact"/>
        <w:rPr>
          <w:rFonts w:ascii="Arial" w:cs="Arial" w:eastAsia="Arial" w:hAnsi="Arial"/>
          <w:sz w:val="18"/>
          <w:szCs w:val="18"/>
          <w:color w:val="auto"/>
        </w:rPr>
      </w:pPr>
    </w:p>
    <w:p>
      <w:pPr>
        <w:ind w:left="-60" w:firstLine="1304"/>
        <w:spacing w:after="0" w:line="266" w:lineRule="auto"/>
        <w:tabs>
          <w:tab w:leader="none" w:pos="2181"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No assignment or transfer of this Note or any rights or obligations hereunder may be made by any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(by operation of law or otherwise) without the prior written consent of the other party hereto and any attempted assignment without the required consent shall be void.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306" w:name="page307"/>
    <w:bookmarkEnd w:id="306"/>
    <w:p>
      <w:pPr>
        <w:ind w:firstLine="129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and year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ANNETTA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13th day of May,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Jay Taragin</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Authorized Person</w:t>
            </w: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380-7500</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(this “</w:t>
      </w:r>
      <w:r>
        <w:rPr>
          <w:rFonts w:ascii="Arial" w:cs="Arial" w:eastAsia="Arial" w:hAnsi="Arial"/>
          <w:sz w:val="16"/>
          <w:szCs w:val="16"/>
          <w:u w:val="single" w:color="auto"/>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entered into by and among 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Citigroup Global Markets Inc.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relating to an underwritten initial public offering (the “</w:t>
      </w:r>
      <w:r>
        <w:rPr>
          <w:rFonts w:ascii="Arial" w:cs="Arial" w:eastAsia="Arial" w:hAnsi="Arial"/>
          <w:sz w:val="17"/>
          <w:szCs w:val="17"/>
          <w:u w:val="single" w:color="auto"/>
          <w:color w:val="auto"/>
        </w:rPr>
        <w:t>Public Offering</w:t>
      </w:r>
      <w:r>
        <w:rPr>
          <w:rFonts w:ascii="Arial" w:cs="Arial" w:eastAsia="Arial" w:hAnsi="Arial"/>
          <w:sz w:val="17"/>
          <w:szCs w:val="17"/>
          <w:color w:val="auto"/>
        </w:rPr>
        <w:t>”), of 115,000,000 of the Company’s units (including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15,000,000 units that may be purchased to cover over-allotments, if any) (the “</w:t>
      </w:r>
      <w:r>
        <w:rPr>
          <w:rFonts w:ascii="Arial" w:cs="Arial" w:eastAsia="Arial" w:hAnsi="Arial"/>
          <w:sz w:val="16"/>
          <w:szCs w:val="16"/>
          <w:u w:val="single" w:color="auto"/>
          <w:color w:val="auto"/>
        </w:rPr>
        <w:t>Units</w:t>
      </w:r>
      <w:r>
        <w:rPr>
          <w:rFonts w:ascii="Arial" w:cs="Arial" w:eastAsia="Arial" w:hAnsi="Arial"/>
          <w:sz w:val="16"/>
          <w:szCs w:val="16"/>
          <w:color w:val="auto"/>
        </w:rPr>
        <w:t>”), each comprised of one share of the Company’s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one-fifth of one redeemable warrant. Each whole Warrant (each, a “</w:t>
      </w:r>
      <w:r>
        <w:rPr>
          <w:rFonts w:ascii="Arial" w:cs="Arial" w:eastAsia="Arial" w:hAnsi="Arial"/>
          <w:sz w:val="16"/>
          <w:szCs w:val="16"/>
          <w:u w:val="single" w:color="auto"/>
          <w:color w:val="auto"/>
        </w:rPr>
        <w:t>Warrant</w:t>
      </w:r>
      <w:r>
        <w:rPr>
          <w:rFonts w:ascii="Arial" w:cs="Arial" w:eastAsia="Arial" w:hAnsi="Arial"/>
          <w:sz w:val="16"/>
          <w:szCs w:val="16"/>
          <w:color w:val="auto"/>
        </w:rPr>
        <w:t>”) entitles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thereof to purchase one share of Common Stock at a price of $11.50 per share, subject to adjustment. The Units will be sold in the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a registration statement on Form S-1 and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filed by the Company with the U.S.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and the Company has applied to have the Units listed on the New York Stock Exchange. Certain capitalized terms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are defined in paragraph 11 hereof.</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order to induce the Company and the Representative to enter into the Underwriting Agreement and to proceed with the Public Offering and for other good and valuable consideration, the receipt and sufficiency of which are hereby acknowledged,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and each of the undersigned individuals, each of whom is a member of the Company’s board of directors and/or management team (each, an “</w:t>
      </w:r>
      <w:r>
        <w:rPr>
          <w:rFonts w:ascii="Arial" w:cs="Arial" w:eastAsia="Arial" w:hAnsi="Arial"/>
          <w:sz w:val="17"/>
          <w:szCs w:val="17"/>
          <w:u w:val="single" w:color="auto"/>
          <w:color w:val="auto"/>
        </w:rPr>
        <w:t>Insider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Insiders</w:t>
      </w:r>
      <w:r>
        <w:rPr>
          <w:rFonts w:ascii="Arial" w:cs="Arial" w:eastAsia="Arial" w:hAnsi="Arial"/>
          <w:sz w:val="17"/>
          <w:szCs w:val="17"/>
          <w:color w:val="auto"/>
        </w:rPr>
        <w:t>”), hereby severally (and not jointly and severally) agrees with the Company as follows:</w:t>
      </w:r>
    </w:p>
    <w:p>
      <w:pPr>
        <w:spacing w:after="0" w:line="171" w:lineRule="exact"/>
        <w:rPr>
          <w:sz w:val="20"/>
          <w:szCs w:val="20"/>
          <w:color w:val="auto"/>
        </w:rPr>
      </w:pPr>
    </w:p>
    <w:p>
      <w:pPr>
        <w:ind w:left="660" w:right="40" w:firstLine="644"/>
        <w:spacing w:after="0" w:line="296" w:lineRule="auto"/>
        <w:tabs>
          <w:tab w:leader="none" w:pos="225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Sponsor and each Insider agrees that if the Company seeks stockholder approval of a proposed Business Combination, then in connection with such proposed Business Combination, it, he or she shall (i) vote any shares of Capital Stock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Capital Stock owned by it, him or her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8" w:name="page309"/>
    <w:bookmarkEnd w:id="308"/>
    <w:p>
      <w:pPr>
        <w:ind w:firstLine="644"/>
        <w:spacing w:after="0" w:line="285" w:lineRule="auto"/>
        <w:tabs>
          <w:tab w:leader="none" w:pos="159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Common Stock sold as part of the Units in the Public Offering (the “</w:t>
      </w:r>
      <w:r>
        <w:rPr>
          <w:rFonts w:ascii="Arial" w:cs="Arial" w:eastAsia="Arial" w:hAnsi="Arial"/>
          <w:sz w:val="16"/>
          <w:szCs w:val="16"/>
          <w:u w:val="single" w:color="auto"/>
          <w:color w:val="auto"/>
        </w:rPr>
        <w:t>Offering Shares</w:t>
      </w:r>
      <w:r>
        <w:rPr>
          <w:rFonts w:ascii="Arial" w:cs="Arial" w:eastAsia="Arial" w:hAnsi="Arial"/>
          <w:sz w:val="16"/>
          <w:szCs w:val="16"/>
          <w:color w:val="auto"/>
        </w:rPr>
        <w:t>”), at a per-share price, payable in cash, equal to the aggregate amount then on deposit in the Trust Account, including interest (net of amounts withdrawn to fund the Company’s working capital requirements, subject to an annual limit of $1,000,000, and/or to pay the Company’s taxes (“</w:t>
      </w:r>
      <w:r>
        <w:rPr>
          <w:rFonts w:ascii="Arial" w:cs="Arial" w:eastAsia="Arial" w:hAnsi="Arial"/>
          <w:sz w:val="16"/>
          <w:szCs w:val="16"/>
          <w:u w:val="single" w:color="auto"/>
          <w:color w:val="auto"/>
        </w:rPr>
        <w:t>Permitted Withdrawals</w:t>
      </w:r>
      <w:r>
        <w:rPr>
          <w:rFonts w:ascii="Arial" w:cs="Arial" w:eastAsia="Arial" w:hAnsi="Arial"/>
          <w:sz w:val="16"/>
          <w:szCs w:val="16"/>
          <w:color w:val="auto"/>
        </w:rPr>
        <w:t>”)) and less up to $100,000 of interest to pay dissolution expenses)), divided by the number of then outstanding Offering Shares, which redemption will completely extinguish all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other requirements of applicable law. The Sponsor and each Insider agree to not propose any amendment to the Charter that would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(net of Permitted Withdrawals), divided by the number of then outstanding Offering Shares.</w:t>
      </w:r>
    </w:p>
    <w:p>
      <w:pPr>
        <w:spacing w:after="0" w:line="17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as a result of any liquidation of the Company with respect to the Founder Shares held by it, him or her. The Sponsor and each Insider hereby further waive, with respect to any shares of Common Stock held by it, him or her, if any, any redemption rights it, he or she may have in connection with the consummation of a Business Combination, including, without limitation, any such rights available in the context of a stockholder vote to approve such Business Combination or in the context of a tender offer made by the Company to purchase shares of Common Stock (although the Sponsor, the Insiders and their respective affiliates shall be entitled to redemption and liquidation rights with respect to any Offering Shares it or they hold if the Company fails to consummate a Business Combination within the time period set forth in the Charter or in connection with a stockholder vote to approve an amendment to the Charter to modify the substance or timing of the Company’s obligation to redeem 100% of the Offering Shares if the Company does not complete a Business Combination within the time period set forth in the Charter or with respect to any other material provisions relating to stockholders' rights or pre-initial business combination activity).</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9" w:name="page310"/>
    <w:bookmarkEnd w:id="309"/>
    <w:p>
      <w:pPr>
        <w:ind w:left="4" w:firstLine="644"/>
        <w:spacing w:after="0" w:line="284" w:lineRule="auto"/>
        <w:tabs>
          <w:tab w:leader="none" w:pos="1596"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Commission promulgated thereunder, with respect to any Units, shares of Capital Stock, Warrants or any securities convertible into, or exercisable, or exchangeable for, shares of Common Stock owned by it, him or her,</w:t>
      </w:r>
    </w:p>
    <w:p>
      <w:pPr>
        <w:spacing w:after="0" w:line="4" w:lineRule="exact"/>
        <w:rPr>
          <w:rFonts w:ascii="Arial" w:cs="Arial" w:eastAsia="Arial" w:hAnsi="Arial"/>
          <w:sz w:val="16"/>
          <w:szCs w:val="16"/>
          <w:color w:val="auto"/>
        </w:rPr>
      </w:pPr>
    </w:p>
    <w:p>
      <w:pPr>
        <w:ind w:left="4" w:right="40" w:hanging="4"/>
        <w:spacing w:after="0" w:line="281" w:lineRule="auto"/>
        <w:tabs>
          <w:tab w:leader="none" w:pos="26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any Units, shares of Capital Stock, Warrants or any securities convertible into, or exercisable, or exchangeable for, shares of Common Stock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such release or waiver granted shall only be effective two business days after the publication date of such press release. The provisions of this paragraph will not apply if (i) the release or waiver is effected solely to permit a transfer of securities without consideration and</w:t>
      </w:r>
    </w:p>
    <w:p>
      <w:pPr>
        <w:spacing w:after="0" w:line="4" w:lineRule="exact"/>
        <w:rPr>
          <w:rFonts w:ascii="Arial" w:cs="Arial" w:eastAsia="Arial" w:hAnsi="Arial"/>
          <w:sz w:val="16"/>
          <w:szCs w:val="16"/>
          <w:color w:val="auto"/>
        </w:rPr>
      </w:pPr>
    </w:p>
    <w:p>
      <w:pPr>
        <w:ind w:left="4" w:right="280" w:hanging="4"/>
        <w:spacing w:after="0" w:line="260" w:lineRule="auto"/>
        <w:tabs>
          <w:tab w:leader="none" w:pos="26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Letter Agreement to the extent and for the duration that such terms remain in effect at the time of the transfer.</w:t>
      </w:r>
    </w:p>
    <w:p>
      <w:pPr>
        <w:spacing w:after="0" w:line="185" w:lineRule="exact"/>
        <w:rPr>
          <w:rFonts w:ascii="Arial" w:cs="Arial" w:eastAsia="Arial" w:hAnsi="Arial"/>
          <w:sz w:val="18"/>
          <w:szCs w:val="18"/>
          <w:color w:val="auto"/>
        </w:rPr>
      </w:pPr>
    </w:p>
    <w:p>
      <w:pPr>
        <w:ind w:left="4" w:right="40" w:firstLine="644"/>
        <w:spacing w:after="0" w:line="267" w:lineRule="auto"/>
        <w:tabs>
          <w:tab w:leader="none" w:pos="1596"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event of the liquidation of the Trust Account, the Sponsor (which for purposes of clarification shall not extend to any other shareholders, members or managers of the Sponsor or any other Insider)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any prospective target business with which the Company has entered into a letter of intent, confidentiality or other similar agreement for a Business Combination (a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indemnification of the Company by the Sponsor (x) shall apply only to the extent necessary to ensure that such claims by a third party or a Target do not reduce the amount of funds in the Trust Account to below the lesser of (i) $10.00 per Offering Share or (ii) the actual amount per Offering Share held in the Trust Account as of the date of the liquidation of the Trust Account, if less than $10.00 per Offering Share is then held in the Trust Account due to reductions in the value of the trust assets less Permitted Withdrawals, (y) shall not apply to any claims by a third party (including a Target) that executed a waiver of any and all rights to the monies held in the Trust Account (whether or not such waiver is enforceable) and (z) shall not apply to any claims under the Company’s indemnity of the Representative against certain liabilities, including liabilities under the Securities Act of 1933, as amended. The Sponsor shall have the right to defend against any such claim with counsel of its choice reasonably satisfactory to the Company if, within 15 days following written receipt of notice of the claim to the Sponsor, the Sponsor notifies the Company in writing that it shall undertake such defense. For the avoidance of doubt, none of the Company’s officers or directors will indemnify the Company for claims by third parties, including, without limitation, claims by vendors and prospective target businesses.</w:t>
      </w: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10" w:name="page311"/>
    <w:bookmarkEnd w:id="310"/>
    <w:p>
      <w:pPr>
        <w:ind w:left="4" w:firstLine="644"/>
        <w:spacing w:after="0" w:line="268" w:lineRule="auto"/>
        <w:tabs>
          <w:tab w:leader="none" w:pos="1596"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To the extent that the Representative does not exercise its over-allotment option to purchase up to an additional 15,000,000 Units within 45 days from the date of the Prospectus (and as further described in the Prospectus), the Sponsor agrees to forfeit, at no cost, a number of Founder Shares in the aggregate equal to the product of 3,750,000 multiplied by a fraction, (i) the numerator of which is 15,000,000 minus the number of Units purchased by the Representative upon the exercise of its over-allotment option, and (ii) the denominator of which is 15,000,000. The forfeiture will be adjusted to the extent that the over-allotment option is not exercised in full by the Representative so that the Initial Stockholders will own an aggregate of 20.0% of the Company’s issued and outstanding shares of Capital Stock after the Public Offering. To the extent that the size of the Public Offering is increased or decreased, the Company will effect a capitalization or share repurchase, redemption or stock split or other appropriate mechanism, as applicable, immediately prior to the consummation of the Public Offering in such amount as to maintain the ownership of the Capital Stock of the Initial Stockholders prior to the Public Offering at 20.0% of the Company’s issued and outstanding Capital Stock upon the consummation of the Public Offering. In connection with such increase or decrease in the size of the Public Offering, (A) references to 15,000,000 in the numerator and denominator of the formula in the first sentence of this paragraph shall be changed to a number equal to 15% of the number of shares included in the Units issued in the Public Offering and (B) the reference to 3,750,000 in the formula set forth in the immediately preceding sentence shall be adjusted to such number of Founder Shares that the Sponsor would have to return to the Company in order to hold (with all of the Initial Stockholders) an aggregate of 20.0% of the Company’s issued and outstanding Capital Stock after the Public Offering.</w:t>
      </w:r>
    </w:p>
    <w:p>
      <w:pPr>
        <w:spacing w:after="0" w:line="181" w:lineRule="exact"/>
        <w:rPr>
          <w:rFonts w:ascii="Arial" w:cs="Arial" w:eastAsia="Arial" w:hAnsi="Arial"/>
          <w:sz w:val="17"/>
          <w:szCs w:val="17"/>
          <w:color w:val="auto"/>
        </w:rPr>
      </w:pPr>
    </w:p>
    <w:p>
      <w:pPr>
        <w:ind w:left="4" w:firstLine="644"/>
        <w:spacing w:after="0" w:line="257" w:lineRule="auto"/>
        <w:tabs>
          <w:tab w:leader="none" w:pos="15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The Sponsor and each Insider hereby agrees and acknowledges that: (i) the Representative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7" w:lineRule="exact"/>
        <w:rPr>
          <w:rFonts w:ascii="Arial" w:cs="Arial" w:eastAsia="Arial" w:hAnsi="Arial"/>
          <w:sz w:val="18"/>
          <w:szCs w:val="18"/>
          <w:color w:val="auto"/>
        </w:rPr>
      </w:pPr>
    </w:p>
    <w:p>
      <w:pPr>
        <w:ind w:left="4" w:right="240" w:firstLine="644"/>
        <w:spacing w:after="0" w:line="291" w:lineRule="auto"/>
        <w:tabs>
          <w:tab w:leader="none" w:pos="1596"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 The Sponsor and each Insider agree that it or he shall not Transfer any Founder Shares (or shares of Common Stock issuable upon conversion thereof) until the earlier of (A) one year after the completion of the Company’s initial Business Combination or</w:t>
      </w:r>
    </w:p>
    <w:p>
      <w:pPr>
        <w:ind w:left="4" w:right="40" w:hanging="4"/>
        <w:spacing w:after="0" w:line="271" w:lineRule="auto"/>
        <w:tabs>
          <w:tab w:leader="none" w:pos="28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 (the “</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311" w:name="page312"/>
    <w:bookmarkEnd w:id="311"/>
    <w:p>
      <w:pPr>
        <w:ind w:left="-460" w:right="40" w:firstLine="1292"/>
        <w:spacing w:after="0" w:line="311" w:lineRule="auto"/>
        <w:tabs>
          <w:tab w:leader="none" w:pos="172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Sponsor and each Insider agree that it, he or she shall not Transfer any Private Placement Warrants (or shares of Common Stock issued or issuable upon the exercise of the Private Placement Warrants) until 30 days after the completion of a Business Combination (the “</w:t>
      </w:r>
      <w:r>
        <w:rPr>
          <w:rFonts w:ascii="Arial" w:cs="Arial" w:eastAsia="Arial" w:hAnsi="Arial"/>
          <w:sz w:val="16"/>
          <w:szCs w:val="16"/>
          <w:u w:val="single" w:color="auto"/>
          <w:color w:val="auto"/>
        </w:rPr>
        <w:t>Private Placement Warrants Lock-up Period</w:t>
      </w:r>
      <w:r>
        <w:rPr>
          <w:rFonts w:ascii="Arial" w:cs="Arial" w:eastAsia="Arial" w:hAnsi="Arial"/>
          <w:sz w:val="16"/>
          <w:szCs w:val="16"/>
          <w:color w:val="auto"/>
        </w:rPr>
        <w:t>”, together with the Founder Shares Lock-up Period, the “</w:t>
      </w:r>
      <w:r>
        <w:rPr>
          <w:rFonts w:ascii="Arial" w:cs="Arial" w:eastAsia="Arial" w:hAnsi="Arial"/>
          <w:sz w:val="16"/>
          <w:szCs w:val="16"/>
          <w:u w:val="single" w:color="auto"/>
          <w:color w:val="auto"/>
        </w:rPr>
        <w:t>Lock-up Periods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460" w:firstLine="1292"/>
        <w:spacing w:after="0" w:line="285" w:lineRule="auto"/>
        <w:tabs>
          <w:tab w:leader="none" w:pos="171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3 and 7(a) and (b), Transfers of the Founder Shares, Private Placement Warrants and shares of Common Stock issued or issuable upon the exercise or conversion of the Private Placement Warrants or the Founder Shares and that are held by the Sponsor, any Insider or any of their permitted transferees (that have complied with this paragraph 7(c)), are permitted (a) to the Company’s officers or directors, any affiliates or family members of any of the Company’s officers or directors, any members of the Sponsor, or any affiliates of the Sponsor; (b) in the case of an individual, transfers by gift to a member of the individual’s immediate family, to a trust, the beneficiary of which is a member of the individual’s immediate family or an affiliate of such person, or to a charitable organization; (c) in the case of an individual, transfers by virtue of laws of descent and distribution upon death of the individual; (d) in the case of an individual, transfers pursuant to a qualified domestic relations order; (e) transfers by private sales or transfers made in connection with the consummation of a Business Combination at prices no greater than the price at which the securities were originally purchased; (f) transfers in the event of the Company’s liquidation prior to the completion of an initial Business Combination; (g) transfers by virtue of the laws of the State of Delaware or the Sponsor’s limited liability company agreement upon dissolution of the Sponsor; (h) in the event of the Company’s completion of a liquidation, merger, stock exchange, reorganization or other similar transaction which results in all of the Company’s public stockholders having the right to exchange their shares of Class A common stock for cash, securities or other property subsequent to the completion of the initial business combination; (i) to a nominee or custodian of a person or entity to whom a disposition or transfer would be permissible under clauses (a) through (h)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and (i),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73" w:lineRule="exact"/>
        <w:rPr>
          <w:rFonts w:ascii="Arial" w:cs="Arial" w:eastAsia="Arial" w:hAnsi="Arial"/>
          <w:sz w:val="16"/>
          <w:szCs w:val="16"/>
          <w:color w:val="auto"/>
        </w:rPr>
      </w:pPr>
    </w:p>
    <w:p>
      <w:pPr>
        <w:ind w:left="-460" w:firstLine="644"/>
        <w:spacing w:after="0" w:line="270" w:lineRule="auto"/>
        <w:tabs>
          <w:tab w:leader="none" w:pos="113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Sponsor and each Insider represent and warrant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2" w:name="page313"/>
    <w:bookmarkEnd w:id="312"/>
    <w:p>
      <w:pPr>
        <w:ind w:left="-460" w:firstLine="644"/>
        <w:spacing w:after="0" w:line="286" w:lineRule="auto"/>
        <w:tabs>
          <w:tab w:leader="none" w:pos="113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Insider nor any affiliate of the Sponsor or any Insider, nor any director or officer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of up to $600,000 made to the Company by the Sponsors to cover expenses related to the organization of the Company and the Public Offering; payment to M. Klein and Company or another affiliate of the Sponsor for customary financial advisory fee; payment to M. Klein Associates, Inc. for office space and related support services for a total of $50,000 per month; reimbursement for any reasonable out-of-pocket expenses related to identifying, investigating and consummating an initial Business Combination, and repayment of loans, if any, and on such terms as to be determined by the Company from time to time, made by the Sponsor or certain of the Company’s officers and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of the post Business Combination entity at a price of $1.00 per warrant at the option of the lender. Such warrants would be identical to the Private Placement Warrants, including as to exercise price, exercisability and exercise period.</w:t>
      </w:r>
    </w:p>
    <w:p>
      <w:pPr>
        <w:spacing w:after="0" w:line="167" w:lineRule="exact"/>
        <w:rPr>
          <w:rFonts w:ascii="Arial" w:cs="Arial" w:eastAsia="Arial" w:hAnsi="Arial"/>
          <w:sz w:val="16"/>
          <w:szCs w:val="16"/>
          <w:color w:val="auto"/>
        </w:rPr>
      </w:pPr>
    </w:p>
    <w:p>
      <w:pPr>
        <w:ind w:left="-460" w:right="60" w:firstLine="644"/>
        <w:spacing w:after="0" w:line="259" w:lineRule="auto"/>
        <w:tabs>
          <w:tab w:leader="none" w:pos="10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a director on the board of directors of the Company and hereby consents to being named in the Prospectus as an officer and/or a director of the Company.</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3" w:name="page314"/>
    <w:bookmarkEnd w:id="313"/>
    <w:p>
      <w:pPr>
        <w:ind w:left="-460" w:right="20" w:firstLine="644"/>
        <w:spacing w:after="0" w:line="285" w:lineRule="auto"/>
        <w:tabs>
          <w:tab w:leader="none" w:pos="103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u w:val="single" w:color="auto"/>
          <w:color w:val="auto"/>
        </w:rPr>
        <w:t>Capital Stock</w:t>
      </w:r>
      <w:r>
        <w:rPr>
          <w:rFonts w:ascii="Arial" w:cs="Arial" w:eastAsia="Arial" w:hAnsi="Arial"/>
          <w:sz w:val="16"/>
          <w:szCs w:val="16"/>
          <w:color w:val="auto"/>
        </w:rPr>
        <w:t>” shall mean, collectively, the Common Stock and the Founder Shares; (iii) “</w:t>
      </w:r>
      <w:r>
        <w:rPr>
          <w:rFonts w:ascii="Arial" w:cs="Arial" w:eastAsia="Arial" w:hAnsi="Arial"/>
          <w:sz w:val="16"/>
          <w:szCs w:val="16"/>
          <w:u w:val="single" w:color="auto"/>
          <w:color w:val="auto"/>
        </w:rPr>
        <w:t>Founder Shares</w:t>
      </w:r>
      <w:r>
        <w:rPr>
          <w:rFonts w:ascii="Arial" w:cs="Arial" w:eastAsia="Arial" w:hAnsi="Arial"/>
          <w:sz w:val="16"/>
          <w:szCs w:val="16"/>
          <w:color w:val="auto"/>
        </w:rPr>
        <w:t>” shall mean the 28,750,000 shares of the Company’s Class B common stock, par value $0.0001 per share, (or 25,000,000 shares if the over-allotment option is not exercised by the Representative) initially held by the Sponsor; (iv) “</w:t>
      </w:r>
      <w:r>
        <w:rPr>
          <w:rFonts w:ascii="Arial" w:cs="Arial" w:eastAsia="Arial" w:hAnsi="Arial"/>
          <w:sz w:val="16"/>
          <w:szCs w:val="16"/>
          <w:u w:val="single" w:color="auto"/>
          <w:color w:val="auto"/>
        </w:rPr>
        <w:t>Initial Stockholders</w:t>
      </w:r>
      <w:r>
        <w:rPr>
          <w:rFonts w:ascii="Arial" w:cs="Arial" w:eastAsia="Arial" w:hAnsi="Arial"/>
          <w:sz w:val="16"/>
          <w:szCs w:val="16"/>
          <w:color w:val="auto"/>
        </w:rPr>
        <w:t>” shall mean the Sponsor and any other holder of Founder Shares immediately prior to the Public Offering; (v)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shall mean the warrants to purchase up to 21,250,000 shares of Common Stock of the Company (or 24,250,000 shares of Common Stock if the over-allotment option is exercised in full) that the Sponsor has agreed to purchase for an aggregate purchase price of $21,250,000 in the aggregate (or $24,250,000 if the over-allotment option is exercised in full), or $1.00 per warrant, in a private placement that shall occur simultaneously with the consummation of the Public Offering; (vi)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shall mean the holders of securities issued in the Public Offering; (vii) “</w:t>
      </w:r>
      <w:r>
        <w:rPr>
          <w:rFonts w:ascii="Arial" w:cs="Arial" w:eastAsia="Arial" w:hAnsi="Arial"/>
          <w:sz w:val="16"/>
          <w:szCs w:val="16"/>
          <w:u w:val="single" w:color="auto"/>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Warrants shall be deposited; and (viii) “</w:t>
      </w:r>
      <w:r>
        <w:rPr>
          <w:rFonts w:ascii="Arial" w:cs="Arial" w:eastAsia="Arial" w:hAnsi="Arial"/>
          <w:sz w:val="16"/>
          <w:szCs w:val="16"/>
          <w:u w:val="single" w:color="auto"/>
          <w:color w:val="auto"/>
        </w:rPr>
        <w:t>Transfer</w:t>
      </w:r>
      <w:r>
        <w:rPr>
          <w:rFonts w:ascii="Arial" w:cs="Arial" w:eastAsia="Arial" w:hAnsi="Arial"/>
          <w:sz w:val="16"/>
          <w:szCs w:val="16"/>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73" w:lineRule="exact"/>
        <w:rPr>
          <w:rFonts w:ascii="Arial" w:cs="Arial" w:eastAsia="Arial" w:hAnsi="Arial"/>
          <w:sz w:val="16"/>
          <w:szCs w:val="16"/>
          <w:color w:val="auto"/>
        </w:rPr>
      </w:pPr>
    </w:p>
    <w:p>
      <w:pPr>
        <w:ind w:left="-460" w:firstLine="644"/>
        <w:spacing w:after="0" w:line="257" w:lineRule="auto"/>
        <w:tabs>
          <w:tab w:leader="none" w:pos="104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7" w:lineRule="exact"/>
        <w:rPr>
          <w:rFonts w:ascii="Arial" w:cs="Arial" w:eastAsia="Arial" w:hAnsi="Arial"/>
          <w:sz w:val="18"/>
          <w:szCs w:val="18"/>
          <w:color w:val="auto"/>
        </w:rPr>
      </w:pPr>
    </w:p>
    <w:p>
      <w:pPr>
        <w:jc w:val="both"/>
        <w:ind w:left="-460" w:right="60" w:firstLine="644"/>
        <w:spacing w:after="0" w:line="279" w:lineRule="auto"/>
        <w:tabs>
          <w:tab w:leader="none" w:pos="104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Except as otherwise provided herein,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71" w:lineRule="exact"/>
        <w:rPr>
          <w:rFonts w:ascii="Arial" w:cs="Arial" w:eastAsia="Arial" w:hAnsi="Arial"/>
          <w:sz w:val="17"/>
          <w:szCs w:val="17"/>
          <w:color w:val="auto"/>
        </w:rPr>
      </w:pPr>
    </w:p>
    <w:p>
      <w:pPr>
        <w:ind w:left="-460" w:right="300" w:firstLine="644"/>
        <w:spacing w:after="0" w:line="301" w:lineRule="auto"/>
        <w:tabs>
          <w:tab w:leader="none" w:pos="104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Nothing in this Letter Agreement shall be construed to confer upon, or give to, any person or entity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4" w:name="page315"/>
    <w:bookmarkEnd w:id="314"/>
    <w:p>
      <w:pPr>
        <w:ind w:left="-460" w:right="240" w:firstLine="644"/>
        <w:spacing w:after="0" w:line="342" w:lineRule="auto"/>
        <w:tabs>
          <w:tab w:leader="none" w:pos="104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23" w:lineRule="exact"/>
        <w:rPr>
          <w:rFonts w:ascii="Arial" w:cs="Arial" w:eastAsia="Arial" w:hAnsi="Arial"/>
          <w:sz w:val="16"/>
          <w:szCs w:val="16"/>
          <w:color w:val="auto"/>
        </w:rPr>
      </w:pPr>
    </w:p>
    <w:p>
      <w:pPr>
        <w:jc w:val="both"/>
        <w:ind w:left="-460" w:right="20" w:firstLine="644"/>
        <w:spacing w:after="0" w:line="279" w:lineRule="auto"/>
        <w:tabs>
          <w:tab w:leader="none" w:pos="1043"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1" w:lineRule="exact"/>
        <w:rPr>
          <w:rFonts w:ascii="Arial" w:cs="Arial" w:eastAsia="Arial" w:hAnsi="Arial"/>
          <w:sz w:val="17"/>
          <w:szCs w:val="17"/>
          <w:color w:val="auto"/>
        </w:rPr>
      </w:pPr>
    </w:p>
    <w:p>
      <w:pPr>
        <w:ind w:left="-460" w:right="240" w:firstLine="644"/>
        <w:spacing w:after="0" w:line="255" w:lineRule="auto"/>
        <w:tabs>
          <w:tab w:leader="none" w:pos="10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92" w:lineRule="exact"/>
        <w:rPr>
          <w:rFonts w:ascii="Arial" w:cs="Arial" w:eastAsia="Arial" w:hAnsi="Arial"/>
          <w:sz w:val="18"/>
          <w:szCs w:val="18"/>
          <w:color w:val="auto"/>
        </w:rPr>
      </w:pPr>
    </w:p>
    <w:p>
      <w:pPr>
        <w:ind w:left="-460" w:firstLine="644"/>
        <w:spacing w:after="0" w:line="263" w:lineRule="auto"/>
        <w:tabs>
          <w:tab w:leader="none" w:pos="10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3" w:lineRule="exact"/>
        <w:rPr>
          <w:rFonts w:ascii="Arial" w:cs="Arial" w:eastAsia="Arial" w:hAnsi="Arial"/>
          <w:sz w:val="18"/>
          <w:szCs w:val="18"/>
          <w:color w:val="auto"/>
        </w:rPr>
      </w:pPr>
    </w:p>
    <w:p>
      <w:pPr>
        <w:ind w:left="-460" w:right="140" w:firstLine="644"/>
        <w:spacing w:after="0" w:line="311" w:lineRule="auto"/>
        <w:tabs>
          <w:tab w:leader="none" w:pos="104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This Letter Agreement shall terminate on the earlier of (i) the expiration of the Lock-up Periods or (ii) the liquidation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Letter Agreement shall earlier terminate in the event that the Public Offering is not consummated and closed by [•], 2021;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paragraph 4 of this Letter Agreement shall survive such liquidation for a period of six years.</w:t>
      </w:r>
    </w:p>
    <w:p>
      <w:pPr>
        <w:spacing w:after="0" w:line="14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15" w:name="page316"/>
    <w:bookmarkEnd w:id="315"/>
    <w:p>
      <w:pPr>
        <w:ind w:left="45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16" w:name="page317"/>
    <w:bookmarkEnd w:id="316"/>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432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160" w:firstLine="1296"/>
        <w:spacing w:after="0" w:line="308" w:lineRule="auto"/>
        <w:rPr>
          <w:sz w:val="20"/>
          <w:szCs w:val="20"/>
          <w:color w:val="auto"/>
        </w:rPr>
      </w:pPr>
      <w:r>
        <w:rPr>
          <w:rFonts w:ascii="Arial" w:cs="Arial" w:eastAsia="Arial" w:hAnsi="Arial"/>
          <w:sz w:val="17"/>
          <w:szCs w:val="17"/>
          <w:color w:val="auto"/>
        </w:rPr>
        <w:t>This Investment Management Trust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 2020 by and between Churchill Capital Corp IV,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Continental Stock Transfer &amp; Trust Company, a New York corporation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Company’s registration statement on Form S-1, File No. 333-[•]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prospectus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for the initial public offering of the Company’s units (the “</w:t>
      </w:r>
      <w:r>
        <w:rPr>
          <w:rFonts w:ascii="Arial" w:cs="Arial" w:eastAsia="Arial" w:hAnsi="Arial"/>
          <w:sz w:val="16"/>
          <w:szCs w:val="16"/>
          <w:u w:val="single" w:color="auto"/>
          <w:color w:val="auto"/>
        </w:rPr>
        <w:t>Units</w:t>
      </w:r>
      <w:r>
        <w:rPr>
          <w:rFonts w:ascii="Arial" w:cs="Arial" w:eastAsia="Arial" w:hAnsi="Arial"/>
          <w:sz w:val="16"/>
          <w:szCs w:val="16"/>
          <w:color w:val="auto"/>
        </w:rPr>
        <w:t>”), each of which consists of one share of the Company’s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one-fifth of one redeemable warrant, each whole warrant entitling the holder thereof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 one share of Common Stock (such initial public offering hereinafter referred to as the “</w:t>
      </w:r>
      <w:r>
        <w:rPr>
          <w:rFonts w:ascii="Arial" w:cs="Arial" w:eastAsia="Arial" w:hAnsi="Arial"/>
          <w:sz w:val="17"/>
          <w:szCs w:val="17"/>
          <w:u w:val="single" w:color="auto"/>
          <w:color w:val="auto"/>
        </w:rPr>
        <w:t>Offering</w:t>
      </w:r>
      <w:r>
        <w:rPr>
          <w:rFonts w:ascii="Arial" w:cs="Arial" w:eastAsia="Arial" w:hAnsi="Arial"/>
          <w:sz w:val="17"/>
          <w:szCs w:val="17"/>
          <w:color w:val="auto"/>
        </w:rPr>
        <w:t>”), has been declared effective as of the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hereof by the U.S. Securities and Exchange Commission; and</w:t>
      </w:r>
    </w:p>
    <w:p>
      <w:pPr>
        <w:spacing w:after="0" w:line="211"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Citigroup Global Markets Inc.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and</w:t>
      </w:r>
    </w:p>
    <w:p>
      <w:pPr>
        <w:spacing w:after="0" w:line="170"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WHEREAS, as described in the Prospectus, $1,000,000,000 of the gross proceeds of the Offering and sale of the Private Placement Warrants (as defined in the Underwriting Agreement) (or $1,150,000,000 if the Representative’s over-allotment option is exercised in full) will be delivered to the Trustee to be deposited and held in a segregated trust account located at all times in the United States (the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for the benefit of the Company and the holders of the Common Stock included in the Units issued in the Offering as hereinafter provided (the amount to be delivered to the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(and any interest subsequently earned thereon) is referred to herein as the “</w:t>
      </w:r>
      <w:r>
        <w:rPr>
          <w:rFonts w:ascii="Arial" w:cs="Arial" w:eastAsia="Arial" w:hAnsi="Arial"/>
          <w:sz w:val="18"/>
          <w:szCs w:val="18"/>
          <w:u w:val="single" w:color="auto"/>
          <w:color w:val="auto"/>
        </w:rPr>
        <w:t>Property</w:t>
      </w:r>
      <w:r>
        <w:rPr>
          <w:rFonts w:ascii="Arial" w:cs="Arial" w:eastAsia="Arial" w:hAnsi="Arial"/>
          <w:sz w:val="18"/>
          <w:szCs w:val="18"/>
          <w:i w:val="1"/>
          <w:iCs w:val="1"/>
          <w:color w:val="auto"/>
        </w:rPr>
        <w:t>,</w:t>
      </w:r>
      <w:r>
        <w:rPr>
          <w:rFonts w:ascii="Arial" w:cs="Arial" w:eastAsia="Arial" w:hAnsi="Arial"/>
          <w:sz w:val="18"/>
          <w:szCs w:val="18"/>
          <w:color w:val="auto"/>
        </w:rPr>
        <w:t>” the stockholders for whose benefit the Trustee shall hold the Property will be referred to as the “</w:t>
      </w:r>
      <w:r>
        <w:rPr>
          <w:rFonts w:ascii="Arial" w:cs="Arial" w:eastAsia="Arial" w:hAnsi="Arial"/>
          <w:sz w:val="18"/>
          <w:szCs w:val="18"/>
          <w:u w:val="single" w:color="auto"/>
          <w:color w:val="auto"/>
        </w:rPr>
        <w:t>Public Stockholders</w:t>
      </w:r>
      <w:r>
        <w:rPr>
          <w:rFonts w:ascii="Arial" w:cs="Arial" w:eastAsia="Arial" w:hAnsi="Arial"/>
          <w:sz w:val="18"/>
          <w:szCs w:val="18"/>
          <w:color w:val="auto"/>
        </w:rPr>
        <w:t>,” and the Public Stockholders and the Company will be referred to together as the “</w:t>
      </w:r>
      <w:r>
        <w:rPr>
          <w:rFonts w:ascii="Arial" w:cs="Arial" w:eastAsia="Arial" w:hAnsi="Arial"/>
          <w:sz w:val="18"/>
          <w:szCs w:val="18"/>
          <w:u w:val="single" w:color="auto"/>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WHEREAS, pursuant to the Underwriting Agreement, a portion of the Property equal to $35,000,000, or $40,250,000 if the Representative’s over-allotment option is exercised in full, is attributable to deferred underwriting discounts and commissions that will be payable by the Company to the Representative upon and concurrently with the consummation of the Business Combination (as defined below) (the “</w:t>
      </w:r>
      <w:r>
        <w:rPr>
          <w:rFonts w:ascii="Arial" w:cs="Arial" w:eastAsia="Arial" w:hAnsi="Arial"/>
          <w:sz w:val="18"/>
          <w:szCs w:val="18"/>
          <w:u w:val="single" w:color="auto"/>
          <w:color w:val="auto"/>
        </w:rPr>
        <w:t>Deferred Discount</w:t>
      </w:r>
      <w:r>
        <w:rPr>
          <w:rFonts w:ascii="Arial" w:cs="Arial" w:eastAsia="Arial" w:hAnsi="Arial"/>
          <w:sz w:val="18"/>
          <w:szCs w:val="18"/>
          <w:color w:val="auto"/>
        </w:rPr>
        <w:t>”); and</w:t>
      </w:r>
    </w:p>
    <w:p>
      <w:pPr>
        <w:spacing w:after="0" w:line="187"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980" w:hanging="676"/>
        <w:spacing w:after="0"/>
        <w:tabs>
          <w:tab w:leader="none" w:pos="198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ind w:right="140" w:firstLine="1952"/>
        <w:spacing w:after="0" w:line="286" w:lineRule="auto"/>
        <w:tabs>
          <w:tab w:leader="none" w:pos="2683" w:val="left"/>
        </w:tabs>
        <w:numPr>
          <w:ilvl w:val="1"/>
          <w:numId w:val="226"/>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JPMorgan Chase Bank N.A. (or at another U.S. – chartered commercial bank with consolidated assets of $100 billion or more)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9" w:name="page320"/>
    <w:bookmarkEnd w:id="319"/>
    <w:p>
      <w:pPr>
        <w:ind w:left="2660" w:hanging="748"/>
        <w:spacing w:after="0"/>
        <w:tabs>
          <w:tab w:leader="none" w:pos="2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left="-40" w:right="120" w:firstLine="1952"/>
        <w:spacing w:after="0" w:line="293" w:lineRule="auto"/>
        <w:tabs>
          <w:tab w:leader="none" w:pos="264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a timely manner, upon the written instruction of the Company, invest and reinvest the Property in solely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 or other consideration;</w:t>
      </w:r>
    </w:p>
    <w:p>
      <w:pPr>
        <w:spacing w:after="0" w:line="164" w:lineRule="exact"/>
        <w:rPr>
          <w:rFonts w:ascii="Arial" w:cs="Arial" w:eastAsia="Arial" w:hAnsi="Arial"/>
          <w:sz w:val="16"/>
          <w:szCs w:val="16"/>
          <w:color w:val="auto"/>
        </w:rPr>
      </w:pPr>
    </w:p>
    <w:p>
      <w:pPr>
        <w:ind w:left="-40" w:right="160" w:firstLine="1952"/>
        <w:spacing w:after="0" w:line="277" w:lineRule="auto"/>
        <w:tabs>
          <w:tab w:leader="none" w:pos="26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w:t>
      </w:r>
      <w:r>
        <w:rPr>
          <w:rFonts w:ascii="Arial" w:cs="Arial" w:eastAsia="Arial" w:hAnsi="Arial"/>
          <w:sz w:val="18"/>
          <w:szCs w:val="18"/>
          <w:u w:val="single" w:color="auto"/>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left="-40" w:firstLine="1952"/>
        <w:spacing w:after="0" w:line="277" w:lineRule="auto"/>
        <w:tabs>
          <w:tab w:leader="none" w:pos="264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As soon as practicable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40" w:right="280" w:firstLine="1952"/>
        <w:spacing w:after="0" w:line="277" w:lineRule="auto"/>
        <w:tabs>
          <w:tab w:leader="none" w:pos="26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left="-40" w:right="200" w:firstLine="1952"/>
        <w:spacing w:after="0" w:line="277" w:lineRule="auto"/>
        <w:tabs>
          <w:tab w:leader="none" w:pos="26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40" w:right="140" w:firstLine="1952"/>
        <w:spacing w:after="0" w:line="277" w:lineRule="auto"/>
        <w:tabs>
          <w:tab w:leader="none" w:pos="26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left="-40" w:right="40" w:firstLine="1952"/>
        <w:spacing w:after="0" w:line="286" w:lineRule="auto"/>
        <w:tabs>
          <w:tab w:leader="none" w:pos="265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u w:val="single" w:color="auto"/>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 or Exhibit B</w:t>
      </w:r>
      <w:r>
        <w:rPr>
          <w:rFonts w:ascii="Arial" w:cs="Arial" w:eastAsia="Arial" w:hAnsi="Arial"/>
          <w:sz w:val="16"/>
          <w:szCs w:val="16"/>
          <w:color w:val="auto"/>
        </w:rPr>
        <w:t>, as applicable, signed on behalf of the Company by its Chief Executive Officer, President, Chief Financial Officer, Secretary or Chairman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other authorized officer of the Company and, in the case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acknowledged and agreed to by the Representative and complete the liquidation of the Trust Account and distribute the Property in the Trust Account, including interest earned on funds held in the Trust Account (net of amounts withdrawn in accordance with this Agreement and less up to $100,000 of interest that may be released to the Company to pay dissolution expenses), only as directed in the Termination Letter and the other documents referred to therein, or (y) upon the date which is the later of (i) 24 months after the closing of the Offering or 27 months from the closing of the Offering if the Company has executed a letter of intent, agreement in principle or definitive agreement for an initial Business Combination within 24 months from the closing of the Offering and (ii) such later date as may be approved by the Company’s stockholders in accordance with the Company’s amended and restated Certificate of Incorporation,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funds held in the Trust Account (net of amounts withdrawn in accordance with this Agreement and less up to $100,000 of interest that may be released to the Company to pay dissolution expenses) shall be distributed to the Public Stockholders of record as of such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320" w:name="page321"/>
    <w:bookmarkEnd w:id="320"/>
    <w:p>
      <w:pPr>
        <w:ind w:left="-20" w:right="20" w:firstLine="1952"/>
        <w:spacing w:after="0" w:line="289" w:lineRule="auto"/>
        <w:tabs>
          <w:tab w:leader="none" w:pos="267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Tax Payment Withdrawal Instruction</w:t>
      </w:r>
      <w:r>
        <w:rPr>
          <w:rFonts w:ascii="Arial" w:cs="Arial" w:eastAsia="Arial" w:hAnsi="Arial"/>
          <w:sz w:val="16"/>
          <w:szCs w:val="16"/>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such payment the Company shall forward to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initially deposited in the Trust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tax to be paid is a franchise tax, the written request by the Company to make such distribution shall be accompanied by a copy of the franchise tax bill from the relevant taxing authority for the Company. The written request of the Company referenced above shall constitute presumptive evidence that the Company is entitled to said funds, and the Trustee shall have no responsibility to look beyond said request;</w:t>
      </w:r>
    </w:p>
    <w:p>
      <w:pPr>
        <w:spacing w:after="0" w:line="166" w:lineRule="exact"/>
        <w:rPr>
          <w:rFonts w:ascii="Arial" w:cs="Arial" w:eastAsia="Arial" w:hAnsi="Arial"/>
          <w:sz w:val="16"/>
          <w:szCs w:val="16"/>
          <w:color w:val="auto"/>
        </w:rPr>
      </w:pPr>
    </w:p>
    <w:p>
      <w:pPr>
        <w:ind w:left="-20" w:right="40" w:firstLine="2276"/>
        <w:spacing w:after="0" w:line="271" w:lineRule="auto"/>
        <w:tabs>
          <w:tab w:leader="none" w:pos="299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Working Capital Withdrawal Instruction</w:t>
      </w:r>
      <w:r>
        <w:rPr>
          <w:rFonts w:ascii="Arial" w:cs="Arial" w:eastAsia="Arial" w:hAnsi="Arial"/>
          <w:sz w:val="17"/>
          <w:szCs w:val="17"/>
          <w:color w:val="auto"/>
        </w:rPr>
        <w:t>”), withdraw from the Trust Account and distribute to the Company the amount of interest earned on the Property requested by the Company to fund working capital compliance requirements (a “</w:t>
      </w:r>
      <w:r>
        <w:rPr>
          <w:rFonts w:ascii="Arial" w:cs="Arial" w:eastAsia="Arial" w:hAnsi="Arial"/>
          <w:sz w:val="17"/>
          <w:szCs w:val="17"/>
          <w:u w:val="single" w:color="auto"/>
          <w:color w:val="auto"/>
        </w:rPr>
        <w:t>Working Capital Withdrawal</w:t>
      </w:r>
      <w:r>
        <w:rPr>
          <w:rFonts w:ascii="Arial" w:cs="Arial" w:eastAsia="Arial" w:hAnsi="Arial"/>
          <w:sz w:val="17"/>
          <w:szCs w:val="17"/>
          <w:color w:val="auto"/>
        </w:rPr>
        <w:t xml:space="preserve">”), which amount shall be delivered directly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there is not sufficient cash in the Trust Account to fund such Working Capital Withdrawal, the Trustee shall liquidate such assets held in the Trust Account as shall be designated by the Company in writing to make such distribution, so long as there is no reduction in the principal amount initially deposited in the Trust account. The written request of the Company referenced above shall constitute presumptive evidence that the Company is entitled to said funds, and the Trustee shall have no responsibility to look beyond said request;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Working Capital Withdrawal shall not exceed $1,000,000 per annum;</w:t>
      </w:r>
    </w:p>
    <w:p>
      <w:pPr>
        <w:spacing w:after="0" w:line="178" w:lineRule="exact"/>
        <w:rPr>
          <w:sz w:val="20"/>
          <w:szCs w:val="20"/>
          <w:color w:val="auto"/>
        </w:rPr>
      </w:pPr>
    </w:p>
    <w:p>
      <w:pPr>
        <w:ind w:left="-20" w:firstLine="1952"/>
        <w:spacing w:after="0" w:line="290" w:lineRule="auto"/>
        <w:tabs>
          <w:tab w:leader="none" w:pos="267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Stockholder Redemption Withdrawal Instruction</w:t>
      </w:r>
      <w:r>
        <w:rPr>
          <w:rFonts w:ascii="Arial" w:cs="Arial" w:eastAsia="Arial" w:hAnsi="Arial"/>
          <w:sz w:val="16"/>
          <w:szCs w:val="16"/>
          <w:color w:val="auto"/>
        </w:rPr>
        <w:t>”), the Trustee shall distribute to the Public Stockholders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its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21" w:name="page322"/>
    <w:bookmarkEnd w:id="321"/>
    <w:p>
      <w:pPr>
        <w:ind w:left="2752" w:hanging="808"/>
        <w:spacing w:after="0"/>
        <w:tabs>
          <w:tab w:leader="none" w:pos="275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Not make any withdrawals or distributions from the Trust Account other than pursuant to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or</w:t>
      </w:r>
    </w:p>
    <w:p>
      <w:pPr>
        <w:spacing w:after="0" w:line="35" w:lineRule="exact"/>
        <w:rPr>
          <w:sz w:val="20"/>
          <w:szCs w:val="20"/>
          <w:color w:val="auto"/>
        </w:rPr>
      </w:pPr>
    </w:p>
    <w:p>
      <w:pPr>
        <w:ind w:left="212" w:hanging="212"/>
        <w:spacing w:after="0"/>
        <w:tabs>
          <w:tab w:leader="none" w:pos="212" w:val="left"/>
        </w:tabs>
        <w:numPr>
          <w:ilvl w:val="0"/>
          <w:numId w:val="231"/>
        </w:numPr>
        <w:rPr>
          <w:rFonts w:ascii="Arial" w:cs="Arial" w:eastAsia="Arial" w:hAnsi="Arial"/>
          <w:sz w:val="18"/>
          <w:szCs w:val="18"/>
          <w:u w:val="single" w:color="auto"/>
          <w:color w:val="auto"/>
        </w:rPr>
      </w:pPr>
      <w:r>
        <w:rPr>
          <w:rFonts w:ascii="Arial" w:cs="Arial" w:eastAsia="Arial" w:hAnsi="Arial"/>
          <w:sz w:val="18"/>
          <w:szCs w:val="18"/>
          <w:color w:val="auto"/>
        </w:rPr>
        <w:t>above.</w:t>
      </w:r>
    </w:p>
    <w:p>
      <w:pPr>
        <w:spacing w:after="0" w:line="211" w:lineRule="exact"/>
        <w:rPr>
          <w:sz w:val="20"/>
          <w:szCs w:val="20"/>
          <w:color w:val="auto"/>
        </w:rPr>
      </w:pPr>
    </w:p>
    <w:p>
      <w:pPr>
        <w:ind w:left="1972" w:hanging="676"/>
        <w:spacing w:after="0"/>
        <w:tabs>
          <w:tab w:leader="none" w:pos="197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left="-8" w:right="20" w:firstLine="1952"/>
        <w:spacing w:after="0" w:line="257" w:lineRule="auto"/>
        <w:tabs>
          <w:tab w:leader="none" w:pos="267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President, Chief Executive Officer, Chief Financial Officer or Secretary. In addition, except with respect to its duties under Sections 1(i), 1(j), 1(k) and 1(l) hereof, the Trustee shall be entitled to rely on, and shall be protected in relying on, any verbal or telephonic advice or instruction which it, in good faith and with reasonable care, believes to be given by any one of the persons authorized above to give written instructions,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promptly confirm such instructions in writing;</w:t>
      </w:r>
    </w:p>
    <w:p>
      <w:pPr>
        <w:spacing w:after="0" w:line="187" w:lineRule="exact"/>
        <w:rPr>
          <w:rFonts w:ascii="Arial" w:cs="Arial" w:eastAsia="Arial" w:hAnsi="Arial"/>
          <w:sz w:val="18"/>
          <w:szCs w:val="18"/>
          <w:color w:val="auto"/>
        </w:rPr>
      </w:pPr>
    </w:p>
    <w:p>
      <w:pPr>
        <w:ind w:left="-8" w:firstLine="1952"/>
        <w:spacing w:after="0" w:line="269" w:lineRule="auto"/>
        <w:tabs>
          <w:tab w:leader="none" w:pos="268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arises out of or relates to this Agreement, the services of the Trustee hereunder, or the Property or any interest earned on the Property, except for expenses and losses resulting from the Trustee’s, or its representatives’,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 it shall notify the Company in writing of such claim (hereinafter referred to as the “</w:t>
      </w:r>
      <w:r>
        <w:rPr>
          <w:rFonts w:ascii="Arial" w:cs="Arial" w:eastAsia="Arial" w:hAnsi="Arial"/>
          <w:sz w:val="17"/>
          <w:szCs w:val="17"/>
          <w:u w:val="single" w:color="auto"/>
          <w:color w:val="auto"/>
        </w:rPr>
        <w:t>Indemnified Claim</w:t>
      </w:r>
      <w:r>
        <w:rPr>
          <w:rFonts w:ascii="Arial" w:cs="Arial" w:eastAsia="Arial" w:hAnsi="Arial"/>
          <w:sz w:val="17"/>
          <w:szCs w:val="17"/>
          <w:color w:val="auto"/>
        </w:rPr>
        <w:t xml:space="preserve">”). The Trustee shall have the right to conduct and manage the defense against such Indemnified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obtain the consent of the Company with respect to the selection of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may conduct and manage the defense against any Indemnified Claim if the Trustee does not promptly take reasonable steps to mount such a defense. The Trustee may not agree to settle any Indemnified Claim without the prior written consent of the Company. The Company may participate in any such action with its own counsel;</w:t>
      </w:r>
    </w:p>
    <w:p>
      <w:pPr>
        <w:spacing w:after="0" w:line="181" w:lineRule="exact"/>
        <w:rPr>
          <w:rFonts w:ascii="Arial" w:cs="Arial" w:eastAsia="Arial" w:hAnsi="Arial"/>
          <w:sz w:val="17"/>
          <w:szCs w:val="17"/>
          <w:color w:val="auto"/>
        </w:rPr>
      </w:pPr>
    </w:p>
    <w:p>
      <w:pPr>
        <w:ind w:left="-8" w:right="60" w:firstLine="1952"/>
        <w:spacing w:after="0" w:line="293" w:lineRule="auto"/>
        <w:tabs>
          <w:tab w:leader="none" w:pos="2675"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set-up fee, annual administration fee, and transaction processing fee which fees shall be subject to modification by the parties from time to time. It is expressly understood that the Property shall not be used to pay such fees unless and until the property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hereof. The Company shall pay the Trustee the initial set-up fee and the first annual administration fee at the consummation of the Offering. The Trustee shall refund to the Company the annual administration fee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any period after the liquidation of the Trust Account.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3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22" w:name="page323"/>
    <w:bookmarkEnd w:id="322"/>
    <w:p>
      <w:pPr>
        <w:ind w:right="680" w:firstLine="1952"/>
        <w:spacing w:after="0" w:line="259" w:lineRule="auto"/>
        <w:tabs>
          <w:tab w:leader="none" w:pos="2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right="240" w:firstLine="1952"/>
        <w:spacing w:after="0" w:line="277" w:lineRule="auto"/>
        <w:tabs>
          <w:tab w:leader="none" w:pos="268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ind w:right="40" w:firstLine="1952"/>
        <w:spacing w:after="0" w:line="263" w:lineRule="auto"/>
        <w:tabs>
          <w:tab w:leader="none" w:pos="270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accounts as directed by the Representative prior to any transfer of the funds held in the Trust Account to the Company or any other person;</w:t>
      </w:r>
    </w:p>
    <w:p>
      <w:pPr>
        <w:spacing w:after="0" w:line="183" w:lineRule="exact"/>
        <w:rPr>
          <w:rFonts w:ascii="Arial" w:cs="Arial" w:eastAsia="Arial" w:hAnsi="Arial"/>
          <w:sz w:val="18"/>
          <w:szCs w:val="18"/>
          <w:color w:val="auto"/>
        </w:rPr>
      </w:pPr>
    </w:p>
    <w:p>
      <w:pPr>
        <w:ind w:right="600" w:firstLine="1952"/>
        <w:spacing w:after="0" w:line="277" w:lineRule="auto"/>
        <w:tabs>
          <w:tab w:leader="none" w:pos="2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Within four (4) business days after the Representative exercises the over-allotment option (or any unexercised portion thereof) or such over-allotment expires, provide the Trustee with a notice in writing of the total amount of the Deferred Discount, which shall in no event be less than $35,000,000, or $40,250,000 if the underwriters’ overallotment option is exercised in full.</w:t>
      </w:r>
    </w:p>
    <w:p>
      <w:pPr>
        <w:spacing w:after="0" w:line="183" w:lineRule="exact"/>
        <w:rPr>
          <w:rFonts w:ascii="Arial" w:cs="Arial" w:eastAsia="Arial" w:hAnsi="Arial"/>
          <w:sz w:val="18"/>
          <w:szCs w:val="18"/>
          <w:color w:val="auto"/>
        </w:rPr>
      </w:pPr>
    </w:p>
    <w:p>
      <w:pPr>
        <w:ind w:left="2020" w:hanging="716"/>
        <w:spacing w:after="0"/>
        <w:tabs>
          <w:tab w:leader="none" w:pos="202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340" w:firstLine="1952"/>
        <w:spacing w:after="0" w:line="277" w:lineRule="auto"/>
        <w:tabs>
          <w:tab w:leader="none" w:pos="268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right="160" w:firstLine="1952"/>
        <w:spacing w:after="0" w:line="308" w:lineRule="auto"/>
        <w:tabs>
          <w:tab w:leader="none" w:pos="269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Take any action with respect to the Property, other than as directed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and the Trustee shall have no liability to any party except for liability arising out of the Trustee’s, or its representatives’, gross negligence, fraud, or willful misconduct;</w:t>
      </w:r>
    </w:p>
    <w:p>
      <w:pPr>
        <w:spacing w:after="0" w:line="146" w:lineRule="exact"/>
        <w:rPr>
          <w:rFonts w:ascii="Arial" w:cs="Arial" w:eastAsia="Arial" w:hAnsi="Arial"/>
          <w:sz w:val="17"/>
          <w:szCs w:val="17"/>
          <w:color w:val="auto"/>
        </w:rPr>
      </w:pPr>
    </w:p>
    <w:p>
      <w:pPr>
        <w:ind w:right="200" w:firstLine="1952"/>
        <w:spacing w:after="0" w:line="311" w:lineRule="auto"/>
        <w:tabs>
          <w:tab w:leader="none" w:pos="2683"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reasonably incurred expenses incident thereto;</w:t>
      </w:r>
    </w:p>
    <w:p>
      <w:pPr>
        <w:spacing w:after="0" w:line="148" w:lineRule="exact"/>
        <w:rPr>
          <w:rFonts w:ascii="Arial" w:cs="Arial" w:eastAsia="Arial" w:hAnsi="Arial"/>
          <w:sz w:val="16"/>
          <w:szCs w:val="16"/>
          <w:color w:val="auto"/>
        </w:rPr>
      </w:pPr>
    </w:p>
    <w:p>
      <w:pPr>
        <w:ind w:left="2700" w:hanging="748"/>
        <w:spacing w:after="0"/>
        <w:tabs>
          <w:tab w:leader="none" w:pos="27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ind w:right="60" w:firstLine="1952"/>
        <w:spacing w:after="0" w:line="342" w:lineRule="auto"/>
        <w:tabs>
          <w:tab w:leader="none" w:pos="268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3" w:lineRule="exact"/>
        <w:rPr>
          <w:rFonts w:ascii="Arial" w:cs="Arial" w:eastAsia="Arial" w:hAnsi="Arial"/>
          <w:sz w:val="16"/>
          <w:szCs w:val="16"/>
          <w:color w:val="auto"/>
        </w:rPr>
      </w:pPr>
    </w:p>
    <w:p>
      <w:pPr>
        <w:ind w:firstLine="1952"/>
        <w:spacing w:after="0" w:line="270" w:lineRule="auto"/>
        <w:tabs>
          <w:tab w:leader="none" w:pos="270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or its representatives’,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0" w:lineRule="exact"/>
        <w:rPr>
          <w:rFonts w:ascii="Arial" w:cs="Arial" w:eastAsia="Arial" w:hAnsi="Arial"/>
          <w:sz w:val="17"/>
          <w:szCs w:val="17"/>
          <w:color w:val="auto"/>
        </w:rPr>
      </w:pPr>
    </w:p>
    <w:p>
      <w:pPr>
        <w:ind w:left="2700" w:hanging="748"/>
        <w:spacing w:after="0"/>
        <w:tabs>
          <w:tab w:leader="none" w:pos="27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180" w:firstLine="1952"/>
        <w:spacing w:after="0" w:line="277" w:lineRule="auto"/>
        <w:tabs>
          <w:tab w:leader="none" w:pos="269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100" w:firstLine="1952"/>
        <w:spacing w:after="0" w:line="342" w:lineRule="auto"/>
        <w:tabs>
          <w:tab w:leader="none" w:pos="2699" w:val="left"/>
        </w:tabs>
        <w:numPr>
          <w:ilvl w:val="1"/>
          <w:numId w:val="235"/>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3" w:lineRule="exact"/>
        <w:rPr>
          <w:rFonts w:ascii="Arial" w:cs="Arial" w:eastAsia="Arial" w:hAnsi="Arial"/>
          <w:sz w:val="16"/>
          <w:szCs w:val="16"/>
          <w:color w:val="auto"/>
        </w:rPr>
      </w:pPr>
    </w:p>
    <w:p>
      <w:pPr>
        <w:ind w:right="220" w:firstLine="1952"/>
        <w:spacing w:after="0" w:line="263" w:lineRule="auto"/>
        <w:tabs>
          <w:tab w:leader="none" w:pos="269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right="660" w:firstLine="1952"/>
        <w:spacing w:after="0" w:line="277" w:lineRule="auto"/>
        <w:tabs>
          <w:tab w:leader="none" w:pos="269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Verify calculations, qualify or otherwise approve the Company’s written requests for distributions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1(l)</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80" w:firstLine="1304"/>
        <w:spacing w:after="0" w:line="257" w:lineRule="auto"/>
        <w:tabs>
          <w:tab w:leader="none" w:pos="19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4" w:name="page325"/>
    <w:bookmarkEnd w:id="324"/>
    <w:p>
      <w:pPr>
        <w:ind w:left="1980" w:hanging="676"/>
        <w:spacing w:after="0"/>
        <w:tabs>
          <w:tab w:leader="none" w:pos="19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Termination and Replacement of Trustee</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20" w:firstLine="1952"/>
        <w:spacing w:after="0" w:line="290" w:lineRule="auto"/>
        <w:tabs>
          <w:tab w:leader="none" w:pos="268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and any other reasonable transfer requests that the Company may make, whereupon this Agreement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65" w:lineRule="exact"/>
        <w:rPr>
          <w:rFonts w:ascii="Arial" w:cs="Arial" w:eastAsia="Arial" w:hAnsi="Arial"/>
          <w:sz w:val="16"/>
          <w:szCs w:val="16"/>
          <w:color w:val="auto"/>
        </w:rPr>
      </w:pPr>
    </w:p>
    <w:p>
      <w:pPr>
        <w:jc w:val="both"/>
        <w:ind w:right="300" w:firstLine="1952"/>
        <w:spacing w:after="0" w:line="263" w:lineRule="auto"/>
        <w:tabs>
          <w:tab w:leader="none" w:pos="269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91" w:lineRule="auto"/>
        <w:tabs>
          <w:tab w:leader="none" w:pos="268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or its representatives’, gross negligence, fraud, or willful misconduct, the Trustee shall not be liable for any loss, liability or expense resulting from any error in the information or transmission of the funds.</w:t>
      </w:r>
    </w:p>
    <w:p>
      <w:pPr>
        <w:spacing w:after="0" w:line="166" w:lineRule="exact"/>
        <w:rPr>
          <w:rFonts w:ascii="Arial" w:cs="Arial" w:eastAsia="Arial" w:hAnsi="Arial"/>
          <w:sz w:val="16"/>
          <w:szCs w:val="16"/>
          <w:color w:val="auto"/>
        </w:rPr>
      </w:pPr>
    </w:p>
    <w:p>
      <w:pPr>
        <w:ind w:left="2700" w:hanging="748"/>
        <w:spacing w:after="0"/>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5" w:name="page326"/>
    <w:bookmarkEnd w:id="325"/>
    <w:p>
      <w:pPr>
        <w:ind w:firstLine="1952"/>
        <w:spacing w:after="0" w:line="263" w:lineRule="auto"/>
        <w:tabs>
          <w:tab w:leader="none" w:pos="268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ind w:right="100" w:firstLine="1952"/>
        <w:spacing w:after="0" w:line="286" w:lineRule="auto"/>
        <w:tabs>
          <w:tab w:leader="none" w:pos="2693"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Sections 1(i) and 1(l)</w:t>
      </w:r>
      <w:r>
        <w:rPr>
          <w:rFonts w:ascii="Arial" w:cs="Arial" w:eastAsia="Arial" w:hAnsi="Arial"/>
          <w:sz w:val="16"/>
          <w:szCs w:val="16"/>
          <w:color w:val="auto"/>
        </w:rPr>
        <w:t xml:space="preserve">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it being the specific intention of the parties hereto that each of the Company’s stockholders is, and shall be, a third party beneficiary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with the same right and power to enforce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as the other parties hereto.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w:t>
      </w:r>
      <w:r>
        <w:rPr>
          <w:rFonts w:ascii="Arial" w:cs="Arial" w:eastAsia="Arial" w:hAnsi="Arial"/>
          <w:sz w:val="16"/>
          <w:szCs w:val="16"/>
          <w:u w:val="single" w:color="auto"/>
          <w:color w:val="auto"/>
        </w:rPr>
        <w:t>Consent of the Stockholders</w:t>
      </w:r>
      <w:r>
        <w:rPr>
          <w:rFonts w:ascii="Arial" w:cs="Arial" w:eastAsia="Arial" w:hAnsi="Arial"/>
          <w:sz w:val="16"/>
          <w:szCs w:val="16"/>
          <w:color w:val="auto"/>
        </w:rPr>
        <w:t>” means receipt by the Trustee of a certificate from the inspector of elections of the stockholder meeting certifying that either</w:t>
      </w:r>
    </w:p>
    <w:p>
      <w:pPr>
        <w:spacing w:after="0" w:line="1" w:lineRule="exact"/>
        <w:rPr>
          <w:rFonts w:ascii="Arial" w:cs="Arial" w:eastAsia="Arial" w:hAnsi="Arial"/>
          <w:sz w:val="16"/>
          <w:szCs w:val="16"/>
          <w:color w:val="auto"/>
        </w:rPr>
      </w:pPr>
    </w:p>
    <w:p>
      <w:pPr>
        <w:ind w:right="20" w:firstLine="8"/>
        <w:spacing w:after="0" w:line="268" w:lineRule="auto"/>
        <w:tabs>
          <w:tab w:leader="none" w:pos="21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Company’s stockholders of record as of a record date established in accordance with Section 213(a) of the Delaware General Corporation Law, as amended (“</w:t>
      </w:r>
      <w:r>
        <w:rPr>
          <w:rFonts w:ascii="Arial" w:cs="Arial" w:eastAsia="Arial" w:hAnsi="Arial"/>
          <w:sz w:val="17"/>
          <w:szCs w:val="17"/>
          <w:u w:val="single" w:color="auto"/>
          <w:color w:val="auto"/>
        </w:rPr>
        <w:t>DGCL</w:t>
      </w:r>
      <w:r>
        <w:rPr>
          <w:rFonts w:ascii="Arial" w:cs="Arial" w:eastAsia="Arial" w:hAnsi="Arial"/>
          <w:sz w:val="17"/>
          <w:szCs w:val="17"/>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or (ii) the Company’s stockholders of record as of the record date who hold sixty-five percent (65%) or more of all then outstanding shares of the Common Stock and Class B common stock, par value $0.0001 per share, of the Company voting together as a single class, have delivered to such entity a signed writing approving such change, amendment or modification. No such amendment will affect any Public Stockholder who has otherwise indicated his election to redeem his share of Common Stock in connection with a stockholder vote sought to amend the Certificate of Incorporation. Except for any liability arising out of the Trustee’s, or its representatives’,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78" w:lineRule="exact"/>
        <w:rPr>
          <w:rFonts w:ascii="Arial" w:cs="Arial" w:eastAsia="Arial" w:hAnsi="Arial"/>
          <w:sz w:val="17"/>
          <w:szCs w:val="17"/>
          <w:color w:val="auto"/>
        </w:rPr>
      </w:pPr>
    </w:p>
    <w:p>
      <w:pPr>
        <w:ind w:right="140" w:firstLine="1952"/>
        <w:spacing w:after="0" w:line="263" w:lineRule="auto"/>
        <w:tabs>
          <w:tab w:leader="none" w:pos="268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County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right="180" w:firstLine="1952"/>
        <w:spacing w:after="0" w:line="263" w:lineRule="auto"/>
        <w:tabs>
          <w:tab w:leader="none" w:pos="270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cgonzalez@continentalstock.com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ind w:left="56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Fax No.: (212) 757-3990</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Pavan Bellur</w:t>
      </w:r>
    </w:p>
    <w:p>
      <w:pPr>
        <w:spacing w:after="0" w:line="211" w:lineRule="exact"/>
        <w:rPr>
          <w:sz w:val="20"/>
          <w:szCs w:val="20"/>
          <w:color w:val="auto"/>
        </w:rPr>
      </w:pPr>
    </w:p>
    <w:p>
      <w:pPr>
        <w:jc w:val="center"/>
        <w:ind w:left="204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Attention: Joel L. Rubinstein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right="220" w:firstLine="1952"/>
        <w:spacing w:after="0" w:line="259" w:lineRule="auto"/>
        <w:tabs>
          <w:tab w:leader="none" w:pos="26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6" w:lineRule="exact"/>
        <w:rPr>
          <w:rFonts w:ascii="Arial" w:cs="Arial" w:eastAsia="Arial" w:hAnsi="Arial"/>
          <w:sz w:val="18"/>
          <w:szCs w:val="18"/>
          <w:color w:val="auto"/>
        </w:rPr>
      </w:pPr>
    </w:p>
    <w:p>
      <w:pPr>
        <w:ind w:left="2700" w:hanging="748"/>
        <w:spacing w:after="0"/>
        <w:tabs>
          <w:tab w:leader="none" w:pos="27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the Representative is a third party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beneficiary of this Agreement.</w:t>
      </w:r>
    </w:p>
    <w:p>
      <w:pPr>
        <w:spacing w:after="0" w:line="210" w:lineRule="exact"/>
        <w:rPr>
          <w:rFonts w:ascii="Arial" w:cs="Arial" w:eastAsia="Arial" w:hAnsi="Arial"/>
          <w:sz w:val="17"/>
          <w:szCs w:val="17"/>
          <w:color w:val="auto"/>
        </w:rPr>
      </w:pPr>
    </w:p>
    <w:p>
      <w:pPr>
        <w:ind w:right="20" w:firstLine="1952"/>
        <w:spacing w:after="0" w:line="263" w:lineRule="auto"/>
        <w:tabs>
          <w:tab w:leader="none" w:pos="265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Trustee shall perform its duties under this Agreement in compliance with all applicable laws and keep confidential all information relating to this Agreement and, except as required by applicable law, shall not use such information for any purpose other than the performance of the Trustee’s obligations under this Agreement.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person or entity.</w:t>
      </w:r>
    </w:p>
    <w:p>
      <w:pPr>
        <w:spacing w:after="0" w:line="210" w:lineRule="exact"/>
        <w:rPr>
          <w:rFonts w:ascii="Arial" w:cs="Arial" w:eastAsia="Arial" w:hAnsi="Arial"/>
          <w:sz w:val="16"/>
          <w:szCs w:val="16"/>
          <w:color w:val="auto"/>
        </w:rPr>
      </w:pPr>
    </w:p>
    <w:p>
      <w:pPr>
        <w:ind w:right="20" w:firstLine="1952"/>
        <w:spacing w:after="0" w:line="263" w:lineRule="auto"/>
        <w:tabs>
          <w:tab w:leader="none" w:pos="26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counterpart signed by the party against whom enforceability is sought needs to be produced to evidence the existence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Investment Management Trust Agreement as of the date first written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 as Trustee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8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840" w:type="dxa"/>
            <w:vAlign w:val="bottom"/>
            <w:tcBorders>
              <w:top w:val="single" w:sz="8" w:color="auto"/>
              <w:bottom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D9D9D9"/>
            </w:tcBorders>
            <w:shd w:val="clear" w:color="auto" w:fill="D9D9D9"/>
          </w:tcPr>
          <w:p>
            <w:pPr>
              <w:spacing w:after="0"/>
              <w:rPr>
                <w:sz w:val="24"/>
                <w:szCs w:val="24"/>
                <w:color w:val="auto"/>
              </w:rPr>
            </w:pPr>
          </w:p>
        </w:tc>
        <w:tc>
          <w:tcPr>
            <w:tcW w:w="2220" w:type="dxa"/>
            <w:vAlign w:val="bottom"/>
            <w:tcBorders>
              <w:top w:val="single" w:sz="8" w:color="auto"/>
              <w:bottom w:val="single" w:sz="8" w:color="D9D9D9"/>
              <w:right w:val="single" w:sz="8" w:color="auto"/>
            </w:tcBorders>
            <w:gridSpan w:val="8"/>
            <w:shd w:val="clear" w:color="auto" w:fill="D9D9D9"/>
          </w:tcPr>
          <w:p>
            <w:pPr>
              <w:ind w:left="20"/>
              <w:spacing w:after="0"/>
              <w:rPr>
                <w:sz w:val="20"/>
                <w:szCs w:val="20"/>
                <w:color w:val="auto"/>
              </w:rPr>
            </w:pPr>
            <w:r>
              <w:rPr>
                <w:rFonts w:ascii="Arial" w:cs="Arial" w:eastAsia="Arial" w:hAnsi="Arial"/>
                <w:sz w:val="18"/>
                <w:szCs w:val="18"/>
                <w:b w:val="1"/>
                <w:bCs w:val="1"/>
                <w:color w:val="auto"/>
              </w:rPr>
              <w:t>Fee Item</w:t>
            </w:r>
          </w:p>
        </w:tc>
        <w:tc>
          <w:tcPr>
            <w:tcW w:w="40" w:type="dxa"/>
            <w:vAlign w:val="bottom"/>
            <w:tcBorders>
              <w:top w:val="single" w:sz="8" w:color="auto"/>
              <w:bottom w:val="single" w:sz="8" w:color="D9D9D9"/>
            </w:tcBorders>
            <w:shd w:val="clear" w:color="auto" w:fill="D9D9D9"/>
          </w:tcPr>
          <w:p>
            <w:pPr>
              <w:spacing w:after="0"/>
              <w:rPr>
                <w:sz w:val="24"/>
                <w:szCs w:val="24"/>
                <w:color w:val="auto"/>
              </w:rPr>
            </w:pPr>
          </w:p>
        </w:tc>
        <w:tc>
          <w:tcPr>
            <w:tcW w:w="260" w:type="dxa"/>
            <w:vAlign w:val="bottom"/>
            <w:tcBorders>
              <w:top w:val="single" w:sz="8" w:color="auto"/>
              <w:bottom w:val="single" w:sz="8" w:color="D9D9D9"/>
            </w:tcBorders>
            <w:shd w:val="clear" w:color="auto" w:fill="D9D9D9"/>
          </w:tcPr>
          <w:p>
            <w:pPr>
              <w:spacing w:after="0"/>
              <w:rPr>
                <w:sz w:val="24"/>
                <w:szCs w:val="24"/>
                <w:color w:val="auto"/>
              </w:rPr>
            </w:pPr>
          </w:p>
        </w:tc>
        <w:tc>
          <w:tcPr>
            <w:tcW w:w="5300" w:type="dxa"/>
            <w:vAlign w:val="bottom"/>
            <w:tcBorders>
              <w:top w:val="single" w:sz="8" w:color="auto"/>
              <w:bottom w:val="single" w:sz="8" w:color="D9D9D9"/>
              <w:right w:val="single" w:sz="8" w:color="auto"/>
            </w:tcBorders>
            <w:gridSpan w:val="3"/>
            <w:shd w:val="clear" w:color="auto" w:fill="D9D9D9"/>
          </w:tcPr>
          <w:p>
            <w:pPr>
              <w:ind w:left="1360"/>
              <w:spacing w:after="0"/>
              <w:rPr>
                <w:sz w:val="20"/>
                <w:szCs w:val="20"/>
                <w:color w:val="auto"/>
              </w:rPr>
            </w:pPr>
            <w:r>
              <w:rPr>
                <w:rFonts w:ascii="Arial" w:cs="Arial" w:eastAsia="Arial" w:hAnsi="Arial"/>
                <w:sz w:val="18"/>
                <w:szCs w:val="18"/>
                <w:b w:val="1"/>
                <w:bCs w:val="1"/>
                <w:color w:val="auto"/>
              </w:rPr>
              <w:t>Time and method of payment</w:t>
            </w:r>
          </w:p>
        </w:tc>
        <w:tc>
          <w:tcPr>
            <w:tcW w:w="1900" w:type="dxa"/>
            <w:vAlign w:val="bottom"/>
            <w:tcBorders>
              <w:top w:val="single" w:sz="8" w:color="auto"/>
              <w:bottom w:val="single" w:sz="8" w:color="D9D9D9"/>
              <w:right w:val="single" w:sz="8" w:color="auto"/>
            </w:tcBorders>
            <w:shd w:val="clear" w:color="auto" w:fill="D9D9D9"/>
          </w:tcPr>
          <w:p>
            <w:pPr>
              <w:ind w:left="620"/>
              <w:spacing w:after="0"/>
              <w:rPr>
                <w:sz w:val="20"/>
                <w:szCs w:val="20"/>
                <w:color w:val="auto"/>
              </w:rPr>
            </w:pPr>
            <w:r>
              <w:rPr>
                <w:rFonts w:ascii="Arial" w:cs="Arial" w:eastAsia="Arial" w:hAnsi="Arial"/>
                <w:sz w:val="18"/>
                <w:szCs w:val="18"/>
                <w:b w:val="1"/>
                <w:bCs w:val="1"/>
                <w:color w:val="auto"/>
              </w:rPr>
              <w:t>Amount</w:t>
            </w:r>
          </w:p>
        </w:tc>
      </w:tr>
      <w:tr>
        <w:trPr>
          <w:trHeight w:val="263"/>
        </w:trPr>
        <w:tc>
          <w:tcPr>
            <w:tcW w:w="3740" w:type="dxa"/>
            <w:vAlign w:val="bottom"/>
            <w:tcBorders>
              <w:top w:val="single" w:sz="8" w:color="auto"/>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rPr>
              <w:t>Initial set-up fee.</w:t>
            </w:r>
          </w:p>
        </w:tc>
        <w:tc>
          <w:tcPr>
            <w:tcW w:w="40" w:type="dxa"/>
            <w:vAlign w:val="bottom"/>
            <w:tcBorders>
              <w:top w:val="single" w:sz="8" w:color="auto"/>
            </w:tcBorders>
          </w:tcPr>
          <w:p>
            <w:pPr>
              <w:spacing w:after="0"/>
              <w:rPr>
                <w:sz w:val="22"/>
                <w:szCs w:val="22"/>
                <w:color w:val="auto"/>
              </w:rPr>
            </w:pPr>
          </w:p>
        </w:tc>
        <w:tc>
          <w:tcPr>
            <w:tcW w:w="55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Initial closing of Offering by wire transfer.</w:t>
            </w:r>
          </w:p>
        </w:tc>
        <w:tc>
          <w:tcPr>
            <w:tcW w:w="1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r>
      <w:tr>
        <w:trPr>
          <w:trHeight w:val="249"/>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rPr>
              <w:t>Trustee administration fee</w:t>
            </w:r>
          </w:p>
        </w:tc>
        <w:tc>
          <w:tcPr>
            <w:tcW w:w="40" w:type="dxa"/>
            <w:vAlign w:val="bottom"/>
          </w:tcPr>
          <w:p>
            <w:pPr>
              <w:spacing w:after="0"/>
              <w:rPr>
                <w:sz w:val="21"/>
                <w:szCs w:val="21"/>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Payable annually. First year fee payable at initial closing of Offering by</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$10,000.00</w:t>
            </w:r>
          </w:p>
        </w:tc>
      </w:tr>
      <w:tr>
        <w:trPr>
          <w:trHeight w:val="230"/>
        </w:trPr>
        <w:tc>
          <w:tcPr>
            <w:tcW w:w="8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wire transfer; thereafter, payable by wire transfer or check.</w:t>
            </w:r>
          </w:p>
        </w:tc>
        <w:tc>
          <w:tcPr>
            <w:tcW w:w="1900" w:type="dxa"/>
            <w:vAlign w:val="bottom"/>
            <w:tcBorders>
              <w:right w:val="single" w:sz="8" w:color="auto"/>
            </w:tcBorders>
          </w:tcPr>
          <w:p>
            <w:pPr>
              <w:spacing w:after="0"/>
              <w:rPr>
                <w:sz w:val="20"/>
                <w:szCs w:val="20"/>
                <w:color w:val="auto"/>
              </w:rPr>
            </w:pP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r>
      <w:tr>
        <w:trPr>
          <w:trHeight w:val="249"/>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w w:val="94"/>
              </w:rPr>
              <w:t>Transaction processing fee for disbursements to</w:t>
            </w:r>
          </w:p>
        </w:tc>
        <w:tc>
          <w:tcPr>
            <w:tcW w:w="40" w:type="dxa"/>
            <w:vAlign w:val="bottom"/>
          </w:tcPr>
          <w:p>
            <w:pPr>
              <w:spacing w:after="0"/>
              <w:rPr>
                <w:sz w:val="21"/>
                <w:szCs w:val="21"/>
                <w:color w:val="auto"/>
              </w:rPr>
            </w:pPr>
          </w:p>
        </w:tc>
        <w:tc>
          <w:tcPr>
            <w:tcW w:w="55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Billed to Company following disbursement made to Company under</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$250.00</w:t>
            </w:r>
          </w:p>
        </w:tc>
      </w:tr>
      <w:tr>
        <w:trPr>
          <w:trHeight w:val="190"/>
        </w:trPr>
        <w:tc>
          <w:tcPr>
            <w:tcW w:w="3740" w:type="dxa"/>
            <w:vAlign w:val="bottom"/>
            <w:tcBorders>
              <w:left w:val="single" w:sz="8" w:color="auto"/>
              <w:right w:val="single" w:sz="8" w:color="auto"/>
            </w:tcBorders>
            <w:gridSpan w:val="13"/>
          </w:tcPr>
          <w:p>
            <w:pPr>
              <w:ind w:left="80"/>
              <w:spacing w:after="0" w:line="190" w:lineRule="exact"/>
              <w:rPr>
                <w:sz w:val="20"/>
                <w:szCs w:val="20"/>
                <w:color w:val="auto"/>
              </w:rPr>
            </w:pPr>
            <w:r>
              <w:rPr>
                <w:rFonts w:ascii="Arial" w:cs="Arial" w:eastAsia="Arial" w:hAnsi="Arial"/>
                <w:sz w:val="18"/>
                <w:szCs w:val="18"/>
                <w:color w:val="auto"/>
                <w:w w:val="96"/>
              </w:rPr>
              <w:t>Company under Sections 1(i), 1(j), 1(k) and 1(l)</w:t>
            </w:r>
          </w:p>
        </w:tc>
        <w:tc>
          <w:tcPr>
            <w:tcW w:w="40" w:type="dxa"/>
            <w:vAlign w:val="bottom"/>
          </w:tcPr>
          <w:p>
            <w:pPr>
              <w:spacing w:after="0"/>
              <w:rPr>
                <w:sz w:val="16"/>
                <w:szCs w:val="16"/>
                <w:color w:val="auto"/>
              </w:rPr>
            </w:pPr>
          </w:p>
        </w:tc>
        <w:tc>
          <w:tcPr>
            <w:tcW w:w="556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rPr>
              <w:t>Section 1</w:t>
            </w:r>
          </w:p>
        </w:tc>
        <w:tc>
          <w:tcPr>
            <w:tcW w:w="1900" w:type="dxa"/>
            <w:vAlign w:val="bottom"/>
            <w:tcBorders>
              <w:right w:val="single" w:sz="8" w:color="auto"/>
            </w:tcBorders>
          </w:tcPr>
          <w:p>
            <w:pPr>
              <w:spacing w:after="0"/>
              <w:rPr>
                <w:sz w:val="16"/>
                <w:szCs w:val="16"/>
                <w:color w:val="auto"/>
              </w:rPr>
            </w:pPr>
          </w:p>
        </w:tc>
      </w:tr>
      <w:tr>
        <w:trPr>
          <w:trHeight w:val="74"/>
        </w:trPr>
        <w:tc>
          <w:tcPr>
            <w:tcW w:w="80" w:type="dxa"/>
            <w:vAlign w:val="bottom"/>
            <w:tcBorders>
              <w:left w:val="single" w:sz="8" w:color="auto"/>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223"/>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w w:val="98"/>
              </w:rPr>
              <w:t>Paying Agent services as required pursuant to</w:t>
            </w:r>
          </w:p>
        </w:tc>
        <w:tc>
          <w:tcPr>
            <w:tcW w:w="40" w:type="dxa"/>
            <w:vAlign w:val="bottom"/>
          </w:tcPr>
          <w:p>
            <w:pPr>
              <w:spacing w:after="0"/>
              <w:rPr>
                <w:sz w:val="19"/>
                <w:szCs w:val="19"/>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Billed to Company upon delivery of service pursuant to Section 1(i) and</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Prevailing rates</w:t>
            </w:r>
          </w:p>
        </w:tc>
      </w:tr>
      <w:tr>
        <w:trPr>
          <w:trHeight w:val="196"/>
        </w:trPr>
        <w:tc>
          <w:tcPr>
            <w:tcW w:w="3740" w:type="dxa"/>
            <w:vAlign w:val="bottom"/>
            <w:tcBorders>
              <w:left w:val="single" w:sz="8" w:color="auto"/>
              <w:right w:val="single" w:sz="8" w:color="auto"/>
            </w:tcBorders>
            <w:gridSpan w:val="13"/>
          </w:tcPr>
          <w:p>
            <w:pPr>
              <w:ind w:left="80"/>
              <w:spacing w:after="0" w:line="196" w:lineRule="exact"/>
              <w:rPr>
                <w:sz w:val="20"/>
                <w:szCs w:val="20"/>
                <w:color w:val="auto"/>
              </w:rPr>
            </w:pPr>
            <w:r>
              <w:rPr>
                <w:rFonts w:ascii="Arial" w:cs="Arial" w:eastAsia="Arial" w:hAnsi="Arial"/>
                <w:sz w:val="18"/>
                <w:szCs w:val="18"/>
                <w:color w:val="auto"/>
              </w:rPr>
              <w:t>Section 1(i) and 1(l)</w:t>
            </w:r>
          </w:p>
        </w:tc>
        <w:tc>
          <w:tcPr>
            <w:tcW w:w="40" w:type="dxa"/>
            <w:vAlign w:val="bottom"/>
          </w:tcPr>
          <w:p>
            <w:pPr>
              <w:spacing w:after="0"/>
              <w:rPr>
                <w:sz w:val="17"/>
                <w:szCs w:val="17"/>
                <w:color w:val="auto"/>
              </w:rPr>
            </w:pPr>
          </w:p>
        </w:tc>
        <w:tc>
          <w:tcPr>
            <w:tcW w:w="4640" w:type="dxa"/>
            <w:vAlign w:val="bottom"/>
            <w:gridSpan w:val="2"/>
          </w:tcPr>
          <w:p>
            <w:pPr>
              <w:spacing w:after="0" w:line="196" w:lineRule="exact"/>
              <w:rPr>
                <w:sz w:val="20"/>
                <w:szCs w:val="20"/>
                <w:color w:val="auto"/>
              </w:rPr>
            </w:pPr>
            <w:r>
              <w:rPr>
                <w:rFonts w:ascii="Arial" w:cs="Arial" w:eastAsia="Arial" w:hAnsi="Arial"/>
                <w:sz w:val="18"/>
                <w:szCs w:val="18"/>
                <w:color w:val="auto"/>
              </w:rPr>
              <w:t>1(l)</w:t>
            </w:r>
          </w:p>
        </w:tc>
        <w:tc>
          <w:tcPr>
            <w:tcW w:w="260" w:type="dxa"/>
            <w:vAlign w:val="bottom"/>
            <w:tcBorders>
              <w:top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r>
      <w:tr>
        <w:trPr>
          <w:trHeight w:val="74"/>
        </w:trPr>
        <w:tc>
          <w:tcPr>
            <w:tcW w:w="80" w:type="dxa"/>
            <w:vAlign w:val="bottom"/>
            <w:tcBorders>
              <w:left w:val="single" w:sz="8" w:color="auto"/>
              <w:bottom w:val="single" w:sz="8" w:color="auto"/>
            </w:tcBorders>
          </w:tcPr>
          <w:p>
            <w:pPr>
              <w:spacing w:after="0"/>
              <w:rPr>
                <w:sz w:val="6"/>
                <w:szCs w:val="6"/>
                <w:color w:val="auto"/>
              </w:rPr>
            </w:pPr>
          </w:p>
        </w:tc>
        <w:tc>
          <w:tcPr>
            <w:tcW w:w="84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1(i) of</w:t>
      </w:r>
      <w:r>
        <w:rPr>
          <w:rFonts w:ascii="Arial" w:cs="Arial" w:eastAsia="Arial" w:hAnsi="Arial"/>
          <w:sz w:val="17"/>
          <w:szCs w:val="17"/>
          <w:color w:val="auto"/>
        </w:rPr>
        <w:t xml:space="preserve"> the Investment Management Trust Agreement between Churchill Capital Corp IV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Continental Stock Transfer &amp; Trust Company (the “</w:t>
      </w:r>
      <w:r>
        <w:rPr>
          <w:rFonts w:ascii="Arial" w:cs="Arial" w:eastAsia="Arial" w:hAnsi="Arial"/>
          <w:sz w:val="18"/>
          <w:szCs w:val="18"/>
          <w:u w:val="single" w:color="auto"/>
          <w:color w:val="auto"/>
        </w:rPr>
        <w:t>Trustee</w:t>
      </w:r>
      <w:r>
        <w:rPr>
          <w:rFonts w:ascii="Arial" w:cs="Arial" w:eastAsia="Arial" w:hAnsi="Arial"/>
          <w:sz w:val="18"/>
          <w:szCs w:val="18"/>
          <w:color w:val="auto"/>
        </w:rPr>
        <w:t>”), dated as of , 2020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this is to advise you that the Company has entered into an agreement with [insert name] (the “</w:t>
      </w:r>
      <w:r>
        <w:rPr>
          <w:rFonts w:ascii="Arial" w:cs="Arial" w:eastAsia="Arial" w:hAnsi="Arial"/>
          <w:sz w:val="18"/>
          <w:szCs w:val="18"/>
          <w:u w:val="single" w:color="auto"/>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on or about [insert date]. The Company shall notify you at least seventy-two (72) hours in advance of the actual date of the consummation of the Business Combination (the “</w:t>
      </w:r>
      <w:r>
        <w:rPr>
          <w:rFonts w:ascii="Arial" w:cs="Arial" w:eastAsia="Arial" w:hAnsi="Arial"/>
          <w:sz w:val="18"/>
          <w:szCs w:val="18"/>
          <w:u w:val="single" w:color="auto"/>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1" w:lineRule="exact"/>
        <w:rPr>
          <w:sz w:val="20"/>
          <w:szCs w:val="20"/>
          <w:color w:val="auto"/>
        </w:rPr>
      </w:pPr>
    </w:p>
    <w:p>
      <w:pPr>
        <w:ind w:right="240" w:firstLine="1296"/>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the trust operating account at JPMorgan Chase Bank N.A. to the effect that, on the Consummation Date, all of the funds held in the Trust Account will be immediately available for transfer to the account or accounts that the Company shall direct on the Consummation Date (including as directed to it by the Representative) (with respect to the Deferred Discount). It is acknowledged and agreed that while the funds are on deposit in the trust operating account at JPMorgan Chase Bank N.A. awaiting distribution, the Company will not earn any interest or dividends.</w:t>
      </w:r>
    </w:p>
    <w:p>
      <w:pPr>
        <w:spacing w:after="0" w:line="19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u w:val="single" w:color="auto"/>
          <w:color w:val="auto"/>
        </w:rPr>
        <w:t>Notification</w:t>
      </w:r>
      <w:r>
        <w:rPr>
          <w:rFonts w:ascii="Arial" w:cs="Arial" w:eastAsia="Arial" w:hAnsi="Arial"/>
          <w:sz w:val="17"/>
          <w:szCs w:val="17"/>
          <w:color w:val="auto"/>
        </w:rPr>
        <w:t>”) and (ii) the Company shall deliver to you (a) [an affidavit] [a certificate] of the Chief Executive Officer of the Company,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redemptions rights and payment of amounts of the Deferred Discount to the underwriter from the Trust Account (the “</w:t>
      </w:r>
      <w:r>
        <w:rPr>
          <w:rFonts w:ascii="Arial" w:cs="Arial" w:eastAsia="Arial" w:hAnsi="Arial"/>
          <w:sz w:val="17"/>
          <w:szCs w:val="17"/>
          <w:u w:val="single" w:color="auto"/>
          <w:color w:val="auto"/>
        </w:rPr>
        <w:t>Instruction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jc w:val="both"/>
        <w:ind w:firstLine="1296"/>
        <w:spacing w:after="0" w:line="279" w:lineRule="auto"/>
        <w:rPr>
          <w:sz w:val="20"/>
          <w:szCs w:val="20"/>
          <w:color w:val="auto"/>
        </w:rPr>
      </w:pPr>
      <w:r>
        <w:rPr>
          <w:rFonts w:ascii="Arial" w:cs="Arial" w:eastAsia="Arial" w:hAnsi="Arial"/>
          <w:sz w:val="17"/>
          <w:szCs w:val="17"/>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written instruction as soon thereafter as possible.</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331" w:name="page332"/>
    <w:bookmarkEnd w:id="331"/>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Pursuant to Section 1(i) of the Investment Management Trust Agreement between Churchill Capital Corp IV (the “Company”) and Continental Stock Transfer &amp; Trust Company (the “Trustee”), dated as of , 2020 (the “Trust Agreement”), this is to advise you that the Company has been unable to effect a Business Combination with a Target Business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ind w:right="180" w:firstLine="1296"/>
        <w:spacing w:after="0" w:line="254" w:lineRule="auto"/>
        <w:rPr>
          <w:sz w:val="20"/>
          <w:szCs w:val="20"/>
          <w:color w:val="auto"/>
        </w:rPr>
      </w:pPr>
      <w:r>
        <w:rPr>
          <w:rFonts w:ascii="Arial" w:cs="Arial" w:eastAsia="Arial" w:hAnsi="Arial"/>
          <w:sz w:val="18"/>
          <w:szCs w:val="18"/>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Stockholders. The Company has selected [insert completion deadline]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Section 1(i) of the Trust Agreement.</w:t>
      </w:r>
    </w:p>
    <w:p>
      <w:pPr>
        <w:spacing w:after="0" w:line="1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32" w:name="page333"/>
    <w:bookmarkEnd w:id="332"/>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Trust Account No.</w:t>
            </w:r>
          </w:p>
        </w:tc>
        <w:tc>
          <w:tcPr>
            <w:tcW w:w="28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Tax Payment Withdrawal Instruction</w:t>
            </w:r>
          </w:p>
        </w:tc>
        <w:tc>
          <w:tcPr>
            <w:tcW w:w="4500" w:type="dxa"/>
            <w:vAlign w:val="bottom"/>
            <w:gridSpan w:val="5"/>
          </w:tcPr>
          <w:p>
            <w:pPr>
              <w:spacing w:after="0"/>
              <w:rPr>
                <w:sz w:val="17"/>
                <w:szCs w:val="17"/>
                <w:color w:val="auto"/>
              </w:rPr>
            </w:pPr>
          </w:p>
        </w:tc>
      </w:tr>
      <w:tr>
        <w:trPr>
          <w:trHeight w:val="453"/>
        </w:trPr>
        <w:tc>
          <w:tcPr>
            <w:tcW w:w="3440" w:type="dxa"/>
            <w:vAlign w:val="bottom"/>
            <w:gridSpan w:val="4"/>
          </w:tcPr>
          <w:p>
            <w:pPr>
              <w:spacing w:after="0"/>
              <w:rPr>
                <w:sz w:val="20"/>
                <w:szCs w:val="20"/>
                <w:color w:val="auto"/>
              </w:rPr>
            </w:pPr>
            <w:r>
              <w:rPr>
                <w:rFonts w:ascii="Arial" w:cs="Arial" w:eastAsia="Arial" w:hAnsi="Arial"/>
                <w:sz w:val="18"/>
                <w:szCs w:val="18"/>
                <w:color w:val="auto"/>
              </w:rPr>
              <w:t>Dear Mr. Wolf and Ms. Gonzalez:</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2"/>
        </w:trPr>
        <w:tc>
          <w:tcPr>
            <w:tcW w:w="10760" w:type="dxa"/>
            <w:vAlign w:val="bottom"/>
            <w:gridSpan w:val="13"/>
          </w:tcPr>
          <w:p>
            <w:pPr>
              <w:ind w:left="1300"/>
              <w:spacing w:after="0"/>
              <w:rPr>
                <w:sz w:val="20"/>
                <w:szCs w:val="20"/>
                <w:color w:val="auto"/>
              </w:rPr>
            </w:pPr>
            <w:r>
              <w:rPr>
                <w:rFonts w:ascii="Arial" w:cs="Arial" w:eastAsia="Arial" w:hAnsi="Arial"/>
                <w:sz w:val="18"/>
                <w:szCs w:val="18"/>
                <w:color w:val="auto"/>
                <w:w w:val="91"/>
              </w:rPr>
              <w:t>Pursuant to Section 1(j) of the Investment Management Trust Agreement between Churchill Capital Corp IV (the “Company”) and</w:t>
            </w:r>
          </w:p>
        </w:tc>
      </w:tr>
      <w:tr>
        <w:trPr>
          <w:trHeight w:val="20"/>
        </w:trPr>
        <w:tc>
          <w:tcPr>
            <w:tcW w:w="21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80" w:type="dxa"/>
            <w:vAlign w:val="bottom"/>
            <w:gridSpan w:val="7"/>
          </w:tcPr>
          <w:p>
            <w:pPr>
              <w:spacing w:after="0" w:line="196" w:lineRule="exact"/>
              <w:rPr>
                <w:sz w:val="20"/>
                <w:szCs w:val="20"/>
                <w:color w:val="auto"/>
              </w:rPr>
            </w:pPr>
            <w:r>
              <w:rPr>
                <w:rFonts w:ascii="Arial" w:cs="Arial" w:eastAsia="Arial" w:hAnsi="Arial"/>
                <w:sz w:val="18"/>
                <w:szCs w:val="18"/>
                <w:color w:val="auto"/>
                <w:w w:val="94"/>
              </w:rPr>
              <w:t>Continental Stock Transfer &amp; Trust Company (the “Trustee”), dated as of</w:t>
            </w:r>
          </w:p>
        </w:tc>
        <w:tc>
          <w:tcPr>
            <w:tcW w:w="5280" w:type="dxa"/>
            <w:vAlign w:val="bottom"/>
            <w:gridSpan w:val="6"/>
          </w:tcPr>
          <w:p>
            <w:pPr>
              <w:ind w:left="180"/>
              <w:spacing w:after="0" w:line="196" w:lineRule="exact"/>
              <w:rPr>
                <w:sz w:val="20"/>
                <w:szCs w:val="20"/>
                <w:color w:val="auto"/>
              </w:rPr>
            </w:pPr>
            <w:r>
              <w:rPr>
                <w:rFonts w:ascii="Arial" w:cs="Arial" w:eastAsia="Arial" w:hAnsi="Arial"/>
                <w:sz w:val="18"/>
                <w:szCs w:val="18"/>
                <w:color w:val="auto"/>
                <w:w w:val="90"/>
              </w:rPr>
              <w:t>, 2020 (the “Trust Agreement”), the Company hereby requests that you</w:t>
            </w: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deliver to the Company $___________ of the interest income earned on the Property as of the date hereof. Capitalized terms used but not defined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set forth in the Trust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3" w:name="page334"/>
    <w:bookmarkEnd w:id="333"/>
    <w:p>
      <w:pPr>
        <w:jc w:val="center"/>
        <w:ind w:right="-19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1480" w:type="dxa"/>
            <w:vAlign w:val="bottom"/>
            <w:gridSpan w:val="3"/>
          </w:tcPr>
          <w:p>
            <w:pPr>
              <w:spacing w:after="0"/>
              <w:rPr>
                <w:sz w:val="20"/>
                <w:szCs w:val="20"/>
                <w:color w:val="auto"/>
              </w:rPr>
            </w:pPr>
            <w:r>
              <w:rPr>
                <w:rFonts w:ascii="Arial" w:cs="Arial" w:eastAsia="Arial" w:hAnsi="Arial"/>
                <w:sz w:val="18"/>
                <w:szCs w:val="18"/>
                <w:color w:val="auto"/>
              </w:rPr>
              <w:t>Trust Account No.</w:t>
            </w:r>
          </w:p>
        </w:tc>
        <w:tc>
          <w:tcPr>
            <w:tcW w:w="7320" w:type="dxa"/>
            <w:vAlign w:val="bottom"/>
            <w:gridSpan w:val="9"/>
          </w:tcPr>
          <w:p>
            <w:pPr>
              <w:jc w:val="right"/>
              <w:ind w:right="4260"/>
              <w:spacing w:after="0"/>
              <w:rPr>
                <w:sz w:val="20"/>
                <w:szCs w:val="20"/>
                <w:color w:val="auto"/>
              </w:rPr>
            </w:pPr>
            <w:r>
              <w:rPr>
                <w:rFonts w:ascii="Arial" w:cs="Arial" w:eastAsia="Arial" w:hAnsi="Arial"/>
                <w:sz w:val="18"/>
                <w:szCs w:val="18"/>
                <w:color w:val="auto"/>
                <w:w w:val="98"/>
              </w:rPr>
              <w:t>Working Capital Withdrawal Instruction</w:t>
            </w:r>
          </w:p>
        </w:tc>
      </w:tr>
      <w:tr>
        <w:trPr>
          <w:trHeight w:val="20"/>
        </w:trPr>
        <w:tc>
          <w:tcPr>
            <w:tcW w:w="1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3440" w:type="dxa"/>
            <w:vAlign w:val="bottom"/>
            <w:gridSpan w:val="4"/>
          </w:tcPr>
          <w:p>
            <w:pPr>
              <w:spacing w:after="0"/>
              <w:rPr>
                <w:sz w:val="20"/>
                <w:szCs w:val="20"/>
                <w:color w:val="auto"/>
              </w:rPr>
            </w:pPr>
            <w:r>
              <w:rPr>
                <w:rFonts w:ascii="Arial" w:cs="Arial" w:eastAsia="Arial" w:hAnsi="Arial"/>
                <w:sz w:val="18"/>
                <w:szCs w:val="18"/>
                <w:color w:val="auto"/>
              </w:rPr>
              <w:t>Dear Mr. Wolf and Ms. Gonzalez:</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10760" w:type="dxa"/>
            <w:vAlign w:val="bottom"/>
            <w:gridSpan w:val="13"/>
          </w:tcPr>
          <w:p>
            <w:pPr>
              <w:jc w:val="right"/>
              <w:spacing w:after="0"/>
              <w:rPr>
                <w:sz w:val="20"/>
                <w:szCs w:val="20"/>
                <w:color w:val="auto"/>
              </w:rPr>
            </w:pPr>
            <w:r>
              <w:rPr>
                <w:rFonts w:ascii="Arial" w:cs="Arial" w:eastAsia="Arial" w:hAnsi="Arial"/>
                <w:sz w:val="18"/>
                <w:szCs w:val="18"/>
                <w:color w:val="auto"/>
              </w:rPr>
              <w:t>Pursuant to Section 1(k) of the Investment Management Trust Agreement between Churchill Capital Corp IV (the “Company”) and</w:t>
            </w:r>
          </w:p>
        </w:tc>
      </w:tr>
      <w:tr>
        <w:trPr>
          <w:trHeight w:val="20"/>
        </w:trPr>
        <w:tc>
          <w:tcPr>
            <w:tcW w:w="2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480" w:type="dxa"/>
            <w:vAlign w:val="bottom"/>
            <w:gridSpan w:val="7"/>
          </w:tcPr>
          <w:p>
            <w:pPr>
              <w:spacing w:after="0" w:line="196" w:lineRule="exact"/>
              <w:rPr>
                <w:sz w:val="20"/>
                <w:szCs w:val="20"/>
                <w:color w:val="auto"/>
              </w:rPr>
            </w:pPr>
            <w:r>
              <w:rPr>
                <w:rFonts w:ascii="Arial" w:cs="Arial" w:eastAsia="Arial" w:hAnsi="Arial"/>
                <w:sz w:val="18"/>
                <w:szCs w:val="18"/>
                <w:color w:val="auto"/>
                <w:w w:val="94"/>
              </w:rPr>
              <w:t>Continental Stock Transfer &amp; Trust Company (the “Trustee”), dated as of</w:t>
            </w:r>
          </w:p>
        </w:tc>
        <w:tc>
          <w:tcPr>
            <w:tcW w:w="528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93"/>
              </w:rPr>
              <w:t>, 2020 (the “Trust Agreement”), the Company hereby requests that you</w:t>
            </w: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deliver to the Company $___________ of the interest income earned on the Property as of the date hereof. Capitalized terms used but not defined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set forth in the Trust Agreement.</w:t>
      </w:r>
    </w:p>
    <w:p>
      <w:pPr>
        <w:spacing w:after="0" w:line="211"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The Company needs such funds to fund its working capital requirements. In accordance with the terms of the Trust Agreement, you are hereby directed and authorized to transfer (via wire transfer) such funds promptly upon your receipt of this letter to the Company’s operating account at: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40" w:hanging="332"/>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334" w:name="page335"/>
    <w:bookmarkEnd w:id="334"/>
    <w:p>
      <w:pPr>
        <w:jc w:val="center"/>
        <w:ind w:right="-37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Trust Account No.</w:t>
            </w:r>
          </w:p>
        </w:tc>
        <w:tc>
          <w:tcPr>
            <w:tcW w:w="36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w w:val="92"/>
              </w:rPr>
              <w:t>Stockholder Redemption Withdrawal Instruction</w:t>
            </w:r>
          </w:p>
        </w:tc>
        <w:tc>
          <w:tcPr>
            <w:tcW w:w="3640" w:type="dxa"/>
            <w:vAlign w:val="bottom"/>
            <w:gridSpan w:val="4"/>
          </w:tcPr>
          <w:p>
            <w:pPr>
              <w:spacing w:after="0"/>
              <w:rPr>
                <w:sz w:val="17"/>
                <w:szCs w:val="17"/>
                <w:color w:val="auto"/>
              </w:rPr>
            </w:pPr>
          </w:p>
        </w:tc>
      </w:tr>
      <w:tr>
        <w:trPr>
          <w:trHeight w:val="453"/>
        </w:trPr>
        <w:tc>
          <w:tcPr>
            <w:tcW w:w="3440" w:type="dxa"/>
            <w:vAlign w:val="bottom"/>
            <w:gridSpan w:val="4"/>
          </w:tcPr>
          <w:p>
            <w:pPr>
              <w:spacing w:after="0"/>
              <w:rPr>
                <w:sz w:val="20"/>
                <w:szCs w:val="20"/>
                <w:color w:val="auto"/>
              </w:rPr>
            </w:pPr>
            <w:r>
              <w:rPr>
                <w:rFonts w:ascii="Arial" w:cs="Arial" w:eastAsia="Arial" w:hAnsi="Arial"/>
                <w:sz w:val="18"/>
                <w:szCs w:val="18"/>
                <w:color w:val="auto"/>
              </w:rPr>
              <w:t>Dear Mr. Wolf and Ms. Gonzalez:</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2"/>
        </w:trPr>
        <w:tc>
          <w:tcPr>
            <w:tcW w:w="10760" w:type="dxa"/>
            <w:vAlign w:val="bottom"/>
            <w:gridSpan w:val="13"/>
          </w:tcPr>
          <w:p>
            <w:pPr>
              <w:ind w:left="1300"/>
              <w:spacing w:after="0"/>
              <w:rPr>
                <w:sz w:val="20"/>
                <w:szCs w:val="20"/>
                <w:color w:val="auto"/>
              </w:rPr>
            </w:pPr>
            <w:r>
              <w:rPr>
                <w:rFonts w:ascii="Arial" w:cs="Arial" w:eastAsia="Arial" w:hAnsi="Arial"/>
                <w:sz w:val="18"/>
                <w:szCs w:val="18"/>
                <w:color w:val="auto"/>
                <w:w w:val="91"/>
              </w:rPr>
              <w:t>Pursuant to Section 1(l) of the Investment Management Trust Agreement between Churchill Capital Corp IV (the “Company”) and</w:t>
            </w:r>
          </w:p>
        </w:tc>
      </w:tr>
      <w:tr>
        <w:trPr>
          <w:trHeight w:val="20"/>
        </w:trPr>
        <w:tc>
          <w:tcPr>
            <w:tcW w:w="21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80" w:type="dxa"/>
            <w:vAlign w:val="bottom"/>
            <w:gridSpan w:val="7"/>
          </w:tcPr>
          <w:p>
            <w:pPr>
              <w:spacing w:after="0" w:line="196" w:lineRule="exact"/>
              <w:rPr>
                <w:sz w:val="20"/>
                <w:szCs w:val="20"/>
                <w:color w:val="auto"/>
              </w:rPr>
            </w:pPr>
            <w:r>
              <w:rPr>
                <w:rFonts w:ascii="Arial" w:cs="Arial" w:eastAsia="Arial" w:hAnsi="Arial"/>
                <w:sz w:val="18"/>
                <w:szCs w:val="18"/>
                <w:color w:val="auto"/>
                <w:w w:val="94"/>
              </w:rPr>
              <w:t>Continental Stock Transfer &amp; Trust Company (the “Trustee”), dated as of</w:t>
            </w:r>
          </w:p>
        </w:tc>
        <w:tc>
          <w:tcPr>
            <w:tcW w:w="5280" w:type="dxa"/>
            <w:vAlign w:val="bottom"/>
            <w:gridSpan w:val="6"/>
          </w:tcPr>
          <w:p>
            <w:pPr>
              <w:ind w:left="180"/>
              <w:spacing w:after="0" w:line="196" w:lineRule="exact"/>
              <w:rPr>
                <w:sz w:val="20"/>
                <w:szCs w:val="20"/>
                <w:color w:val="auto"/>
              </w:rPr>
            </w:pPr>
            <w:r>
              <w:rPr>
                <w:rFonts w:ascii="Arial" w:cs="Arial" w:eastAsia="Arial" w:hAnsi="Arial"/>
                <w:sz w:val="18"/>
                <w:szCs w:val="18"/>
                <w:color w:val="auto"/>
                <w:w w:val="90"/>
              </w:rPr>
              <w:t>, 2020 (the “Trust Agreement”), the Company hereby requests that you</w:t>
            </w: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deliver to the redeeming Public Stockholders of the Company $__________ of the principal and interest income earned on the Property as of the date</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hereof into a segregated account held by you on behalf of the Beneficiaries for distribution to the Stockholders who have requested redemption of their shares. Capitalized terms used but not defined herein shall have the meanings set forth in the Trust Agreement.</w:t>
      </w:r>
    </w:p>
    <w:p>
      <w:pPr>
        <w:spacing w:after="0" w:line="185" w:lineRule="exact"/>
        <w:rPr>
          <w:sz w:val="20"/>
          <w:szCs w:val="20"/>
          <w:color w:val="auto"/>
        </w:rPr>
      </w:pPr>
    </w:p>
    <w:p>
      <w:pPr>
        <w:jc w:val="both"/>
        <w:ind w:right="340" w:firstLine="1296"/>
        <w:spacing w:after="0" w:line="311"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As such, you are hereby directed and authorized to transfer (via wire transfer) such funds promptly upon your receipt of this letter.</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40" w:hanging="332"/>
        <w:spacing w:after="0"/>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335" w:name="page336"/>
    <w:bookmarkEnd w:id="335"/>
    <w:tbl>
      <w:tblPr>
        <w:tblLayout w:type="fixed"/>
        <w:tblInd w:w="130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tcPr>
          <w:p>
            <w:pPr>
              <w:ind w:left="2600"/>
              <w:spacing w:after="0"/>
              <w:rPr>
                <w:sz w:val="20"/>
                <w:szCs w:val="20"/>
                <w:color w:val="auto"/>
              </w:rPr>
            </w:pPr>
            <w:r>
              <w:rPr>
                <w:rFonts w:ascii="Arial" w:cs="Arial" w:eastAsia="Arial" w:hAnsi="Arial"/>
                <w:sz w:val="22"/>
                <w:szCs w:val="22"/>
                <w:b w:val="1"/>
                <w:bCs w:val="1"/>
                <w:color w:val="auto"/>
                <w:w w:val="89"/>
              </w:rPr>
              <w:t>Exhibit 10.4</w:t>
            </w:r>
          </w:p>
        </w:tc>
      </w:tr>
      <w:tr>
        <w:trPr>
          <w:trHeight w:val="449"/>
        </w:trPr>
        <w:tc>
          <w:tcPr>
            <w:tcW w:w="6220" w:type="dxa"/>
            <w:vAlign w:val="bottom"/>
            <w:gridSpan w:val="3"/>
          </w:tcPr>
          <w:p>
            <w:pPr>
              <w:ind w:left="2640"/>
              <w:spacing w:after="0"/>
              <w:rPr>
                <w:sz w:val="20"/>
                <w:szCs w:val="20"/>
                <w:color w:val="auto"/>
              </w:rPr>
            </w:pPr>
            <w:r>
              <w:rPr>
                <w:rFonts w:ascii="Arial" w:cs="Arial" w:eastAsia="Arial" w:hAnsi="Arial"/>
                <w:sz w:val="18"/>
                <w:szCs w:val="18"/>
                <w:b w:val="1"/>
                <w:bCs w:val="1"/>
                <w:color w:val="auto"/>
              </w:rPr>
              <w:t>REGISTRATION RIGHTS AGREEMENT</w:t>
            </w:r>
          </w:p>
        </w:tc>
        <w:tc>
          <w:tcPr>
            <w:tcW w:w="3720" w:type="dxa"/>
            <w:vAlign w:val="bottom"/>
          </w:tcPr>
          <w:p>
            <w:pPr>
              <w:spacing w:after="0"/>
              <w:rPr>
                <w:sz w:val="24"/>
                <w:szCs w:val="24"/>
                <w:color w:val="auto"/>
              </w:rPr>
            </w:pPr>
          </w:p>
        </w:tc>
      </w:tr>
      <w:tr>
        <w:trPr>
          <w:trHeight w:val="391"/>
        </w:trPr>
        <w:tc>
          <w:tcPr>
            <w:tcW w:w="6220" w:type="dxa"/>
            <w:vAlign w:val="bottom"/>
            <w:gridSpan w:val="3"/>
          </w:tcPr>
          <w:p>
            <w:pPr>
              <w:spacing w:after="0"/>
              <w:rPr>
                <w:sz w:val="20"/>
                <w:szCs w:val="20"/>
                <w:color w:val="auto"/>
              </w:rPr>
            </w:pPr>
            <w:r>
              <w:rPr>
                <w:rFonts w:ascii="Arial" w:cs="Arial" w:eastAsia="Arial" w:hAnsi="Arial"/>
                <w:sz w:val="18"/>
                <w:szCs w:val="18"/>
                <w:color w:val="auto"/>
                <w:w w:val="99"/>
              </w:rPr>
              <w:t>THIS REGISTRATION RIGHTS AGREEMENT (this “Agreement”), dated as of</w:t>
            </w:r>
          </w:p>
        </w:tc>
        <w:tc>
          <w:tcPr>
            <w:tcW w:w="3720" w:type="dxa"/>
            <w:vAlign w:val="bottom"/>
          </w:tcPr>
          <w:p>
            <w:pPr>
              <w:ind w:left="200"/>
              <w:spacing w:after="0"/>
              <w:rPr>
                <w:sz w:val="20"/>
                <w:szCs w:val="20"/>
                <w:color w:val="auto"/>
              </w:rPr>
            </w:pPr>
            <w:r>
              <w:rPr>
                <w:rFonts w:ascii="Arial" w:cs="Arial" w:eastAsia="Arial" w:hAnsi="Arial"/>
                <w:sz w:val="18"/>
                <w:szCs w:val="18"/>
                <w:color w:val="auto"/>
                <w:w w:val="92"/>
              </w:rPr>
              <w:t>, 2020, is made and entered into by and among</w:t>
            </w:r>
          </w:p>
        </w:tc>
      </w:tr>
      <w:tr>
        <w:trPr>
          <w:trHeight w:val="20"/>
        </w:trPr>
        <w:tc>
          <w:tcPr>
            <w:tcW w:w="4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Churchill Capital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Churchill Sponsor IV LLC, a Delaware limited liability company (the “</w:t>
      </w:r>
      <w:r>
        <w:rPr>
          <w:rFonts w:ascii="Arial" w:cs="Arial" w:eastAsia="Arial" w:hAnsi="Arial"/>
          <w:sz w:val="16"/>
          <w:szCs w:val="16"/>
          <w:u w:val="single" w:color="auto"/>
          <w:color w:val="auto"/>
        </w:rPr>
        <w:t>Sponsor</w:t>
      </w:r>
      <w:r>
        <w:rPr>
          <w:rFonts w:ascii="Arial" w:cs="Arial" w:eastAsia="Arial" w:hAnsi="Arial"/>
          <w:sz w:val="16"/>
          <w:szCs w:val="16"/>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1296"/>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Sponsor have entered into that certain Securities Subscription Agreement, dated as of May 13, 2020</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which the Sponsor purchased an aggregate of 21,562,500 shares after giving effect to stock-splits occurring on or prior to the date hereof (the “</w:t>
      </w:r>
      <w:r>
        <w:rPr>
          <w:rFonts w:ascii="Arial" w:cs="Arial" w:eastAsia="Arial" w:hAnsi="Arial"/>
          <w:sz w:val="17"/>
          <w:szCs w:val="17"/>
          <w:u w:val="single" w:color="auto"/>
          <w:color w:val="auto"/>
        </w:rPr>
        <w:t>Founder Shares</w:t>
      </w:r>
      <w:r>
        <w:rPr>
          <w:rFonts w:ascii="Arial" w:cs="Arial" w:eastAsia="Arial" w:hAnsi="Arial"/>
          <w:sz w:val="17"/>
          <w:szCs w:val="17"/>
          <w:color w:val="auto"/>
        </w:rPr>
        <w:t>”) of the Company’s Class B common stock, par value $0.0001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(up to 2,812,500 of which are subject to forfeiture depending on the extent to which the underwriter’s over-allotment option is exercised);</w:t>
      </w:r>
    </w:p>
    <w:p>
      <w:pPr>
        <w:spacing w:after="0" w:line="165" w:lineRule="exact"/>
        <w:rPr>
          <w:sz w:val="20"/>
          <w:szCs w:val="20"/>
          <w:color w:val="auto"/>
        </w:rPr>
      </w:pPr>
    </w:p>
    <w:p>
      <w:pPr>
        <w:ind w:right="160" w:firstLine="1296"/>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Founder Shares are convertible into shares of the Company’s Class A common stock, par value $0.0001 per share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on the terms and conditions provided in the Company’s amended and restated certificate of incorporation;</w:t>
      </w:r>
    </w:p>
    <w:p>
      <w:pPr>
        <w:spacing w:after="0" w:line="140"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 2020, the Company and the Sponsor entered into that certain Private Placement Warrants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Sponsor agreed to purchase an aggregate of 21,250,000 warrants (or up to 24,250,000 warrants if the over-allotment option in connection with the Company’s initial public offering is exercised in full) (the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in a private placement occurring simultaneously with the closing of the Company’s initial public offering;</w:t>
      </w:r>
    </w:p>
    <w:p>
      <w:pPr>
        <w:spacing w:after="0" w:line="180"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order to finance transaction costs in connection with an intended initial business combination, the Sponsor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Sponsor or certain of the Company’s officer and directors may loan to the Company funds as the Company may require, of which up to $1,500,000 of such loans may be convertible into warrants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at a price of $1.00 per warrant; and</w:t>
      </w:r>
    </w:p>
    <w:p>
      <w:pPr>
        <w:spacing w:after="0" w:line="176"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registration rights with respect to certain securities of the Company, as set forth in this Agreement.</w:t>
      </w:r>
    </w:p>
    <w:p>
      <w:pPr>
        <w:spacing w:after="0" w:line="162" w:lineRule="exact"/>
        <w:rPr>
          <w:sz w:val="20"/>
          <w:szCs w:val="20"/>
          <w:color w:val="auto"/>
        </w:rPr>
      </w:pPr>
    </w:p>
    <w:p>
      <w:pPr>
        <w:ind w:right="200" w:firstLine="1296"/>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6" w:name="page337"/>
    <w:bookmarkEnd w:id="336"/>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right"/>
        <w:spacing w:after="0"/>
        <w:tabs>
          <w:tab w:leader="none" w:pos="9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w:t>
      </w:r>
      <w:r>
        <w:rPr>
          <w:rFonts w:ascii="Arial" w:cs="Arial" w:eastAsia="Arial" w:hAnsi="Arial"/>
          <w:sz w:val="16"/>
          <w:szCs w:val="16"/>
          <w:u w:val="single" w:color="auto"/>
          <w:color w:val="auto"/>
        </w:rPr>
        <w:t xml:space="preserve"> Article I </w:t>
      </w:r>
      <w:r>
        <w:rPr>
          <w:rFonts w:ascii="Arial" w:cs="Arial" w:eastAsia="Arial" w:hAnsi="Arial"/>
          <w:sz w:val="16"/>
          <w:szCs w:val="16"/>
          <w:color w:val="auto"/>
        </w:rPr>
        <w:t>shall, for all purposes of this Agreement, have the respective meanings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7" w:name="page338"/>
    <w:bookmarkEnd w:id="337"/>
    <w:p>
      <w:pPr>
        <w:ind w:right="5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ind w:right="20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or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ind w:left="1300"/>
              <w:spacing w:after="0"/>
              <w:rPr>
                <w:sz w:val="20"/>
                <w:szCs w:val="20"/>
                <w:color w:val="auto"/>
              </w:rPr>
            </w:pPr>
            <w:r>
              <w:rPr>
                <w:rFonts w:ascii="Arial" w:cs="Arial" w:eastAsia="Arial" w:hAnsi="Arial"/>
                <w:sz w:val="18"/>
                <w:szCs w:val="18"/>
                <w:color w:val="auto"/>
              </w:rPr>
              <w:t>“Holders” shall have the meaning given in the Preamble.</w:t>
            </w:r>
          </w:p>
        </w:tc>
        <w:tc>
          <w:tcPr>
            <w:tcW w:w="46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12"/>
        </w:trPr>
        <w:tc>
          <w:tcPr>
            <w:tcW w:w="6480" w:type="dxa"/>
            <w:vAlign w:val="bottom"/>
            <w:gridSpan w:val="4"/>
          </w:tcPr>
          <w:p>
            <w:pPr>
              <w:ind w:left="1300"/>
              <w:spacing w:after="0"/>
              <w:rPr>
                <w:sz w:val="20"/>
                <w:szCs w:val="20"/>
                <w:color w:val="auto"/>
              </w:rPr>
            </w:pPr>
            <w:r>
              <w:rPr>
                <w:rFonts w:ascii="Arial" w:cs="Arial" w:eastAsia="Arial" w:hAnsi="Arial"/>
                <w:sz w:val="18"/>
                <w:szCs w:val="18"/>
                <w:color w:val="auto"/>
                <w:w w:val="95"/>
              </w:rPr>
              <w:t>“Insider Letter” shall mean that certain letter agreement, dated as of</w:t>
            </w:r>
          </w:p>
        </w:tc>
        <w:tc>
          <w:tcPr>
            <w:tcW w:w="4660" w:type="dxa"/>
            <w:vAlign w:val="bottom"/>
          </w:tcPr>
          <w:p>
            <w:pPr>
              <w:ind w:left="280"/>
              <w:spacing w:after="0"/>
              <w:rPr>
                <w:sz w:val="20"/>
                <w:szCs w:val="20"/>
                <w:color w:val="auto"/>
              </w:rPr>
            </w:pPr>
            <w:r>
              <w:rPr>
                <w:rFonts w:ascii="Arial" w:cs="Arial" w:eastAsia="Arial" w:hAnsi="Arial"/>
                <w:sz w:val="18"/>
                <w:szCs w:val="18"/>
                <w:color w:val="auto"/>
                <w:w w:val="88"/>
              </w:rPr>
              <w:t>, 2020, by and among the Company, the Sponsor and each of</w:t>
            </w:r>
          </w:p>
        </w:tc>
      </w:tr>
      <w:tr>
        <w:trPr>
          <w:trHeight w:val="20"/>
        </w:trPr>
        <w:tc>
          <w:tcPr>
            <w:tcW w:w="13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37"/>
        </w:trPr>
        <w:tc>
          <w:tcPr>
            <w:tcW w:w="6480" w:type="dxa"/>
            <w:vAlign w:val="bottom"/>
            <w:gridSpan w:val="4"/>
          </w:tcPr>
          <w:p>
            <w:pPr>
              <w:spacing w:after="0"/>
              <w:rPr>
                <w:sz w:val="20"/>
                <w:szCs w:val="20"/>
                <w:color w:val="auto"/>
              </w:rPr>
            </w:pPr>
            <w:r>
              <w:rPr>
                <w:rFonts w:ascii="Arial" w:cs="Arial" w:eastAsia="Arial" w:hAnsi="Arial"/>
                <w:sz w:val="18"/>
                <w:szCs w:val="18"/>
                <w:color w:val="auto"/>
              </w:rPr>
              <w:t>the Company’s officers, directors and director nominees.</w:t>
            </w:r>
          </w:p>
        </w:tc>
        <w:tc>
          <w:tcPr>
            <w:tcW w:w="4660" w:type="dxa"/>
            <w:vAlign w:val="bottom"/>
          </w:tcPr>
          <w:p>
            <w:pPr>
              <w:spacing w:after="0"/>
              <w:rPr>
                <w:sz w:val="20"/>
                <w:szCs w:val="20"/>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or Private Placement Lock-up Period, as the case may be, and pursuant to the Insider Letter and any other applicable agreement between such Holder and the Company, in each case for so long as such agreements remain in effect, and to any transferee thereafter.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Lock-up Period</w:t>
      </w:r>
      <w:r>
        <w:rPr>
          <w:rFonts w:ascii="Arial" w:cs="Arial" w:eastAsia="Arial" w:hAnsi="Arial"/>
          <w:sz w:val="17"/>
          <w:szCs w:val="17"/>
          <w:color w:val="auto"/>
        </w:rPr>
        <w:t>” shall mean, with respect to Private Placement Warrants that are held by the initial purchasers of such Private Placement Warrants or their Permitted Transferees, the Private Placement Warrants and any shares of Common Stock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8" w:name="page339"/>
    <w:bookmarkEnd w:id="33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Security</w:t>
      </w:r>
      <w:r>
        <w:rPr>
          <w:rFonts w:ascii="Arial" w:cs="Arial" w:eastAsia="Arial" w:hAnsi="Arial"/>
          <w:sz w:val="17"/>
          <w:szCs w:val="17"/>
          <w:color w:val="auto"/>
        </w:rPr>
        <w:t xml:space="preserve">” shall mean (a) the shares of Common Stock issued or issuable upon the conversion of any Founder Shares, (b) the Private Placement Warrants (including any shares of Common Stock issued or issuable upon the exercise of any such Private Placement Warrants), (c) any outstanding share of Common Stock or any other equity security (including, without limitation, the shares of Common Stock issued or issuable upon the exercise of any other equity security, units comprising shares of Common Stock and warrants, and warrants) of the Company held by a Holder from time to time, (d) any equity securities (including the shares of Common Stock issued or issuable upon the exercise of any such equity security) of the Company issuable upon conversion of any working capital loans in an amount up to $1,500,000 made to the Company by a Holder (including the Working Capital Warrants and any shares of Common Stock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have been sold without registration pursuant to Rule 144 promulgated under the Securities Act (or any successor rule promulgated by the Commission); or (E) such securities have been sold to, or through, a broker, dealer or underwriter in a public distribution or other public securities transaction.</w:t>
      </w:r>
    </w:p>
    <w:p>
      <w:pPr>
        <w:spacing w:after="0" w:line="180"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right="820" w:firstLine="1304"/>
        <w:spacing w:after="0" w:line="277" w:lineRule="auto"/>
        <w:tabs>
          <w:tab w:leader="none" w:pos="208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right="120" w:firstLine="1304"/>
        <w:spacing w:after="0" w:line="277" w:lineRule="auto"/>
        <w:tabs>
          <w:tab w:leader="none" w:pos="207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2080" w:hanging="776"/>
        <w:spacing w:after="0"/>
        <w:tabs>
          <w:tab w:leader="none" w:pos="2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9" w:name="page340"/>
    <w:bookmarkEnd w:id="339"/>
    <w:p>
      <w:pPr>
        <w:ind w:left="2100" w:hanging="796"/>
        <w:spacing w:after="0"/>
        <w:tabs>
          <w:tab w:leader="none" w:pos="21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280" w:firstLine="1304"/>
        <w:spacing w:after="0" w:line="277" w:lineRule="auto"/>
        <w:tabs>
          <w:tab w:leader="none" w:pos="206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right="120" w:firstLine="1304"/>
        <w:spacing w:after="0" w:line="277" w:lineRule="auto"/>
        <w:tabs>
          <w:tab w:leader="none" w:pos="20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ind w:right="1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shall have the meaning given in the Recitals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right="20" w:firstLine="1944"/>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20% in interest of the then-outstanding number of Registrable Securities (the “</w:t>
      </w:r>
      <w:r>
        <w:rPr>
          <w:rFonts w:ascii="Arial" w:cs="Arial" w:eastAsia="Arial" w:hAnsi="Arial"/>
          <w:sz w:val="16"/>
          <w:szCs w:val="16"/>
          <w:u w:val="single" w:color="auto"/>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The Company shall, within three (3)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u w:val="single" w:color="auto"/>
          <w:color w:val="auto"/>
        </w:rPr>
        <w:t>Requesting Holder</w:t>
      </w:r>
      <w:r>
        <w:rPr>
          <w:rFonts w:ascii="Arial" w:cs="Arial" w:eastAsia="Arial" w:hAnsi="Arial"/>
          <w:sz w:val="16"/>
          <w:szCs w:val="16"/>
          <w:color w:val="auto"/>
        </w:rPr>
        <w:t>”) shall so notify the Company, in writing, within five</w:t>
      </w:r>
    </w:p>
    <w:p>
      <w:pPr>
        <w:spacing w:after="0" w:line="1" w:lineRule="exact"/>
        <w:rPr>
          <w:sz w:val="20"/>
          <w:szCs w:val="20"/>
          <w:color w:val="auto"/>
        </w:rPr>
      </w:pPr>
    </w:p>
    <w:p>
      <w:pPr>
        <w:ind w:firstLine="8"/>
        <w:spacing w:after="0" w:line="268" w:lineRule="auto"/>
        <w:tabs>
          <w:tab w:leader="none" w:pos="25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four (4)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u w:val="single" w:color="auto"/>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ind w:firstLine="1944"/>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right="40" w:firstLine="1944"/>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ind w:right="100"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u w:val="single" w:color="auto"/>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Demanding Holder and Requesting Holder (if any) holds prior to such Underwritten Registration) that can be sold without exceeding the Maximum Number of Securities; (ii) second, to the extent that the Maximum Number of Securities has not been reached under the foregoing clause (i), Common Stock or other equity securities for the account of other persons or entities that the Company is obligated to register pursuant to separate written contractual arrangements with such persons or entities and that can be sold without exceeding the Maximum Number of Securities; and (iii) third, to the extent that the Maximum Number of Securities has not been reached under the foregoing clauses (i) and (ii), Common Stock or other equity securities that the Company desires to sell, which can be sold without exceeding the Maximum Number of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1" w:name="page342"/>
    <w:bookmarkEnd w:id="341"/>
    <w:p>
      <w:pPr>
        <w:ind w:right="120" w:firstLine="1944"/>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w:t>
      </w:r>
    </w:p>
    <w:p>
      <w:pPr>
        <w:spacing w:after="0" w:line="1" w:lineRule="exact"/>
        <w:rPr>
          <w:sz w:val="20"/>
          <w:szCs w:val="20"/>
          <w:color w:val="auto"/>
        </w:rPr>
      </w:pPr>
    </w:p>
    <w:p>
      <w:pPr>
        <w:ind w:right="60" w:firstLine="8"/>
        <w:spacing w:after="0" w:line="281" w:lineRule="auto"/>
        <w:tabs>
          <w:tab w:leader="none" w:pos="21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three</w:t>
      </w:r>
    </w:p>
    <w:p>
      <w:pPr>
        <w:spacing w:after="0" w:line="1"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(3)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Business Days after receipt of such written notice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2" w:name="page343"/>
    <w:bookmarkEnd w:id="342"/>
    <w:p>
      <w:pPr>
        <w:ind w:right="60" w:firstLine="1944"/>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ind w:right="220" w:firstLine="2600"/>
        <w:spacing w:after="0" w:line="254" w:lineRule="auto"/>
        <w:tabs>
          <w:tab w:leader="none" w:pos="333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and Common Stock, if any, as to which Registration has been requested pursuant to written contractual piggy-back registration rights of other stockholders of the Company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based on the respective number of Registrable Securities that each stockholder holds prior to such Underwritten Registration), which can be sold without exceeding the Maximum Number of Securities;</w:t>
      </w:r>
    </w:p>
    <w:p>
      <w:pPr>
        <w:spacing w:after="0" w:line="194" w:lineRule="exact"/>
        <w:rPr>
          <w:rFonts w:ascii="Arial" w:cs="Arial" w:eastAsia="Arial" w:hAnsi="Arial"/>
          <w:sz w:val="18"/>
          <w:szCs w:val="18"/>
          <w:color w:val="auto"/>
        </w:rPr>
      </w:pPr>
    </w:p>
    <w:p>
      <w:pPr>
        <w:ind w:firstLine="2600"/>
        <w:spacing w:after="0" w:line="284" w:lineRule="auto"/>
        <w:tabs>
          <w:tab w:leader="none" w:pos="334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Common Stock or other equity securities for the account of other persons or entities that the Company is obligated to register pursuant to separate written contractual arrangements with such persons or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stockholder holds prior to such Underwritten Registration), which can be sold without exceeding the Maximum Number of Securities; and (C) third, to the extent that the Maximum Number of Securities has not been reached under the foregoing clauses</w:t>
      </w:r>
    </w:p>
    <w:p>
      <w:pPr>
        <w:ind w:right="360" w:firstLine="8"/>
        <w:spacing w:after="0" w:line="260" w:lineRule="auto"/>
        <w:tabs>
          <w:tab w:leader="none" w:pos="29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and (B), Common Stock or other equity securities that the Company desires to sell, which can be sold without exceeding the Maximum Number of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p>
      <w:pPr>
        <w:ind w:right="60" w:firstLine="1944"/>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192" w:lineRule="exact"/>
        <w:rPr>
          <w:sz w:val="20"/>
          <w:szCs w:val="20"/>
          <w:color w:val="auto"/>
        </w:rPr>
      </w:pPr>
    </w:p>
    <w:p>
      <w:pPr>
        <w:ind w:right="60" w:firstLine="1944"/>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the Company, pursuant to Rule 415 under the Securities Act (or any successor rule promulgated thereafter by the Commission if so requested), register the resale of any or all of their Registrable Securities on Form S-3 or any similar short form registration statement that may be available at such time (“</w:t>
      </w:r>
      <w:r>
        <w:rPr>
          <w:rFonts w:ascii="Arial" w:cs="Arial" w:eastAsia="Arial" w:hAnsi="Arial"/>
          <w:sz w:val="17"/>
          <w:szCs w:val="17"/>
          <w:u w:val="single" w:color="auto"/>
          <w:color w:val="auto"/>
        </w:rPr>
        <w:t>Form S-3</w:t>
      </w:r>
      <w:r>
        <w:rPr>
          <w:rFonts w:ascii="Arial" w:cs="Arial" w:eastAsia="Arial" w:hAnsi="Arial"/>
          <w:sz w:val="17"/>
          <w:szCs w:val="17"/>
          <w:color w:val="auto"/>
        </w:rPr>
        <w:t xml:space="preserve">”). Within three (3) Business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4" w:name="page345"/>
    <w:bookmarkEnd w:id="344"/>
    <w:p>
      <w:pPr>
        <w:ind w:right="120" w:firstLine="1296"/>
        <w:spacing w:after="0" w:line="277" w:lineRule="auto"/>
        <w:rPr>
          <w:sz w:val="20"/>
          <w:szCs w:val="20"/>
          <w:color w:val="auto"/>
        </w:rPr>
      </w:pPr>
      <w:r>
        <w:rPr>
          <w:rFonts w:ascii="Arial" w:cs="Arial" w:eastAsia="Arial" w:hAnsi="Arial"/>
          <w:sz w:val="18"/>
          <w:szCs w:val="18"/>
          <w:color w:val="auto"/>
        </w:rPr>
        <w:t xml:space="preserve">Any request for an underwritten offering pursuant to a Form S-3 shall follow the procedures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but shall not count against the number of long form Demand Registrations that may be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0" w:lineRule="exact"/>
        <w:rPr>
          <w:sz w:val="20"/>
          <w:szCs w:val="20"/>
          <w:color w:val="auto"/>
        </w:rPr>
      </w:pPr>
    </w:p>
    <w:p>
      <w:pPr>
        <w:ind w:right="60" w:firstLine="1296"/>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delivered written notice to the Holders prior to receipt of a Demand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firstLine="1944"/>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5" w:name="page346"/>
    <w:bookmarkEnd w:id="345"/>
    <w:p>
      <w:pPr>
        <w:ind w:right="40" w:firstLine="1944"/>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100" w:firstLine="1944"/>
        <w:spacing w:after="0" w:line="270" w:lineRule="auto"/>
        <w:rPr>
          <w:sz w:val="20"/>
          <w:szCs w:val="20"/>
          <w:color w:val="auto"/>
        </w:rPr>
      </w:pPr>
      <w:r>
        <w:rPr>
          <w:rFonts w:ascii="Arial" w:cs="Arial" w:eastAsia="Arial" w:hAnsi="Arial"/>
          <w:sz w:val="17"/>
          <w:szCs w:val="17"/>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1" w:lineRule="exact"/>
        <w:rPr>
          <w:sz w:val="20"/>
          <w:szCs w:val="20"/>
          <w:color w:val="auto"/>
        </w:rPr>
      </w:pPr>
    </w:p>
    <w:p>
      <w:pPr>
        <w:ind w:right="380" w:firstLine="194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80" w:firstLine="1944"/>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7" w:lineRule="exact"/>
        <w:rPr>
          <w:sz w:val="20"/>
          <w:szCs w:val="20"/>
          <w:color w:val="auto"/>
        </w:rPr>
      </w:pPr>
    </w:p>
    <w:p>
      <w:pPr>
        <w:ind w:right="500" w:firstLine="1944"/>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6" w:name="page347"/>
    <w:bookmarkEnd w:id="346"/>
    <w:p>
      <w:pPr>
        <w:ind w:right="40" w:firstLine="1944"/>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00" w:firstLine="1944"/>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ind w:right="260" w:firstLine="1944"/>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40" w:firstLine="1944"/>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right="20" w:firstLine="1944"/>
        <w:spacing w:after="0" w:line="259" w:lineRule="auto"/>
        <w:rPr>
          <w:sz w:val="20"/>
          <w:szCs w:val="20"/>
          <w:color w:val="auto"/>
        </w:rPr>
      </w:pPr>
      <w:r>
        <w:rPr>
          <w:rFonts w:ascii="Arial" w:cs="Arial" w:eastAsia="Arial" w:hAnsi="Arial"/>
          <w:sz w:val="18"/>
          <w:szCs w:val="18"/>
          <w:color w:val="auto"/>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Securities Act and Rule 158 thereunder (or any successor rule promulgated thereafter by the Commission);</w:t>
      </w:r>
    </w:p>
    <w:p>
      <w:pPr>
        <w:spacing w:after="0" w:line="187"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right="520" w:firstLine="1944"/>
        <w:spacing w:after="0" w:line="286" w:lineRule="auto"/>
        <w:rPr>
          <w:sz w:val="20"/>
          <w:szCs w:val="20"/>
          <w:color w:val="auto"/>
        </w:rPr>
      </w:pPr>
      <w:r>
        <w:rPr>
          <w:rFonts w:ascii="Arial" w:cs="Arial" w:eastAsia="Arial" w:hAnsi="Arial"/>
          <w:sz w:val="17"/>
          <w:szCs w:val="17"/>
          <w:color w:val="auto"/>
        </w:rPr>
        <w:t>3.1.16 otherwise, in good faith, cooperate reasonably with, and take such customary actions as may reasonably be requested by the Holders, in connection with such Registration, including, without limitation, making available senior executives of the Company to participate in any due diligence sessions that may be reasonably requested by the Underwriter in any Underwritten Offering.</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7" w:name="page348"/>
    <w:bookmarkEnd w:id="347"/>
    <w:p>
      <w:pPr>
        <w:ind w:right="40" w:firstLine="129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60" w:firstLine="1296"/>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8" w:name="page349"/>
    <w:bookmarkEnd w:id="348"/>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944"/>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firstLine="1944"/>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9" w:name="page350"/>
    <w:bookmarkEnd w:id="349"/>
    <w:p>
      <w:pPr>
        <w:ind w:firstLine="1944"/>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right="200" w:firstLine="1944"/>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0" w:name="page351"/>
    <w:bookmarkEnd w:id="350"/>
    <w:p>
      <w:pPr>
        <w:ind w:firstLine="194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640 Fifth Avenue, 12th Floor, New York, NY 10019, Attention: Michael Klein,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8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5.2.1</w:t>
            </w:r>
          </w:p>
        </w:tc>
        <w:tc>
          <w:tcPr>
            <w:tcW w:w="8380" w:type="dxa"/>
            <w:vAlign w:val="bottom"/>
          </w:tcPr>
          <w:p>
            <w:pPr>
              <w:ind w:left="120"/>
              <w:spacing w:after="0"/>
              <w:rPr>
                <w:sz w:val="20"/>
                <w:szCs w:val="20"/>
                <w:color w:val="auto"/>
              </w:rPr>
            </w:pPr>
            <w:r>
              <w:rPr>
                <w:rFonts w:ascii="Arial" w:cs="Arial" w:eastAsia="Arial" w:hAnsi="Arial"/>
                <w:sz w:val="18"/>
                <w:szCs w:val="18"/>
                <w:color w:val="auto"/>
                <w:w w:val="89"/>
              </w:rPr>
              <w:t>This Agreement and the rights, duties and obligations of the Company hereunder may not be assigned or delegated</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6"/>
              </w:rPr>
              <w:t>by the Company in whole or in part.</w:t>
            </w:r>
          </w:p>
        </w:tc>
        <w:tc>
          <w:tcPr>
            <w:tcW w:w="8380" w:type="dxa"/>
            <w:vAlign w:val="bottom"/>
          </w:tcPr>
          <w:p>
            <w:pPr>
              <w:spacing w:after="0"/>
              <w:rPr>
                <w:sz w:val="20"/>
                <w:szCs w:val="20"/>
                <w:color w:val="auto"/>
              </w:rPr>
            </w:pP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5.2.2</w:t>
            </w:r>
          </w:p>
        </w:tc>
        <w:tc>
          <w:tcPr>
            <w:tcW w:w="8380" w:type="dxa"/>
            <w:vAlign w:val="bottom"/>
          </w:tcPr>
          <w:p>
            <w:pPr>
              <w:ind w:left="120"/>
              <w:spacing w:after="0"/>
              <w:rPr>
                <w:sz w:val="20"/>
                <w:szCs w:val="20"/>
                <w:color w:val="auto"/>
              </w:rPr>
            </w:pPr>
            <w:r>
              <w:rPr>
                <w:rFonts w:ascii="Arial" w:cs="Arial" w:eastAsia="Arial" w:hAnsi="Arial"/>
                <w:sz w:val="18"/>
                <w:szCs w:val="18"/>
                <w:color w:val="auto"/>
                <w:w w:val="92"/>
              </w:rPr>
              <w:t>A Holder may assign or delegate such Holder’s rights, duties or obligations under this Agreement, in whole or in</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part, to a Permitted Transferee who agrees to become bound by the transfer restrictions set forth in this Agreement.</w:t>
            </w: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5.2.3</w:t>
            </w:r>
          </w:p>
        </w:tc>
        <w:tc>
          <w:tcPr>
            <w:tcW w:w="8380" w:type="dxa"/>
            <w:vAlign w:val="bottom"/>
          </w:tcPr>
          <w:p>
            <w:pPr>
              <w:ind w:left="120"/>
              <w:spacing w:after="0"/>
              <w:rPr>
                <w:sz w:val="20"/>
                <w:szCs w:val="20"/>
                <w:color w:val="auto"/>
              </w:rPr>
            </w:pPr>
            <w:r>
              <w:rPr>
                <w:rFonts w:ascii="Arial" w:cs="Arial" w:eastAsia="Arial" w:hAnsi="Arial"/>
                <w:sz w:val="18"/>
                <w:szCs w:val="18"/>
                <w:color w:val="auto"/>
                <w:w w:val="90"/>
              </w:rPr>
              <w:t>This Agreement and the provisions hereof shall be binding upon and shall inure to the benefit of each of the parties</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and its successors and the permitted assigns of the Holders, which shall include Permitted Transferees.</w:t>
            </w:r>
          </w:p>
        </w:tc>
      </w:tr>
      <w:tr>
        <w:trPr>
          <w:trHeight w:val="432"/>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5.2.4</w:t>
            </w:r>
          </w:p>
        </w:tc>
        <w:tc>
          <w:tcPr>
            <w:tcW w:w="8380" w:type="dxa"/>
            <w:vAlign w:val="bottom"/>
          </w:tcPr>
          <w:p>
            <w:pPr>
              <w:ind w:left="120"/>
              <w:spacing w:after="0"/>
              <w:rPr>
                <w:sz w:val="20"/>
                <w:szCs w:val="20"/>
                <w:color w:val="auto"/>
              </w:rPr>
            </w:pPr>
            <w:r>
              <w:rPr>
                <w:rFonts w:ascii="Arial" w:cs="Arial" w:eastAsia="Arial" w:hAnsi="Arial"/>
                <w:sz w:val="18"/>
                <w:szCs w:val="18"/>
                <w:color w:val="auto"/>
                <w:w w:val="93"/>
              </w:rPr>
              <w:t>This Agreement shall not confer any rights or benefits on any persons that are not parties hereto, other than as</w:t>
            </w:r>
          </w:p>
        </w:tc>
      </w:tr>
    </w:tbl>
    <w:p>
      <w:pPr>
        <w:spacing w:after="0"/>
        <w:rPr>
          <w:sz w:val="20"/>
          <w:szCs w:val="20"/>
          <w:color w:val="auto"/>
        </w:rPr>
      </w:pPr>
      <w:r>
        <w:rPr>
          <w:rFonts w:ascii="Arial" w:cs="Arial" w:eastAsia="Arial" w:hAnsi="Arial"/>
          <w:sz w:val="18"/>
          <w:szCs w:val="18"/>
          <w:color w:val="auto"/>
        </w:rPr>
        <w:t xml:space="preserve">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211"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1" w:name="page352"/>
    <w:bookmarkEnd w:id="351"/>
    <w:p>
      <w:pPr>
        <w:ind w:right="280" w:firstLine="1296"/>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THE AGREEMENT SHALL BE ANY STATE OR FEDERAL COURT IN NEW YORK COUNTY IN THE STATE OF NEW YORK.</w:t>
      </w:r>
    </w:p>
    <w:p>
      <w:pPr>
        <w:spacing w:after="0" w:line="192" w:lineRule="exact"/>
        <w:rPr>
          <w:sz w:val="20"/>
          <w:szCs w:val="20"/>
          <w:color w:val="auto"/>
        </w:rPr>
      </w:pPr>
    </w:p>
    <w:p>
      <w:pPr>
        <w:ind w:right="280" w:firstLine="1296"/>
        <w:spacing w:after="0" w:line="275" w:lineRule="auto"/>
        <w:rPr>
          <w:sz w:val="20"/>
          <w:szCs w:val="20"/>
          <w:color w:val="auto"/>
        </w:rPr>
      </w:pPr>
      <w:r>
        <w:rPr>
          <w:rFonts w:ascii="Arial" w:cs="Arial" w:eastAsia="Arial" w:hAnsi="Arial"/>
          <w:sz w:val="17"/>
          <w:szCs w:val="17"/>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76"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ind w:right="80" w:firstLine="1296"/>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2" w:name="page353"/>
    <w:bookmarkEnd w:id="352"/>
    <w:p>
      <w:pPr>
        <w:ind w:firstLine="1296"/>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53" w:name="page354"/>
    <w:bookmarkEnd w:id="353"/>
    <w:p>
      <w:pPr>
        <w:ind w:left="18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Capital Corp IV</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54" w:name="page355"/>
    <w:bookmarkEnd w:id="354"/>
    <w:p>
      <w:pPr>
        <w:jc w:val="right"/>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Annetta Acquisition Corp</w:t>
      </w:r>
    </w:p>
    <w:p>
      <w:pPr>
        <w:ind w:left="4580"/>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13,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pleased to accept the offer Annetta Sponsor LLC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has made to purchase 21,562,500 shares of Class B common stock (the “</w:t>
      </w:r>
      <w:r>
        <w:rPr>
          <w:rFonts w:ascii="Arial" w:cs="Arial" w:eastAsia="Arial" w:hAnsi="Arial"/>
          <w:sz w:val="18"/>
          <w:szCs w:val="18"/>
          <w:b w:val="1"/>
          <w:bCs w:val="1"/>
          <w:color w:val="auto"/>
        </w:rPr>
        <w:t>Shares</w:t>
      </w:r>
      <w:r>
        <w:rPr>
          <w:rFonts w:ascii="Arial" w:cs="Arial" w:eastAsia="Arial" w:hAnsi="Arial"/>
          <w:sz w:val="18"/>
          <w:szCs w:val="18"/>
          <w:color w:val="auto"/>
        </w:rPr>
        <w:t>”), $.0001 par value per share (the “</w:t>
      </w:r>
      <w:r>
        <w:rPr>
          <w:rFonts w:ascii="Arial" w:cs="Arial" w:eastAsia="Arial" w:hAnsi="Arial"/>
          <w:sz w:val="18"/>
          <w:szCs w:val="18"/>
          <w:b w:val="1"/>
          <w:bCs w:val="1"/>
          <w:color w:val="auto"/>
        </w:rPr>
        <w:t>Class B Common Stock</w:t>
      </w:r>
      <w:r>
        <w:rPr>
          <w:rFonts w:ascii="Arial" w:cs="Arial" w:eastAsia="Arial" w:hAnsi="Arial"/>
          <w:sz w:val="18"/>
          <w:szCs w:val="18"/>
          <w:color w:val="auto"/>
        </w:rPr>
        <w:t>” together with all other classes of Company (as defined below)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up to 2,812,500 Shares of which are subject to complete or partial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Annetta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do not fully exercise their over-allotment option (the “</w:t>
      </w:r>
      <w:r>
        <w:rPr>
          <w:rFonts w:ascii="Arial" w:cs="Arial" w:eastAsia="Arial" w:hAnsi="Arial"/>
          <w:sz w:val="18"/>
          <w:szCs w:val="18"/>
          <w:b w:val="1"/>
          <w:bCs w:val="1"/>
          <w:color w:val="auto"/>
        </w:rPr>
        <w:t>Over-allotment</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The terms (this “</w:t>
      </w:r>
      <w:r>
        <w:rPr>
          <w:rFonts w:ascii="Arial" w:cs="Arial" w:eastAsia="Arial" w:hAnsi="Arial"/>
          <w:sz w:val="18"/>
          <w:szCs w:val="18"/>
          <w:b w:val="1"/>
          <w:bCs w:val="1"/>
          <w:color w:val="auto"/>
        </w:rPr>
        <w:t>Agreement</w:t>
      </w:r>
      <w:r>
        <w:rPr>
          <w:rFonts w:ascii="Arial" w:cs="Arial" w:eastAsia="Arial" w:hAnsi="Arial"/>
          <w:sz w:val="18"/>
          <w:szCs w:val="18"/>
          <w:color w:val="auto"/>
        </w:rPr>
        <w:t>”) on which the Company is willing to sell the Shares to the Subscriber, and the Company and the Subscriber’s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regarding such Shares, are as follows:</w:t>
      </w:r>
    </w:p>
    <w:p>
      <w:pPr>
        <w:spacing w:after="0" w:line="187" w:lineRule="exact"/>
        <w:rPr>
          <w:sz w:val="20"/>
          <w:szCs w:val="20"/>
          <w:color w:val="auto"/>
        </w:rPr>
      </w:pPr>
    </w:p>
    <w:p>
      <w:pPr>
        <w:ind w:right="40" w:firstLine="8"/>
        <w:spacing w:after="0" w:line="258" w:lineRule="auto"/>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sells and issues the Shares to the Subscriber, and the Subscriber hereby purchases the Shares from the Company, subject to the forfeiture provisions of Section 3 below, on the terms and subject to the conditions set forth in this Agreement. Concurrently with the Subscriber’s execution of this Agreement, the Company is delivering to the Subscriber a certificate registered in the Subscriber’s name representing the Shares (the “</w:t>
      </w:r>
      <w:r>
        <w:rPr>
          <w:rFonts w:ascii="Arial" w:cs="Arial" w:eastAsia="Arial" w:hAnsi="Arial"/>
          <w:sz w:val="18"/>
          <w:szCs w:val="18"/>
          <w:b w:val="1"/>
          <w:bCs w:val="1"/>
          <w:color w:val="auto"/>
        </w:rPr>
        <w:t>Original Certificate</w:t>
      </w:r>
      <w:r>
        <w:rPr>
          <w:rFonts w:ascii="Arial" w:cs="Arial" w:eastAsia="Arial" w:hAnsi="Arial"/>
          <w:sz w:val="18"/>
          <w:szCs w:val="18"/>
          <w:color w:val="auto"/>
        </w:rPr>
        <w:t>”), receipt of which the Subscriber hereby acknowledges.</w:t>
      </w:r>
    </w:p>
    <w:p>
      <w:pPr>
        <w:spacing w:after="0" w:line="187" w:lineRule="exact"/>
        <w:rPr>
          <w:rFonts w:ascii="Arial" w:cs="Arial" w:eastAsia="Arial" w:hAnsi="Arial"/>
          <w:sz w:val="18"/>
          <w:szCs w:val="18"/>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(iii) any law, statute, rule or regulation to which the Subscriber is subject, or (iv) any agreement, order, judgment or decree to which the Subscriber is subject.</w:t>
      </w:r>
    </w:p>
    <w:p>
      <w:pPr>
        <w:spacing w:after="0" w:line="187"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6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resold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(x) an effective registration statement under the Securities Act or (y) an exemption from registration available with respect to such sale. Subscriber is able to bear the economic risks of an investment in the Shares and to afford a complete loss of Subscriber’s investment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5" w:name="page356"/>
    <w:bookmarkEnd w:id="355"/>
    <w:p>
      <w:pPr>
        <w:ind w:right="160"/>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or its prospects.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under federal and state law.</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Investment Purposes</w:t>
      </w:r>
      <w:r>
        <w:rPr>
          <w:rFonts w:ascii="Arial" w:cs="Arial" w:eastAsia="Arial" w:hAnsi="Arial"/>
          <w:sz w:val="18"/>
          <w:szCs w:val="18"/>
          <w:color w:val="auto"/>
        </w:rPr>
        <w:t>. The Subscriber is purchasing the Shares solely for investment purposes, for the Subscriber’s own account and not for the account or benefit of any other person, and not with a view towards the distribution or dissemination thereof that would result in a violation of the Securities Act. The Subscriber did not enter into this Agreement as a result of any general solicitation or general advertising within the meaning of Rule 502 of Regulation D under the Securities Act.</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The Subscriber understands the Shares are being offered in a transaction not involving a public offering within the meaning of the Securities Act. Subscriber understands the Shares will be “restricted securities” as defined in Rule 144(a)(3) under the Securities Act and Subscriber understands that the certificate representing the Shares will contain a legend in respect of such restrictions. If in the future the Subscriber decides to offer, resell, pledge or otherwise transfer the Shares, such Shares may be offered, resold, pledged or otherwise transferred only in accordance with the provisions of Section 5 hereof.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offer, resell, pledge or otherwise transfer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certain requirements of Rule 144 and the release or waiver of any contractual transfer restrictions.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Certificate of Incorporation or Bylaws of the Company, (ii) any agreement, indenture or instrument to which the Company is a party, (iii) any law, statute, rule or regulation to which the Company is subject, or (iv) any agreement, order, judgment or decree to which the Company is subject.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 (c) liens, claims or encumbrances imposed due to the actions of the Subscriber.</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No Adverse Actions</w:t>
      </w:r>
      <w:r>
        <w:rPr>
          <w:rFonts w:ascii="Arial" w:cs="Arial" w:eastAsia="Arial" w:hAnsi="Arial"/>
          <w:sz w:val="18"/>
          <w:szCs w:val="18"/>
          <w:color w:val="auto"/>
        </w:rPr>
        <w:t>. There are no actions, suits, investigations or proceedings pending, threatened against or affecting the Company which: (i) seek to restrain, enjoin, prevent the consummation of or otherwise affect the transactions contemplated by this Agreement or (ii) question the validity or legality of any transactions or seek to recover damages or to obtain other relief in connection with any transactions.</w:t>
      </w:r>
    </w:p>
    <w:p>
      <w:pPr>
        <w:spacing w:after="0" w:line="184" w:lineRule="exact"/>
        <w:rPr>
          <w:sz w:val="20"/>
          <w:szCs w:val="20"/>
          <w:color w:val="auto"/>
        </w:rPr>
      </w:pPr>
    </w:p>
    <w:p>
      <w:pPr>
        <w:ind w:left="180" w:hanging="172"/>
        <w:spacing w:after="0"/>
        <w:tabs>
          <w:tab w:leader="none" w:pos="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In the event the Over-allotment Option granted to the representative of the underwriters of the IPO is not exercised in full, the Subscriber acknowledges and agrees that it (and, if applicable, any transferee of Shares) shall forfeit any and all rights to such number of Shares (up to an aggregate of 2,812,500 Shares and pro rata based upon the percentage of the Over-allotment Option exercised) such that immediately following such forfeiture, the Subscriber (and any such transferees) will own an aggregate number of Shares (not including Shares issuable upon exercise of any warrants or any Common Stock purchased by Subscriber in the IPO or in the aftermarket) equal to 20% of the issued and outstanding Common Stock immediately following the IPO.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6" w:name="page357"/>
    <w:bookmarkEnd w:id="356"/>
    <w:p>
      <w:pPr>
        <w:ind w:right="2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If any of the Shares are forfeited in accordance with this Section 3, then after such time the Subscriber (or successor in interest), shall no longer have any rights as a holder of such Shares, and the Company shall take such action as is appropriate to cancel such Shares.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In the event an adjustment to the Original Certificate is required pursuant to this Section 3, then the Subscriber shall return such Original Certificate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shall be issued in such amount representing the adjusted number of Shares held by the Subscriber. The New Certificate shall be returned to the Subscriber as soon as practicable.</w:t>
      </w:r>
    </w:p>
    <w:p>
      <w:pPr>
        <w:spacing w:after="0" w:line="171" w:lineRule="exact"/>
        <w:rPr>
          <w:sz w:val="20"/>
          <w:szCs w:val="20"/>
          <w:color w:val="auto"/>
        </w:rPr>
      </w:pPr>
    </w:p>
    <w:p>
      <w:pPr>
        <w:ind w:firstLine="8"/>
        <w:spacing w:after="0" w:line="272" w:lineRule="auto"/>
        <w:tabs>
          <w:tab w:leader="none" w:pos="18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Waiver of Liquidation Distributions; Redemption Rights</w:t>
      </w:r>
      <w:r>
        <w:rPr>
          <w:rFonts w:ascii="Arial" w:cs="Arial" w:eastAsia="Arial" w:hAnsi="Arial"/>
          <w:sz w:val="17"/>
          <w:szCs w:val="17"/>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7"/>
          <w:szCs w:val="17"/>
          <w:b w:val="1"/>
          <w:bCs w:val="1"/>
          <w:color w:val="auto"/>
        </w:rPr>
        <w:t>Trust Account</w:t>
      </w:r>
      <w:r>
        <w:rPr>
          <w:rFonts w:ascii="Arial" w:cs="Arial" w:eastAsia="Arial" w:hAnsi="Arial"/>
          <w:sz w:val="17"/>
          <w:szCs w:val="17"/>
          <w:color w:val="auto"/>
        </w:rPr>
        <w:t>”), in the event of a liquidation of the Company upon the Company’s failure to timely complete an initial business combination. For purposes of clarity, in the event the Subscriber purchases Common Stock in the IPO or in the aftermarket, any additional Common Stock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letter agreement (commonly known as an “</w:t>
      </w:r>
      <w:r>
        <w:rPr>
          <w:rFonts w:ascii="Arial" w:cs="Arial" w:eastAsia="Arial" w:hAnsi="Arial"/>
          <w:sz w:val="16"/>
          <w:szCs w:val="16"/>
          <w:b w:val="1"/>
          <w:bCs w:val="1"/>
          <w:color w:val="auto"/>
        </w:rPr>
        <w:t>Insider Letter</w:t>
      </w:r>
      <w:r>
        <w:rPr>
          <w:rFonts w:ascii="Arial" w:cs="Arial" w:eastAsia="Arial" w:hAnsi="Arial"/>
          <w:sz w:val="16"/>
          <w:szCs w:val="16"/>
          <w:color w:val="auto"/>
        </w:rPr>
        <w:t>”) to be dated as of the closing of the IPO by and between Subscriber and the Company,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Lock-up.</w:t>
      </w:r>
      <w:r>
        <w:rPr>
          <w:rFonts w:ascii="Arial" w:cs="Arial" w:eastAsia="Arial" w:hAnsi="Arial"/>
          <w:sz w:val="18"/>
          <w:szCs w:val="18"/>
          <w:color w:val="auto"/>
        </w:rPr>
        <w:t xml:space="preserve"> Subscriber acknowledges that the Shares will be subject to lock-up provisions contained in the Insider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All certificates representing the Shares shall have endorsed thereon legends substantially as follows: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DURING THE TERM OF THE LOCKUP PERIOD.”</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In the event of the declaration of a stock dividend, the declaration of a special dividend payable in a form other than Common Stock, a spin-off, a stock split, an adjustment in conversion ratio, a recapitalization or a similar transaction affecting the Company’s outstanding Common Stock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or class of Shares subject to this Section 5 and Section 3.</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7" w:name="page358"/>
    <w:bookmarkEnd w:id="357"/>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statements or other documents which are required or contemplated by this Agreement shall be in writing and delivered: (i)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that certain Insider Letter to be entered into between Subscriber and the Company, substantially in the form to be filed as an exhibit to the Registration Statement,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17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 The parties hereto irrevocably submit to the exclusive jurisdiction of any federal court sitting in the Southern District of New York or any state court located in New York County,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9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No Waiver of Rights, Powers and Remedies</w:t>
      </w:r>
      <w:r>
        <w:rPr>
          <w:rFonts w:ascii="Arial" w:cs="Arial" w:eastAsia="Arial" w:hAnsi="Arial"/>
          <w:sz w:val="18"/>
          <w:szCs w:val="18"/>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8" w:name="page359"/>
    <w:bookmarkEnd w:id="358"/>
    <w:p>
      <w:pPr>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hold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sections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 section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ind w:right="100" w:firstLine="8"/>
        <w:spacing w:after="0" w:line="259" w:lineRule="auto"/>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Voting and Redemption of Shares</w:t>
      </w:r>
      <w:r>
        <w:rPr>
          <w:rFonts w:ascii="Arial" w:cs="Arial" w:eastAsia="Arial" w:hAnsi="Arial"/>
          <w:sz w:val="18"/>
          <w:szCs w:val="18"/>
          <w:color w:val="auto"/>
        </w:rPr>
        <w:t>. The Subscriber agrees to vote the Shares in favor of an initial business combination that the Company negotiates and submits for approval to the Company’s stockholders and shall not seek redemption with respect to such Shares. Additionally, the Subscriber agrees not to redeem any Shares in connection with a redemption or tender offer presented to the Company’s stockholders in connection with an initial business combination negotiated by the Company.</w:t>
      </w:r>
    </w:p>
    <w:p>
      <w:pPr>
        <w:spacing w:after="0" w:line="182" w:lineRule="exact"/>
        <w:rPr>
          <w:rFonts w:ascii="Arial" w:cs="Arial" w:eastAsia="Arial" w:hAnsi="Arial"/>
          <w:sz w:val="18"/>
          <w:szCs w:val="18"/>
          <w:color w:val="auto"/>
        </w:rPr>
      </w:pPr>
    </w:p>
    <w:p>
      <w:pPr>
        <w:ind w:right="140" w:firstLine="8"/>
        <w:spacing w:after="0" w:line="254" w:lineRule="auto"/>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party shall indemnify (such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the other party (such party, the “</w:t>
      </w:r>
      <w:r>
        <w:rPr>
          <w:rFonts w:ascii="Arial" w:cs="Arial" w:eastAsia="Arial" w:hAnsi="Arial"/>
          <w:sz w:val="18"/>
          <w:szCs w:val="18"/>
          <w:b w:val="1"/>
          <w:bCs w:val="1"/>
          <w:color w:val="auto"/>
        </w:rPr>
        <w:t>Indemnified Party</w:t>
      </w:r>
      <w:r>
        <w:rPr>
          <w:rFonts w:ascii="Arial" w:cs="Arial" w:eastAsia="Arial" w:hAnsi="Arial"/>
          <w:sz w:val="18"/>
          <w:szCs w:val="18"/>
          <w:color w:val="auto"/>
        </w:rPr>
        <w:t>”) and its respective officers, employees, and controlling persons to the fullest extent permitted by law from and against any and all losses, damages, expenses (including reasonable attorneys’ fees and expenses) or other liabilities resulting from or arising out of such party’s breach of any representation, warranty, covenant or agreement in this Agreement. The foregoing indemnification rights apply so long as the action or failure to act by the Indemnified Party does not constitute fraud, bad faith, willful misconduct or gross negligence. Notwithstanding any of the foregoing to the contrary, indemnification protections will not be construed so as to relieve (or attempt to relieve) any Indemnified Party of any liability (including liability under federal securities laws which, under certain circumstances, impose liability even on persons that act in good faith), to the extent (but only to the extent) that such liability may not be waived, modified or limited under applicable law, but will only be construed so as to effectuate the indemnification protections to the fullest extent permitted by law.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t>If the foregoing accurately sets forth our understanding and agreement, please sign the enclosed copy of this Agreement and return it to us.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Annetta Acquisition Corp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tbl>
      <w:tblPr>
        <w:tblLayout w:type="fixed"/>
        <w:tblInd w:w="130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Exhibit 10.6</w:t>
            </w:r>
          </w:p>
        </w:tc>
      </w:tr>
      <w:tr>
        <w:trPr>
          <w:trHeight w:val="441"/>
        </w:trPr>
        <w:tc>
          <w:tcPr>
            <w:tcW w:w="6520" w:type="dxa"/>
            <w:vAlign w:val="bottom"/>
          </w:tcPr>
          <w:p>
            <w:pPr>
              <w:jc w:val="center"/>
              <w:ind w:left="2030"/>
              <w:spacing w:after="0"/>
              <w:rPr>
                <w:sz w:val="20"/>
                <w:szCs w:val="20"/>
                <w:color w:val="auto"/>
              </w:rPr>
            </w:pPr>
            <w:r>
              <w:rPr>
                <w:rFonts w:ascii="Arial" w:cs="Arial" w:eastAsia="Arial" w:hAnsi="Arial"/>
                <w:sz w:val="18"/>
                <w:szCs w:val="18"/>
                <w:b w:val="1"/>
                <w:bCs w:val="1"/>
                <w:color w:val="auto"/>
              </w:rPr>
              <w:t>PRIVATE PLACEMENT</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652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WARRANTS PURCHASE AGREEMENT</w:t>
            </w: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1"/>
        </w:trPr>
        <w:tc>
          <w:tcPr>
            <w:tcW w:w="6520" w:type="dxa"/>
            <w:vAlign w:val="bottom"/>
          </w:tcPr>
          <w:p>
            <w:pPr>
              <w:spacing w:after="0"/>
              <w:rPr>
                <w:sz w:val="20"/>
                <w:szCs w:val="20"/>
                <w:color w:val="auto"/>
              </w:rPr>
            </w:pPr>
            <w:r>
              <w:rPr>
                <w:rFonts w:ascii="Arial" w:cs="Arial" w:eastAsia="Arial" w:hAnsi="Arial"/>
                <w:sz w:val="18"/>
                <w:szCs w:val="18"/>
                <w:color w:val="auto"/>
                <w:w w:val="97"/>
              </w:rPr>
              <w:t>THIS PRIVATE PLACEMENT WARRANTS PURCHASE AGREEMENT, dated as of</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w w:val="97"/>
              </w:rPr>
              <w:t>, 2020 (this “Agreement”), is entered into by</w:t>
            </w:r>
          </w:p>
        </w:tc>
      </w:tr>
      <w:tr>
        <w:trPr>
          <w:trHeight w:val="20"/>
        </w:trPr>
        <w:tc>
          <w:tcPr>
            <w:tcW w:w="6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between 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Churchill Sponsor IV LLC, a Delaware limited liability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u w:val="single" w:color="auto"/>
          <w:color w:val="auto"/>
        </w:rPr>
        <w:t>Public Offering</w:t>
      </w:r>
      <w:r>
        <w:rPr>
          <w:rFonts w:ascii="Arial" w:cs="Arial" w:eastAsia="Arial" w:hAnsi="Arial"/>
          <w:sz w:val="18"/>
          <w:szCs w:val="18"/>
          <w:color w:val="auto"/>
        </w:rPr>
        <w:t>”), each unit consisting of one share of the Company’s Class A common stock, par value $0.0001 per share (a “</w:t>
      </w:r>
      <w:r>
        <w:rPr>
          <w:rFonts w:ascii="Arial" w:cs="Arial" w:eastAsia="Arial" w:hAnsi="Arial"/>
          <w:sz w:val="18"/>
          <w:szCs w:val="18"/>
          <w:u w:val="single" w:color="auto"/>
          <w:color w:val="auto"/>
        </w:rPr>
        <w:t>Share</w:t>
      </w:r>
      <w:r>
        <w:rPr>
          <w:rFonts w:ascii="Arial" w:cs="Arial" w:eastAsia="Arial" w:hAnsi="Arial"/>
          <w:sz w:val="18"/>
          <w:szCs w:val="18"/>
          <w:color w:val="auto"/>
        </w:rPr>
        <w:t>”), and one-fifth of one redeemable warrant, each whole warrant exercisable for one Share at an exercise price of $11.50 per Share, as set forth in the Company’s registration statement on Form S-1 related to the Public Offering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187"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WHEREAS, the Purchaser now wishes to purchase an aggregate of 21,250,000 warrants (or 24,250,000 warrants if the underwriters’ over-allotment option is exercised in full) (the “</w:t>
      </w:r>
      <w:r>
        <w:rPr>
          <w:rFonts w:ascii="Arial" w:cs="Arial" w:eastAsia="Arial" w:hAnsi="Arial"/>
          <w:sz w:val="18"/>
          <w:szCs w:val="18"/>
          <w:u w:val="single" w:color="auto"/>
          <w:color w:val="auto"/>
        </w:rPr>
        <w:t>Warrants</w:t>
      </w:r>
      <w:r>
        <w:rPr>
          <w:rFonts w:ascii="Arial" w:cs="Arial" w:eastAsia="Arial" w:hAnsi="Arial"/>
          <w:sz w:val="18"/>
          <w:szCs w:val="18"/>
          <w:color w:val="auto"/>
        </w:rPr>
        <w:t>”), each Warrant entitling the holder to purchase one Share at an exercise price of $11.50 per Share.</w:t>
      </w:r>
    </w:p>
    <w:p>
      <w:pPr>
        <w:spacing w:after="0" w:line="184" w:lineRule="exact"/>
        <w:rPr>
          <w:sz w:val="20"/>
          <w:szCs w:val="20"/>
          <w:color w:val="auto"/>
        </w:rPr>
      </w:pPr>
    </w:p>
    <w:p>
      <w:pPr>
        <w:ind w:right="260" w:firstLine="1296"/>
        <w:spacing w:after="0" w:line="342"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Authorization, Purchase and Sale; Terms of the Warrants</w:t>
      </w:r>
      <w:r>
        <w:rPr>
          <w:rFonts w:ascii="Arial" w:cs="Arial" w:eastAsia="Arial" w:hAnsi="Arial"/>
          <w:sz w:val="16"/>
          <w:szCs w:val="16"/>
          <w:color w:val="auto"/>
        </w:rPr>
        <w:t>.</w:t>
      </w:r>
    </w:p>
    <w:p>
      <w:pPr>
        <w:spacing w:after="0" w:line="225" w:lineRule="exact"/>
        <w:rPr>
          <w:sz w:val="20"/>
          <w:szCs w:val="20"/>
          <w:color w:val="auto"/>
        </w:rPr>
      </w:pPr>
    </w:p>
    <w:p>
      <w:pPr>
        <w:ind w:left="2020" w:hanging="716"/>
        <w:spacing w:after="0"/>
        <w:tabs>
          <w:tab w:leader="none" w:pos="2020"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Authorization of the Warrants</w:t>
      </w:r>
      <w:r>
        <w:rPr>
          <w:rFonts w:ascii="Arial" w:cs="Arial" w:eastAsia="Arial" w:hAnsi="Arial"/>
          <w:sz w:val="17"/>
          <w:szCs w:val="17"/>
          <w:color w:val="auto"/>
        </w:rPr>
        <w:t>. The Company has duly authorized the issuance and sale of the Warrants to the Purchaser.</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Warrants</w:t>
      </w:r>
      <w:r>
        <w:rPr>
          <w:rFonts w:ascii="Arial" w:cs="Arial" w:eastAsia="Arial" w:hAnsi="Arial"/>
          <w:sz w:val="18"/>
          <w:szCs w:val="18"/>
          <w:color w:val="auto"/>
        </w:rPr>
        <w:t>.</w:t>
      </w:r>
    </w:p>
    <w:p>
      <w:pPr>
        <w:spacing w:after="0" w:line="225" w:lineRule="exact"/>
        <w:rPr>
          <w:sz w:val="20"/>
          <w:szCs w:val="20"/>
          <w:color w:val="auto"/>
        </w:rPr>
      </w:pPr>
    </w:p>
    <w:p>
      <w:pPr>
        <w:ind w:left="2660" w:hanging="708"/>
        <w:spacing w:after="0"/>
        <w:tabs>
          <w:tab w:leader="none" w:pos="2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As payment in full for the 21,250,000 Warrants being purchased under this Agreement, the Purchaser shall pay</w:t>
      </w:r>
    </w:p>
    <w:p>
      <w:pPr>
        <w:spacing w:after="0" w:line="35" w:lineRule="exact"/>
        <w:rPr>
          <w:sz w:val="20"/>
          <w:szCs w:val="20"/>
          <w:color w:val="auto"/>
        </w:rPr>
      </w:pPr>
    </w:p>
    <w:p>
      <w:pPr>
        <w:ind w:left="660" w:right="240"/>
        <w:spacing w:after="0" w:line="255" w:lineRule="auto"/>
        <w:rPr>
          <w:sz w:val="20"/>
          <w:szCs w:val="20"/>
          <w:color w:val="auto"/>
        </w:rPr>
      </w:pPr>
      <w:r>
        <w:rPr>
          <w:rFonts w:ascii="Arial" w:cs="Arial" w:eastAsia="Arial" w:hAnsi="Arial"/>
          <w:sz w:val="18"/>
          <w:szCs w:val="18"/>
          <w:color w:val="auto"/>
        </w:rPr>
        <w:t>$21,250,000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by wire transfer of immediately available funds in accordance with the Company’s wiring instructions, at least one (1) business day prior to the effective date of the Registration Statement, or on such other date as the Company and the Purchaser may agree.</w:t>
      </w:r>
    </w:p>
    <w:p>
      <w:pPr>
        <w:spacing w:after="0" w:line="190" w:lineRule="exact"/>
        <w:rPr>
          <w:sz w:val="20"/>
          <w:szCs w:val="20"/>
          <w:color w:val="auto"/>
        </w:rPr>
      </w:pPr>
    </w:p>
    <w:p>
      <w:pPr>
        <w:ind w:left="660" w:right="160" w:firstLine="1292"/>
        <w:spacing w:after="0" w:line="273" w:lineRule="auto"/>
        <w:tabs>
          <w:tab w:leader="none" w:pos="267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event that the underwriters’ over-allotment option is exercised in full, the Purchaser shall purchase up to an additional 3,000,000 Warrants (the “</w:t>
      </w:r>
      <w:r>
        <w:rPr>
          <w:rFonts w:ascii="Arial" w:cs="Arial" w:eastAsia="Arial" w:hAnsi="Arial"/>
          <w:sz w:val="17"/>
          <w:szCs w:val="17"/>
          <w:u w:val="single" w:color="auto"/>
          <w:color w:val="auto"/>
        </w:rPr>
        <w:t>Additional Warrants</w:t>
      </w:r>
      <w:r>
        <w:rPr>
          <w:rFonts w:ascii="Arial" w:cs="Arial" w:eastAsia="Arial" w:hAnsi="Arial"/>
          <w:sz w:val="17"/>
          <w:szCs w:val="17"/>
          <w:color w:val="auto"/>
        </w:rPr>
        <w:t>”), in the same proportion as the amount of the over-allotment option that is exercised, and simultaneously with such purchase of Additional Warrants, as payment in full for the Additional Warrants being purchased hereunder, and at least one (1) business day prior to the closing of all or any portion of the over-allotment option, or on such other date as the Company and the Purchaser may agree, the Purchaser shall pay $1.00 per Additional Warrant, up to an aggregate amount of $3,000,000, by wire transfer of immediately available funds in accordance with the Company’s wiring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1" w:name="page362"/>
    <w:bookmarkEnd w:id="361"/>
    <w:p>
      <w:pPr>
        <w:ind w:left="4" w:right="80" w:firstLine="1292"/>
        <w:spacing w:after="0" w:line="255" w:lineRule="auto"/>
        <w:tabs>
          <w:tab w:leader="none" w:pos="20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closing of the purchase and sale of the Warrants shall take place simultaneously with the closing of the Public Offering (the “</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The closing of the purchase and sale of the Additional Warrants, if applicable, shall take place simultaneously with the closing of all or any portion of the over-allotment option (such closing date, together with the Initial Closing Date, the “</w:t>
      </w:r>
      <w:r>
        <w:rPr>
          <w:rFonts w:ascii="Arial" w:cs="Arial" w:eastAsia="Arial" w:hAnsi="Arial"/>
          <w:sz w:val="18"/>
          <w:szCs w:val="18"/>
          <w:u w:val="single" w:color="auto"/>
          <w:color w:val="auto"/>
        </w:rPr>
        <w:t>Closing Dates</w:t>
      </w:r>
      <w:r>
        <w:rPr>
          <w:rFonts w:ascii="Arial" w:cs="Arial" w:eastAsia="Arial" w:hAnsi="Arial"/>
          <w:sz w:val="18"/>
          <w:szCs w:val="18"/>
          <w:color w:val="auto"/>
        </w:rPr>
        <w:t>” and each, a “</w:t>
      </w:r>
      <w:r>
        <w:rPr>
          <w:rFonts w:ascii="Arial" w:cs="Arial" w:eastAsia="Arial" w:hAnsi="Arial"/>
          <w:sz w:val="18"/>
          <w:szCs w:val="18"/>
          <w:u w:val="single" w:color="auto"/>
          <w:color w:val="auto"/>
        </w:rPr>
        <w:t>Closing Date</w:t>
      </w:r>
      <w:r>
        <w:rPr>
          <w:rFonts w:ascii="Arial" w:cs="Arial" w:eastAsia="Arial" w:hAnsi="Arial"/>
          <w:sz w:val="18"/>
          <w:szCs w:val="18"/>
          <w:color w:val="auto"/>
        </w:rPr>
        <w:t>”). The closing of the purchase and sale of each of the Warrants and the Additional Warrants shall take place at the offices of Paul, Weiss, Rifkind, Wharton &amp; Garrison LLP, 1285 Avenue of the Americas, New York, New York, 10019, or such other place as may be agreed upon by the parties hereto.</w:t>
      </w:r>
    </w:p>
    <w:p>
      <w:pPr>
        <w:spacing w:after="0" w:line="192" w:lineRule="exact"/>
        <w:rPr>
          <w:rFonts w:ascii="Arial" w:cs="Arial" w:eastAsia="Arial" w:hAnsi="Arial"/>
          <w:sz w:val="18"/>
          <w:szCs w:val="18"/>
          <w:color w:val="auto"/>
        </w:rPr>
      </w:pPr>
    </w:p>
    <w:p>
      <w:pPr>
        <w:ind w:left="1344" w:hanging="696"/>
        <w:spacing w:after="0"/>
        <w:tabs>
          <w:tab w:leader="none" w:pos="134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Terms of the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1292"/>
        <w:spacing w:after="0" w:line="277" w:lineRule="auto"/>
        <w:tabs>
          <w:tab w:leader="none" w:pos="201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Warrants shall have their terms set forth in a Warrant Agreement to be entered into by the Company and a warrant agent, in connection with the Public Offering (a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40" w:firstLine="1292"/>
        <w:spacing w:after="0" w:line="263" w:lineRule="auto"/>
        <w:tabs>
          <w:tab w:leader="none" w:pos="20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will grant certain registration rights to the Purchaser relating to the Warrants and the Shares underlying the Warrants.</w:t>
      </w:r>
    </w:p>
    <w:p>
      <w:pPr>
        <w:spacing w:after="0" w:line="18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As a material inducement to the Purchaser to enter into this Agreement and purchase the Warrants, the Company hereby represents and warrants to the Purchaser (which representations and warranties shall survive the Closing Dates) that:</w:t>
      </w:r>
    </w:p>
    <w:p>
      <w:pPr>
        <w:spacing w:after="0" w:line="184" w:lineRule="exact"/>
        <w:rPr>
          <w:sz w:val="20"/>
          <w:szCs w:val="20"/>
          <w:color w:val="auto"/>
        </w:rPr>
      </w:pPr>
    </w:p>
    <w:p>
      <w:pPr>
        <w:ind w:left="4" w:right="60" w:firstLine="644"/>
        <w:spacing w:after="0" w:line="301" w:lineRule="auto"/>
        <w:tabs>
          <w:tab w:leader="none" w:pos="1367"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57" w:lineRule="exact"/>
        <w:rPr>
          <w:rFonts w:ascii="Arial" w:cs="Arial" w:eastAsia="Arial" w:hAnsi="Arial"/>
          <w:sz w:val="16"/>
          <w:szCs w:val="16"/>
          <w:color w:val="auto"/>
        </w:rPr>
      </w:pPr>
    </w:p>
    <w:p>
      <w:pPr>
        <w:ind w:left="1344" w:hanging="696"/>
        <w:spacing w:after="0"/>
        <w:tabs>
          <w:tab w:leader="none" w:pos="1344"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1292"/>
        <w:spacing w:after="0" w:line="279" w:lineRule="auto"/>
        <w:tabs>
          <w:tab w:leader="none" w:pos="2010" w:val="left"/>
        </w:tabs>
        <w:numPr>
          <w:ilvl w:val="2"/>
          <w:numId w:val="261"/>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Warrants have been duly authorized by the Company as of the Closing Dates. This Agreement constitutes a valid and binding obligation of the Company, enforceable in accordance with its terms. Upon issuance in accordance with, and payment pursuant to, the terms of the Warrant Agreement and this Agreement, the Warrants will constitute valid and binding obligations of the Company, enforceable in accordance with their terms as of the Closing Dates.</w:t>
      </w:r>
    </w:p>
    <w:p>
      <w:pPr>
        <w:spacing w:after="0" w:line="171" w:lineRule="exact"/>
        <w:rPr>
          <w:rFonts w:ascii="Arial" w:cs="Arial" w:eastAsia="Arial" w:hAnsi="Arial"/>
          <w:sz w:val="17"/>
          <w:szCs w:val="17"/>
          <w:color w:val="auto"/>
        </w:rPr>
      </w:pPr>
    </w:p>
    <w:p>
      <w:pPr>
        <w:ind w:left="4" w:firstLine="1292"/>
        <w:spacing w:after="0" w:line="287" w:lineRule="auto"/>
        <w:tabs>
          <w:tab w:leader="none" w:pos="2060"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Warrants, the issuance and sale of the Warrants, the issuance of the Shares upon exercise of the Warrants and the fulfillment of, and compliance with, the respective terms hereof and thereof by the Company, do not and will not as of the Closing Dates (a) conflict with or result in a breach of the terms, conditions or provisions of,</w:t>
      </w:r>
    </w:p>
    <w:p>
      <w:pPr>
        <w:spacing w:after="0" w:line="2" w:lineRule="exact"/>
        <w:rPr>
          <w:rFonts w:ascii="Arial" w:cs="Arial" w:eastAsia="Arial" w:hAnsi="Arial"/>
          <w:sz w:val="16"/>
          <w:szCs w:val="16"/>
          <w:color w:val="auto"/>
        </w:rPr>
      </w:pPr>
    </w:p>
    <w:p>
      <w:pPr>
        <w:ind w:left="4" w:right="100" w:hanging="4"/>
        <w:spacing w:after="0" w:line="270" w:lineRule="auto"/>
        <w:tabs>
          <w:tab w:leader="none" w:pos="25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constitute a default under, (c) result in the creation of any lien, security interest, charge or encumbrance upon the Company’s capital stock or assets under, (d) result in a violation of, or (e) require any authorization, consent, approval, exemption or other action by or notice or declaration to, or filing with, any court or administrative or governmental body or agency pursuant to the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362" w:name="page363"/>
    <w:bookmarkEnd w:id="362"/>
    <w:p>
      <w:pPr>
        <w:ind w:firstLine="644"/>
        <w:spacing w:after="0" w:line="273" w:lineRule="auto"/>
        <w:tabs>
          <w:tab w:leader="none" w:pos="135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the Shares issuable upon exercise of the Warrants will be duly and validly issued, fully paid and nonassessable. Upon issuance in accordance with, and payment pursuant to, the terms hereof and the Warrant Agreement, the Purchaser will have good title to the Warrants and the Shares issuable upon exercise of such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77" w:lineRule="exact"/>
        <w:rPr>
          <w:rFonts w:ascii="Arial" w:cs="Arial" w:eastAsia="Arial" w:hAnsi="Arial"/>
          <w:sz w:val="17"/>
          <w:szCs w:val="17"/>
          <w:color w:val="auto"/>
        </w:rPr>
      </w:pPr>
    </w:p>
    <w:p>
      <w:pPr>
        <w:ind w:right="120" w:firstLine="644"/>
        <w:spacing w:after="0" w:line="263" w:lineRule="auto"/>
        <w:tabs>
          <w:tab w:leader="none" w:pos="1363"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3" w:lineRule="exact"/>
        <w:rPr>
          <w:rFonts w:ascii="Arial" w:cs="Arial" w:eastAsia="Arial" w:hAnsi="Arial"/>
          <w:sz w:val="18"/>
          <w:szCs w:val="18"/>
          <w:color w:val="auto"/>
        </w:rPr>
      </w:pPr>
    </w:p>
    <w:p>
      <w:pPr>
        <w:ind w:right="320" w:firstLine="644"/>
        <w:spacing w:after="0" w:line="263" w:lineRule="auto"/>
        <w:tabs>
          <w:tab w:leader="none" w:pos="1343"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knowledge, any of its affiliates, officers, directors or beneficial stockholders of 20% or more of its outstanding securities, has experienced a disqualifying event as enumerated pursuant to Rule 506(d) of Regulation 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As a material inducement to the Company to enter into this Agreement and issue and sell the Warrants to the Purchaser, the Purchaser hereby represents and warrants to the Company (which representations and warranties shall survive the Closing Dates) that:</w:t>
      </w:r>
    </w:p>
    <w:p>
      <w:pPr>
        <w:spacing w:after="0" w:line="184" w:lineRule="exact"/>
        <w:rPr>
          <w:sz w:val="20"/>
          <w:szCs w:val="20"/>
          <w:color w:val="auto"/>
        </w:rPr>
      </w:pPr>
    </w:p>
    <w:p>
      <w:pPr>
        <w:ind w:right="340" w:firstLine="644"/>
        <w:spacing w:after="0" w:line="277" w:lineRule="auto"/>
        <w:tabs>
          <w:tab w:leader="none" w:pos="1363"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340" w:hanging="696"/>
        <w:spacing w:after="0"/>
        <w:tabs>
          <w:tab w:leader="none" w:pos="13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292"/>
        <w:spacing w:after="0" w:line="286" w:lineRule="auto"/>
        <w:tabs>
          <w:tab w:leader="none" w:pos="2006"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65" w:lineRule="exact"/>
        <w:rPr>
          <w:rFonts w:ascii="Arial" w:cs="Arial" w:eastAsia="Arial" w:hAnsi="Arial"/>
          <w:sz w:val="17"/>
          <w:szCs w:val="17"/>
          <w:color w:val="auto"/>
        </w:rPr>
      </w:pPr>
    </w:p>
    <w:p>
      <w:pPr>
        <w:jc w:val="both"/>
        <w:ind w:right="100" w:firstLine="1292"/>
        <w:spacing w:after="0" w:line="286" w:lineRule="auto"/>
        <w:tabs>
          <w:tab w:leader="none" w:pos="201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execution and delivery by the Purchaser of this Agreement and the fulfillment of and compliance with the terms hereof by the Purchaser does not and shall not as of the Closing Dates conflict with or result in a breach by the Purchaser of the terms, conditions or provisions of any agreement, instrument, order, judgment or decree to which the Purchaser is subject.</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363" w:name="page364"/>
    <w:bookmarkEnd w:id="363"/>
    <w:p>
      <w:pPr>
        <w:ind w:left="880" w:hanging="696"/>
        <w:spacing w:after="0"/>
        <w:tabs>
          <w:tab w:leader="none" w:pos="88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280" w:firstLine="1292"/>
        <w:spacing w:after="0" w:line="263" w:lineRule="auto"/>
        <w:tabs>
          <w:tab w:leader="none" w:pos="154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Purchaser is acquiring the Warrants and, upon exercise of the Warrants, the Shares issuable upon such exercise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ind w:left="-460" w:right="460" w:firstLine="1292"/>
        <w:spacing w:after="0" w:line="263" w:lineRule="auto"/>
        <w:tabs>
          <w:tab w:leader="none" w:pos="155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under the Securities Act and the Purchaser has not experienced a disqualifying event as enumerated pursuant to Rule 506(d) of Regulation D under the Securities Act.</w:t>
      </w:r>
    </w:p>
    <w:p>
      <w:pPr>
        <w:spacing w:after="0" w:line="183" w:lineRule="exact"/>
        <w:rPr>
          <w:rFonts w:ascii="Arial" w:cs="Arial" w:eastAsia="Arial" w:hAnsi="Arial"/>
          <w:sz w:val="18"/>
          <w:szCs w:val="18"/>
          <w:color w:val="auto"/>
        </w:rPr>
      </w:pPr>
    </w:p>
    <w:p>
      <w:pPr>
        <w:ind w:left="-460" w:firstLine="1292"/>
        <w:spacing w:after="0" w:line="259" w:lineRule="auto"/>
        <w:tabs>
          <w:tab w:leader="none" w:pos="155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86" w:lineRule="exact"/>
        <w:rPr>
          <w:rFonts w:ascii="Arial" w:cs="Arial" w:eastAsia="Arial" w:hAnsi="Arial"/>
          <w:sz w:val="18"/>
          <w:szCs w:val="18"/>
          <w:color w:val="auto"/>
        </w:rPr>
      </w:pPr>
    </w:p>
    <w:p>
      <w:pPr>
        <w:ind w:left="-460" w:right="40" w:firstLine="1292"/>
        <w:spacing w:after="0" w:line="277" w:lineRule="auto"/>
        <w:tabs>
          <w:tab w:leader="none" w:pos="154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Purchaser did not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left="-460" w:right="120" w:firstLine="1292"/>
        <w:spacing w:after="0" w:line="275" w:lineRule="auto"/>
        <w:tabs>
          <w:tab w:leader="none" w:pos="1585"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76" w:lineRule="exact"/>
        <w:rPr>
          <w:rFonts w:ascii="Arial" w:cs="Arial" w:eastAsia="Arial" w:hAnsi="Arial"/>
          <w:sz w:val="17"/>
          <w:szCs w:val="17"/>
          <w:color w:val="auto"/>
        </w:rPr>
      </w:pPr>
    </w:p>
    <w:p>
      <w:pPr>
        <w:ind w:left="-460" w:right="320" w:firstLine="1292"/>
        <w:spacing w:after="0" w:line="311" w:lineRule="auto"/>
        <w:tabs>
          <w:tab w:leader="none" w:pos="159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48" w:lineRule="exact"/>
        <w:rPr>
          <w:rFonts w:ascii="Arial" w:cs="Arial" w:eastAsia="Arial" w:hAnsi="Arial"/>
          <w:sz w:val="16"/>
          <w:szCs w:val="16"/>
          <w:color w:val="auto"/>
        </w:rPr>
      </w:pPr>
    </w:p>
    <w:p>
      <w:pPr>
        <w:jc w:val="both"/>
        <w:ind w:left="-460" w:right="80" w:firstLine="1292"/>
        <w:spacing w:after="0" w:line="257" w:lineRule="auto"/>
        <w:tabs>
          <w:tab w:leader="none" w:pos="159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4" w:name="page365"/>
    <w:bookmarkEnd w:id="364"/>
    <w:p>
      <w:pPr>
        <w:jc w:val="both"/>
        <w:ind w:firstLine="1292"/>
        <w:spacing w:after="0" w:line="273" w:lineRule="auto"/>
        <w:tabs>
          <w:tab w:leader="none" w:pos="201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the Purchaser’s Obligations</w:t>
      </w:r>
      <w:r>
        <w:rPr>
          <w:rFonts w:ascii="Arial" w:cs="Arial" w:eastAsia="Arial" w:hAnsi="Arial"/>
          <w:sz w:val="18"/>
          <w:szCs w:val="18"/>
          <w:color w:val="auto"/>
        </w:rPr>
        <w:t>. The obligations of the Purchaser to purchase and pay for the Warrants are subject to the fulfillment, on or before the Closing Dates, of each of the following conditions:</w:t>
      </w:r>
    </w:p>
    <w:p>
      <w:pPr>
        <w:spacing w:after="0" w:line="170" w:lineRule="exact"/>
        <w:rPr>
          <w:sz w:val="20"/>
          <w:szCs w:val="20"/>
          <w:color w:val="auto"/>
        </w:rPr>
      </w:pPr>
    </w:p>
    <w:p>
      <w:pPr>
        <w:ind w:right="200" w:firstLine="644"/>
        <w:spacing w:after="0" w:line="277" w:lineRule="auto"/>
        <w:tabs>
          <w:tab w:leader="none" w:pos="1318"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140" w:firstLine="644"/>
        <w:spacing w:after="0" w:line="277" w:lineRule="auto"/>
        <w:tabs>
          <w:tab w:leader="none" w:pos="135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Closing Dates.</w:t>
      </w:r>
    </w:p>
    <w:p>
      <w:pPr>
        <w:spacing w:after="0" w:line="170" w:lineRule="exact"/>
        <w:rPr>
          <w:rFonts w:ascii="Arial" w:cs="Arial" w:eastAsia="Arial" w:hAnsi="Arial"/>
          <w:sz w:val="18"/>
          <w:szCs w:val="18"/>
          <w:color w:val="auto"/>
        </w:rPr>
      </w:pPr>
    </w:p>
    <w:p>
      <w:pPr>
        <w:ind w:right="340" w:firstLine="644"/>
        <w:spacing w:after="0" w:line="259" w:lineRule="auto"/>
        <w:tabs>
          <w:tab w:leader="none" w:pos="135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86" w:lineRule="exact"/>
        <w:rPr>
          <w:rFonts w:ascii="Arial" w:cs="Arial" w:eastAsia="Arial" w:hAnsi="Arial"/>
          <w:sz w:val="18"/>
          <w:szCs w:val="18"/>
          <w:color w:val="auto"/>
        </w:rPr>
      </w:pPr>
    </w:p>
    <w:p>
      <w:pPr>
        <w:ind w:right="100" w:firstLine="644"/>
        <w:spacing w:after="0" w:line="277" w:lineRule="auto"/>
        <w:tabs>
          <w:tab w:leader="none" w:pos="136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a Warrant Agreement with a warrant agent on terms satisfactory to the Purchaser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the Company’s Obligations</w:t>
      </w:r>
      <w:r>
        <w:rPr>
          <w:rFonts w:ascii="Arial" w:cs="Arial" w:eastAsia="Arial" w:hAnsi="Arial"/>
          <w:sz w:val="18"/>
          <w:szCs w:val="18"/>
          <w:color w:val="auto"/>
        </w:rPr>
        <w:t>. The obligations of the Company to the Purchaser under this Agreement are subject to the fulfillment, on or before the Closing Dates, of each of the following conditions:</w:t>
      </w:r>
    </w:p>
    <w:p>
      <w:pPr>
        <w:spacing w:after="0" w:line="170" w:lineRule="exact"/>
        <w:rPr>
          <w:sz w:val="20"/>
          <w:szCs w:val="20"/>
          <w:color w:val="auto"/>
        </w:rPr>
      </w:pPr>
    </w:p>
    <w:p>
      <w:pPr>
        <w:ind w:right="160" w:firstLine="644"/>
        <w:spacing w:after="0" w:line="277" w:lineRule="auto"/>
        <w:tabs>
          <w:tab w:leader="none" w:pos="1363"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140" w:firstLine="644"/>
        <w:spacing w:after="0" w:line="277" w:lineRule="auto"/>
        <w:tabs>
          <w:tab w:leader="none" w:pos="1353"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Closing Dates.</w:t>
      </w:r>
    </w:p>
    <w:p>
      <w:pPr>
        <w:spacing w:after="0" w:line="170" w:lineRule="exact"/>
        <w:rPr>
          <w:rFonts w:ascii="Arial" w:cs="Arial" w:eastAsia="Arial" w:hAnsi="Arial"/>
          <w:sz w:val="18"/>
          <w:szCs w:val="18"/>
          <w:color w:val="auto"/>
        </w:rPr>
      </w:pPr>
    </w:p>
    <w:p>
      <w:pPr>
        <w:ind w:right="340" w:firstLine="644"/>
        <w:spacing w:after="0" w:line="259" w:lineRule="auto"/>
        <w:tabs>
          <w:tab w:leader="none" w:pos="1353"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200" w:lineRule="exact"/>
        <w:rPr>
          <w:sz w:val="20"/>
          <w:szCs w:val="20"/>
          <w:color w:val="auto"/>
        </w:rPr>
      </w:pPr>
    </w:p>
    <w:p>
      <w:pPr>
        <w:spacing w:after="0" w:line="2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365" w:name="page366"/>
    <w:bookmarkEnd w:id="365"/>
    <w:p>
      <w:pPr>
        <w:ind w:left="1360" w:hanging="716"/>
        <w:spacing w:after="0"/>
        <w:tabs>
          <w:tab w:leader="none" w:pos="136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after December 31, 2020 upon the election by either the Company or a Purchaser entitled to purchase a majority of the Warrants upon written notice to the other parties if the closing of the Public Offering does not occur prior to such date.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of the representations and warranties contained herein shall survive the Closing Dates.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Definitions</w:t>
      </w:r>
      <w:r>
        <w:rPr>
          <w:rFonts w:ascii="Arial" w:cs="Arial" w:eastAsia="Arial" w:hAnsi="Arial"/>
          <w:sz w:val="18"/>
          <w:szCs w:val="18"/>
          <w:color w:val="auto"/>
        </w:rPr>
        <w:t>. Terms used but not otherwise defined in this Agreement shall have the meaning assigned to such terms in the Registration Statement.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644"/>
        <w:spacing w:after="0" w:line="259" w:lineRule="auto"/>
        <w:tabs>
          <w:tab w:leader="none" w:pos="136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w:t>
      </w:r>
    </w:p>
    <w:p>
      <w:pPr>
        <w:spacing w:after="0" w:line="186" w:lineRule="exact"/>
        <w:rPr>
          <w:rFonts w:ascii="Arial" w:cs="Arial" w:eastAsia="Arial" w:hAnsi="Arial"/>
          <w:sz w:val="18"/>
          <w:szCs w:val="18"/>
          <w:color w:val="auto"/>
        </w:rPr>
      </w:pPr>
    </w:p>
    <w:p>
      <w:pPr>
        <w:ind w:right="80" w:firstLine="644"/>
        <w:spacing w:after="0" w:line="286" w:lineRule="auto"/>
        <w:tabs>
          <w:tab w:leader="none" w:pos="1353"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65" w:lineRule="exact"/>
        <w:rPr>
          <w:rFonts w:ascii="Arial" w:cs="Arial" w:eastAsia="Arial" w:hAnsi="Arial"/>
          <w:sz w:val="17"/>
          <w:szCs w:val="17"/>
          <w:color w:val="auto"/>
        </w:rPr>
      </w:pPr>
    </w:p>
    <w:p>
      <w:pPr>
        <w:ind w:right="240" w:firstLine="644"/>
        <w:spacing w:after="0" w:line="308" w:lineRule="auto"/>
        <w:tabs>
          <w:tab w:leader="none" w:pos="1353"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46" w:lineRule="exact"/>
        <w:rPr>
          <w:rFonts w:ascii="Arial" w:cs="Arial" w:eastAsia="Arial" w:hAnsi="Arial"/>
          <w:sz w:val="17"/>
          <w:szCs w:val="17"/>
          <w:color w:val="auto"/>
        </w:rPr>
      </w:pPr>
    </w:p>
    <w:p>
      <w:pPr>
        <w:ind w:right="80" w:firstLine="644"/>
        <w:spacing w:after="0" w:line="263" w:lineRule="auto"/>
        <w:tabs>
          <w:tab w:leader="none" w:pos="136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366" w:name="page367"/>
    <w:bookmarkEnd w:id="366"/>
    <w:p>
      <w:pPr>
        <w:ind w:left="-460" w:firstLine="644"/>
        <w:spacing w:after="0" w:line="271" w:lineRule="auto"/>
        <w:tabs>
          <w:tab w:leader="none" w:pos="883"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 The parties hereto irrevocably submit to the exclusive jurisdiction of any federal court sitting in the Southern District of New York or any state court located in New York County,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78" w:lineRule="exact"/>
        <w:rPr>
          <w:rFonts w:ascii="Arial" w:cs="Arial" w:eastAsia="Arial" w:hAnsi="Arial"/>
          <w:sz w:val="17"/>
          <w:szCs w:val="17"/>
          <w:color w:val="auto"/>
        </w:rPr>
      </w:pPr>
    </w:p>
    <w:p>
      <w:pPr>
        <w:ind w:left="-460" w:right="20" w:firstLine="644"/>
        <w:spacing w:after="0" w:line="277" w:lineRule="auto"/>
        <w:tabs>
          <w:tab w:leader="none" w:pos="858"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letter agreement may not be amended, modified or waived as to any particular provision, except by a written instrument executed by all parties hereto.</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67" w:name="page368"/>
    <w:bookmarkEnd w:id="367"/>
    <w:p>
      <w:pPr>
        <w:ind w:left="1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to be effective as of the date first set forth above.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40"/>
          </w:cols>
          <w:pgMar w:left="1440" w:top="904" w:right="111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81"/>
        </w:trPr>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ind w:left="3160"/>
              <w:spacing w:after="0"/>
              <w:rPr>
                <w:sz w:val="20"/>
                <w:szCs w:val="20"/>
                <w:color w:val="auto"/>
              </w:rPr>
            </w:pPr>
            <w:r>
              <w:rPr>
                <w:rFonts w:ascii="Arial" w:cs="Arial" w:eastAsia="Arial" w:hAnsi="Arial"/>
                <w:sz w:val="22"/>
                <w:szCs w:val="22"/>
                <w:b w:val="1"/>
                <w:bCs w:val="1"/>
                <w:color w:val="auto"/>
                <w:w w:val="89"/>
              </w:rPr>
              <w:t>Exhibit 10.7</w:t>
            </w:r>
          </w:p>
        </w:tc>
      </w:tr>
      <w:tr>
        <w:trPr>
          <w:trHeight w:val="449"/>
        </w:trPr>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gridSpan w:val="5"/>
          </w:tcPr>
          <w:p>
            <w:pPr>
              <w:jc w:val="center"/>
              <w:ind w:left="1490"/>
              <w:spacing w:after="0"/>
              <w:rPr>
                <w:sz w:val="20"/>
                <w:szCs w:val="20"/>
                <w:color w:val="auto"/>
              </w:rPr>
            </w:pPr>
            <w:r>
              <w:rPr>
                <w:rFonts w:ascii="Arial" w:cs="Arial" w:eastAsia="Arial" w:hAnsi="Arial"/>
                <w:sz w:val="18"/>
                <w:szCs w:val="18"/>
                <w:b w:val="1"/>
                <w:bCs w:val="1"/>
                <w:color w:val="auto"/>
              </w:rPr>
              <w:t>INDEMNITY AGREEMENT</w:t>
            </w:r>
          </w:p>
        </w:tc>
        <w:tc>
          <w:tcPr>
            <w:tcW w:w="4280" w:type="dxa"/>
            <w:vAlign w:val="bottom"/>
          </w:tcPr>
          <w:p>
            <w:pPr>
              <w:spacing w:after="0"/>
              <w:rPr>
                <w:sz w:val="24"/>
                <w:szCs w:val="24"/>
                <w:color w:val="auto"/>
              </w:rPr>
            </w:pPr>
          </w:p>
        </w:tc>
      </w:tr>
      <w:tr>
        <w:trPr>
          <w:trHeight w:val="391"/>
        </w:trPr>
        <w:tc>
          <w:tcPr>
            <w:tcW w:w="6960" w:type="dxa"/>
            <w:vAlign w:val="bottom"/>
            <w:gridSpan w:val="7"/>
          </w:tcPr>
          <w:p>
            <w:pPr>
              <w:ind w:left="1300"/>
              <w:spacing w:after="0"/>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“Agreement”) is made as of</w:t>
            </w:r>
          </w:p>
        </w:tc>
        <w:tc>
          <w:tcPr>
            <w:tcW w:w="4280" w:type="dxa"/>
            <w:vAlign w:val="bottom"/>
          </w:tcPr>
          <w:p>
            <w:pPr>
              <w:ind w:left="200"/>
              <w:spacing w:after="0"/>
              <w:rPr>
                <w:sz w:val="20"/>
                <w:szCs w:val="20"/>
                <w:color w:val="auto"/>
              </w:rPr>
            </w:pPr>
            <w:r>
              <w:rPr>
                <w:rFonts w:ascii="Arial" w:cs="Arial" w:eastAsia="Arial" w:hAnsi="Arial"/>
                <w:sz w:val="18"/>
                <w:szCs w:val="18"/>
                <w:color w:val="auto"/>
              </w:rPr>
              <w:t>, 2020 by and between Churchill Capital Corp IV, a</w:t>
            </w:r>
          </w:p>
        </w:tc>
      </w:tr>
      <w:tr>
        <w:trPr>
          <w:trHeight w:val="20"/>
        </w:trPr>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6960" w:type="dxa"/>
            <w:vAlign w:val="bottom"/>
            <w:gridSpan w:val="7"/>
          </w:tcPr>
          <w:p>
            <w:pPr>
              <w:spacing w:after="0" w:line="196" w:lineRule="exact"/>
              <w:rPr>
                <w:sz w:val="20"/>
                <w:szCs w:val="20"/>
                <w:color w:val="auto"/>
              </w:rPr>
            </w:pPr>
            <w:r>
              <w:rPr>
                <w:rFonts w:ascii="Arial" w:cs="Arial" w:eastAsia="Arial" w:hAnsi="Arial"/>
                <w:sz w:val="18"/>
                <w:szCs w:val="18"/>
                <w:color w:val="auto"/>
              </w:rPr>
              <w:t>Delaware corporation (the “Company”), and [NAME OF D&amp;O] (“Indemnitee”).</w:t>
            </w:r>
          </w:p>
        </w:tc>
        <w:tc>
          <w:tcPr>
            <w:tcW w:w="428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53"/>
        </w:trPr>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RECITALS</w:t>
            </w:r>
          </w:p>
        </w:tc>
        <w:tc>
          <w:tcPr>
            <w:tcW w:w="4280" w:type="dxa"/>
            <w:vAlign w:val="bottom"/>
          </w:tcPr>
          <w:p>
            <w:pPr>
              <w:spacing w:after="0"/>
              <w:rPr>
                <w:sz w:val="24"/>
                <w:szCs w:val="24"/>
                <w:color w:val="auto"/>
              </w:rPr>
            </w:pPr>
          </w:p>
        </w:tc>
      </w:tr>
    </w:tbl>
    <w:p>
      <w:pPr>
        <w:spacing w:after="0" w:line="198"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covenants contained herein and subject to the provisions of the letter</w:t>
      </w:r>
    </w:p>
    <w:p>
      <w:pPr>
        <w:spacing w:after="0" w:line="39"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agreement dated as of</w:t>
      </w:r>
      <w:r>
        <w:rPr>
          <w:sz w:val="20"/>
          <w:szCs w:val="20"/>
          <w:color w:val="auto"/>
        </w:rPr>
        <w:tab/>
      </w:r>
      <w:r>
        <w:rPr>
          <w:rFonts w:ascii="Arial" w:cs="Arial" w:eastAsia="Arial" w:hAnsi="Arial"/>
          <w:sz w:val="16"/>
          <w:szCs w:val="16"/>
          <w:color w:val="auto"/>
        </w:rPr>
        <w:t>, 2020, the Company and Indemnitee do hereby covenant and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194" w:lineRule="exact"/>
        <w:rPr>
          <w:rFonts w:ascii="Arial" w:cs="Arial" w:eastAsia="Arial" w:hAnsi="Arial"/>
          <w:sz w:val="18"/>
          <w:szCs w:val="18"/>
          <w:color w:val="auto"/>
        </w:rPr>
      </w:pPr>
    </w:p>
    <w:p>
      <w:pPr>
        <w:ind w:left="680" w:hanging="672"/>
        <w:spacing w:after="0"/>
        <w:tabs>
          <w:tab w:leader="none" w:pos="6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9" w:name="page370"/>
    <w:bookmarkEnd w:id="369"/>
    <w:p>
      <w:pPr>
        <w:ind w:right="420" w:firstLine="656"/>
        <w:spacing w:after="0" w:line="277" w:lineRule="auto"/>
        <w:tabs>
          <w:tab w:leader="none" w:pos="139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40" w:firstLine="1304"/>
        <w:spacing w:after="0" w:line="273" w:lineRule="auto"/>
        <w:tabs>
          <w:tab w:leader="none" w:pos="2006" w:val="left"/>
        </w:tabs>
        <w:numPr>
          <w:ilvl w:val="1"/>
          <w:numId w:val="273"/>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40" w:firstLine="1304"/>
        <w:spacing w:after="0" w:line="259" w:lineRule="auto"/>
        <w:tabs>
          <w:tab w:leader="none" w:pos="2010"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016" w:val="left"/>
        </w:tabs>
        <w:numPr>
          <w:ilvl w:val="1"/>
          <w:numId w:val="273"/>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0" w:name="page371"/>
    <w:bookmarkEnd w:id="370"/>
    <w:p>
      <w:pPr>
        <w:ind w:right="220" w:firstLine="1304"/>
        <w:spacing w:after="0" w:line="259" w:lineRule="auto"/>
        <w:tabs>
          <w:tab w:leader="none" w:pos="2005"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right="600" w:firstLine="1304"/>
        <w:spacing w:after="0" w:line="286" w:lineRule="auto"/>
        <w:tabs>
          <w:tab w:leader="none" w:pos="1955"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right="160" w:firstLine="656"/>
        <w:spacing w:after="0" w:line="263" w:lineRule="auto"/>
        <w:tabs>
          <w:tab w:leader="none" w:pos="139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right="180" w:firstLine="656"/>
        <w:spacing w:after="0" w:line="277" w:lineRule="auto"/>
        <w:tabs>
          <w:tab w:leader="none" w:pos="141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right="280" w:firstLine="656"/>
        <w:spacing w:after="0" w:line="255" w:lineRule="auto"/>
        <w:tabs>
          <w:tab w:leader="none" w:pos="139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w:t>
      </w:r>
    </w:p>
    <w:p>
      <w:pPr>
        <w:spacing w:after="0" w:line="2" w:lineRule="exact"/>
        <w:rPr>
          <w:rFonts w:ascii="Arial" w:cs="Arial" w:eastAsia="Arial" w:hAnsi="Arial"/>
          <w:sz w:val="18"/>
          <w:szCs w:val="18"/>
          <w:color w:val="auto"/>
        </w:rPr>
      </w:pPr>
    </w:p>
    <w:p>
      <w:pPr>
        <w:ind w:right="520"/>
        <w:spacing w:after="0" w:line="260" w:lineRule="auto"/>
        <w:rPr>
          <w:rFonts w:ascii="Arial" w:cs="Arial" w:eastAsia="Arial" w:hAnsi="Arial"/>
          <w:sz w:val="18"/>
          <w:szCs w:val="18"/>
          <w:color w:val="auto"/>
        </w:rPr>
      </w:pPr>
      <w:r>
        <w:rPr>
          <w:rFonts w:ascii="Arial" w:cs="Arial" w:eastAsia="Arial" w:hAnsi="Arial"/>
          <w:sz w:val="18"/>
          <w:szCs w:val="18"/>
          <w:color w:val="auto"/>
        </w:rPr>
        <w:t>plan or other enterprise of which Indemnitee is or was serving at the request of the Company as a director, officer, trustee, general partner, managing member, fiduciary, employee or agent.</w:t>
      </w:r>
    </w:p>
    <w:p>
      <w:pPr>
        <w:spacing w:after="0" w:line="185" w:lineRule="exact"/>
        <w:rPr>
          <w:rFonts w:ascii="Arial" w:cs="Arial" w:eastAsia="Arial" w:hAnsi="Arial"/>
          <w:sz w:val="18"/>
          <w:szCs w:val="18"/>
          <w:color w:val="auto"/>
        </w:rPr>
      </w:pPr>
    </w:p>
    <w:p>
      <w:pPr>
        <w:ind w:left="1400" w:hanging="744"/>
        <w:spacing w:after="0"/>
        <w:tabs>
          <w:tab w:leader="none" w:pos="14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firstLine="656"/>
        <w:spacing w:after="0" w:line="269" w:lineRule="auto"/>
        <w:tabs>
          <w:tab w:leader="none" w:pos="140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1" w:name="page372"/>
    <w:bookmarkEnd w:id="371"/>
    <w:p>
      <w:pPr>
        <w:ind w:firstLine="656"/>
        <w:spacing w:after="0" w:line="255" w:lineRule="auto"/>
        <w:tabs>
          <w:tab w:leader="none" w:pos="135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firstLine="656"/>
        <w:spacing w:after="0" w:line="287" w:lineRule="auto"/>
        <w:tabs>
          <w:tab w:leader="none" w:pos="139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right="80" w:firstLine="8"/>
        <w:spacing w:after="0" w:line="250" w:lineRule="auto"/>
        <w:tabs>
          <w:tab w:leader="none" w:pos="26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representing either the Company or Indemnitee in an action to determine Indemnitee’s rights under this Agreement.</w:t>
      </w:r>
    </w:p>
    <w:p>
      <w:pPr>
        <w:spacing w:after="0" w:line="210" w:lineRule="exact"/>
        <w:rPr>
          <w:rFonts w:ascii="Arial" w:cs="Arial" w:eastAsia="Arial" w:hAnsi="Arial"/>
          <w:sz w:val="18"/>
          <w:szCs w:val="18"/>
          <w:color w:val="auto"/>
        </w:rPr>
      </w:pPr>
    </w:p>
    <w:p>
      <w:pPr>
        <w:ind w:firstLine="656"/>
        <w:spacing w:after="0" w:line="273" w:lineRule="auto"/>
        <w:tabs>
          <w:tab w:leader="none" w:pos="135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72" w:name="page373"/>
    <w:bookmarkEnd w:id="372"/>
    <w:p>
      <w:pPr>
        <w:ind w:left="-8" w:right="20" w:firstLine="656"/>
        <w:spacing w:after="0" w:line="273" w:lineRule="auto"/>
        <w:tabs>
          <w:tab w:leader="none" w:pos="134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firstLine="656"/>
        <w:spacing w:after="0" w:line="342" w:lineRule="auto"/>
        <w:tabs>
          <w:tab w:leader="none" w:pos="1344"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73" w:name="page374"/>
    <w:bookmarkEnd w:id="373"/>
    <w:p>
      <w:pPr>
        <w:ind w:left="-8" w:right="80" w:firstLine="8"/>
        <w:spacing w:after="0" w:line="287" w:lineRule="auto"/>
        <w:tabs>
          <w:tab w:leader="none" w:pos="667"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74" w:name="page375"/>
    <w:bookmarkEnd w:id="374"/>
    <w:p>
      <w:pPr>
        <w:ind w:left="672" w:hanging="672"/>
        <w:spacing w:after="0"/>
        <w:tabs>
          <w:tab w:leader="none" w:pos="672"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81"/>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375" w:name="page376"/>
    <w:bookmarkEnd w:id="375"/>
    <w:p>
      <w:pPr>
        <w:ind w:left="672" w:hanging="672"/>
        <w:spacing w:after="0"/>
        <w:tabs>
          <w:tab w:leader="none" w:pos="672"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82"/>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76" w:name="page377"/>
    <w:bookmarkEnd w:id="376"/>
    <w:p>
      <w:pPr>
        <w:ind w:left="672" w:hanging="672"/>
        <w:spacing w:after="0"/>
        <w:tabs>
          <w:tab w:leader="none" w:pos="672"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77" w:name="page378"/>
    <w:bookmarkEnd w:id="377"/>
    <w:p>
      <w:pPr>
        <w:ind w:left="-8" w:right="160" w:firstLine="656"/>
        <w:spacing w:after="0" w:line="263" w:lineRule="auto"/>
        <w:tabs>
          <w:tab w:leader="none" w:pos="133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672" w:hanging="672"/>
        <w:spacing w:after="0"/>
        <w:tabs>
          <w:tab w:leader="none" w:pos="67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78" w:name="page379"/>
    <w:bookmarkEnd w:id="378"/>
    <w:p>
      <w:pPr>
        <w:ind w:left="-8" w:right="20" w:firstLine="656"/>
        <w:spacing w:after="0" w:line="257" w:lineRule="auto"/>
        <w:tabs>
          <w:tab w:leader="none" w:pos="133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jc w:val="both"/>
        <w:ind w:left="-8" w:right="320" w:firstLine="656"/>
        <w:spacing w:after="0" w:line="342" w:lineRule="auto"/>
        <w:tabs>
          <w:tab w:leader="none" w:pos="133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672" w:hanging="672"/>
        <w:spacing w:after="0"/>
        <w:tabs>
          <w:tab w:leader="none" w:pos="67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79" w:name="page380"/>
    <w:bookmarkEnd w:id="379"/>
    <w:p>
      <w:pPr>
        <w:ind w:right="120" w:firstLine="656"/>
        <w:spacing w:after="0" w:line="263" w:lineRule="auto"/>
        <w:tabs>
          <w:tab w:leader="none" w:pos="139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60" w:firstLine="656"/>
        <w:spacing w:after="0" w:line="263" w:lineRule="auto"/>
        <w:tabs>
          <w:tab w:leader="none" w:pos="134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0" w:name="page381"/>
    <w:bookmarkEnd w:id="380"/>
    <w:p>
      <w:pPr>
        <w:ind w:firstLine="656"/>
        <w:spacing w:after="0" w:line="259" w:lineRule="auto"/>
        <w:tabs>
          <w:tab w:leader="none" w:pos="139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67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680" w:hanging="672"/>
        <w:spacing w:after="0"/>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1" w:name="page382"/>
    <w:bookmarkEnd w:id="381"/>
    <w:p>
      <w:pPr>
        <w:ind w:left="-8" w:right="20" w:firstLine="656"/>
        <w:spacing w:after="0" w:line="253" w:lineRule="auto"/>
        <w:tabs>
          <w:tab w:leader="none" w:pos="1389"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8" w:right="60" w:firstLine="656"/>
        <w:spacing w:after="0" w:line="270" w:lineRule="auto"/>
        <w:tabs>
          <w:tab w:leader="none" w:pos="1379"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8" w:firstLine="656"/>
        <w:spacing w:after="0" w:line="286" w:lineRule="auto"/>
        <w:tabs>
          <w:tab w:leader="none" w:pos="1389" w:val="left"/>
        </w:tabs>
        <w:numPr>
          <w:ilvl w:val="1"/>
          <w:numId w:val="291"/>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5" w:lineRule="exact"/>
        <w:rPr>
          <w:rFonts w:ascii="Arial" w:cs="Arial" w:eastAsia="Arial" w:hAnsi="Arial"/>
          <w:sz w:val="17"/>
          <w:szCs w:val="17"/>
          <w:color w:val="auto"/>
        </w:rPr>
      </w:pPr>
    </w:p>
    <w:p>
      <w:pPr>
        <w:ind w:left="-8" w:right="40" w:firstLine="656"/>
        <w:spacing w:after="0" w:line="284" w:lineRule="auto"/>
        <w:tabs>
          <w:tab w:leader="none" w:pos="1379"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80" w:firstLine="8"/>
        <w:spacing w:after="0" w:line="323" w:lineRule="auto"/>
        <w:tabs>
          <w:tab w:leader="none" w:pos="25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3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82" w:name="page383"/>
    <w:bookmarkEnd w:id="382"/>
    <w:p>
      <w:pPr>
        <w:ind w:left="-8" w:right="20" w:firstLine="656"/>
        <w:spacing w:after="0" w:line="287" w:lineRule="auto"/>
        <w:tabs>
          <w:tab w:leader="none" w:pos="136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7" w:lineRule="exact"/>
        <w:rPr>
          <w:rFonts w:ascii="Arial" w:cs="Arial" w:eastAsia="Arial" w:hAnsi="Arial"/>
          <w:sz w:val="16"/>
          <w:szCs w:val="16"/>
          <w:color w:val="auto"/>
        </w:rPr>
      </w:pPr>
    </w:p>
    <w:p>
      <w:pPr>
        <w:ind w:left="-8" w:firstLine="8"/>
        <w:spacing w:after="0" w:line="273" w:lineRule="auto"/>
        <w:tabs>
          <w:tab w:leader="none" w:pos="667"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83" w:name="page384"/>
    <w:bookmarkEnd w:id="383"/>
    <w:p>
      <w:pPr>
        <w:ind w:left="680" w:hanging="672"/>
        <w:spacing w:after="0"/>
        <w:tabs>
          <w:tab w:leader="none" w:pos="68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rFonts w:ascii="Arial" w:cs="Arial" w:eastAsia="Arial" w:hAnsi="Arial"/>
          <w:sz w:val="16"/>
          <w:szCs w:val="16"/>
          <w:color w:val="auto"/>
        </w:rPr>
      </w:pPr>
    </w:p>
    <w:p>
      <w:pPr>
        <w:ind w:right="140"/>
        <w:spacing w:after="0" w:line="269" w:lineRule="auto"/>
        <w:rPr>
          <w:rFonts w:ascii="Arial" w:cs="Arial" w:eastAsia="Arial" w:hAnsi="Arial"/>
          <w:sz w:val="16"/>
          <w:szCs w:val="16"/>
          <w:color w:val="auto"/>
        </w:rPr>
      </w:pPr>
      <w:r>
        <w:rPr>
          <w:rFonts w:ascii="Arial" w:cs="Arial" w:eastAsia="Arial" w:hAnsi="Arial"/>
          <w:sz w:val="17"/>
          <w:szCs w:val="17"/>
          <w:color w:val="auto"/>
        </w:rPr>
        <w:t>(a)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0" w:lineRule="exact"/>
        <w:rPr>
          <w:rFonts w:ascii="Arial" w:cs="Arial" w:eastAsia="Arial" w:hAnsi="Arial"/>
          <w:sz w:val="16"/>
          <w:szCs w:val="16"/>
          <w:color w:val="auto"/>
        </w:rPr>
      </w:pPr>
    </w:p>
    <w:p>
      <w:pPr>
        <w:ind w:left="680" w:hanging="672"/>
        <w:spacing w:after="0"/>
        <w:tabs>
          <w:tab w:leader="none" w:pos="6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286" w:lineRule="auto"/>
        <w:tabs>
          <w:tab w:leader="none" w:pos="1387" w:val="left"/>
        </w:tabs>
        <w:numPr>
          <w:ilvl w:val="1"/>
          <w:numId w:val="295"/>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right="320" w:firstLine="656"/>
        <w:spacing w:after="0" w:line="311" w:lineRule="auto"/>
        <w:tabs>
          <w:tab w:leader="none" w:pos="1397"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right="20" w:firstLine="656"/>
        <w:spacing w:after="0" w:line="254" w:lineRule="auto"/>
        <w:tabs>
          <w:tab w:leader="none" w:pos="138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right="120" w:firstLine="656"/>
        <w:spacing w:after="0" w:line="259" w:lineRule="auto"/>
        <w:tabs>
          <w:tab w:leader="none" w:pos="139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4" w:name="page385"/>
    <w:bookmarkEnd w:id="384"/>
    <w:p>
      <w:pPr>
        <w:ind w:left="-8" w:firstLine="656"/>
        <w:spacing w:after="0" w:line="289" w:lineRule="auto"/>
        <w:tabs>
          <w:tab w:leader="none" w:pos="137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ind w:left="-8" w:right="20" w:firstLine="8"/>
        <w:spacing w:after="0" w:line="259" w:lineRule="auto"/>
        <w:tabs>
          <w:tab w:leader="none" w:pos="667"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left="-8" w:right="140" w:firstLine="8"/>
        <w:spacing w:after="0" w:line="286" w:lineRule="auto"/>
        <w:tabs>
          <w:tab w:leader="none" w:pos="667"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left="-8" w:right="180" w:firstLine="656"/>
        <w:spacing w:after="0" w:line="277" w:lineRule="auto"/>
        <w:tabs>
          <w:tab w:leader="none" w:pos="133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352" w:hanging="704"/>
        <w:spacing w:after="0"/>
        <w:tabs>
          <w:tab w:leader="none" w:pos="135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Fax No.: (212) 492-0309</w:t>
      </w:r>
    </w:p>
    <w:p>
      <w:pPr>
        <w:spacing w:after="0" w:line="200" w:lineRule="exact"/>
        <w:rPr>
          <w:sz w:val="20"/>
          <w:szCs w:val="20"/>
          <w:color w:val="auto"/>
        </w:rPr>
      </w:pPr>
    </w:p>
    <w:p>
      <w:pPr>
        <w:spacing w:after="0" w:line="2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5" w:lineRule="exact"/>
        <w:rPr>
          <w:sz w:val="20"/>
          <w:szCs w:val="20"/>
          <w:color w:val="auto"/>
        </w:rPr>
      </w:pPr>
    </w:p>
    <w:p>
      <w:pPr>
        <w:ind w:firstLine="8"/>
        <w:spacing w:after="0" w:line="288" w:lineRule="auto"/>
        <w:tabs>
          <w:tab w:leader="none" w:pos="67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right="160" w:firstLine="8"/>
        <w:spacing w:after="0" w:line="263" w:lineRule="auto"/>
        <w:tabs>
          <w:tab w:leader="none" w:pos="67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firstLine="8"/>
        <w:spacing w:after="0" w:line="263" w:lineRule="auto"/>
        <w:tabs>
          <w:tab w:leader="none" w:pos="67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right="80" w:firstLine="8"/>
        <w:spacing w:after="0" w:line="258" w:lineRule="auto"/>
        <w:tabs>
          <w:tab w:leader="none" w:pos="67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 other procedure to be affected or adopted in a manner that will enable the Company to fulfill its obligations under this Agreement.</w:t>
      </w:r>
    </w:p>
    <w:p>
      <w:pPr>
        <w:spacing w:after="0" w:line="210" w:lineRule="exact"/>
        <w:rPr>
          <w:rFonts w:ascii="Arial" w:cs="Arial" w:eastAsia="Arial" w:hAnsi="Arial"/>
          <w:sz w:val="18"/>
          <w:szCs w:val="18"/>
          <w:color w:val="auto"/>
        </w:rPr>
      </w:pPr>
    </w:p>
    <w:p>
      <w:pPr>
        <w:ind w:right="80" w:firstLine="8"/>
        <w:spacing w:after="0" w:line="259" w:lineRule="auto"/>
        <w:tabs>
          <w:tab w:leader="none" w:pos="67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6" w:name="page387"/>
    <w:bookmarkEnd w:id="386"/>
    <w:p>
      <w:pPr>
        <w:ind w:left="-8" w:firstLine="8"/>
        <w:spacing w:after="0" w:line="272" w:lineRule="auto"/>
        <w:tabs>
          <w:tab w:leader="none" w:pos="667"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388" w:name="page389"/>
    <w:bookmarkEnd w:id="388"/>
    <w:p>
      <w:pPr>
        <w:ind w:left="1032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640 Fifth Avenue, 12th Floor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NY 10019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Klein Associates, Inc.</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letter agreement by and between Churchill Capital Corp IV,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M. Klein Associates, Inc., a New York corporation (the “</w:t>
      </w:r>
      <w:r>
        <w:rPr>
          <w:rFonts w:ascii="Arial" w:cs="Arial" w:eastAsia="Arial" w:hAnsi="Arial"/>
          <w:sz w:val="17"/>
          <w:szCs w:val="17"/>
          <w:b w:val="1"/>
          <w:bCs w:val="1"/>
          <w:i w:val="1"/>
          <w:iCs w:val="1"/>
          <w:color w:val="auto"/>
        </w:rPr>
        <w:t>Services Provider</w:t>
      </w:r>
      <w:r>
        <w:rPr>
          <w:rFonts w:ascii="Arial" w:cs="Arial" w:eastAsia="Arial" w:hAnsi="Arial"/>
          <w:sz w:val="17"/>
          <w:szCs w:val="17"/>
          <w:color w:val="auto"/>
        </w:rPr>
        <w:t>”), dated as of the date hereof, will confirm our agreement that, commencing on the date that securities of the Company are first listed on the New York Stock Exchange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 and continuing until the earlier of the consummation by the Company of an initial business combination and the Company’s liquidation (in each case as described in the Registration Statement on Form S-1 (File No. 333-[•]) filed with the Securities and Exchange Commission)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76" w:lineRule="exact"/>
        <w:rPr>
          <w:sz w:val="20"/>
          <w:szCs w:val="20"/>
          <w:color w:val="auto"/>
        </w:rPr>
      </w:pPr>
    </w:p>
    <w:p>
      <w:pPr>
        <w:ind w:left="660" w:right="120" w:hanging="652"/>
        <w:spacing w:after="0" w:line="257"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Services Provider (and/or any of its affiliates designated by the Services Provider) shall make available to the Company, at the address of the Services Provider referred to above (or any successor location or other existing office locations of the Services Provider or any of its affiliates), office space and administrative and support services as may be reasonably requested by the Company. In exchange therefor, the Company shall pay to the Services Provider, on the first day of each month, the sum of $50,000 per month commencing on the Listing Date and continuing monthly thereafter until the Termination Date; and</w:t>
      </w:r>
    </w:p>
    <w:p>
      <w:pPr>
        <w:spacing w:after="0" w:line="187" w:lineRule="exact"/>
        <w:rPr>
          <w:rFonts w:ascii="Arial" w:cs="Arial" w:eastAsia="Arial" w:hAnsi="Arial"/>
          <w:sz w:val="18"/>
          <w:szCs w:val="18"/>
          <w:color w:val="auto"/>
        </w:rPr>
      </w:pPr>
    </w:p>
    <w:p>
      <w:pPr>
        <w:ind w:left="660" w:right="40" w:hanging="652"/>
        <w:spacing w:after="0" w:line="272" w:lineRule="auto"/>
        <w:tabs>
          <w:tab w:leader="none" w:pos="6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Services Provider hereby irrevocably waives any and all right, title, interest, causes of action and claims of any kind or nature whatsoever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and hereby irrevocably waives any Claim it presently has or may have in the future as a result of, or arising out of, this letter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9" w:name="page390"/>
    <w:bookmarkEnd w:id="389"/>
    <w:p>
      <w:pPr>
        <w:ind w:right="360"/>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may not be amended, modified or waived as to any particular provision, except by a written instrument executed by all parties hereto.</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party hereto may assign either this letter agreement or any of its rights, interests, or obligations hereunder without the prior written approval of the other party, provided that the Services Provider may assign this letter agreement or any of its rights, interests, or obligations hereunder to an affiliate without the prior written approval of the Company. Any purported assignment in violation of this paragraph shall be void and ineffectual and shall not operate to transfer or assign any interest or title to the purported assignee.</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letter agreement constitutes the entire relationship of the parties hereto with respect to the subject matter described herein and any litigation between the parties (whether grounded in contract, tort, statute, law or equity) shall be governed by and construed in accordance with the laws of the State of New York.</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letter agreement may be executed in one or more counterparts, each of which shall for all purposes be deemed to be an original but all of which together shall constitute one and the same letter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0" w:name="page391"/>
    <w:bookmarkEnd w:id="390"/>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KLEIN ASSOCIATES,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inclusion in this Registration Statement of Churchill Capital Corp IV (the “Company”) on Form S-1 of our report dated May 27, 2020, except for the second paragraph of Note 8 as to which the date is June 1, 2020 and the third paragraph of Note 8 as to which the date is July 14, 2020, which includes an explanatory paragraph as to the Company’s ability to continue as a going concern, with respect to our audit of the financial statements of Churchill Capital Corp IV (formerly known as Annetta Acquisition Corp) as of May 22, 2020 and for the period from April 30, 2020 (inception) through May 22, 2020, which report appears in the Prospectus, which is part of this Registration Statement. We also consent to the reference to our Firm under the heading “Experts” in such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connection with the filing by Annetta Acquisition Corp of the Registration Statement on Form S-1 with the Securities and Exchange Commission under the Securities Act of 1933, as amended (the “Securities Act”), I hereby consent, pursuant to Rule 438 of the Securities Act, to being named as a nominee to the board of directors of Annetta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0D8C4A"/>
    <w:multiLevelType w:val="hybridMultilevel"/>
    <w:lvl w:ilvl="0">
      <w:lvlJc w:val="left"/>
      <w:lvlText w:val="(%1)"/>
      <w:numFmt w:val="decimal"/>
      <w:start w:val="1"/>
    </w:lvl>
  </w:abstractNum>
  <w:abstractNum w:abstractNumId="1">
    <w:nsid w:val="73D4D3C4"/>
    <w:multiLevelType w:val="hybridMultilevel"/>
    <w:lvl w:ilvl="0">
      <w:lvlJc w:val="left"/>
      <w:lvlText w:val="(%1)"/>
      <w:numFmt w:val="decimal"/>
      <w:start w:val="1"/>
    </w:lvl>
  </w:abstractNum>
  <w:abstractNum w:abstractNumId="2">
    <w:nsid w:val="746F2E30"/>
    <w:multiLevelType w:val="hybridMultilevel"/>
    <w:lvl w:ilvl="0">
      <w:lvlJc w:val="left"/>
      <w:lvlText w:val="•"/>
      <w:numFmt w:val="bullet"/>
      <w:start w:val="1"/>
    </w:lvl>
  </w:abstractNum>
  <w:abstractNum w:abstractNumId="3">
    <w:nsid w:val="6FDE8AF6"/>
    <w:multiLevelType w:val="hybridMultilevel"/>
    <w:lvl w:ilvl="0">
      <w:lvlJc w:val="left"/>
      <w:lvlText w:val="•"/>
      <w:numFmt w:val="bullet"/>
      <w:start w:val="1"/>
    </w:lvl>
  </w:abstractNum>
  <w:abstractNum w:abstractNumId="4">
    <w:nsid w:val="3FC32E20"/>
    <w:multiLevelType w:val="hybridMultilevel"/>
    <w:lvl w:ilvl="0">
      <w:lvlJc w:val="left"/>
      <w:lvlText w:val="•"/>
      <w:numFmt w:val="bullet"/>
      <w:start w:val="1"/>
    </w:lvl>
  </w:abstractNum>
  <w:abstractNum w:abstractNumId="5">
    <w:nsid w:val="49C0E823"/>
    <w:multiLevelType w:val="hybridMultilevel"/>
    <w:lvl w:ilvl="0">
      <w:lvlJc w:val="left"/>
      <w:lvlText w:val="•"/>
      <w:numFmt w:val="bullet"/>
      <w:start w:val="1"/>
    </w:lvl>
  </w:abstractNum>
  <w:abstractNum w:abstractNumId="6">
    <w:nsid w:val="14D53685"/>
    <w:multiLevelType w:val="hybridMultilevel"/>
    <w:lvl w:ilvl="0">
      <w:lvlJc w:val="left"/>
      <w:lvlText w:val="•"/>
      <w:numFmt w:val="bullet"/>
      <w:start w:val="1"/>
    </w:lvl>
  </w:abstractNum>
  <w:abstractNum w:abstractNumId="7">
    <w:nsid w:val="230F856C"/>
    <w:multiLevelType w:val="hybridMultilevel"/>
    <w:lvl w:ilvl="0">
      <w:lvlJc w:val="left"/>
      <w:lvlText w:val="•"/>
      <w:numFmt w:val="bullet"/>
      <w:start w:val="1"/>
    </w:lvl>
  </w:abstractNum>
  <w:abstractNum w:abstractNumId="8">
    <w:nsid w:val="6EAA85FB"/>
    <w:multiLevelType w:val="hybridMultilevel"/>
    <w:lvl w:ilvl="0">
      <w:lvlJc w:val="left"/>
      <w:lvlText w:val="•"/>
      <w:numFmt w:val="bullet"/>
      <w:start w:val="1"/>
    </w:lvl>
  </w:abstractNum>
  <w:abstractNum w:abstractNumId="9">
    <w:nsid w:val="3F06ECB2"/>
    <w:multiLevelType w:val="hybridMultilevel"/>
    <w:lvl w:ilvl="0">
      <w:lvlJc w:val="left"/>
      <w:lvlText w:val="•"/>
      <w:numFmt w:val="bullet"/>
      <w:start w:val="1"/>
    </w:lvl>
  </w:abstractNum>
  <w:abstractNum w:abstractNumId="10">
    <w:nsid w:val="3B594807"/>
    <w:multiLevelType w:val="hybridMultilevel"/>
    <w:lvl w:ilvl="0">
      <w:lvlJc w:val="left"/>
      <w:lvlText w:val="(%1)"/>
      <w:numFmt w:val="lowerLetter"/>
      <w:start w:val="1"/>
    </w:lvl>
  </w:abstractNum>
  <w:abstractNum w:abstractNumId="11">
    <w:nsid w:val="6CAA2304"/>
    <w:multiLevelType w:val="hybridMultilevel"/>
    <w:lvl w:ilvl="0">
      <w:lvlJc w:val="left"/>
      <w:lvlText w:val="(%1)"/>
      <w:numFmt w:val="decimal"/>
      <w:start w:val="1"/>
    </w:lvl>
  </w:abstractNum>
  <w:abstractNum w:abstractNumId="12">
    <w:nsid w:val="3F7C2FF4"/>
    <w:multiLevelType w:val="hybridMultilevel"/>
    <w:lvl w:ilvl="0">
      <w:lvlJc w:val="left"/>
      <w:lvlText w:val="•"/>
      <w:numFmt w:val="bullet"/>
      <w:start w:val="1"/>
    </w:lvl>
  </w:abstractNum>
  <w:abstractNum w:abstractNumId="13">
    <w:nsid w:val="25413BEC"/>
    <w:multiLevelType w:val="hybridMultilevel"/>
    <w:lvl w:ilvl="0">
      <w:lvlJc w:val="left"/>
      <w:lvlText w:val="\emdash "/>
      <w:numFmt w:val="bullet"/>
      <w:start w:val="1"/>
    </w:lvl>
  </w:abstractNum>
  <w:abstractNum w:abstractNumId="14">
    <w:nsid w:val="17180B0B"/>
    <w:multiLevelType w:val="hybridMultilevel"/>
    <w:lvl w:ilvl="0">
      <w:lvlJc w:val="left"/>
      <w:lvlText w:val="(%1)"/>
      <w:numFmt w:val="decimal"/>
      <w:start w:val="1"/>
    </w:lvl>
  </w:abstractNum>
  <w:abstractNum w:abstractNumId="15">
    <w:nsid w:val="579328B9"/>
    <w:multiLevelType w:val="hybridMultilevel"/>
    <w:lvl w:ilvl="0">
      <w:lvlJc w:val="left"/>
      <w:lvlText w:val="(%1)"/>
      <w:numFmt w:val="decimal"/>
      <w:start w:val="2"/>
    </w:lvl>
  </w:abstractNum>
  <w:abstractNum w:abstractNumId="16">
    <w:nsid w:val="5D205E20"/>
    <w:multiLevelType w:val="hybridMultilevel"/>
    <w:lvl w:ilvl="0">
      <w:lvlJc w:val="left"/>
      <w:lvlText w:val="•"/>
      <w:numFmt w:val="bullet"/>
      <w:start w:val="1"/>
    </w:lvl>
  </w:abstractNum>
  <w:abstractNum w:abstractNumId="17">
    <w:nsid w:val="11CCA8BA"/>
    <w:multiLevelType w:val="hybridMultilevel"/>
    <w:lvl w:ilvl="0">
      <w:lvlJc w:val="left"/>
      <w:lvlText w:val="•"/>
      <w:numFmt w:val="bullet"/>
      <w:start w:val="1"/>
    </w:lvl>
  </w:abstractNum>
  <w:abstractNum w:abstractNumId="18">
    <w:nsid w:val="4D32AB86"/>
    <w:multiLevelType w:val="hybridMultilevel"/>
    <w:lvl w:ilvl="0">
      <w:lvlJc w:val="left"/>
      <w:lvlText w:val="(%1)"/>
      <w:numFmt w:val="decimal"/>
      <w:start w:val="2"/>
    </w:lvl>
  </w:abstractNum>
  <w:abstractNum w:abstractNumId="19">
    <w:nsid w:val="3F07ACC3"/>
    <w:multiLevelType w:val="hybridMultilevel"/>
    <w:lvl w:ilvl="0">
      <w:lvlJc w:val="left"/>
      <w:lvlText w:val="(%1)"/>
      <w:numFmt w:val="decimal"/>
      <w:start w:val="1"/>
    </w:lvl>
  </w:abstractNum>
  <w:abstractNum w:abstractNumId="20">
    <w:nsid w:val="6B47F63E"/>
    <w:multiLevelType w:val="hybridMultilevel"/>
    <w:lvl w:ilvl="0">
      <w:lvlJc w:val="left"/>
      <w:lvlText w:val="•"/>
      <w:numFmt w:val="bullet"/>
      <w:start w:val="1"/>
    </w:lvl>
  </w:abstractNum>
  <w:abstractNum w:abstractNumId="21">
    <w:nsid w:val="5CB44A05"/>
    <w:multiLevelType w:val="hybridMultilevel"/>
    <w:lvl w:ilvl="0">
      <w:lvlJc w:val="left"/>
      <w:lvlText w:val="•"/>
      <w:numFmt w:val="bullet"/>
      <w:start w:val="1"/>
    </w:lvl>
  </w:abstractNum>
  <w:abstractNum w:abstractNumId="22">
    <w:nsid w:val="16CF80F1"/>
    <w:multiLevelType w:val="hybridMultilevel"/>
    <w:lvl w:ilvl="0">
      <w:lvlJc w:val="left"/>
      <w:lvlText w:val="•"/>
      <w:numFmt w:val="bullet"/>
      <w:start w:val="1"/>
    </w:lvl>
  </w:abstractNum>
  <w:abstractNum w:abstractNumId="23">
    <w:nsid w:val="1C695DEC"/>
    <w:multiLevelType w:val="hybridMultilevel"/>
    <w:lvl w:ilvl="0">
      <w:lvlJc w:val="left"/>
      <w:lvlText w:val="•"/>
      <w:numFmt w:val="bullet"/>
      <w:start w:val="1"/>
    </w:lvl>
  </w:abstractNum>
  <w:abstractNum w:abstractNumId="24">
    <w:nsid w:val="3FCFAED9"/>
    <w:multiLevelType w:val="hybridMultilevel"/>
    <w:lvl w:ilvl="0">
      <w:lvlJc w:val="left"/>
      <w:lvlText w:val="•"/>
      <w:numFmt w:val="bullet"/>
      <w:start w:val="1"/>
    </w:lvl>
  </w:abstractNum>
  <w:abstractNum w:abstractNumId="25">
    <w:nsid w:val="F856867"/>
    <w:multiLevelType w:val="hybridMultilevel"/>
    <w:lvl w:ilvl="0">
      <w:lvlJc w:val="left"/>
      <w:lvlText w:val="•"/>
      <w:numFmt w:val="bullet"/>
      <w:start w:val="1"/>
    </w:lvl>
  </w:abstractNum>
  <w:abstractNum w:abstractNumId="26">
    <w:nsid w:val="11B1CC33"/>
    <w:multiLevelType w:val="hybridMultilevel"/>
    <w:lvl w:ilvl="0">
      <w:lvlJc w:val="left"/>
      <w:lvlText w:val="•"/>
      <w:numFmt w:val="bullet"/>
      <w:start w:val="1"/>
    </w:lvl>
  </w:abstractNum>
  <w:abstractNum w:abstractNumId="27">
    <w:nsid w:val="2E22FBB7"/>
    <w:multiLevelType w:val="hybridMultilevel"/>
    <w:lvl w:ilvl="0">
      <w:lvlJc w:val="left"/>
      <w:lvlText w:val="•"/>
      <w:numFmt w:val="bullet"/>
      <w:start w:val="1"/>
    </w:lvl>
  </w:abstractNum>
  <w:abstractNum w:abstractNumId="28">
    <w:nsid w:val="29934699"/>
    <w:multiLevelType w:val="hybridMultilevel"/>
    <w:lvl w:ilvl="0">
      <w:lvlJc w:val="left"/>
      <w:lvlText w:val="•"/>
      <w:numFmt w:val="bullet"/>
      <w:start w:val="1"/>
    </w:lvl>
  </w:abstractNum>
  <w:abstractNum w:abstractNumId="29">
    <w:nsid w:val="77485850"/>
    <w:multiLevelType w:val="hybridMultilevel"/>
    <w:lvl w:ilvl="0">
      <w:lvlJc w:val="left"/>
      <w:lvlText w:val="•"/>
      <w:numFmt w:val="bullet"/>
      <w:start w:val="1"/>
    </w:lvl>
  </w:abstractNum>
  <w:abstractNum w:abstractNumId="30">
    <w:nsid w:val="744939A3"/>
    <w:multiLevelType w:val="hybridMultilevel"/>
    <w:lvl w:ilvl="0">
      <w:lvlJc w:val="left"/>
      <w:lvlText w:val="(%1)"/>
      <w:numFmt w:val="decimal"/>
      <w:start w:val="1"/>
    </w:lvl>
  </w:abstractNum>
  <w:abstractNum w:abstractNumId="31">
    <w:nsid w:val="4FA0D2E3"/>
    <w:multiLevelType w:val="hybridMultilevel"/>
    <w:lvl w:ilvl="0">
      <w:lvlJc w:val="left"/>
      <w:lvlText w:val="(%1)"/>
      <w:numFmt w:val="decimal"/>
      <w:start w:val="1"/>
    </w:lvl>
  </w:abstractNum>
  <w:abstractNum w:abstractNumId="32">
    <w:nsid w:val="6B1D2C14"/>
    <w:multiLevelType w:val="hybridMultilevel"/>
    <w:lvl w:ilvl="0">
      <w:lvlJc w:val="left"/>
      <w:lvlText w:val="(%1)"/>
      <w:numFmt w:val="decimal"/>
      <w:start w:val="1"/>
    </w:lvl>
  </w:abstractNum>
  <w:abstractNum w:abstractNumId="33">
    <w:nsid w:val="68B867D3"/>
    <w:multiLevelType w:val="hybridMultilevel"/>
    <w:lvl w:ilvl="0">
      <w:lvlJc w:val="left"/>
      <w:lvlText w:val="•"/>
      <w:numFmt w:val="bullet"/>
      <w:start w:val="1"/>
    </w:lvl>
  </w:abstractNum>
  <w:abstractNum w:abstractNumId="34">
    <w:nsid w:val="3F7F5DD9"/>
    <w:multiLevelType w:val="hybridMultilevel"/>
    <w:lvl w:ilvl="0">
      <w:lvlJc w:val="left"/>
      <w:lvlText w:val="•"/>
      <w:numFmt w:val="bullet"/>
      <w:start w:val="1"/>
    </w:lvl>
  </w:abstractNum>
  <w:abstractNum w:abstractNumId="35">
    <w:nsid w:val="2AE05A34"/>
    <w:multiLevelType w:val="hybridMultilevel"/>
    <w:lvl w:ilvl="0">
      <w:lvlJc w:val="left"/>
      <w:lvlText w:val="\emdash "/>
      <w:numFmt w:val="bullet"/>
      <w:start w:val="1"/>
    </w:lvl>
  </w:abstractNum>
  <w:abstractNum w:abstractNumId="36">
    <w:nsid w:val="32794FF7"/>
    <w:multiLevelType w:val="hybridMultilevel"/>
    <w:lvl w:ilvl="0">
      <w:lvlJc w:val="left"/>
      <w:lvlText w:val="•"/>
      <w:numFmt w:val="bullet"/>
      <w:start w:val="1"/>
    </w:lvl>
  </w:abstractNum>
  <w:abstractNum w:abstractNumId="37">
    <w:nsid w:val="5454945E"/>
    <w:multiLevelType w:val="hybridMultilevel"/>
    <w:lvl w:ilvl="0">
      <w:lvlJc w:val="left"/>
      <w:lvlText w:val="•"/>
      <w:numFmt w:val="bullet"/>
      <w:start w:val="1"/>
    </w:lvl>
  </w:abstractNum>
  <w:abstractNum w:abstractNumId="38">
    <w:nsid w:val="4DEFDFA0"/>
    <w:multiLevelType w:val="hybridMultilevel"/>
    <w:lvl w:ilvl="0">
      <w:lvlJc w:val="left"/>
      <w:lvlText w:val="•"/>
      <w:numFmt w:val="bullet"/>
      <w:start w:val="1"/>
    </w:lvl>
  </w:abstractNum>
  <w:abstractNum w:abstractNumId="39">
    <w:nsid w:val="2123D5F2"/>
    <w:multiLevelType w:val="hybridMultilevel"/>
    <w:lvl w:ilvl="0">
      <w:lvlJc w:val="left"/>
      <w:lvlText w:val="•"/>
      <w:numFmt w:val="bullet"/>
      <w:start w:val="1"/>
    </w:lvl>
  </w:abstractNum>
  <w:abstractNum w:abstractNumId="40">
    <w:nsid w:val="135B8110"/>
    <w:multiLevelType w:val="hybridMultilevel"/>
    <w:lvl w:ilvl="0">
      <w:lvlJc w:val="left"/>
      <w:lvlText w:val="•"/>
      <w:numFmt w:val="bullet"/>
      <w:start w:val="1"/>
    </w:lvl>
  </w:abstractNum>
  <w:abstractNum w:abstractNumId="41">
    <w:nsid w:val="94927A8"/>
    <w:multiLevelType w:val="hybridMultilevel"/>
    <w:lvl w:ilvl="0">
      <w:lvlJc w:val="left"/>
      <w:lvlText w:val="(%1)"/>
      <w:numFmt w:val="lowerLetter"/>
      <w:start w:val="1"/>
    </w:lvl>
  </w:abstractNum>
  <w:abstractNum w:abstractNumId="42">
    <w:nsid w:val="DCDF8F6"/>
    <w:multiLevelType w:val="hybridMultilevel"/>
    <w:lvl w:ilvl="0">
      <w:lvlJc w:val="left"/>
      <w:lvlText w:val="(%1)"/>
      <w:numFmt w:val="lowerLetter"/>
      <w:start w:val="1"/>
    </w:lvl>
  </w:abstractNum>
  <w:abstractNum w:abstractNumId="43">
    <w:nsid w:val="52D7B105"/>
    <w:multiLevelType w:val="hybridMultilevel"/>
    <w:lvl w:ilvl="0">
      <w:lvlJc w:val="left"/>
      <w:lvlText w:val="•"/>
      <w:numFmt w:val="bullet"/>
      <w:start w:val="1"/>
    </w:lvl>
  </w:abstractNum>
  <w:abstractNum w:abstractNumId="44">
    <w:nsid w:val="2E8A6394"/>
    <w:multiLevelType w:val="hybridMultilevel"/>
    <w:lvl w:ilvl="0">
      <w:lvlJc w:val="left"/>
      <w:lvlText w:val="•"/>
      <w:numFmt w:val="bullet"/>
      <w:start w:val="1"/>
    </w:lvl>
  </w:abstractNum>
  <w:abstractNum w:abstractNumId="45">
    <w:nsid w:val="24E60401"/>
    <w:multiLevelType w:val="hybridMultilevel"/>
    <w:lvl w:ilvl="0">
      <w:lvlJc w:val="left"/>
      <w:lvlText w:val="•"/>
      <w:numFmt w:val="bullet"/>
      <w:start w:val="1"/>
    </w:lvl>
  </w:abstractNum>
  <w:abstractNum w:abstractNumId="46">
    <w:nsid w:val="2A6AD9BE"/>
    <w:multiLevelType w:val="hybridMultilevel"/>
    <w:lvl w:ilvl="0">
      <w:lvlJc w:val="left"/>
      <w:lvlText w:val="(%1)"/>
      <w:numFmt w:val="decimal"/>
      <w:start w:val="1"/>
    </w:lvl>
  </w:abstractNum>
  <w:abstractNum w:abstractNumId="47">
    <w:nsid w:val="BAAC1B4"/>
    <w:multiLevelType w:val="hybridMultilevel"/>
    <w:lvl w:ilvl="0">
      <w:lvlJc w:val="left"/>
      <w:lvlText w:val="•"/>
      <w:numFmt w:val="bullet"/>
      <w:start w:val="1"/>
    </w:lvl>
  </w:abstractNum>
  <w:abstractNum w:abstractNumId="48">
    <w:nsid w:val="36B2ACBC"/>
    <w:multiLevelType w:val="hybridMultilevel"/>
    <w:lvl w:ilvl="0">
      <w:lvlJc w:val="left"/>
      <w:lvlText w:val="•"/>
      <w:numFmt w:val="bullet"/>
      <w:start w:val="1"/>
    </w:lvl>
  </w:abstractNum>
  <w:abstractNum w:abstractNumId="49">
    <w:nsid w:val="779D8544"/>
    <w:multiLevelType w:val="hybridMultilevel"/>
    <w:lvl w:ilvl="0">
      <w:lvlJc w:val="left"/>
      <w:lvlText w:val="(%1)"/>
      <w:numFmt w:val="decimal"/>
      <w:start w:val="2"/>
    </w:lvl>
  </w:abstractNum>
  <w:abstractNum w:abstractNumId="50">
    <w:nsid w:val="4AB26E78"/>
    <w:multiLevelType w:val="hybridMultilevel"/>
    <w:lvl w:ilvl="0">
      <w:lvlJc w:val="left"/>
      <w:lvlText w:val="(%1)"/>
      <w:numFmt w:val="decimal"/>
      <w:start w:val="2"/>
    </w:lvl>
  </w:abstractNum>
  <w:abstractNum w:abstractNumId="51">
    <w:nsid w:val="21FAA2FA"/>
    <w:multiLevelType w:val="hybridMultilevel"/>
    <w:lvl w:ilvl="0">
      <w:lvlJc w:val="left"/>
      <w:lvlText w:val="•"/>
      <w:numFmt w:val="bullet"/>
      <w:start w:val="1"/>
    </w:lvl>
  </w:abstractNum>
  <w:abstractNum w:abstractNumId="52">
    <w:nsid w:val="5451CF49"/>
    <w:multiLevelType w:val="hybridMultilevel"/>
    <w:lvl w:ilvl="0">
      <w:lvlJc w:val="left"/>
      <w:lvlText w:val="(%1)"/>
      <w:numFmt w:val="lowerLetter"/>
      <w:start w:val="1"/>
    </w:lvl>
  </w:abstractNum>
  <w:abstractNum w:abstractNumId="53">
    <w:nsid w:val="6181EF69"/>
    <w:multiLevelType w:val="hybridMultilevel"/>
    <w:lvl w:ilvl="0">
      <w:lvlJc w:val="left"/>
      <w:lvlText w:val="•"/>
      <w:numFmt w:val="bullet"/>
      <w:start w:val="1"/>
    </w:lvl>
  </w:abstractNum>
  <w:abstractNum w:abstractNumId="54">
    <w:nsid w:val="3E6400E6"/>
    <w:multiLevelType w:val="hybridMultilevel"/>
    <w:lvl w:ilvl="0">
      <w:lvlJc w:val="left"/>
      <w:lvlText w:val="•"/>
      <w:numFmt w:val="bullet"/>
      <w:start w:val="1"/>
    </w:lvl>
  </w:abstractNum>
  <w:abstractNum w:abstractNumId="55">
    <w:nsid w:val="14217E23"/>
    <w:multiLevelType w:val="hybridMultilevel"/>
    <w:lvl w:ilvl="0">
      <w:lvlJc w:val="left"/>
      <w:lvlText w:val="•"/>
      <w:numFmt w:val="bullet"/>
      <w:start w:val="1"/>
    </w:lvl>
  </w:abstractNum>
  <w:abstractNum w:abstractNumId="56">
    <w:nsid w:val="710757D0"/>
    <w:multiLevelType w:val="hybridMultilevel"/>
    <w:lvl w:ilvl="0">
      <w:lvlJc w:val="left"/>
      <w:lvlText w:val="•"/>
      <w:numFmt w:val="bullet"/>
      <w:start w:val="1"/>
    </w:lvl>
  </w:abstractNum>
  <w:abstractNum w:abstractNumId="57">
    <w:nsid w:val="5015CD1A"/>
    <w:multiLevelType w:val="hybridMultilevel"/>
    <w:lvl w:ilvl="0">
      <w:lvlJc w:val="left"/>
      <w:lvlText w:val="•"/>
      <w:numFmt w:val="bullet"/>
      <w:start w:val="1"/>
    </w:lvl>
  </w:abstractNum>
  <w:abstractNum w:abstractNumId="58">
    <w:nsid w:val="424479DA"/>
    <w:multiLevelType w:val="hybridMultilevel"/>
    <w:lvl w:ilvl="0">
      <w:lvlJc w:val="left"/>
      <w:lvlText w:val="•"/>
      <w:numFmt w:val="bullet"/>
      <w:start w:val="1"/>
    </w:lvl>
  </w:abstractNum>
  <w:abstractNum w:abstractNumId="59">
    <w:nsid w:val="1A9A9E69"/>
    <w:multiLevelType w:val="hybridMultilevel"/>
    <w:lvl w:ilvl="0">
      <w:lvlJc w:val="left"/>
      <w:lvlText w:val="•"/>
      <w:numFmt w:val="bullet"/>
      <w:start w:val="1"/>
    </w:lvl>
  </w:abstractNum>
  <w:abstractNum w:abstractNumId="60">
    <w:nsid w:val="475E256A"/>
    <w:multiLevelType w:val="hybridMultilevel"/>
    <w:lvl w:ilvl="0">
      <w:lvlJc w:val="left"/>
      <w:lvlText w:val="•"/>
      <w:numFmt w:val="bullet"/>
      <w:start w:val="1"/>
    </w:lvl>
  </w:abstractNum>
  <w:abstractNum w:abstractNumId="61">
    <w:nsid w:val="368DB37E"/>
    <w:multiLevelType w:val="hybridMultilevel"/>
    <w:lvl w:ilvl="0">
      <w:lvlJc w:val="left"/>
      <w:lvlText w:val="(%1)"/>
      <w:numFmt w:val="decimal"/>
      <w:start w:val="1"/>
    </w:lvl>
  </w:abstractNum>
  <w:abstractNum w:abstractNumId="62">
    <w:nsid w:val="6A3B714C"/>
    <w:multiLevelType w:val="hybridMultilevel"/>
    <w:lvl w:ilvl="0">
      <w:lvlJc w:val="left"/>
      <w:lvlText w:val="(%1)"/>
      <w:numFmt w:val="upperLetter"/>
      <w:start w:val="1"/>
    </w:lvl>
  </w:abstractNum>
  <w:abstractNum w:abstractNumId="63">
    <w:nsid w:val="327B517E"/>
    <w:multiLevelType w:val="hybridMultilevel"/>
    <w:lvl w:ilvl="0">
      <w:lvlJc w:val="left"/>
      <w:lvlText w:val="•"/>
      <w:numFmt w:val="bullet"/>
      <w:start w:val="1"/>
    </w:lvl>
  </w:abstractNum>
  <w:abstractNum w:abstractNumId="64">
    <w:nsid w:val="1F461B51"/>
    <w:multiLevelType w:val="hybridMultilevel"/>
    <w:lvl w:ilvl="0">
      <w:lvlJc w:val="left"/>
      <w:lvlText w:val="•"/>
      <w:numFmt w:val="bullet"/>
      <w:start w:val="1"/>
    </w:lvl>
  </w:abstractNum>
  <w:abstractNum w:abstractNumId="65">
    <w:nsid w:val="29BACF25"/>
    <w:multiLevelType w:val="hybridMultilevel"/>
    <w:lvl w:ilvl="0">
      <w:lvlJc w:val="left"/>
      <w:lvlText w:val="(%1)"/>
      <w:numFmt w:val="decimal"/>
      <w:start w:val="9"/>
    </w:lvl>
  </w:abstractNum>
  <w:abstractNum w:abstractNumId="66">
    <w:nsid w:val="5D5BABB3"/>
    <w:multiLevelType w:val="hybridMultilevel"/>
    <w:lvl w:ilvl="0">
      <w:lvlJc w:val="left"/>
      <w:lvlText w:val="•"/>
      <w:numFmt w:val="bullet"/>
      <w:start w:val="1"/>
    </w:lvl>
  </w:abstractNum>
  <w:abstractNum w:abstractNumId="67">
    <w:nsid w:val="51BF6B48"/>
    <w:multiLevelType w:val="hybridMultilevel"/>
    <w:lvl w:ilvl="0">
      <w:lvlJc w:val="left"/>
      <w:lvlText w:val="(%1)"/>
      <w:numFmt w:val="decimal"/>
      <w:start w:val="1"/>
    </w:lvl>
  </w:abstractNum>
  <w:abstractNum w:abstractNumId="68">
    <w:nsid w:val="7E0F6384"/>
    <w:multiLevelType w:val="hybridMultilevel"/>
    <w:lvl w:ilvl="0">
      <w:lvlJc w:val="left"/>
      <w:lvlText w:val="•"/>
      <w:numFmt w:val="bullet"/>
      <w:start w:val="1"/>
    </w:lvl>
  </w:abstractNum>
  <w:abstractNum w:abstractNumId="69">
    <w:nsid w:val="2B4B8B53"/>
    <w:multiLevelType w:val="hybridMultilevel"/>
    <w:lvl w:ilvl="0">
      <w:lvlJc w:val="left"/>
      <w:lvlText w:val="•"/>
      <w:numFmt w:val="bullet"/>
      <w:start w:val="1"/>
    </w:lvl>
  </w:abstractNum>
  <w:abstractNum w:abstractNumId="70">
    <w:nsid w:val="72E3413A"/>
    <w:multiLevelType w:val="hybridMultilevel"/>
    <w:lvl w:ilvl="0">
      <w:lvlJc w:val="left"/>
      <w:lvlText w:val="•"/>
      <w:numFmt w:val="bullet"/>
      <w:start w:val="1"/>
    </w:lvl>
  </w:abstractNum>
  <w:abstractNum w:abstractNumId="71">
    <w:nsid w:val="116AE494"/>
    <w:multiLevelType w:val="hybridMultilevel"/>
    <w:lvl w:ilvl="0">
      <w:lvlJc w:val="left"/>
      <w:lvlText w:val="(%1)"/>
      <w:numFmt w:val="lowerRoman"/>
      <w:start w:val="3"/>
    </w:lvl>
  </w:abstractNum>
  <w:abstractNum w:abstractNumId="72">
    <w:nsid w:val="3494B2FB"/>
    <w:multiLevelType w:val="hybridMultilevel"/>
    <w:lvl w:ilvl="0">
      <w:lvlJc w:val="left"/>
      <w:lvlText w:val="•"/>
      <w:numFmt w:val="bullet"/>
      <w:start w:val="1"/>
    </w:lvl>
  </w:abstractNum>
  <w:abstractNum w:abstractNumId="73">
    <w:nsid w:val="B13A31"/>
    <w:multiLevelType w:val="hybridMultilevel"/>
    <w:lvl w:ilvl="0">
      <w:lvlJc w:val="left"/>
      <w:lvlText w:val="•"/>
      <w:numFmt w:val="bullet"/>
      <w:start w:val="1"/>
    </w:lvl>
  </w:abstractNum>
  <w:abstractNum w:abstractNumId="74">
    <w:nsid w:val="64429599"/>
    <w:multiLevelType w:val="hybridMultilevel"/>
    <w:lvl w:ilvl="0">
      <w:lvlJc w:val="left"/>
      <w:lvlText w:val="•"/>
      <w:numFmt w:val="bullet"/>
      <w:start w:val="1"/>
    </w:lvl>
  </w:abstractNum>
  <w:abstractNum w:abstractNumId="75">
    <w:nsid w:val="631F1690"/>
    <w:multiLevelType w:val="hybridMultilevel"/>
    <w:lvl w:ilvl="0">
      <w:lvlJc w:val="left"/>
      <w:lvlText w:val="(%1)"/>
      <w:numFmt w:val="decimal"/>
      <w:start w:val="2"/>
    </w:lvl>
  </w:abstractNum>
  <w:abstractNum w:abstractNumId="76">
    <w:nsid w:val="25973E32"/>
    <w:multiLevelType w:val="hybridMultilevel"/>
    <w:lvl w:ilvl="0">
      <w:lvlJc w:val="left"/>
      <w:lvlText w:val="•"/>
      <w:numFmt w:val="bullet"/>
      <w:start w:val="1"/>
    </w:lvl>
  </w:abstractNum>
  <w:abstractNum w:abstractNumId="77">
    <w:nsid w:val="EAD6F57"/>
    <w:multiLevelType w:val="hybridMultilevel"/>
    <w:lvl w:ilvl="0">
      <w:lvlJc w:val="left"/>
      <w:lvlText w:val="(%1)"/>
      <w:numFmt w:val="decimal"/>
      <w:start w:val="1"/>
    </w:lvl>
  </w:abstractNum>
  <w:abstractNum w:abstractNumId="78">
    <w:nsid w:val="6EC9D844"/>
    <w:multiLevelType w:val="hybridMultilevel"/>
    <w:lvl w:ilvl="0">
      <w:lvlJc w:val="left"/>
      <w:lvlText w:val="•"/>
      <w:numFmt w:val="bullet"/>
      <w:start w:val="1"/>
    </w:lvl>
  </w:abstractNum>
  <w:abstractNum w:abstractNumId="79">
    <w:nsid w:val="5C49EAEE"/>
    <w:multiLevelType w:val="hybridMultilevel"/>
    <w:lvl w:ilvl="0">
      <w:lvlJc w:val="left"/>
      <w:lvlText w:val="•"/>
      <w:numFmt w:val="bullet"/>
      <w:start w:val="1"/>
    </w:lvl>
  </w:abstractNum>
  <w:abstractNum w:abstractNumId="80">
    <w:nsid w:val="64AF49B"/>
    <w:multiLevelType w:val="hybridMultilevel"/>
    <w:lvl w:ilvl="0">
      <w:lvlJc w:val="left"/>
      <w:lvlText w:val="•"/>
      <w:numFmt w:val="bullet"/>
      <w:start w:val="1"/>
    </w:lvl>
  </w:abstractNum>
  <w:abstractNum w:abstractNumId="81">
    <w:nsid w:val="397C46BC"/>
    <w:multiLevelType w:val="hybridMultilevel"/>
    <w:lvl w:ilvl="0">
      <w:lvlJc w:val="left"/>
      <w:lvlText w:val="(%1)"/>
      <w:numFmt w:val="lowerRoman"/>
      <w:start w:val="1"/>
    </w:lvl>
  </w:abstractNum>
  <w:abstractNum w:abstractNumId="82">
    <w:nsid w:val="7E448DE9"/>
    <w:multiLevelType w:val="hybridMultilevel"/>
    <w:lvl w:ilvl="0">
      <w:lvlJc w:val="left"/>
      <w:lvlText w:val="•"/>
      <w:numFmt w:val="bullet"/>
      <w:start w:val="1"/>
    </w:lvl>
  </w:abstractNum>
  <w:abstractNum w:abstractNumId="83">
    <w:nsid w:val="5A9CC3E5"/>
    <w:multiLevelType w:val="hybridMultilevel"/>
    <w:lvl w:ilvl="0">
      <w:lvlJc w:val="left"/>
      <w:lvlText w:val="•"/>
      <w:numFmt w:val="bullet"/>
      <w:start w:val="1"/>
    </w:lvl>
  </w:abstractNum>
  <w:abstractNum w:abstractNumId="84">
    <w:nsid w:val="1AFE3625"/>
    <w:multiLevelType w:val="hybridMultilevel"/>
    <w:lvl w:ilvl="0">
      <w:lvlJc w:val="left"/>
      <w:lvlText w:val="(%1)"/>
      <w:numFmt w:val="decimal"/>
      <w:start w:val="1"/>
    </w:lvl>
  </w:abstractNum>
  <w:abstractNum w:abstractNumId="85">
    <w:nsid w:val="3CA88ECF"/>
    <w:multiLevelType w:val="hybridMultilevel"/>
    <w:lvl w:ilvl="0">
      <w:lvlJc w:val="left"/>
      <w:lvlText w:val="(%1)"/>
      <w:numFmt w:val="decimal"/>
      <w:start w:val="1"/>
    </w:lvl>
  </w:abstractNum>
  <w:abstractNum w:abstractNumId="86">
    <w:nsid w:val="6EBE4208"/>
    <w:multiLevelType w:val="hybridMultilevel"/>
    <w:lvl w:ilvl="0">
      <w:lvlJc w:val="left"/>
      <w:lvlText w:val="(%1)"/>
      <w:numFmt w:val="decimal"/>
      <w:start w:val="1"/>
    </w:lvl>
  </w:abstractNum>
  <w:abstractNum w:abstractNumId="87">
    <w:nsid w:val="C058DF5"/>
    <w:multiLevelType w:val="hybridMultilevel"/>
    <w:lvl w:ilvl="0">
      <w:lvlJc w:val="left"/>
      <w:lvlText w:val="•"/>
      <w:numFmt w:val="bullet"/>
      <w:start w:val="1"/>
    </w:lvl>
  </w:abstractNum>
  <w:abstractNum w:abstractNumId="88">
    <w:nsid w:val="CBE5BE9"/>
    <w:multiLevelType w:val="hybridMultilevel"/>
    <w:lvl w:ilvl="0">
      <w:lvlJc w:val="left"/>
      <w:lvlText w:val="(%1)"/>
      <w:numFmt w:val="decimal"/>
      <w:start w:val="1"/>
    </w:lvl>
  </w:abstractNum>
  <w:abstractNum w:abstractNumId="89">
    <w:nsid w:val="3102BBE2"/>
    <w:multiLevelType w:val="hybridMultilevel"/>
    <w:lvl w:ilvl="0">
      <w:lvlJc w:val="left"/>
      <w:lvlText w:val="(%1)"/>
      <w:numFmt w:val="lowerLetter"/>
      <w:start w:val="1"/>
    </w:lvl>
  </w:abstractNum>
  <w:abstractNum w:abstractNumId="90">
    <w:nsid w:val="26A02C5E"/>
    <w:multiLevelType w:val="hybridMultilevel"/>
    <w:lvl w:ilvl="0">
      <w:lvlJc w:val="left"/>
      <w:lvlText w:val="(%1)"/>
      <w:numFmt w:val="lowerLetter"/>
      <w:start w:val="3"/>
    </w:lvl>
  </w:abstractNum>
  <w:abstractNum w:abstractNumId="91">
    <w:nsid w:val="541C8153"/>
    <w:multiLevelType w:val="hybridMultilevel"/>
    <w:lvl w:ilvl="0">
      <w:lvlJc w:val="left"/>
      <w:lvlText w:val="(%1)"/>
      <w:numFmt w:val="lowerLetter"/>
      <w:start w:val="9"/>
    </w:lvl>
  </w:abstractNum>
  <w:abstractNum w:abstractNumId="92">
    <w:nsid w:val="67906F60"/>
    <w:multiLevelType w:val="hybridMultilevel"/>
    <w:lvl w:ilvl="0">
      <w:lvlJc w:val="left"/>
      <w:lvlText w:val="%1"/>
      <w:numFmt w:val="decimal"/>
      <w:start w:val="24"/>
    </w:lvl>
  </w:abstractNum>
  <w:abstractNum w:abstractNumId="93">
    <w:nsid w:val="10DB9DAA"/>
    <w:multiLevelType w:val="hybridMultilevel"/>
    <w:lvl w:ilvl="0">
      <w:lvlJc w:val="left"/>
      <w:lvlText w:val="%1."/>
      <w:numFmt w:val="decimal"/>
      <w:start w:val="99"/>
    </w:lvl>
  </w:abstractNum>
  <w:abstractNum w:abstractNumId="94">
    <w:nsid w:val="697D2D2"/>
    <w:multiLevelType w:val="hybridMultilevel"/>
    <w:lvl w:ilvl="0">
      <w:lvlJc w:val="left"/>
      <w:lvlText w:val="*"/>
      <w:numFmt w:val="bullet"/>
      <w:start w:val="1"/>
    </w:lvl>
    <w:lvl w:ilvl="1">
      <w:lvlJc w:val="left"/>
      <w:lvlText w:val="(%2)"/>
      <w:numFmt w:val="lowerLetter"/>
      <w:start w:val="2"/>
    </w:lvl>
  </w:abstractNum>
  <w:abstractNum w:abstractNumId="95">
    <w:nsid w:val="6D68A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6">
    <w:nsid w:val="3A966CD0"/>
    <w:multiLevelType w:val="hybridMultilevel"/>
    <w:lvl w:ilvl="0">
      <w:lvlJc w:val="left"/>
      <w:lvlText w:val="1"/>
      <w:numFmt w:val="bullet"/>
      <w:start w:val="1"/>
    </w:lvl>
  </w:abstractNum>
  <w:abstractNum w:abstractNumId="97">
    <w:nsid w:val="63F37E8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8">
    <w:nsid w:val="5895F5FA"/>
    <w:multiLevelType w:val="hybridMultilevel"/>
    <w:lvl w:ilvl="0">
      <w:lvlJc w:val="left"/>
      <w:lvlText w:val="(%1)"/>
      <w:numFmt w:val="decimal"/>
      <w:start w:val="3"/>
    </w:lvl>
  </w:abstractNum>
  <w:abstractNum w:abstractNumId="99">
    <w:nsid w:val="38A5D054"/>
    <w:multiLevelType w:val="hybridMultilevel"/>
    <w:lvl w:ilvl="0">
      <w:lvlJc w:val="left"/>
      <w:lvlText w:val="(%1)"/>
      <w:numFmt w:val="decimal"/>
      <w:start w:val="9"/>
    </w:lvl>
    <w:lvl w:ilvl="1">
      <w:lvlJc w:val="left"/>
      <w:lvlText w:val="(%2)"/>
      <w:numFmt w:val="lowerRoman"/>
      <w:start w:val="1"/>
    </w:lvl>
  </w:abstractNum>
  <w:abstractNum w:abstractNumId="100">
    <w:nsid w:val="F3F09D8"/>
    <w:multiLevelType w:val="hybridMultilevel"/>
    <w:lvl w:ilvl="0">
      <w:lvlJc w:val="left"/>
      <w:lvlText w:val="(%1)"/>
      <w:numFmt w:val="decimal"/>
      <w:start w:val="13"/>
    </w:lvl>
    <w:lvl w:ilvl="1">
      <w:lvlJc w:val="left"/>
      <w:lvlText w:val="(%2)"/>
      <w:numFmt w:val="lowerRoman"/>
      <w:start w:val="1"/>
    </w:lvl>
  </w:abstractNum>
  <w:abstractNum w:abstractNumId="101">
    <w:nsid w:val="4B793735"/>
    <w:multiLevelType w:val="hybridMultilevel"/>
    <w:lvl w:ilvl="0">
      <w:lvlJc w:val="left"/>
      <w:lvlText w:val="(%1)"/>
      <w:numFmt w:val="decimal"/>
      <w:start w:val="15"/>
    </w:lvl>
  </w:abstractNum>
  <w:abstractNum w:abstractNumId="102">
    <w:nsid w:val="4A10B4E8"/>
    <w:multiLevelType w:val="hybridMultilevel"/>
    <w:lvl w:ilvl="0">
      <w:lvlJc w:val="left"/>
      <w:lvlText w:val="(%1)"/>
      <w:numFmt w:val="decimal"/>
      <w:start w:val="23"/>
    </w:lvl>
    <w:lvl w:ilvl="1">
      <w:lvlJc w:val="left"/>
      <w:lvlText w:val="(%2)"/>
      <w:numFmt w:val="lowerRoman"/>
      <w:start w:val="1"/>
    </w:lvl>
  </w:abstractNum>
  <w:abstractNum w:abstractNumId="103">
    <w:nsid w:val="43D3BCD4"/>
    <w:multiLevelType w:val="hybridMultilevel"/>
    <w:lvl w:ilvl="0">
      <w:lvlJc w:val="left"/>
      <w:lvlText w:val="%1"/>
      <w:numFmt w:val="decimal"/>
      <w:start w:val="1"/>
    </w:lvl>
    <w:lvl w:ilvl="1">
      <w:lvlJc w:val="left"/>
      <w:lvlText w:val="(%2)"/>
      <w:numFmt w:val="lowerRoman"/>
      <w:start w:val="3"/>
    </w:lvl>
  </w:abstractNum>
  <w:abstractNum w:abstractNumId="104">
    <w:nsid w:val="4C2A7166"/>
    <w:multiLevelType w:val="hybridMultilevel"/>
    <w:lvl w:ilvl="0">
      <w:lvlJc w:val="left"/>
      <w:lvlText w:val="(%1)"/>
      <w:numFmt w:val="decimal"/>
      <w:start w:val="32"/>
    </w:lvl>
    <w:lvl w:ilvl="1">
      <w:lvlJc w:val="left"/>
      <w:lvlText w:val="(%2)"/>
      <w:numFmt w:val="lowerRoman"/>
      <w:start w:val="1"/>
    </w:lvl>
  </w:abstractNum>
  <w:abstractNum w:abstractNumId="105">
    <w:nsid w:val="2E534A8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106">
    <w:nsid w:val="26F2D364"/>
    <w:multiLevelType w:val="hybridMultilevel"/>
    <w:lvl w:ilvl="0">
      <w:lvlJc w:val="left"/>
      <w:lvlText w:val="(%1)"/>
      <w:numFmt w:val="lowerRoman"/>
      <w:start w:val="2"/>
    </w:lvl>
    <w:lvl w:ilvl="1">
      <w:lvlJc w:val="left"/>
      <w:lvlText w:val="(%2)"/>
      <w:numFmt w:val="decimal"/>
      <w:start w:val="34"/>
    </w:lvl>
    <w:lvl w:ilvl="2">
      <w:lvlJc w:val="left"/>
      <w:lvlText w:val="(%3)"/>
      <w:numFmt w:val="lowerRoman"/>
      <w:start w:val="3"/>
    </w:lvl>
  </w:abstractNum>
  <w:abstractNum w:abstractNumId="107">
    <w:nsid w:val="71C1AF98"/>
    <w:multiLevelType w:val="hybridMultilevel"/>
    <w:lvl w:ilvl="0">
      <w:lvlJc w:val="left"/>
      <w:lvlText w:val="(%1)"/>
      <w:numFmt w:val="decimal"/>
      <w:start w:val="36"/>
    </w:lvl>
  </w:abstractNum>
  <w:abstractNum w:abstractNumId="108">
    <w:nsid w:val="3D00B9D9"/>
    <w:multiLevelType w:val="hybridMultilevel"/>
    <w:lvl w:ilvl="0">
      <w:lvlJc w:val="left"/>
      <w:lvlText w:val="%1."/>
      <w:numFmt w:val="decimal"/>
      <w:start w:val="2"/>
    </w:lvl>
    <w:lvl w:ilvl="1">
      <w:lvlJc w:val="left"/>
      <w:lvlText w:val="(%2)"/>
      <w:numFmt w:val="lowerLetter"/>
      <w:start w:val="1"/>
    </w:lvl>
  </w:abstractNum>
  <w:abstractNum w:abstractNumId="109">
    <w:nsid w:val="15BCABA8"/>
    <w:multiLevelType w:val="hybridMultilevel"/>
    <w:lvl w:ilvl="0">
      <w:lvlJc w:val="left"/>
      <w:lvlText w:val="%1"/>
      <w:numFmt w:val="decimal"/>
      <w:start w:val="1"/>
    </w:lvl>
    <w:lvl w:ilvl="1">
      <w:lvlJc w:val="left"/>
      <w:lvlText w:val="(%2)"/>
      <w:numFmt w:val="lowerLetter"/>
      <w:start w:val="2"/>
    </w:lvl>
  </w:abstractNum>
  <w:abstractNum w:abstractNumId="110">
    <w:nsid w:val="4E0B9A87"/>
    <w:multiLevelType w:val="hybridMultilevel"/>
    <w:lvl w:ilvl="0">
      <w:lvlJc w:val="left"/>
      <w:lvlText w:val="%1."/>
      <w:numFmt w:val="decimal"/>
      <w:start w:val="3"/>
    </w:lvl>
    <w:lvl w:ilvl="1">
      <w:lvlJc w:val="left"/>
      <w:lvlText w:val="(%2)"/>
      <w:numFmt w:val="lowerLetter"/>
      <w:start w:val="1"/>
    </w:lvl>
  </w:abstractNum>
  <w:abstractNum w:abstractNumId="111">
    <w:nsid w:val="434BAE75"/>
    <w:multiLevelType w:val="hybridMultilevel"/>
    <w:lvl w:ilvl="0">
      <w:lvlJc w:val="left"/>
      <w:lvlText w:val="%1"/>
      <w:numFmt w:val="decimal"/>
      <w:start w:val="1"/>
    </w:lvl>
    <w:lvl w:ilvl="1">
      <w:lvlJc w:val="left"/>
      <w:lvlText w:val="(%2)"/>
      <w:numFmt w:val="lowerLetter"/>
      <w:start w:val="4"/>
    </w:lvl>
  </w:abstractNum>
  <w:abstractNum w:abstractNumId="112">
    <w:nsid w:val="4F38F265"/>
    <w:multiLevelType w:val="hybridMultilevel"/>
    <w:lvl w:ilvl="0">
      <w:lvlJc w:val="left"/>
      <w:lvlText w:val="%1."/>
      <w:numFmt w:val="decimal"/>
      <w:start w:val="4"/>
    </w:lvl>
    <w:lvl w:ilvl="1">
      <w:lvlJc w:val="left"/>
      <w:lvlText w:val="(%2)"/>
      <w:numFmt w:val="lowerLetter"/>
      <w:start w:val="1"/>
    </w:lvl>
  </w:abstractNum>
  <w:abstractNum w:abstractNumId="113">
    <w:nsid w:val="4C502870"/>
    <w:multiLevelType w:val="hybridMultilevel"/>
    <w:lvl w:ilvl="0">
      <w:lvlJc w:val="left"/>
      <w:lvlText w:val="%1"/>
      <w:numFmt w:val="decimal"/>
      <w:start w:val="1"/>
    </w:lvl>
    <w:lvl w:ilvl="1">
      <w:lvlJc w:val="left"/>
      <w:lvlText w:val="(%2)"/>
      <w:numFmt w:val="lowerLetter"/>
      <w:start w:val="6"/>
    </w:lvl>
  </w:abstractNum>
  <w:abstractNum w:abstractNumId="114">
    <w:nsid w:val="1DE8725A"/>
    <w:multiLevelType w:val="hybridMultilevel"/>
    <w:lvl w:ilvl="0">
      <w:lvlJc w:val="left"/>
      <w:lvlText w:val="(%1)"/>
      <w:numFmt w:val="decimal"/>
      <w:start w:val="2"/>
    </w:lvl>
    <w:lvl w:ilvl="1">
      <w:lvlJc w:val="left"/>
      <w:lvlText w:val="(%2)"/>
      <w:numFmt w:val="lowerLetter"/>
      <w:start w:val="8"/>
    </w:lvl>
  </w:abstractNum>
  <w:abstractNum w:abstractNumId="115">
    <w:nsid w:val="6A37288A"/>
    <w:multiLevelType w:val="hybridMultilevel"/>
    <w:lvl w:ilvl="0">
      <w:lvlJc w:val="left"/>
      <w:lvlText w:val="(%1)"/>
      <w:numFmt w:val="lowerLetter"/>
      <w:start w:val="12"/>
    </w:lvl>
    <w:lvl w:ilvl="1">
      <w:lvlJc w:val="left"/>
      <w:lvlText w:val="(%2)"/>
      <w:numFmt w:val="decimal"/>
      <w:start w:val="1"/>
    </w:lvl>
  </w:abstractNum>
  <w:abstractNum w:abstractNumId="116">
    <w:nsid w:val="8F8B73F"/>
    <w:multiLevelType w:val="hybridMultilevel"/>
    <w:lvl w:ilvl="0">
      <w:lvlJc w:val="left"/>
      <w:lvlText w:val="(%1)"/>
      <w:numFmt w:val="lowerLetter"/>
      <w:start w:val="19"/>
    </w:lvl>
  </w:abstractNum>
  <w:abstractNum w:abstractNumId="117">
    <w:nsid w:val="CA6B462"/>
    <w:multiLevelType w:val="hybridMultilevel"/>
    <w:lvl w:ilvl="0">
      <w:lvlJc w:val="left"/>
      <w:lvlText w:val="(%1)"/>
      <w:numFmt w:val="lowerLetter"/>
      <w:start w:val="27"/>
    </w:lvl>
    <w:lvl w:ilvl="1">
      <w:lvlJc w:val="left"/>
      <w:lvlText w:val="(%2)"/>
      <w:numFmt w:val="decimal"/>
      <w:start w:val="1"/>
    </w:lvl>
  </w:abstractNum>
  <w:abstractNum w:abstractNumId="118">
    <w:nsid w:val="763CB680"/>
    <w:multiLevelType w:val="hybridMultilevel"/>
    <w:lvl w:ilvl="0">
      <w:lvlJc w:val="left"/>
      <w:lvlText w:val="%1"/>
      <w:numFmt w:val="lowerRoman"/>
      <w:start w:val="1"/>
    </w:lvl>
    <w:lvl w:ilvl="1">
      <w:lvlJc w:val="left"/>
      <w:lvlText w:val="(%2)"/>
      <w:numFmt w:val="decimal"/>
      <w:start w:val="2"/>
    </w:lvl>
  </w:abstractNum>
  <w:abstractNum w:abstractNumId="119">
    <w:nsid w:val="15B71329"/>
    <w:multiLevelType w:val="hybridMultilevel"/>
    <w:lvl w:ilvl="0">
      <w:lvlJc w:val="left"/>
      <w:lvlText w:val="(%1)"/>
      <w:numFmt w:val="lowerRoman"/>
      <w:start w:val="10"/>
    </w:lvl>
    <w:lvl w:ilvl="1">
      <w:lvlJc w:val="left"/>
      <w:lvlText w:val="(%2)"/>
      <w:numFmt w:val="decimal"/>
      <w:start w:val="3"/>
    </w:lvl>
  </w:abstractNum>
  <w:abstractNum w:abstractNumId="120">
    <w:nsid w:val="3DA97044"/>
    <w:multiLevelType w:val="hybridMultilevel"/>
    <w:lvl w:ilvl="0">
      <w:lvlJc w:val="left"/>
      <w:lvlText w:val="%1"/>
      <w:numFmt w:val="decimal"/>
      <w:start w:val="1"/>
    </w:lvl>
    <w:lvl w:ilvl="1">
      <w:lvlJc w:val="left"/>
      <w:lvlText w:val="(%2)"/>
      <w:numFmt w:val="lowerLetter"/>
      <w:start w:val="28"/>
    </w:lvl>
  </w:abstractNum>
  <w:abstractNum w:abstractNumId="121">
    <w:nsid w:val="1CDCE2DE"/>
    <w:multiLevelType w:val="hybridMultilevel"/>
    <w:lvl w:ilvl="0">
      <w:lvlJc w:val="left"/>
      <w:lvlText w:val="%1."/>
      <w:numFmt w:val="decimal"/>
      <w:start w:val="6"/>
    </w:lvl>
    <w:lvl w:ilvl="1">
      <w:lvlJc w:val="left"/>
      <w:lvlText w:val="(%2)"/>
      <w:numFmt w:val="lowerLetter"/>
      <w:start w:val="1"/>
    </w:lvl>
  </w:abstractNum>
  <w:abstractNum w:abstractNumId="122">
    <w:nsid w:val="69D3947C"/>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23">
    <w:nsid w:val="2539DFA5"/>
    <w:multiLevelType w:val="hybridMultilevel"/>
    <w:lvl w:ilvl="0">
      <w:lvlJc w:val="left"/>
      <w:lvlText w:val="(%1)"/>
      <w:numFmt w:val="lowerLetter"/>
      <w:start w:val="7"/>
    </w:lvl>
  </w:abstractNum>
  <w:abstractNum w:abstractNumId="124">
    <w:nsid w:val="2DB88089"/>
    <w:multiLevelType w:val="hybridMultilevel"/>
    <w:lvl w:ilvl="0">
      <w:lvlJc w:val="left"/>
      <w:lvlText w:val="(%1)"/>
      <w:numFmt w:val="lowerLetter"/>
      <w:start w:val="8"/>
    </w:lvl>
  </w:abstractNum>
  <w:abstractNum w:abstractNumId="125">
    <w:nsid w:val="706B674E"/>
    <w:multiLevelType w:val="hybridMultilevel"/>
    <w:lvl w:ilvl="0">
      <w:lvlJc w:val="left"/>
      <w:lvlText w:val="%1."/>
      <w:numFmt w:val="decimal"/>
      <w:start w:val="7"/>
    </w:lvl>
    <w:lvl w:ilvl="1">
      <w:lvlJc w:val="left"/>
      <w:lvlText w:val="(%2)"/>
      <w:numFmt w:val="lowerLetter"/>
      <w:start w:val="1"/>
    </w:lvl>
  </w:abstractNum>
  <w:abstractNum w:abstractNumId="126">
    <w:nsid w:val="2C106A57"/>
    <w:multiLevelType w:val="hybridMultilevel"/>
    <w:lvl w:ilvl="0">
      <w:lvlJc w:val="left"/>
      <w:lvlText w:val="(%1)"/>
      <w:numFmt w:val="lowerLetter"/>
      <w:start w:val="2"/>
    </w:lvl>
  </w:abstractNum>
  <w:abstractNum w:abstractNumId="127">
    <w:nsid w:val="684EED59"/>
    <w:multiLevelType w:val="hybridMultilevel"/>
    <w:lvl w:ilvl="0">
      <w:lvlJc w:val="left"/>
      <w:lvlText w:val="%1"/>
      <w:numFmt w:val="lowerLetter"/>
      <w:start w:val="1"/>
    </w:lvl>
    <w:lvl w:ilvl="1">
      <w:lvlJc w:val="left"/>
      <w:lvlText w:val="(%2)"/>
      <w:numFmt w:val="lowerLetter"/>
      <w:start w:val="3"/>
    </w:lvl>
  </w:abstractNum>
  <w:abstractNum w:abstractNumId="128">
    <w:nsid w:val="545EE5D3"/>
    <w:multiLevelType w:val="hybridMultilevel"/>
    <w:lvl w:ilvl="0">
      <w:lvlJc w:val="left"/>
      <w:lvlText w:val="(%1)"/>
      <w:numFmt w:val="lowerLetter"/>
      <w:start w:val="35"/>
    </w:lvl>
    <w:lvl w:ilvl="1">
      <w:lvlJc w:val="left"/>
      <w:lvlText w:val="%2"/>
      <w:numFmt w:val="lowerLetter"/>
      <w:start w:val="1"/>
    </w:lvl>
  </w:abstractNum>
  <w:abstractNum w:abstractNumId="129">
    <w:nsid w:val="4A66051"/>
    <w:multiLevelType w:val="hybridMultilevel"/>
    <w:lvl w:ilvl="0">
      <w:lvlJc w:val="left"/>
      <w:lvlText w:val="%1"/>
      <w:numFmt w:val="decimal"/>
      <w:start w:val="1"/>
    </w:lvl>
    <w:lvl w:ilvl="1">
      <w:lvlJc w:val="left"/>
      <w:lvlText w:val="(%2)"/>
      <w:numFmt w:val="lowerLetter"/>
      <w:start w:val="4"/>
    </w:lvl>
  </w:abstractNum>
  <w:abstractNum w:abstractNumId="130">
    <w:nsid w:val="20F4BDAD"/>
    <w:multiLevelType w:val="hybridMultilevel"/>
    <w:lvl w:ilvl="0">
      <w:lvlJc w:val="left"/>
      <w:lvlText w:val="%1."/>
      <w:numFmt w:val="decimal"/>
      <w:start w:val="9"/>
    </w:lvl>
    <w:lvl w:ilvl="1">
      <w:lvlJc w:val="left"/>
      <w:lvlText w:val="(%2)"/>
      <w:numFmt w:val="lowerLetter"/>
      <w:start w:val="1"/>
    </w:lvl>
  </w:abstractNum>
  <w:abstractNum w:abstractNumId="131">
    <w:nsid w:val="639DEF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32">
    <w:nsid w:val="501F9786"/>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133">
    <w:nsid w:val="6B057295"/>
    <w:multiLevelType w:val="hybridMultilevel"/>
    <w:lvl w:ilvl="0">
      <w:lvlJc w:val="left"/>
      <w:lvlText w:val="(%1)"/>
      <w:numFmt w:val="decimal"/>
      <w:start w:val="646"/>
    </w:lvl>
    <w:lvl w:ilvl="1">
      <w:lvlJc w:val="left"/>
      <w:lvlText w:val="%2."/>
      <w:numFmt w:val="decimal"/>
      <w:start w:val="14"/>
    </w:lvl>
    <w:lvl w:ilvl="2">
      <w:lvlJc w:val="left"/>
      <w:lvlText w:val="%3"/>
      <w:numFmt w:val="lowerLetter"/>
      <w:start w:val="1"/>
    </w:lvl>
  </w:abstractNum>
  <w:abstractNum w:abstractNumId="134">
    <w:nsid w:val="2771AC80"/>
    <w:multiLevelType w:val="hybridMultilevel"/>
    <w:lvl w:ilvl="0">
      <w:lvlJc w:val="left"/>
      <w:lvlText w:val="§"/>
      <w:numFmt w:val="bullet"/>
      <w:start w:val="1"/>
    </w:lvl>
  </w:abstractNum>
  <w:abstractNum w:abstractNumId="135">
    <w:nsid w:val="1C4A08EC"/>
    <w:multiLevelType w:val="hybridMultilevel"/>
    <w:lvl w:ilvl="0">
      <w:lvlJc w:val="left"/>
      <w:lvlText w:val="%1."/>
      <w:numFmt w:val="decimal"/>
      <w:start w:val="1"/>
    </w:lvl>
  </w:abstractNum>
  <w:abstractNum w:abstractNumId="136">
    <w:nsid w:val="1958BD17"/>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37">
    <w:nsid w:val="4E647FE4"/>
    <w:multiLevelType w:val="hybridMultilevel"/>
    <w:lvl w:ilvl="0">
      <w:lvlJc w:val="left"/>
      <w:lvlText w:val="•"/>
      <w:numFmt w:val="bullet"/>
      <w:start w:val="1"/>
    </w:lvl>
    <w:lvl w:ilvl="1">
      <w:lvlJc w:val="left"/>
      <w:lvlText w:val="(%2)"/>
      <w:numFmt w:val="upperLetter"/>
      <w:start w:val="2"/>
    </w:lvl>
    <w:lvl w:ilvl="2">
      <w:lvlJc w:val="left"/>
      <w:lvlText w:val="%3"/>
      <w:numFmt w:val="lowerLetter"/>
      <w:start w:val="1"/>
    </w:lvl>
    <w:lvl w:ilvl="3">
      <w:lvlJc w:val="left"/>
      <w:lvlText w:val="%4"/>
      <w:numFmt w:val="lowerRoman"/>
      <w:start w:val="1"/>
    </w:lvl>
  </w:abstractNum>
  <w:abstractNum w:abstractNumId="138">
    <w:nsid w:val="E0BB885"/>
    <w:multiLevelType w:val="hybridMultilevel"/>
    <w:lvl w:ilvl="0">
      <w:lvlJc w:val="left"/>
      <w:lvlText w:val="•"/>
      <w:numFmt w:val="bullet"/>
      <w:start w:val="1"/>
    </w:lvl>
  </w:abstractNum>
  <w:abstractNum w:abstractNumId="139">
    <w:nsid w:val="565976F1"/>
    <w:multiLevelType w:val="hybridMultilevel"/>
    <w:lvl w:ilvl="0">
      <w:lvlJc w:val="left"/>
      <w:lvlText w:val="(%1)"/>
      <w:numFmt w:val="lowerRoman"/>
      <w:start w:val="3"/>
    </w:lvl>
  </w:abstractNum>
  <w:abstractNum w:abstractNumId="140">
    <w:nsid w:val="64212B8C"/>
    <w:multiLevelType w:val="hybridMultilevel"/>
    <w:lvl w:ilvl="0">
      <w:lvlJc w:val="left"/>
      <w:lvlText w:val="(%1)"/>
      <w:numFmt w:val="lowerLetter"/>
      <w:start w:val="3"/>
    </w:lvl>
  </w:abstractNum>
  <w:abstractNum w:abstractNumId="141">
    <w:nsid w:val="5C17530C"/>
    <w:multiLevelType w:val="hybridMultilevel"/>
    <w:lvl w:ilvl="0">
      <w:lvlJc w:val="left"/>
      <w:lvlText w:val="%1."/>
      <w:numFmt w:val="decimal"/>
      <w:start w:val="1"/>
    </w:lvl>
  </w:abstractNum>
  <w:abstractNum w:abstractNumId="142">
    <w:nsid w:val="19A52566"/>
    <w:multiLevelType w:val="hybridMultilevel"/>
    <w:lvl w:ilvl="0">
      <w:lvlJc w:val="left"/>
      <w:lvlText w:val="(%1)"/>
      <w:numFmt w:val="lowerLetter"/>
      <w:start w:val="1"/>
    </w:lvl>
    <w:lvl w:ilvl="1">
      <w:lvlJc w:val="left"/>
      <w:lvlText w:val="(%2)"/>
      <w:numFmt w:val="lowerRoman"/>
      <w:start w:val="1"/>
    </w:lvl>
  </w:abstractNum>
  <w:abstractNum w:abstractNumId="143">
    <w:nsid w:val="335A1DF1"/>
    <w:multiLevelType w:val="hybridMultilevel"/>
    <w:lvl w:ilvl="0">
      <w:lvlJc w:val="left"/>
      <w:lvlText w:val="%1"/>
      <w:numFmt w:val="lowerLetter"/>
      <w:start w:val="1"/>
    </w:lvl>
    <w:lvl w:ilvl="1">
      <w:lvlJc w:val="left"/>
      <w:lvlText w:val="(%2)"/>
      <w:numFmt w:val="lowerLetter"/>
      <w:start w:val="61"/>
    </w:lvl>
  </w:abstractNum>
  <w:abstractNum w:abstractNumId="144">
    <w:nsid w:val="28677B7C"/>
    <w:multiLevelType w:val="hybridMultilevel"/>
    <w:lvl w:ilvl="0">
      <w:lvlJc w:val="left"/>
      <w:lvlText w:val="(%1)"/>
      <w:numFmt w:val="lowerLetter"/>
      <w:start w:val="2"/>
    </w:lvl>
    <w:lvl w:ilvl="1">
      <w:lvlJc w:val="left"/>
      <w:lvlText w:val="(%2)"/>
      <w:numFmt w:val="lowerLetter"/>
      <w:start w:val="9"/>
    </w:lvl>
  </w:abstractNum>
  <w:abstractNum w:abstractNumId="145">
    <w:nsid w:val="378D97C0"/>
    <w:multiLevelType w:val="hybridMultilevel"/>
    <w:lvl w:ilvl="0">
      <w:lvlJc w:val="left"/>
      <w:lvlText w:val="(%1)"/>
      <w:numFmt w:val="lowerRoman"/>
      <w:start w:val="2"/>
    </w:lvl>
  </w:abstractNum>
  <w:abstractNum w:abstractNumId="146">
    <w:nsid w:val="1D91467C"/>
    <w:multiLevelType w:val="hybridMultilevel"/>
    <w:lvl w:ilvl="0">
      <w:lvlJc w:val="left"/>
      <w:lvlText w:val="(%1)"/>
      <w:numFmt w:val="lowerRoman"/>
      <w:start w:val="3"/>
    </w:lvl>
  </w:abstractNum>
  <w:abstractNum w:abstractNumId="147">
    <w:nsid w:val="316032BB"/>
    <w:multiLevelType w:val="hybridMultilevel"/>
    <w:lvl w:ilvl="0">
      <w:lvlJc w:val="left"/>
      <w:lvlText w:val="(%1)"/>
      <w:numFmt w:val="lowerLetter"/>
      <w:start w:val="3"/>
    </w:lvl>
  </w:abstractNum>
  <w:abstractNum w:abstractNumId="148">
    <w:nsid w:val="44344C22"/>
    <w:multiLevelType w:val="hybridMultilevel"/>
    <w:lvl w:ilvl="0">
      <w:lvlJc w:val="left"/>
      <w:lvlText w:val="(%1)"/>
      <w:numFmt w:val="lowerLetter"/>
      <w:start w:val="1"/>
    </w:lvl>
  </w:abstractNum>
  <w:abstractNum w:abstractNumId="149">
    <w:nsid w:val="13CDFCFC"/>
    <w:multiLevelType w:val="hybridMultilevel"/>
    <w:lvl w:ilvl="0">
      <w:lvlJc w:val="left"/>
      <w:lvlText w:val="(%1)"/>
      <w:numFmt w:val="lowerLetter"/>
      <w:start w:val="1"/>
    </w:lvl>
  </w:abstractNum>
  <w:abstractNum w:abstractNumId="150">
    <w:nsid w:val="471745E4"/>
    <w:multiLevelType w:val="hybridMultilevel"/>
    <w:lvl w:ilvl="0">
      <w:lvlJc w:val="left"/>
      <w:lvlText w:val="(%1)"/>
      <w:numFmt w:val="lowerLetter"/>
      <w:start w:val="2"/>
    </w:lvl>
  </w:abstractNum>
  <w:abstractNum w:abstractNumId="151">
    <w:nsid w:val="1DDBC66"/>
    <w:multiLevelType w:val="hybridMultilevel"/>
    <w:lvl w:ilvl="0">
      <w:lvlJc w:val="left"/>
      <w:lvlText w:val="(%1)"/>
      <w:numFmt w:val="lowerLetter"/>
      <w:start w:val="5"/>
    </w:lvl>
  </w:abstractNum>
  <w:abstractNum w:abstractNumId="152">
    <w:nsid w:val="30AADFDA"/>
    <w:multiLevelType w:val="hybridMultilevel"/>
    <w:lvl w:ilvl="0">
      <w:lvlJc w:val="left"/>
      <w:lvlText w:val="(%1)"/>
      <w:numFmt w:val="lowerLetter"/>
      <w:start w:val="1"/>
    </w:lvl>
  </w:abstractNum>
  <w:abstractNum w:abstractNumId="153">
    <w:nsid w:val="30EADA61"/>
    <w:multiLevelType w:val="hybridMultilevel"/>
    <w:lvl w:ilvl="0">
      <w:lvlJc w:val="left"/>
      <w:lvlText w:val="(%1)"/>
      <w:numFmt w:val="lowerLetter"/>
      <w:start w:val="1"/>
    </w:lvl>
  </w:abstractNum>
  <w:abstractNum w:abstractNumId="154">
    <w:nsid w:val="27179C0B"/>
    <w:multiLevelType w:val="hybridMultilevel"/>
    <w:lvl w:ilvl="0">
      <w:lvlJc w:val="left"/>
      <w:lvlText w:val="(%1)"/>
      <w:numFmt w:val="lowerLetter"/>
      <w:start w:val="3"/>
    </w:lvl>
  </w:abstractNum>
  <w:abstractNum w:abstractNumId="155">
    <w:nsid w:val="5E636063"/>
    <w:multiLevelType w:val="hybridMultilevel"/>
    <w:lvl w:ilvl="0">
      <w:lvlJc w:val="left"/>
      <w:lvlText w:val="(%1)"/>
      <w:numFmt w:val="lowerLetter"/>
      <w:start w:val="5"/>
    </w:lvl>
  </w:abstractNum>
  <w:abstractNum w:abstractNumId="156">
    <w:nsid w:val="215641AF"/>
    <w:multiLevelType w:val="hybridMultilevel"/>
    <w:lvl w:ilvl="0">
      <w:lvlJc w:val="left"/>
      <w:lvlText w:val="(%1)"/>
      <w:numFmt w:val="lowerLetter"/>
      <w:start w:val="1"/>
    </w:lvl>
  </w:abstractNum>
  <w:abstractNum w:abstractNumId="157">
    <w:nsid w:val="53280662"/>
    <w:multiLevelType w:val="hybridMultilevel"/>
    <w:lvl w:ilvl="0">
      <w:lvlJc w:val="left"/>
      <w:lvlText w:val="(%1)"/>
      <w:numFmt w:val="lowerLetter"/>
      <w:start w:val="1"/>
    </w:lvl>
  </w:abstractNum>
  <w:abstractNum w:abstractNumId="158">
    <w:nsid w:val="46B24DBC"/>
    <w:multiLevelType w:val="hybridMultilevel"/>
    <w:lvl w:ilvl="0">
      <w:lvlJc w:val="left"/>
      <w:lvlText w:val="(%1)"/>
      <w:numFmt w:val="lowerLetter"/>
      <w:start w:val="1"/>
    </w:lvl>
    <w:lvl w:ilvl="1">
      <w:lvlJc w:val="left"/>
      <w:lvlText w:val="(%2)"/>
      <w:numFmt w:val="lowerLetter"/>
      <w:start w:val="9"/>
    </w:lvl>
  </w:abstractNum>
  <w:abstractNum w:abstractNumId="159">
    <w:nsid w:val="75B52783"/>
    <w:multiLevelType w:val="hybridMultilevel"/>
    <w:lvl w:ilvl="0">
      <w:lvlJc w:val="left"/>
      <w:lvlText w:val="(%1)"/>
      <w:numFmt w:val="lowerRoman"/>
      <w:start w:val="2"/>
    </w:lvl>
  </w:abstractNum>
  <w:abstractNum w:abstractNumId="160">
    <w:nsid w:val="57CE66B4"/>
    <w:multiLevelType w:val="hybridMultilevel"/>
    <w:lvl w:ilvl="0">
      <w:lvlJc w:val="left"/>
      <w:lvlText w:val="(%1)"/>
      <w:numFmt w:val="lowerLetter"/>
      <w:start w:val="4"/>
    </w:lvl>
    <w:lvl w:ilvl="1">
      <w:lvlJc w:val="left"/>
      <w:lvlText w:val="(%2)"/>
      <w:numFmt w:val="lowerRoman"/>
      <w:start w:val="1"/>
    </w:lvl>
  </w:abstractNum>
  <w:abstractNum w:abstractNumId="161">
    <w:nsid w:val="67A70B6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162">
    <w:nsid w:val="5953172F"/>
    <w:multiLevelType w:val="hybridMultilevel"/>
    <w:lvl w:ilvl="0">
      <w:lvlJc w:val="left"/>
      <w:lvlText w:val="%1"/>
      <w:numFmt w:val="lowerRoman"/>
      <w:start w:val="1"/>
    </w:lvl>
    <w:lvl w:ilvl="1">
      <w:lvlJc w:val="left"/>
      <w:lvlText w:val="(%2)"/>
      <w:numFmt w:val="lowerLetter"/>
      <w:start w:val="7"/>
    </w:lvl>
    <w:lvl w:ilvl="2">
      <w:lvlJc w:val="left"/>
      <w:lvlText w:val="%3"/>
      <w:numFmt w:val="lowerLetter"/>
      <w:start w:val="1"/>
    </w:lvl>
  </w:abstractNum>
  <w:abstractNum w:abstractNumId="163">
    <w:nsid w:val="27EDFE3A"/>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1"/>
    </w:lvl>
  </w:abstractNum>
  <w:abstractNum w:abstractNumId="164">
    <w:nsid w:val="52AC7DFF"/>
    <w:multiLevelType w:val="hybridMultilevel"/>
    <w:lvl w:ilvl="0">
      <w:lvlJc w:val="left"/>
      <w:lvlText w:val="(%1)"/>
      <w:numFmt w:val="lowerLetter"/>
      <w:start w:val="1"/>
    </w:lvl>
  </w:abstractNum>
  <w:abstractNum w:abstractNumId="165">
    <w:nsid w:val="C4C3AF"/>
    <w:multiLevelType w:val="hybridMultilevel"/>
    <w:lvl w:ilvl="0">
      <w:lvlJc w:val="left"/>
      <w:lvlText w:val="(%1)"/>
      <w:numFmt w:val="lowerLetter"/>
      <w:start w:val="2"/>
    </w:lvl>
    <w:lvl w:ilvl="1">
      <w:lvlJc w:val="left"/>
      <w:lvlText w:val="(%2)"/>
      <w:numFmt w:val="lowerRoman"/>
      <w:start w:val="1"/>
    </w:lvl>
  </w:abstractNum>
  <w:abstractNum w:abstractNumId="166">
    <w:nsid w:val="44380727"/>
    <w:multiLevelType w:val="hybridMultilevel"/>
    <w:lvl w:ilvl="0">
      <w:lvlJc w:val="left"/>
      <w:lvlText w:val="(%1)"/>
      <w:numFmt w:val="lowerLetter"/>
      <w:start w:val="4"/>
    </w:lvl>
  </w:abstractNum>
  <w:abstractNum w:abstractNumId="167">
    <w:nsid w:val="6C053B16"/>
    <w:multiLevelType w:val="hybridMultilevel"/>
    <w:lvl w:ilvl="0">
      <w:lvlJc w:val="left"/>
      <w:lvlText w:val="(%1)"/>
      <w:numFmt w:val="lowerLetter"/>
      <w:start w:val="1"/>
    </w:lvl>
    <w:lvl w:ilvl="1">
      <w:lvlJc w:val="left"/>
      <w:lvlText w:val="(%2)"/>
      <w:numFmt w:val="lowerRoman"/>
      <w:start w:val="1"/>
    </w:lvl>
  </w:abstractNum>
  <w:abstractNum w:abstractNumId="168">
    <w:nsid w:val="4F294393"/>
    <w:multiLevelType w:val="hybridMultilevel"/>
    <w:lvl w:ilvl="0">
      <w:lvlJc w:val="left"/>
      <w:lvlText w:val="%1"/>
      <w:numFmt w:val="lowerLetter"/>
      <w:start w:val="1"/>
    </w:lvl>
    <w:lvl w:ilvl="1">
      <w:lvlJc w:val="left"/>
      <w:lvlText w:val="(%2)"/>
      <w:numFmt w:val="lowerRoman"/>
      <w:start w:val="3"/>
    </w:lvl>
  </w:abstractNum>
  <w:abstractNum w:abstractNumId="169">
    <w:nsid w:val="5243BFAC"/>
    <w:multiLevelType w:val="hybridMultilevel"/>
    <w:lvl w:ilvl="0">
      <w:lvlJc w:val="left"/>
      <w:lvlText w:val="(%1)"/>
      <w:numFmt w:val="lowerLetter"/>
      <w:start w:val="2"/>
    </w:lvl>
    <w:lvl w:ilvl="1">
      <w:lvlJc w:val="left"/>
      <w:lvlText w:val="%2"/>
      <w:numFmt w:val="lowerRoman"/>
      <w:start w:val="1"/>
    </w:lvl>
  </w:abstractNum>
  <w:abstractNum w:abstractNumId="170">
    <w:nsid w:val="425EB207"/>
    <w:multiLevelType w:val="hybridMultilevel"/>
    <w:lvl w:ilvl="0">
      <w:lvlJc w:val="left"/>
      <w:lvlText w:val="(%1)"/>
      <w:numFmt w:val="lowerLetter"/>
      <w:start w:val="1"/>
    </w:lvl>
  </w:abstractNum>
  <w:abstractNum w:abstractNumId="171">
    <w:nsid w:val="334A6F1F"/>
    <w:multiLevelType w:val="hybridMultilevel"/>
    <w:lvl w:ilvl="0">
      <w:lvlJc w:val="left"/>
      <w:lvlText w:val="(%1)"/>
      <w:numFmt w:val="lowerLetter"/>
      <w:start w:val="3"/>
    </w:lvl>
  </w:abstractNum>
  <w:abstractNum w:abstractNumId="172">
    <w:nsid w:val="2E5B12B8"/>
    <w:multiLevelType w:val="hybridMultilevel"/>
    <w:lvl w:ilvl="0">
      <w:lvlJc w:val="left"/>
      <w:lvlText w:val="(%1)"/>
      <w:numFmt w:val="lowerLetter"/>
      <w:start w:val="5"/>
    </w:lvl>
  </w:abstractNum>
  <w:abstractNum w:abstractNumId="173">
    <w:nsid w:val="5C03D76D"/>
    <w:multiLevelType w:val="hybridMultilevel"/>
    <w:lvl w:ilvl="0">
      <w:lvlJc w:val="left"/>
      <w:lvlText w:val="(%1)"/>
      <w:numFmt w:val="lowerLetter"/>
      <w:start w:val="1"/>
    </w:lvl>
    <w:lvl w:ilvl="1">
      <w:lvlJc w:val="left"/>
      <w:lvlText w:val="(%2)"/>
      <w:numFmt w:val="lowerLetter"/>
      <w:start w:val="9"/>
    </w:lvl>
  </w:abstractNum>
  <w:abstractNum w:abstractNumId="174">
    <w:nsid w:val="66A48D11"/>
    <w:multiLevelType w:val="hybridMultilevel"/>
    <w:lvl w:ilvl="0">
      <w:lvlJc w:val="left"/>
      <w:lvlText w:val="%1"/>
      <w:numFmt w:val="lowerLetter"/>
      <w:start w:val="1"/>
    </w:lvl>
    <w:lvl w:ilvl="1">
      <w:lvlJc w:val="left"/>
      <w:lvlText w:val="(%2)"/>
      <w:numFmt w:val="lowerLetter"/>
      <w:start w:val="35"/>
    </w:lvl>
  </w:abstractNum>
  <w:abstractNum w:abstractNumId="175">
    <w:nsid w:val="56C28E34"/>
    <w:multiLevelType w:val="hybridMultilevel"/>
    <w:lvl w:ilvl="0">
      <w:lvlJc w:val="left"/>
      <w:lvlText w:val="(%1)"/>
      <w:numFmt w:val="lowerLetter"/>
      <w:start w:val="6"/>
    </w:lvl>
    <w:lvl w:ilvl="1">
      <w:lvlJc w:val="left"/>
      <w:lvlText w:val="%2"/>
      <w:numFmt w:val="lowerLetter"/>
      <w:start w:val="1"/>
    </w:lvl>
  </w:abstractNum>
  <w:abstractNum w:abstractNumId="176">
    <w:nsid w:val="13916F2D"/>
    <w:multiLevelType w:val="hybridMultilevel"/>
    <w:lvl w:ilvl="0">
      <w:lvlJc w:val="left"/>
      <w:lvlText w:val="(%1)"/>
      <w:numFmt w:val="lowerLetter"/>
      <w:start w:val="1"/>
    </w:lvl>
  </w:abstractNum>
  <w:abstractNum w:abstractNumId="177">
    <w:nsid w:val="435D38D"/>
    <w:multiLevelType w:val="hybridMultilevel"/>
    <w:lvl w:ilvl="0">
      <w:lvlJc w:val="left"/>
      <w:lvlText w:val="(%1)"/>
      <w:numFmt w:val="lowerLetter"/>
      <w:start w:val="2"/>
    </w:lvl>
  </w:abstractNum>
  <w:abstractNum w:abstractNumId="178">
    <w:nsid w:val="822C0EF"/>
    <w:multiLevelType w:val="hybridMultilevel"/>
    <w:lvl w:ilvl="0">
      <w:lvlJc w:val="left"/>
      <w:lvlText w:val="(%1)"/>
      <w:numFmt w:val="lowerLetter"/>
      <w:start w:val="1"/>
    </w:lvl>
  </w:abstractNum>
  <w:abstractNum w:abstractNumId="179">
    <w:nsid w:val="57C5BB4F"/>
    <w:multiLevelType w:val="hybridMultilevel"/>
    <w:lvl w:ilvl="0">
      <w:lvlJc w:val="left"/>
      <w:lvlText w:val="(%1)"/>
      <w:numFmt w:val="lowerLetter"/>
      <w:start w:val="1"/>
    </w:lvl>
    <w:lvl w:ilvl="1">
      <w:lvlJc w:val="left"/>
      <w:lvlText w:val="(%2)"/>
      <w:numFmt w:val="lowerRoman"/>
      <w:start w:val="1"/>
    </w:lvl>
  </w:abstractNum>
  <w:abstractNum w:abstractNumId="180">
    <w:nsid w:val="1803D089"/>
    <w:multiLevelType w:val="hybridMultilevel"/>
    <w:lvl w:ilvl="0">
      <w:lvlJc w:val="left"/>
      <w:lvlText w:val="(%1)"/>
      <w:numFmt w:val="lowerRoman"/>
      <w:start w:val="4"/>
    </w:lvl>
  </w:abstractNum>
  <w:abstractNum w:abstractNumId="181">
    <w:nsid w:val="4F3A06D4"/>
    <w:multiLevelType w:val="hybridMultilevel"/>
    <w:lvl w:ilvl="0">
      <w:lvlJc w:val="left"/>
      <w:lvlText w:val="%1"/>
      <w:numFmt w:val="lowerLetter"/>
      <w:start w:val="1"/>
    </w:lvl>
    <w:lvl w:ilvl="1">
      <w:lvlJc w:val="left"/>
      <w:lvlText w:val="(%2)"/>
      <w:numFmt w:val="lowerLetter"/>
      <w:start w:val="22"/>
    </w:lvl>
  </w:abstractNum>
  <w:abstractNum w:abstractNumId="182">
    <w:nsid w:val="59A377B6"/>
    <w:multiLevelType w:val="hybridMultilevel"/>
    <w:lvl w:ilvl="0">
      <w:lvlJc w:val="left"/>
      <w:lvlText w:val="(%1)"/>
      <w:numFmt w:val="lowerLetter"/>
      <w:start w:val="2"/>
    </w:lvl>
    <w:lvl w:ilvl="1">
      <w:lvlJc w:val="left"/>
      <w:lvlText w:val="%2"/>
      <w:numFmt w:val="lowerLetter"/>
      <w:start w:val="1"/>
    </w:lvl>
  </w:abstractNum>
  <w:abstractNum w:abstractNumId="183">
    <w:nsid w:val="48AEB063"/>
    <w:multiLevelType w:val="hybridMultilevel"/>
    <w:lvl w:ilvl="0">
      <w:lvlJc w:val="left"/>
      <w:lvlText w:val="(%1)"/>
      <w:numFmt w:val="lowerLetter"/>
      <w:start w:val="1"/>
    </w:lvl>
  </w:abstractNum>
  <w:abstractNum w:abstractNumId="184">
    <w:nsid w:val="24E135"/>
    <w:multiLevelType w:val="hybridMultilevel"/>
    <w:lvl w:ilvl="0">
      <w:lvlJc w:val="left"/>
      <w:lvlText w:val="(%1)"/>
      <w:numFmt w:val="lowerLetter"/>
      <w:start w:val="1"/>
    </w:lvl>
  </w:abstractNum>
  <w:abstractNum w:abstractNumId="185">
    <w:nsid w:val="BB13C1"/>
    <w:multiLevelType w:val="hybridMultilevel"/>
    <w:lvl w:ilvl="0">
      <w:lvlJc w:val="left"/>
      <w:lvlText w:val="(%1)"/>
      <w:numFmt w:val="lowerLetter"/>
      <w:start w:val="1"/>
    </w:lvl>
  </w:abstractNum>
  <w:abstractNum w:abstractNumId="186">
    <w:nsid w:val="271210C7"/>
    <w:multiLevelType w:val="hybridMultilevel"/>
    <w:lvl w:ilvl="0">
      <w:lvlJc w:val="left"/>
      <w:lvlText w:val="%1"/>
      <w:numFmt w:val="lowerLetter"/>
      <w:start w:val="1"/>
    </w:lvl>
    <w:lvl w:ilvl="1">
      <w:lvlJc w:val="left"/>
      <w:lvlText w:val="(%2)"/>
      <w:numFmt w:val="lowerLetter"/>
      <w:start w:val="2"/>
    </w:lvl>
  </w:abstractNum>
  <w:abstractNum w:abstractNumId="187">
    <w:nsid w:val="217B22E4"/>
    <w:multiLevelType w:val="hybridMultilevel"/>
    <w:lvl w:ilvl="0">
      <w:lvlJc w:val="left"/>
      <w:lvlText w:val="(%1)"/>
      <w:numFmt w:val="lowerLetter"/>
      <w:start w:val="9"/>
    </w:lvl>
    <w:lvl w:ilvl="1">
      <w:lvlJc w:val="left"/>
      <w:lvlText w:val="(%2)"/>
      <w:numFmt w:val="lowerLetter"/>
      <w:start w:val="3"/>
    </w:lvl>
  </w:abstractNum>
  <w:abstractNum w:abstractNumId="188">
    <w:nsid w:val="53E31A24"/>
    <w:multiLevelType w:val="hybridMultilevel"/>
    <w:lvl w:ilvl="0">
      <w:lvlJc w:val="left"/>
      <w:lvlText w:val="(%1)"/>
      <w:numFmt w:val="lowerLetter"/>
      <w:start w:val="5"/>
    </w:lvl>
  </w:abstractNum>
  <w:abstractNum w:abstractNumId="189">
    <w:nsid w:val="6DC45E83"/>
    <w:multiLevelType w:val="hybridMultilevel"/>
    <w:lvl w:ilvl="0">
      <w:lvlJc w:val="left"/>
      <w:lvlText w:val="(%1)"/>
      <w:numFmt w:val="lowerLetter"/>
      <w:start w:val="1"/>
    </w:lvl>
    <w:lvl w:ilvl="1">
      <w:lvlJc w:val="left"/>
      <w:lvlText w:val="(%2)"/>
      <w:numFmt w:val="lowerRoman"/>
      <w:start w:val="1"/>
    </w:lvl>
  </w:abstractNum>
  <w:abstractNum w:abstractNumId="190">
    <w:nsid w:val="17304A67"/>
    <w:multiLevelType w:val="hybridMultilevel"/>
    <w:lvl w:ilvl="0">
      <w:lvlJc w:val="left"/>
      <w:lvlText w:val="%1."/>
      <w:numFmt w:val="decimal"/>
      <w:start w:val="1"/>
    </w:lvl>
  </w:abstractNum>
  <w:abstractNum w:abstractNumId="191">
    <w:nsid w:val="2BB180D8"/>
    <w:multiLevelType w:val="hybridMultilevel"/>
    <w:lvl w:ilvl="0">
      <w:lvlJc w:val="left"/>
      <w:lvlText w:val="(%1)"/>
      <w:numFmt w:val="lowerLetter"/>
      <w:start w:val="1"/>
    </w:lvl>
  </w:abstractNum>
  <w:abstractNum w:abstractNumId="192">
    <w:nsid w:val="556B69ED"/>
    <w:multiLevelType w:val="hybridMultilevel"/>
    <w:lvl w:ilvl="0">
      <w:lvlJc w:val="left"/>
      <w:lvlText w:val="%1"/>
      <w:numFmt w:val="decimal"/>
      <w:start w:val="1"/>
    </w:lvl>
    <w:lvl w:ilvl="1">
      <w:lvlJc w:val="left"/>
      <w:lvlText w:val="(%2)"/>
      <w:numFmt w:val="lowerRoman"/>
      <w:start w:val="1"/>
    </w:lvl>
  </w:abstractNum>
  <w:abstractNum w:abstractNumId="193">
    <w:nsid w:val="70836196"/>
    <w:multiLevelType w:val="hybridMultilevel"/>
    <w:lvl w:ilvl="0">
      <w:lvlJc w:val="left"/>
      <w:lvlText w:val="%1."/>
      <w:numFmt w:val="decimal"/>
      <w:start w:val="3"/>
    </w:lvl>
    <w:lvl w:ilvl="1">
      <w:lvlJc w:val="left"/>
      <w:lvlText w:val="%2"/>
      <w:numFmt w:val="lowerRoman"/>
      <w:start w:val="1"/>
    </w:lvl>
  </w:abstractNum>
  <w:abstractNum w:abstractNumId="194">
    <w:nsid w:val="539F7F12"/>
    <w:multiLevelType w:val="hybridMultilevel"/>
    <w:lvl w:ilvl="0">
      <w:lvlJc w:val="left"/>
      <w:lvlText w:val="(%1)"/>
      <w:numFmt w:val="lowerLetter"/>
      <w:start w:val="1"/>
    </w:lvl>
  </w:abstractNum>
  <w:abstractNum w:abstractNumId="195">
    <w:nsid w:val="2817E7EC"/>
    <w:multiLevelType w:val="hybridMultilevel"/>
    <w:lvl w:ilvl="0">
      <w:lvlJc w:val="left"/>
      <w:lvlText w:val="(%1)"/>
      <w:numFmt w:val="lowerLetter"/>
      <w:start w:val="2"/>
    </w:lvl>
  </w:abstractNum>
  <w:abstractNum w:abstractNumId="196">
    <w:nsid w:val="71482545"/>
    <w:multiLevelType w:val="hybridMultilevel"/>
    <w:lvl w:ilvl="0">
      <w:lvlJc w:val="left"/>
      <w:lvlText w:val="(%1)"/>
      <w:numFmt w:val="lowerLetter"/>
      <w:start w:val="3"/>
    </w:lvl>
  </w:abstractNum>
  <w:abstractNum w:abstractNumId="197">
    <w:nsid w:val="17D78639"/>
    <w:multiLevelType w:val="hybridMultilevel"/>
    <w:lvl w:ilvl="0">
      <w:lvlJc w:val="left"/>
      <w:lvlText w:val="%1."/>
      <w:numFmt w:val="decimal"/>
      <w:start w:val="4"/>
    </w:lvl>
  </w:abstractNum>
  <w:abstractNum w:abstractNumId="198">
    <w:nsid w:val="141D2302"/>
    <w:multiLevelType w:val="hybridMultilevel"/>
    <w:lvl w:ilvl="0">
      <w:lvlJc w:val="left"/>
      <w:lvlText w:val="(%1)"/>
      <w:numFmt w:val="decimal"/>
      <w:start w:val="1"/>
    </w:lvl>
  </w:abstractNum>
  <w:abstractNum w:abstractNumId="199">
    <w:nsid w:val="407168D8"/>
    <w:multiLevelType w:val="hybridMultilevel"/>
    <w:lvl w:ilvl="0">
      <w:lvlJc w:val="left"/>
      <w:lvlText w:val="%1."/>
      <w:numFmt w:val="decimal"/>
      <w:start w:val="5"/>
    </w:lvl>
  </w:abstractNum>
  <w:abstractNum w:abstractNumId="200">
    <w:nsid w:val="6A1B45E5"/>
    <w:multiLevelType w:val="hybridMultilevel"/>
    <w:lvl w:ilvl="0">
      <w:lvlJc w:val="left"/>
      <w:lvlText w:val="%1."/>
      <w:numFmt w:val="decimal"/>
      <w:start w:val="6"/>
    </w:lvl>
  </w:abstractNum>
  <w:abstractNum w:abstractNumId="201">
    <w:nsid w:val="567BD50A"/>
    <w:multiLevelType w:val="hybridMultilevel"/>
    <w:lvl w:ilvl="0">
      <w:lvlJc w:val="left"/>
      <w:lvlText w:val="%1."/>
      <w:numFmt w:val="decimal"/>
      <w:start w:val="7"/>
    </w:lvl>
  </w:abstractNum>
  <w:abstractNum w:abstractNumId="202">
    <w:nsid w:val="73BBD7F8"/>
    <w:multiLevelType w:val="hybridMultilevel"/>
    <w:lvl w:ilvl="0">
      <w:lvlJc w:val="left"/>
      <w:lvlText w:val="%1."/>
      <w:numFmt w:val="decimal"/>
      <w:start w:val="8"/>
    </w:lvl>
  </w:abstractNum>
  <w:abstractNum w:abstractNumId="203">
    <w:nsid w:val="1876589D"/>
    <w:multiLevelType w:val="hybridMultilevel"/>
    <w:lvl w:ilvl="0">
      <w:lvlJc w:val="left"/>
      <w:lvlText w:val="%1."/>
      <w:numFmt w:val="decimal"/>
      <w:start w:val="9"/>
    </w:lvl>
  </w:abstractNum>
  <w:abstractNum w:abstractNumId="204">
    <w:nsid w:val="327FAC77"/>
    <w:multiLevelType w:val="hybridMultilevel"/>
    <w:lvl w:ilvl="0">
      <w:lvlJc w:val="left"/>
      <w:lvlText w:val="%1."/>
      <w:numFmt w:val="decimal"/>
      <w:start w:val="1"/>
    </w:lvl>
  </w:abstractNum>
  <w:abstractNum w:abstractNumId="205">
    <w:nsid w:val="5A606509"/>
    <w:multiLevelType w:val="hybridMultilevel"/>
    <w:lvl w:ilvl="0">
      <w:lvlJc w:val="left"/>
      <w:lvlText w:val="(%1)"/>
      <w:numFmt w:val="lowerRoman"/>
      <w:start w:val="2"/>
    </w:lvl>
  </w:abstractNum>
  <w:abstractNum w:abstractNumId="206">
    <w:nsid w:val="6F38E6D1"/>
    <w:multiLevelType w:val="hybridMultilevel"/>
    <w:lvl w:ilvl="0">
      <w:lvlJc w:val="left"/>
      <w:lvlText w:val="%1."/>
      <w:numFmt w:val="decimal"/>
      <w:start w:val="1"/>
    </w:lvl>
  </w:abstractNum>
  <w:abstractNum w:abstractNumId="207">
    <w:nsid w:val="46111BA5"/>
    <w:multiLevelType w:val="hybridMultilevel"/>
    <w:lvl w:ilvl="0">
      <w:lvlJc w:val="left"/>
      <w:lvlText w:val="%1."/>
      <w:numFmt w:val="decimal"/>
      <w:start w:val="2"/>
    </w:lvl>
  </w:abstractNum>
  <w:abstractNum w:abstractNumId="208">
    <w:nsid w:val="5E963896"/>
    <w:multiLevelType w:val="hybridMultilevel"/>
    <w:lvl w:ilvl="0">
      <w:lvlJc w:val="left"/>
      <w:lvlText w:val="%1."/>
      <w:numFmt w:val="decimal"/>
      <w:start w:val="1"/>
    </w:lvl>
  </w:abstractNum>
  <w:abstractNum w:abstractNumId="209">
    <w:nsid w:val="775BA7C1"/>
    <w:multiLevelType w:val="hybridMultilevel"/>
    <w:lvl w:ilvl="0">
      <w:lvlJc w:val="left"/>
      <w:lvlText w:val="%1."/>
      <w:numFmt w:val="decimal"/>
      <w:start w:val="4"/>
    </w:lvl>
    <w:lvl w:ilvl="1">
      <w:lvlJc w:val="left"/>
      <w:lvlText w:val="(%2)"/>
      <w:numFmt w:val="lowerLetter"/>
      <w:start w:val="1"/>
    </w:lvl>
  </w:abstractNum>
  <w:abstractNum w:abstractNumId="210">
    <w:nsid w:val="1DD6D6F4"/>
    <w:multiLevelType w:val="hybridMultilevel"/>
    <w:lvl w:ilvl="0">
      <w:lvlJc w:val="left"/>
      <w:lvlText w:val="%1"/>
      <w:numFmt w:val="decimal"/>
      <w:start w:val="1"/>
    </w:lvl>
    <w:lvl w:ilvl="1">
      <w:lvlJc w:val="left"/>
      <w:lvlText w:val="%2."/>
      <w:numFmt w:val="decimal"/>
      <w:start w:val="8"/>
    </w:lvl>
  </w:abstractNum>
  <w:abstractNum w:abstractNumId="211">
    <w:nsid w:val="769A091F"/>
    <w:multiLevelType w:val="hybridMultilevel"/>
    <w:lvl w:ilvl="0">
      <w:lvlJc w:val="left"/>
      <w:lvlText w:val="(%1)"/>
      <w:numFmt w:val="decimal"/>
      <w:start w:val="1"/>
    </w:lvl>
    <w:lvl w:ilvl="1">
      <w:lvlJc w:val="left"/>
      <w:lvlText w:val="%2."/>
      <w:numFmt w:val="decimal"/>
      <w:start w:val="10"/>
    </w:lvl>
  </w:abstractNum>
  <w:abstractNum w:abstractNumId="212">
    <w:nsid w:val="4695AE95"/>
    <w:multiLevelType w:val="hybridMultilevel"/>
    <w:lvl w:ilvl="0">
      <w:lvlJc w:val="left"/>
      <w:lvlText w:val="%1."/>
      <w:numFmt w:val="decimal"/>
      <w:start w:val="13"/>
    </w:lvl>
  </w:abstractNum>
  <w:abstractNum w:abstractNumId="213">
    <w:nsid w:val="777A4EAA"/>
    <w:multiLevelType w:val="hybridMultilevel"/>
    <w:lvl w:ilvl="0">
      <w:lvlJc w:val="left"/>
      <w:lvlText w:val="%1."/>
      <w:numFmt w:val="decimal"/>
      <w:start w:val="1"/>
    </w:lvl>
  </w:abstractNum>
  <w:abstractNum w:abstractNumId="214">
    <w:nsid w:val="3F48B982"/>
    <w:multiLevelType w:val="hybridMultilevel"/>
    <w:lvl w:ilvl="0">
      <w:lvlJc w:val="left"/>
      <w:lvlText w:val="%1."/>
      <w:numFmt w:val="decimal"/>
      <w:start w:val="2"/>
    </w:lvl>
  </w:abstractNum>
  <w:abstractNum w:abstractNumId="215">
    <w:nsid w:val="46BA8FCA"/>
    <w:multiLevelType w:val="hybridMultilevel"/>
    <w:lvl w:ilvl="0">
      <w:lvlJc w:val="left"/>
      <w:lvlText w:val="%1"/>
      <w:numFmt w:val="lowerRoman"/>
      <w:start w:val="1"/>
    </w:lvl>
    <w:lvl w:ilvl="1">
      <w:lvlJc w:val="left"/>
      <w:lvlText w:val="%2."/>
      <w:numFmt w:val="decimal"/>
      <w:start w:val="3"/>
    </w:lvl>
  </w:abstractNum>
  <w:abstractNum w:abstractNumId="216">
    <w:nsid w:val="7835626C"/>
    <w:multiLevelType w:val="hybridMultilevel"/>
    <w:lvl w:ilvl="0">
      <w:lvlJc w:val="left"/>
      <w:lvlText w:val="(%1)"/>
      <w:numFmt w:val="lowerRoman"/>
      <w:start w:val="2"/>
    </w:lvl>
    <w:lvl w:ilvl="1">
      <w:lvlJc w:val="left"/>
      <w:lvlText w:val="%2"/>
      <w:numFmt w:val="decimal"/>
      <w:start w:val="1"/>
    </w:lvl>
  </w:abstractNum>
  <w:abstractNum w:abstractNumId="217">
    <w:nsid w:val="665ACA49"/>
    <w:multiLevelType w:val="hybridMultilevel"/>
    <w:lvl w:ilvl="0">
      <w:lvlJc w:val="left"/>
      <w:lvlText w:val="(%1)"/>
      <w:numFmt w:val="lowerRoman"/>
      <w:start w:val="2"/>
    </w:lvl>
    <w:lvl w:ilvl="1">
      <w:lvlJc w:val="left"/>
      <w:lvlText w:val="%2."/>
      <w:numFmt w:val="decimal"/>
      <w:start w:val="4"/>
    </w:lvl>
  </w:abstractNum>
  <w:abstractNum w:abstractNumId="218">
    <w:nsid w:val="6835B2AE"/>
    <w:multiLevelType w:val="hybridMultilevel"/>
    <w:lvl w:ilvl="0">
      <w:lvlJc w:val="left"/>
      <w:lvlText w:val="%1"/>
      <w:numFmt w:val="upperLetter"/>
      <w:start w:val="1"/>
    </w:lvl>
    <w:lvl w:ilvl="1">
      <w:lvlJc w:val="left"/>
      <w:lvlText w:val="%2."/>
      <w:numFmt w:val="decimal"/>
      <w:start w:val="5"/>
    </w:lvl>
  </w:abstractNum>
  <w:abstractNum w:abstractNumId="219">
    <w:nsid w:val="4C187C90"/>
    <w:multiLevelType w:val="hybridMultilevel"/>
    <w:lvl w:ilvl="0">
      <w:lvlJc w:val="left"/>
      <w:lvlText w:val="(%1)"/>
      <w:numFmt w:val="upperLetter"/>
      <w:start w:val="2"/>
    </w:lvl>
    <w:lvl w:ilvl="1">
      <w:lvlJc w:val="left"/>
      <w:lvlText w:val="%2"/>
      <w:numFmt w:val="decimal"/>
      <w:start w:val="1"/>
    </w:lvl>
  </w:abstractNum>
  <w:abstractNum w:abstractNumId="220">
    <w:nsid w:val="541F28CD"/>
    <w:multiLevelType w:val="hybridMultilevel"/>
    <w:lvl w:ilvl="0">
      <w:lvlJc w:val="left"/>
      <w:lvlText w:val="%1"/>
      <w:numFmt w:val="decimal"/>
      <w:start w:val="1"/>
    </w:lvl>
    <w:lvl w:ilvl="1">
      <w:lvlJc w:val="left"/>
      <w:lvlText w:val="(%2)"/>
      <w:numFmt w:val="lowerLetter"/>
      <w:start w:val="2"/>
    </w:lvl>
  </w:abstractNum>
  <w:abstractNum w:abstractNumId="221">
    <w:nsid w:val="7F65FD16"/>
    <w:multiLevelType w:val="hybridMultilevel"/>
    <w:lvl w:ilvl="0">
      <w:lvlJc w:val="left"/>
      <w:lvlText w:val="%1."/>
      <w:numFmt w:val="decimal"/>
      <w:start w:val="8"/>
    </w:lvl>
    <w:lvl w:ilvl="1">
      <w:lvlJc w:val="left"/>
      <w:lvlText w:val="%2"/>
      <w:numFmt w:val="lowerLetter"/>
      <w:start w:val="1"/>
    </w:lvl>
  </w:abstractNum>
  <w:abstractNum w:abstractNumId="222">
    <w:nsid w:val="77C9FD68"/>
    <w:multiLevelType w:val="hybridMultilevel"/>
    <w:lvl w:ilvl="0">
      <w:lvlJc w:val="left"/>
      <w:lvlText w:val="%1."/>
      <w:numFmt w:val="decimal"/>
      <w:start w:val="9"/>
    </w:lvl>
  </w:abstractNum>
  <w:abstractNum w:abstractNumId="223">
    <w:nsid w:val="298A92BA"/>
    <w:multiLevelType w:val="hybridMultilevel"/>
    <w:lvl w:ilvl="0">
      <w:lvlJc w:val="left"/>
      <w:lvlText w:val="%1."/>
      <w:numFmt w:val="decimal"/>
      <w:start w:val="11"/>
    </w:lvl>
  </w:abstractNum>
  <w:abstractNum w:abstractNumId="224">
    <w:nsid w:val="6FE95EAC"/>
    <w:multiLevelType w:val="hybridMultilevel"/>
    <w:lvl w:ilvl="0">
      <w:lvlJc w:val="left"/>
      <w:lvlText w:val="%1."/>
      <w:numFmt w:val="decimal"/>
      <w:start w:val="15"/>
    </w:lvl>
  </w:abstractNum>
  <w:abstractNum w:abstractNumId="225">
    <w:nsid w:val="4B697C7A"/>
    <w:multiLevelType w:val="hybridMultilevel"/>
    <w:lvl w:ilvl="0">
      <w:lvlJc w:val="left"/>
      <w:lvlText w:val="%1."/>
      <w:numFmt w:val="decimal"/>
      <w:start w:val="1"/>
    </w:lvl>
    <w:lvl w:ilvl="1">
      <w:lvlJc w:val="left"/>
      <w:lvlText w:val="(%2)"/>
      <w:numFmt w:val="lowerLetter"/>
      <w:start w:val="1"/>
    </w:lvl>
  </w:abstractNum>
  <w:abstractNum w:abstractNumId="226">
    <w:nsid w:val="51A27AA6"/>
    <w:multiLevelType w:val="hybridMultilevel"/>
    <w:lvl w:ilvl="0">
      <w:lvlJc w:val="left"/>
      <w:lvlText w:val="(%1)"/>
      <w:numFmt w:val="lowerLetter"/>
      <w:start w:val="2"/>
    </w:lvl>
  </w:abstractNum>
  <w:abstractNum w:abstractNumId="227">
    <w:nsid w:val="613183F2"/>
    <w:multiLevelType w:val="hybridMultilevel"/>
    <w:lvl w:ilvl="0">
      <w:lvlJc w:val="left"/>
      <w:lvlText w:val="(%1)"/>
      <w:numFmt w:val="lowerLetter"/>
      <w:start w:val="10"/>
    </w:lvl>
    <w:lvl w:ilvl="1">
      <w:lvlJc w:val="left"/>
      <w:lvlText w:val="(%2)"/>
      <w:numFmt w:val="lowerLetter"/>
      <w:start w:val="11"/>
    </w:lvl>
  </w:abstractNum>
  <w:abstractNum w:abstractNumId="228">
    <w:nsid w:val="634102B4"/>
    <w:multiLevelType w:val="hybridMultilevel"/>
    <w:lvl w:ilvl="0">
      <w:lvlJc w:val="left"/>
      <w:lvlText w:val="(%1)"/>
      <w:numFmt w:val="lowerLetter"/>
      <w:start w:val="12"/>
    </w:lvl>
  </w:abstractNum>
  <w:abstractNum w:abstractNumId="229">
    <w:nsid w:val="65BF9DA8"/>
    <w:multiLevelType w:val="hybridMultilevel"/>
    <w:lvl w:ilvl="0">
      <w:lvlJc w:val="left"/>
      <w:lvlText w:val="(%1)"/>
      <w:numFmt w:val="lowerLetter"/>
      <w:start w:val="13"/>
    </w:lvl>
  </w:abstractNum>
  <w:abstractNum w:abstractNumId="230">
    <w:nsid w:val="21A2ECCA"/>
    <w:multiLevelType w:val="hybridMultilevel"/>
    <w:lvl w:ilvl="0">
      <w:lvlJc w:val="left"/>
      <w:lvlText w:val="(%1)"/>
      <w:numFmt w:val="lowerLetter"/>
      <w:start w:val="12"/>
    </w:lvl>
  </w:abstractNum>
  <w:abstractNum w:abstractNumId="231">
    <w:nsid w:val="4D5C4899"/>
    <w:multiLevelType w:val="hybridMultilevel"/>
    <w:lvl w:ilvl="0">
      <w:lvlJc w:val="left"/>
      <w:lvlText w:val="%1."/>
      <w:numFmt w:val="decimal"/>
      <w:start w:val="2"/>
    </w:lvl>
    <w:lvl w:ilvl="1">
      <w:lvlJc w:val="left"/>
      <w:lvlText w:val="(%2)"/>
      <w:numFmt w:val="lowerLetter"/>
      <w:start w:val="1"/>
    </w:lvl>
  </w:abstractNum>
  <w:abstractNum w:abstractNumId="232">
    <w:nsid w:val="3C3B72B2"/>
    <w:multiLevelType w:val="hybridMultilevel"/>
    <w:lvl w:ilvl="0">
      <w:lvlJc w:val="left"/>
      <w:lvlText w:val="%1"/>
      <w:numFmt w:val="decimal"/>
      <w:start w:val="1"/>
    </w:lvl>
    <w:lvl w:ilvl="1">
      <w:lvlJc w:val="left"/>
      <w:lvlText w:val="(%2)"/>
      <w:numFmt w:val="lowerLetter"/>
      <w:start w:val="4"/>
    </w:lvl>
  </w:abstractNum>
  <w:abstractNum w:abstractNumId="233">
    <w:nsid w:val="155EC4C2"/>
    <w:multiLevelType w:val="hybridMultilevel"/>
    <w:lvl w:ilvl="0">
      <w:lvlJc w:val="left"/>
      <w:lvlText w:val="%1."/>
      <w:numFmt w:val="decimal"/>
      <w:start w:val="3"/>
    </w:lvl>
    <w:lvl w:ilvl="1">
      <w:lvlJc w:val="left"/>
      <w:lvlText w:val="(%2)"/>
      <w:numFmt w:val="lowerLetter"/>
      <w:start w:val="1"/>
    </w:lvl>
  </w:abstractNum>
  <w:abstractNum w:abstractNumId="234">
    <w:nsid w:val="65D2A137"/>
    <w:multiLevelType w:val="hybridMultilevel"/>
    <w:lvl w:ilvl="0">
      <w:lvlJc w:val="left"/>
      <w:lvlText w:val="%1"/>
      <w:numFmt w:val="decimal"/>
      <w:start w:val="1"/>
    </w:lvl>
    <w:lvl w:ilvl="1">
      <w:lvlJc w:val="left"/>
      <w:lvlText w:val="(%2)"/>
      <w:numFmt w:val="lowerLetter"/>
      <w:start w:val="5"/>
    </w:lvl>
  </w:abstractNum>
  <w:abstractNum w:abstractNumId="235">
    <w:nsid w:val="6EBB1F2A"/>
    <w:multiLevelType w:val="hybridMultilevel"/>
    <w:lvl w:ilvl="0">
      <w:lvlJc w:val="left"/>
      <w:lvlText w:val="%1."/>
      <w:numFmt w:val="decimal"/>
      <w:start w:val="4"/>
    </w:lvl>
    <w:lvl w:ilvl="1">
      <w:lvlJc w:val="left"/>
      <w:lvlText w:val="%2"/>
      <w:numFmt w:val="lowerLetter"/>
      <w:start w:val="1"/>
    </w:lvl>
  </w:abstractNum>
  <w:abstractNum w:abstractNumId="236">
    <w:nsid w:val="6FBF29CB"/>
    <w:multiLevelType w:val="hybridMultilevel"/>
    <w:lvl w:ilvl="0">
      <w:lvlJc w:val="left"/>
      <w:lvlText w:val="%1."/>
      <w:numFmt w:val="decimal"/>
      <w:start w:val="5"/>
    </w:lvl>
    <w:lvl w:ilvl="1">
      <w:lvlJc w:val="left"/>
      <w:lvlText w:val="(%2)"/>
      <w:numFmt w:val="lowerLetter"/>
      <w:start w:val="1"/>
    </w:lvl>
  </w:abstractNum>
  <w:abstractNum w:abstractNumId="237">
    <w:nsid w:val="550B8808"/>
    <w:multiLevelType w:val="hybridMultilevel"/>
    <w:lvl w:ilvl="0">
      <w:lvlJc w:val="left"/>
      <w:lvlText w:val="%1"/>
      <w:numFmt w:val="lowerLetter"/>
      <w:start w:val="1"/>
    </w:lvl>
    <w:lvl w:ilvl="1">
      <w:lvlJc w:val="left"/>
      <w:lvlText w:val="(%2)"/>
      <w:numFmt w:val="lowerLetter"/>
      <w:start w:val="3"/>
    </w:lvl>
  </w:abstractNum>
  <w:abstractNum w:abstractNumId="238">
    <w:nsid w:val="34CC3ACF"/>
    <w:multiLevelType w:val="hybridMultilevel"/>
    <w:lvl w:ilvl="0">
      <w:lvlJc w:val="left"/>
      <w:lvlText w:val="(%1)"/>
      <w:numFmt w:val="lowerLetter"/>
      <w:start w:val="9"/>
    </w:lvl>
    <w:lvl w:ilvl="1">
      <w:lvlJc w:val="left"/>
      <w:lvlText w:val="(%2)"/>
      <w:numFmt w:val="lowerLetter"/>
      <w:start w:val="5"/>
    </w:lvl>
  </w:abstractNum>
  <w:abstractNum w:abstractNumId="239">
    <w:nsid w:val="4E556261"/>
    <w:multiLevelType w:val="hybridMultilevel"/>
    <w:lvl w:ilvl="0">
      <w:lvlJc w:val="left"/>
      <w:lvlText w:val="(%1)"/>
      <w:numFmt w:val="lowerLetter"/>
      <w:start w:val="7"/>
    </w:lvl>
  </w:abstractNum>
  <w:abstractNum w:abstractNumId="240">
    <w:nsid w:val="4C672FC9"/>
    <w:multiLevelType w:val="hybridMultilevel"/>
    <w:lvl w:ilvl="0">
      <w:lvlJc w:val="left"/>
      <w:lvlText w:val="%1:"/>
      <w:numFmt w:val="lowerLetter"/>
      <w:start w:val="29"/>
    </w:lvl>
  </w:abstractNum>
  <w:abstractNum w:abstractNumId="241">
    <w:nsid w:val="52A311C3"/>
    <w:multiLevelType w:val="hybridMultilevel"/>
    <w:lvl w:ilvl="0">
      <w:lvlJc w:val="left"/>
      <w:lvlText w:val="%1:"/>
      <w:numFmt w:val="lowerLetter"/>
      <w:start w:val="29"/>
    </w:lvl>
  </w:abstractNum>
  <w:abstractNum w:abstractNumId="242">
    <w:nsid w:val="44EF6B80"/>
    <w:multiLevelType w:val="hybridMultilevel"/>
    <w:lvl w:ilvl="0">
      <w:lvlJc w:val="left"/>
      <w:lvlText w:val="%1:"/>
      <w:numFmt w:val="lowerLetter"/>
      <w:start w:val="29"/>
    </w:lvl>
  </w:abstractNum>
  <w:abstractNum w:abstractNumId="243">
    <w:nsid w:val="12FCDE5E"/>
    <w:multiLevelType w:val="hybridMultilevel"/>
    <w:lvl w:ilvl="0">
      <w:lvlJc w:val="left"/>
      <w:lvlText w:val="%1:"/>
      <w:numFmt w:val="lowerLetter"/>
      <w:start w:val="29"/>
    </w:lvl>
  </w:abstractNum>
  <w:abstractNum w:abstractNumId="244">
    <w:nsid w:val="4A1D606E"/>
    <w:multiLevelType w:val="hybridMultilevel"/>
    <w:lvl w:ilvl="0">
      <w:lvlJc w:val="left"/>
      <w:lvlText w:val="(%1)"/>
      <w:numFmt w:val="upperLetter"/>
      <w:start w:val="1"/>
    </w:lvl>
  </w:abstractNum>
  <w:abstractNum w:abstractNumId="245">
    <w:nsid w:val="4382503"/>
    <w:multiLevelType w:val="hybridMultilevel"/>
    <w:lvl w:ilvl="0">
      <w:lvlJc w:val="left"/>
      <w:lvlText w:val="(%1)"/>
      <w:numFmt w:val="upperLetter"/>
      <w:start w:val="4"/>
    </w:lvl>
  </w:abstractNum>
  <w:abstractNum w:abstractNumId="246">
    <w:nsid w:val="59B76E28"/>
    <w:multiLevelType w:val="hybridMultilevel"/>
    <w:lvl w:ilvl="0">
      <w:lvlJc w:val="left"/>
      <w:lvlText w:val="(%1)"/>
      <w:numFmt w:val="decimal"/>
      <w:start w:val="5"/>
    </w:lvl>
  </w:abstractNum>
  <w:abstractNum w:abstractNumId="247">
    <w:nsid w:val="4252C2DA"/>
    <w:multiLevelType w:val="hybridMultilevel"/>
    <w:lvl w:ilvl="0">
      <w:lvlJc w:val="left"/>
      <w:lvlText w:val="(%1)"/>
      <w:numFmt w:val="lowerRoman"/>
      <w:start w:val="1"/>
    </w:lvl>
  </w:abstractNum>
  <w:abstractNum w:abstractNumId="248">
    <w:nsid w:val="6A92EF4C"/>
    <w:multiLevelType w:val="hybridMultilevel"/>
    <w:lvl w:ilvl="0">
      <w:lvlJc w:val="left"/>
      <w:lvlText w:val="%1"/>
      <w:numFmt w:val="upperLetter"/>
      <w:start w:val="1"/>
    </w:lvl>
    <w:lvl w:ilvl="1">
      <w:lvlJc w:val="left"/>
      <w:lvlText w:val="(%2)"/>
      <w:numFmt w:val="lowerLetter"/>
      <w:start w:val="1"/>
    </w:lvl>
  </w:abstractNum>
  <w:abstractNum w:abstractNumId="249">
    <w:nsid w:val="41ED20D7"/>
    <w:multiLevelType w:val="hybridMultilevel"/>
    <w:lvl w:ilvl="0">
      <w:lvlJc w:val="left"/>
      <w:lvlText w:val="(%1)"/>
      <w:numFmt w:val="upperLetter"/>
      <w:start w:val="1"/>
    </w:lvl>
    <w:lvl w:ilvl="1">
      <w:lvlJc w:val="left"/>
      <w:lvlText w:val="%2"/>
      <w:numFmt w:val="lowerLetter"/>
      <w:start w:val="1"/>
    </w:lvl>
  </w:abstractNum>
  <w:abstractNum w:abstractNumId="250">
    <w:nsid w:val="E6B3F6A"/>
    <w:multiLevelType w:val="hybridMultilevel"/>
    <w:lvl w:ilvl="0">
      <w:lvlJc w:val="left"/>
      <w:lvlText w:val="%1."/>
      <w:numFmt w:val="decimal"/>
      <w:start w:val="1"/>
    </w:lvl>
  </w:abstractNum>
  <w:abstractNum w:abstractNumId="251">
    <w:nsid w:val="3EB21819"/>
    <w:multiLevelType w:val="hybridMultilevel"/>
    <w:lvl w:ilvl="0">
      <w:lvlJc w:val="left"/>
      <w:lvlText w:val="%1."/>
      <w:numFmt w:val="decimal"/>
      <w:start w:val="3"/>
    </w:lvl>
  </w:abstractNum>
  <w:abstractNum w:abstractNumId="252">
    <w:nsid w:val="41531DED"/>
    <w:multiLevelType w:val="hybridMultilevel"/>
    <w:lvl w:ilvl="0">
      <w:lvlJc w:val="left"/>
      <w:lvlText w:val="%1."/>
      <w:numFmt w:val="decimal"/>
      <w:start w:val="4"/>
    </w:lvl>
  </w:abstractNum>
  <w:abstractNum w:abstractNumId="253">
    <w:nsid w:val="6353CD2"/>
    <w:multiLevelType w:val="hybridMultilevel"/>
    <w:lvl w:ilvl="0">
      <w:lvlJc w:val="left"/>
      <w:lvlText w:val="%1."/>
      <w:numFmt w:val="decimal"/>
      <w:start w:val="6"/>
    </w:lvl>
  </w:abstractNum>
  <w:abstractNum w:abstractNumId="254">
    <w:nsid w:val="683CAAD3"/>
    <w:multiLevelType w:val="hybridMultilevel"/>
    <w:lvl w:ilvl="0">
      <w:lvlJc w:val="left"/>
      <w:lvlText w:val="%1."/>
      <w:numFmt w:val="decimal"/>
      <w:start w:val="7"/>
    </w:lvl>
  </w:abstractNum>
  <w:abstractNum w:abstractNumId="255">
    <w:nsid w:val="313C7C99"/>
    <w:multiLevelType w:val="hybridMultilevel"/>
    <w:lvl w:ilvl="0">
      <w:lvlJc w:val="left"/>
      <w:lvlText w:val="%1."/>
      <w:numFmt w:val="upperLetter"/>
      <w:start w:val="1"/>
    </w:lvl>
  </w:abstractNum>
  <w:abstractNum w:abstractNumId="256">
    <w:nsid w:val="519EB94C"/>
    <w:multiLevelType w:val="hybridMultilevel"/>
    <w:lvl w:ilvl="0">
      <w:lvlJc w:val="left"/>
      <w:lvlText w:val="(%1)"/>
      <w:numFmt w:val="lowerRoman"/>
      <w:start w:val="1"/>
    </w:lvl>
  </w:abstractNum>
  <w:abstractNum w:abstractNumId="257">
    <w:nsid w:val="39DF2579"/>
    <w:multiLevelType w:val="hybridMultilevel"/>
    <w:lvl w:ilvl="0">
      <w:lvlJc w:val="left"/>
      <w:lvlText w:val="(%1)"/>
      <w:numFmt w:val="lowerRoman"/>
      <w:start w:val="2"/>
    </w:lvl>
  </w:abstractNum>
  <w:abstractNum w:abstractNumId="258">
    <w:nsid w:val="126E008B"/>
    <w:multiLevelType w:val="hybridMultilevel"/>
    <w:lvl w:ilvl="0">
      <w:lvlJc w:val="left"/>
      <w:lvlText w:val="%1"/>
      <w:numFmt w:val="upperLetter"/>
      <w:start w:val="1"/>
    </w:lvl>
    <w:lvl w:ilvl="1">
      <w:lvlJc w:val="left"/>
      <w:lvlText w:val="(%2)"/>
      <w:numFmt w:val="lowerRoman"/>
      <w:start w:val="3"/>
    </w:lvl>
  </w:abstractNum>
  <w:abstractNum w:abstractNumId="259">
    <w:nsid w:val="34DFBC00"/>
    <w:multiLevelType w:val="hybridMultilevel"/>
    <w:lvl w:ilvl="0">
      <w:lvlJc w:val="left"/>
      <w:lvlText w:val="%1."/>
      <w:numFmt w:val="upperLetter"/>
      <w:start w:val="3"/>
    </w:lvl>
    <w:lvl w:ilvl="1">
      <w:lvlJc w:val="left"/>
      <w:lvlText w:val="(%2)"/>
      <w:numFmt w:val="lowerRoman"/>
      <w:start w:val="1"/>
    </w:lvl>
  </w:abstractNum>
  <w:abstractNum w:abstractNumId="260">
    <w:nsid w:val="1F9EC32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61">
    <w:nsid w:val="3410ED56"/>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62">
    <w:nsid w:val="23C049A"/>
    <w:multiLevelType w:val="hybridMultilevel"/>
    <w:lvl w:ilvl="0">
      <w:lvlJc w:val="left"/>
      <w:lvlText w:val="%1."/>
      <w:numFmt w:val="upperLetter"/>
      <w:start w:val="3"/>
    </w:lvl>
  </w:abstractNum>
  <w:abstractNum w:abstractNumId="263">
    <w:nsid w:val="5BDA35D4"/>
    <w:multiLevelType w:val="hybridMultilevel"/>
    <w:lvl w:ilvl="0">
      <w:lvlJc w:val="left"/>
      <w:lvlText w:val="%1."/>
      <w:numFmt w:val="upperLetter"/>
      <w:start w:val="1"/>
    </w:lvl>
    <w:lvl w:ilvl="1">
      <w:lvlJc w:val="left"/>
      <w:lvlText w:val="(%2)"/>
      <w:numFmt w:val="lowerRoman"/>
      <w:start w:val="1"/>
    </w:lvl>
  </w:abstractNum>
  <w:abstractNum w:abstractNumId="264">
    <w:nsid w:val="496FB218"/>
    <w:multiLevelType w:val="hybridMultilevel"/>
    <w:lvl w:ilvl="0">
      <w:lvlJc w:val="left"/>
      <w:lvlText w:val="%1."/>
      <w:numFmt w:val="upperLetter"/>
      <w:start w:val="3"/>
    </w:lvl>
    <w:lvl w:ilvl="1">
      <w:lvlJc w:val="left"/>
      <w:lvlText w:val="(%2)"/>
      <w:numFmt w:val="lowerRoman"/>
      <w:start w:val="1"/>
    </w:lvl>
  </w:abstractNum>
  <w:abstractNum w:abstractNumId="265">
    <w:nsid w:val="680EA5D1"/>
    <w:multiLevelType w:val="hybridMultilevel"/>
    <w:lvl w:ilvl="0">
      <w:lvlJc w:val="left"/>
      <w:lvlText w:val="(%1)"/>
      <w:numFmt w:val="lowerRoman"/>
      <w:start w:val="8"/>
    </w:lvl>
  </w:abstractNum>
  <w:abstractNum w:abstractNumId="266">
    <w:nsid w:val="4A9554FE"/>
    <w:multiLevelType w:val="hybridMultilevel"/>
    <w:lvl w:ilvl="0">
      <w:lvlJc w:val="left"/>
      <w:lvlText w:val="%1."/>
      <w:numFmt w:val="upperLetter"/>
      <w:start w:val="1"/>
    </w:lvl>
  </w:abstractNum>
  <w:abstractNum w:abstractNumId="267">
    <w:nsid w:val="392EDBE4"/>
    <w:multiLevelType w:val="hybridMultilevel"/>
    <w:lvl w:ilvl="0">
      <w:lvlJc w:val="left"/>
      <w:lvlText w:val="%1."/>
      <w:numFmt w:val="upperLetter"/>
      <w:start w:val="1"/>
    </w:lvl>
  </w:abstractNum>
  <w:abstractNum w:abstractNumId="268">
    <w:nsid w:val="3D1A2DD9"/>
    <w:multiLevelType w:val="hybridMultilevel"/>
    <w:lvl w:ilvl="0">
      <w:lvlJc w:val="left"/>
      <w:lvlText w:val="%1."/>
      <w:numFmt w:val="upperLetter"/>
      <w:start w:val="4"/>
    </w:lvl>
  </w:abstractNum>
  <w:abstractNum w:abstractNumId="269">
    <w:nsid w:val="7F618FCD"/>
    <w:multiLevelType w:val="hybridMultilevel"/>
    <w:lvl w:ilvl="0">
      <w:lvlJc w:val="left"/>
      <w:lvlText w:val="%1."/>
      <w:numFmt w:val="upperLetter"/>
      <w:start w:val="1"/>
    </w:lvl>
  </w:abstractNum>
  <w:abstractNum w:abstractNumId="270">
    <w:nsid w:val="7843E45"/>
    <w:multiLevelType w:val="hybridMultilevel"/>
    <w:lvl w:ilvl="0">
      <w:lvlJc w:val="left"/>
      <w:lvlText w:val="%1."/>
      <w:numFmt w:val="upperLetter"/>
      <w:start w:val="5"/>
    </w:lvl>
  </w:abstractNum>
  <w:abstractNum w:abstractNumId="271">
    <w:nsid w:val="9815DA3"/>
    <w:multiLevelType w:val="hybridMultilevel"/>
    <w:lvl w:ilvl="0">
      <w:lvlJc w:val="left"/>
      <w:lvlText w:val="%1."/>
      <w:numFmt w:val="decimal"/>
      <w:start w:val="1"/>
    </w:lvl>
    <w:lvl w:ilvl="1">
      <w:lvlJc w:val="left"/>
      <w:lvlText w:val="(%2)"/>
      <w:numFmt w:val="lowerLetter"/>
      <w:start w:val="1"/>
    </w:lvl>
  </w:abstractNum>
  <w:abstractNum w:abstractNumId="272">
    <w:nsid w:val="5204A191"/>
    <w:multiLevelType w:val="hybridMultilevel"/>
    <w:lvl w:ilvl="0">
      <w:lvlJc w:val="left"/>
      <w:lvlText w:val="(%1)"/>
      <w:numFmt w:val="lowerLetter"/>
      <w:start w:val="2"/>
    </w:lvl>
    <w:lvl w:ilvl="1">
      <w:lvlJc w:val="left"/>
      <w:lvlText w:val="(%2)"/>
      <w:numFmt w:val="lowerRoman"/>
      <w:start w:val="1"/>
    </w:lvl>
  </w:abstractNum>
  <w:abstractNum w:abstractNumId="273">
    <w:nsid w:val="4C73A9C6"/>
    <w:multiLevelType w:val="hybridMultilevel"/>
    <w:lvl w:ilvl="0">
      <w:lvlJc w:val="left"/>
      <w:lvlText w:val="%1"/>
      <w:numFmt w:val="lowerLetter"/>
      <w:start w:val="1"/>
    </w:lvl>
    <w:lvl w:ilvl="1">
      <w:lvlJc w:val="left"/>
      <w:lvlText w:val="(%2)"/>
      <w:numFmt w:val="lowerRoman"/>
      <w:start w:val="4"/>
    </w:lvl>
  </w:abstractNum>
  <w:abstractNum w:abstractNumId="274">
    <w:nsid w:val="1C7E3C01"/>
    <w:multiLevelType w:val="hybridMultilevel"/>
    <w:lvl w:ilvl="0">
      <w:lvlJc w:val="left"/>
      <w:lvlText w:val="(%1)"/>
      <w:numFmt w:val="lowerLetter"/>
      <w:start w:val="4"/>
    </w:lvl>
    <w:lvl w:ilvl="1">
      <w:lvlJc w:val="left"/>
      <w:lvlText w:val="%2"/>
      <w:numFmt w:val="lowerRoman"/>
      <w:start w:val="1"/>
    </w:lvl>
  </w:abstractNum>
  <w:abstractNum w:abstractNumId="275">
    <w:nsid w:val="1C2201FF"/>
    <w:multiLevelType w:val="hybridMultilevel"/>
    <w:lvl w:ilvl="0">
      <w:lvlJc w:val="left"/>
      <w:lvlText w:val="%1"/>
      <w:numFmt w:val="lowerLetter"/>
      <w:start w:val="1"/>
    </w:lvl>
    <w:lvl w:ilvl="1">
      <w:lvlJc w:val="left"/>
      <w:lvlText w:val="(%2)"/>
      <w:numFmt w:val="lowerLetter"/>
      <w:start w:val="10"/>
    </w:lvl>
  </w:abstractNum>
  <w:abstractNum w:abstractNumId="276">
    <w:nsid w:val="50ABCEC9"/>
    <w:multiLevelType w:val="hybridMultilevel"/>
    <w:lvl w:ilvl="0">
      <w:lvlJc w:val="left"/>
      <w:lvlText w:val="(%1)"/>
      <w:numFmt w:val="lowerLetter"/>
      <w:start w:val="35"/>
    </w:lvl>
    <w:lvl w:ilvl="1">
      <w:lvlJc w:val="left"/>
      <w:lvlText w:val="(%2)"/>
      <w:numFmt w:val="lowerLetter"/>
      <w:start w:val="12"/>
    </w:lvl>
  </w:abstractNum>
  <w:abstractNum w:abstractNumId="277">
    <w:nsid w:val="7635AA2A"/>
    <w:multiLevelType w:val="hybridMultilevel"/>
    <w:lvl w:ilvl="0">
      <w:lvlJc w:val="left"/>
      <w:lvlText w:val="%1"/>
      <w:numFmt w:val="decimal"/>
      <w:start w:val="1"/>
    </w:lvl>
    <w:lvl w:ilvl="1">
      <w:lvlJc w:val="left"/>
      <w:lvlText w:val="(%2)"/>
      <w:numFmt w:val="lowerLetter"/>
      <w:start w:val="13"/>
    </w:lvl>
  </w:abstractNum>
  <w:abstractNum w:abstractNumId="278">
    <w:nsid w:val="5E74C4D9"/>
    <w:multiLevelType w:val="hybridMultilevel"/>
    <w:lvl w:ilvl="0">
      <w:lvlJc w:val="left"/>
      <w:lvlText w:val="%1."/>
      <w:numFmt w:val="decimal"/>
      <w:start w:val="3"/>
    </w:lvl>
    <w:lvl w:ilvl="1">
      <w:lvlJc w:val="left"/>
      <w:lvlText w:val="%2"/>
      <w:numFmt w:val="lowerLetter"/>
      <w:start w:val="1"/>
    </w:lvl>
  </w:abstractNum>
  <w:abstractNum w:abstractNumId="279">
    <w:nsid w:val="3B3EBE15"/>
    <w:multiLevelType w:val="hybridMultilevel"/>
    <w:lvl w:ilvl="0">
      <w:lvlJc w:val="left"/>
      <w:lvlText w:val="%1."/>
      <w:numFmt w:val="decimal"/>
      <w:start w:val="5"/>
    </w:lvl>
  </w:abstractNum>
  <w:abstractNum w:abstractNumId="280">
    <w:nsid w:val="3822CB01"/>
    <w:multiLevelType w:val="hybridMultilevel"/>
    <w:lvl w:ilvl="0">
      <w:lvlJc w:val="left"/>
      <w:lvlText w:val="%1."/>
      <w:numFmt w:val="decimal"/>
      <w:start w:val="8"/>
    </w:lvl>
    <w:lvl w:ilvl="1">
      <w:lvlJc w:val="left"/>
      <w:lvlText w:val="(%2)"/>
      <w:numFmt w:val="lowerLetter"/>
      <w:start w:val="1"/>
    </w:lvl>
  </w:abstractNum>
  <w:abstractNum w:abstractNumId="281">
    <w:nsid w:val="6CE00443"/>
    <w:multiLevelType w:val="hybridMultilevel"/>
    <w:lvl w:ilvl="0">
      <w:lvlJc w:val="left"/>
      <w:lvlText w:val="%1."/>
      <w:numFmt w:val="decimal"/>
      <w:start w:val="10"/>
    </w:lvl>
    <w:lvl w:ilvl="1">
      <w:lvlJc w:val="left"/>
      <w:lvlText w:val="(%2)"/>
      <w:numFmt w:val="lowerLetter"/>
      <w:start w:val="1"/>
    </w:lvl>
  </w:abstractNum>
  <w:abstractNum w:abstractNumId="282">
    <w:nsid w:val="79F0D62F"/>
    <w:multiLevelType w:val="hybridMultilevel"/>
    <w:lvl w:ilvl="0">
      <w:lvlJc w:val="left"/>
      <w:lvlText w:val="%1."/>
      <w:numFmt w:val="decimal"/>
      <w:start w:val="12"/>
    </w:lvl>
    <w:lvl w:ilvl="1">
      <w:lvlJc w:val="left"/>
      <w:lvlText w:val="(%2)"/>
      <w:numFmt w:val="lowerLetter"/>
      <w:start w:val="1"/>
    </w:lvl>
  </w:abstractNum>
  <w:abstractNum w:abstractNumId="283">
    <w:nsid w:val="7975E8EE"/>
    <w:multiLevelType w:val="hybridMultilevel"/>
    <w:lvl w:ilvl="0">
      <w:lvlJc w:val="left"/>
      <w:lvlText w:val="%1"/>
      <w:numFmt w:val="decimal"/>
      <w:start w:val="1"/>
    </w:lvl>
    <w:lvl w:ilvl="1">
      <w:lvlJc w:val="left"/>
      <w:lvlText w:val="(%2)"/>
      <w:numFmt w:val="lowerLetter"/>
      <w:start w:val="3"/>
    </w:lvl>
  </w:abstractNum>
  <w:abstractNum w:abstractNumId="284">
    <w:nsid w:val="73154115"/>
    <w:multiLevelType w:val="hybridMultilevel"/>
    <w:lvl w:ilvl="0">
      <w:lvlJc w:val="left"/>
      <w:lvlText w:val="%1."/>
      <w:numFmt w:val="decimal"/>
      <w:start w:val="13"/>
    </w:lvl>
    <w:lvl w:ilvl="1">
      <w:lvlJc w:val="left"/>
      <w:lvlText w:val="(%2)"/>
      <w:numFmt w:val="lowerLetter"/>
      <w:start w:val="1"/>
    </w:lvl>
  </w:abstractNum>
  <w:abstractNum w:abstractNumId="285">
    <w:nsid w:val="622D8102"/>
    <w:multiLevelType w:val="hybridMultilevel"/>
    <w:lvl w:ilvl="0">
      <w:lvlJc w:val="left"/>
      <w:lvlText w:val="%1"/>
      <w:numFmt w:val="decimal"/>
      <w:start w:val="1"/>
    </w:lvl>
    <w:lvl w:ilvl="1">
      <w:lvlJc w:val="left"/>
      <w:lvlText w:val="(%2)"/>
      <w:numFmt w:val="lowerLetter"/>
      <w:start w:val="3"/>
    </w:lvl>
  </w:abstractNum>
  <w:abstractNum w:abstractNumId="286">
    <w:nsid w:val="2AB26587"/>
    <w:multiLevelType w:val="hybridMultilevel"/>
    <w:lvl w:ilvl="0">
      <w:lvlJc w:val="left"/>
      <w:lvlText w:val="%1."/>
      <w:numFmt w:val="decimal"/>
      <w:start w:val="14"/>
    </w:lvl>
    <w:lvl w:ilvl="1">
      <w:lvlJc w:val="left"/>
      <w:lvlText w:val="(%2)"/>
      <w:numFmt w:val="lowerLetter"/>
      <w:start w:val="1"/>
    </w:lvl>
  </w:abstractNum>
  <w:abstractNum w:abstractNumId="287">
    <w:nsid w:val="44B3FA61"/>
    <w:multiLevelType w:val="hybridMultilevel"/>
    <w:lvl w:ilvl="0">
      <w:lvlJc w:val="left"/>
      <w:lvlText w:val="(%1)"/>
      <w:numFmt w:val="lowerLetter"/>
      <w:start w:val="2"/>
    </w:lvl>
  </w:abstractNum>
  <w:abstractNum w:abstractNumId="288">
    <w:nsid w:val="1C0CA67C"/>
    <w:multiLevelType w:val="hybridMultilevel"/>
    <w:lvl w:ilvl="0">
      <w:lvlJc w:val="left"/>
      <w:lvlText w:val="%1"/>
      <w:numFmt w:val="decimal"/>
      <w:start w:val="1"/>
    </w:lvl>
    <w:lvl w:ilvl="1">
      <w:lvlJc w:val="left"/>
      <w:lvlText w:val="(%2)"/>
      <w:numFmt w:val="lowerLetter"/>
      <w:start w:val="7"/>
    </w:lvl>
  </w:abstractNum>
  <w:abstractNum w:abstractNumId="289">
    <w:nsid w:val="3D206613"/>
    <w:multiLevelType w:val="hybridMultilevel"/>
    <w:lvl w:ilvl="0">
      <w:lvlJc w:val="left"/>
      <w:lvlText w:val="%1."/>
      <w:numFmt w:val="decimal"/>
      <w:start w:val="15"/>
    </w:lvl>
    <w:lvl w:ilvl="1">
      <w:lvlJc w:val="left"/>
      <w:lvlText w:val="(%2)"/>
      <w:numFmt w:val="lowerLetter"/>
      <w:start w:val="1"/>
    </w:lvl>
  </w:abstractNum>
  <w:abstractNum w:abstractNumId="290">
    <w:nsid w:val="7993B662"/>
    <w:multiLevelType w:val="hybridMultilevel"/>
    <w:lvl w:ilvl="0">
      <w:lvlJc w:val="left"/>
      <w:lvlText w:val="%1"/>
      <w:numFmt w:val="lowerLetter"/>
      <w:start w:val="1"/>
    </w:lvl>
    <w:lvl w:ilvl="1">
      <w:lvlJc w:val="left"/>
      <w:lvlText w:val="(%2)"/>
      <w:numFmt w:val="lowerLetter"/>
      <w:start w:val="2"/>
    </w:lvl>
  </w:abstractNum>
  <w:abstractNum w:abstractNumId="291">
    <w:nsid w:val="3BAB699E"/>
    <w:multiLevelType w:val="hybridMultilevel"/>
    <w:lvl w:ilvl="0">
      <w:lvlJc w:val="left"/>
      <w:lvlText w:val="(%1)"/>
      <w:numFmt w:val="lowerLetter"/>
      <w:start w:val="35"/>
    </w:lvl>
    <w:lvl w:ilvl="1">
      <w:lvlJc w:val="left"/>
      <w:lvlText w:val="%2"/>
      <w:numFmt w:val="lowerLetter"/>
      <w:start w:val="1"/>
    </w:lvl>
  </w:abstractNum>
  <w:abstractNum w:abstractNumId="292">
    <w:nsid w:val="71315369"/>
    <w:multiLevelType w:val="hybridMultilevel"/>
    <w:lvl w:ilvl="0">
      <w:lvlJc w:val="left"/>
      <w:lvlText w:val="%1"/>
      <w:numFmt w:val="decimal"/>
      <w:start w:val="1"/>
    </w:lvl>
    <w:lvl w:ilvl="1">
      <w:lvlJc w:val="left"/>
      <w:lvlText w:val="(%2)"/>
      <w:numFmt w:val="lowerLetter"/>
      <w:start w:val="6"/>
    </w:lvl>
  </w:abstractNum>
  <w:abstractNum w:abstractNumId="293">
    <w:nsid w:val="7BCFBAFC"/>
    <w:multiLevelType w:val="hybridMultilevel"/>
    <w:lvl w:ilvl="0">
      <w:lvlJc w:val="left"/>
      <w:lvlText w:val="%1."/>
      <w:numFmt w:val="decimal"/>
      <w:start w:val="17"/>
    </w:lvl>
    <w:lvl w:ilvl="1">
      <w:lvlJc w:val="left"/>
      <w:lvlText w:val="%2"/>
      <w:numFmt w:val="lowerLetter"/>
      <w:start w:val="1"/>
    </w:lvl>
  </w:abstractNum>
  <w:abstractNum w:abstractNumId="294">
    <w:nsid w:val="17859F72"/>
    <w:multiLevelType w:val="hybridMultilevel"/>
    <w:lvl w:ilvl="0">
      <w:lvlJc w:val="left"/>
      <w:lvlText w:val="%1."/>
      <w:numFmt w:val="decimal"/>
      <w:start w:val="18"/>
    </w:lvl>
    <w:lvl w:ilvl="1">
      <w:lvlJc w:val="left"/>
      <w:lvlText w:val="(%2)"/>
      <w:numFmt w:val="lowerLetter"/>
      <w:start w:val="1"/>
    </w:lvl>
  </w:abstractNum>
  <w:abstractNum w:abstractNumId="295">
    <w:nsid w:val="3AA10581"/>
    <w:multiLevelType w:val="hybridMultilevel"/>
    <w:lvl w:ilvl="0">
      <w:lvlJc w:val="left"/>
      <w:lvlText w:val="%1"/>
      <w:numFmt w:val="decimal"/>
      <w:start w:val="1"/>
    </w:lvl>
    <w:lvl w:ilvl="1">
      <w:lvlJc w:val="left"/>
      <w:lvlText w:val="(%2)"/>
      <w:numFmt w:val="lowerLetter"/>
      <w:start w:val="5"/>
    </w:lvl>
  </w:abstractNum>
  <w:abstractNum w:abstractNumId="296">
    <w:nsid w:val="63DE60CD"/>
    <w:multiLevelType w:val="hybridMultilevel"/>
    <w:lvl w:ilvl="0">
      <w:lvlJc w:val="left"/>
      <w:lvlText w:val="%1."/>
      <w:numFmt w:val="decimal"/>
      <w:start w:val="20"/>
    </w:lvl>
    <w:lvl w:ilvl="1">
      <w:lvlJc w:val="left"/>
      <w:lvlText w:val="(%2)"/>
      <w:numFmt w:val="lowerLetter"/>
      <w:start w:val="1"/>
    </w:lvl>
  </w:abstractNum>
  <w:abstractNum w:abstractNumId="297">
    <w:nsid w:val="621AF471"/>
    <w:multiLevelType w:val="hybridMultilevel"/>
    <w:lvl w:ilvl="0">
      <w:lvlJc w:val="left"/>
      <w:lvlText w:val="%1."/>
      <w:numFmt w:val="decimal"/>
      <w:start w:val="22"/>
    </w:lvl>
  </w:abstractNum>
  <w:abstractNum w:abstractNumId="298">
    <w:nsid w:val="73CFE165"/>
    <w:multiLevelType w:val="hybridMultilevel"/>
    <w:lvl w:ilvl="0">
      <w:lvlJc w:val="left"/>
      <w:lvlText w:val="%1."/>
      <w:numFmt w:val="decimal"/>
      <w:start w:val="27"/>
    </w:lvl>
  </w:abstractNum>
  <w:abstractNum w:abstractNumId="299">
    <w:nsid w:val="20F88EA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2020-07-14T16:04:22Z</dcterms:created>
  <dcterms:modified xsi:type="dcterms:W3CDTF">2020-07-14T16:04:22Z</dcterms:modified>
</cp:coreProperties>
</file>