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2757d2_8k.htm"/>
      <w:bookmarkStart w:id="1" w:name="kstm2622757d2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UNITED STATES</w:t>
        <w:br/>
        <w:t>SECURITIES AND EXCHANGE COMMISSION</w:t>
      </w:r>
      <w:r>
        <w:rPr>
          <w:rFonts w:ascii="Times New Roman;Times;Serif" w:hAnsi="Times New Roman;Times;Serif"/>
          <w:b/>
          <w:i w:val="false"/>
          <w:caps w:val="false"/>
          <w:smallCaps w:val="false"/>
          <w:sz w:val="28"/>
        </w:rPr>
        <w:br/>
      </w: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6081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val="false"/>
          <w:i w:val="false"/>
          <w:caps w:val="false"/>
          <w:smallCaps w:val="false"/>
          <w:sz w:val="20"/>
        </w:rPr>
        <w:t>August 12,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E_edei--EntityRegistrantName_c2026"/>
      <w:bookmarkEnd w:id="4"/>
      <w:r>
        <w:rPr>
          <w:rFonts w:ascii="Times New Roman;Times;Serif" w:hAnsi="Times New Roman;Times;Serif"/>
          <w:b/>
          <w:i w:val="false"/>
          <w:caps w:val="false"/>
          <w:smallCaps w:val="false"/>
          <w:sz w:val="36"/>
        </w:rPr>
        <w:t>Lucid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695" w:type="dxa"/>
        <w:jc w:val="left"/>
        <w:tblInd w:w="0" w:type="dxa"/>
        <w:tblLayout w:type="fixed"/>
        <w:tblCellMar>
          <w:top w:w="0" w:type="dxa"/>
          <w:left w:w="0" w:type="dxa"/>
          <w:bottom w:w="0" w:type="dxa"/>
          <w:right w:w="0" w:type="dxa"/>
        </w:tblCellMar>
      </w:tblPr>
      <w:tblGrid>
        <w:gridCol w:w="3275"/>
        <w:gridCol w:w="1505"/>
        <w:gridCol w:w="2915"/>
      </w:tblGrid>
      <w:tr>
        <w:trPr/>
        <w:tc>
          <w:tcPr>
            <w:tcW w:w="3275" w:type="dxa"/>
            <w:tcBorders/>
            <w:vAlign w:val="center"/>
          </w:tcPr>
          <w:p>
            <w:pPr>
              <w:pStyle w:val="TableContents"/>
              <w:bidi w:val="0"/>
              <w:spacing w:before="0" w:after="283"/>
              <w:jc w:val="center"/>
              <w:rPr>
                <w:rFonts w:ascii="Times New Roman;Times;Serif" w:hAnsi="Times New Roman;Times;Serif"/>
                <w:b/>
                <w:sz w:val="20"/>
              </w:rPr>
            </w:pPr>
            <w:bookmarkStart w:id="5" w:name="xdx_908_edei--EntityIncorporationStateCo"/>
            <w:bookmarkEnd w:id="5"/>
            <w:r>
              <w:rPr>
                <w:rFonts w:ascii="Times New Roman;Times;Serif" w:hAnsi="Times New Roman;Times;Serif"/>
                <w:b/>
                <w:sz w:val="20"/>
              </w:rPr>
              <w:t>Delaware</w:t>
            </w:r>
          </w:p>
        </w:tc>
        <w:tc>
          <w:tcPr>
            <w:tcW w:w="1505" w:type="dxa"/>
            <w:tcBorders/>
            <w:shd w:fill="FFFFFF" w:val="clear"/>
            <w:vAlign w:val="center"/>
          </w:tcPr>
          <w:p>
            <w:pPr>
              <w:pStyle w:val="TableContents"/>
              <w:bidi w:val="0"/>
              <w:spacing w:before="0" w:after="283"/>
              <w:jc w:val="center"/>
              <w:rPr>
                <w:rFonts w:ascii="Times New Roman;Times;Serif" w:hAnsi="Times New Roman;Times;Serif"/>
                <w:b/>
                <w:sz w:val="20"/>
              </w:rPr>
            </w:pPr>
            <w:bookmarkStart w:id="6" w:name="xdx_907_edei--EntityFileNumber_c20260812"/>
            <w:bookmarkEnd w:id="6"/>
            <w:r>
              <w:rPr>
                <w:rFonts w:ascii="Times New Roman;Times;Serif" w:hAnsi="Times New Roman;Times;Serif"/>
                <w:b/>
                <w:sz w:val="20"/>
              </w:rPr>
              <w:t>001-39408</w:t>
            </w:r>
          </w:p>
        </w:tc>
        <w:tc>
          <w:tcPr>
            <w:tcW w:w="2915" w:type="dxa"/>
            <w:tcBorders/>
            <w:vAlign w:val="center"/>
          </w:tcPr>
          <w:p>
            <w:pPr>
              <w:pStyle w:val="TableContents"/>
              <w:bidi w:val="0"/>
              <w:spacing w:before="0" w:after="283"/>
              <w:jc w:val="center"/>
              <w:rPr>
                <w:rFonts w:ascii="Times New Roman;Times;Serif" w:hAnsi="Times New Roman;Times;Serif"/>
                <w:b/>
                <w:sz w:val="20"/>
              </w:rPr>
            </w:pPr>
            <w:bookmarkStart w:id="7" w:name="xdx_909_edei--EntityTaxIdentificationNum"/>
            <w:bookmarkEnd w:id="7"/>
            <w:r>
              <w:rPr>
                <w:rFonts w:ascii="Times New Roman;Times;Serif" w:hAnsi="Times New Roman;Times;Serif"/>
                <w:b/>
                <w:sz w:val="20"/>
              </w:rPr>
              <w:t>85-0891392</w:t>
            </w:r>
          </w:p>
        </w:tc>
      </w:tr>
      <w:tr>
        <w:trPr/>
        <w:tc>
          <w:tcPr>
            <w:tcW w:w="3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of </w:t>
              <w:br/>
              <w:t>incorporation or organization)</w:t>
            </w:r>
          </w:p>
        </w:tc>
        <w:tc>
          <w:tcPr>
            <w:tcW w:w="15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(Commission File </w:t>
              <w:br/>
              <w:t>Number)</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32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7373 Gateway Boulevard</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9" w:name="xdx_90C_edei--EntityAddressCityOrTown_c2"/>
            <w:bookmarkEnd w:id="9"/>
            <w:r>
              <w:rPr>
                <w:rFonts w:ascii="Times New Roman;Times;Serif" w:hAnsi="Times New Roman;Times;Serif"/>
                <w:b/>
                <w:i w:val="false"/>
                <w:caps w:val="false"/>
                <w:smallCaps w:val="false"/>
                <w:sz w:val="20"/>
              </w:rPr>
              <w:t xml:space="preserve">Newark, </w:t>
            </w:r>
            <w:bookmarkStart w:id="10" w:name="xdx_90C_edei--EntityAddressStateOrProvin"/>
            <w:bookmarkEnd w:id="10"/>
            <w:r>
              <w:rPr>
                <w:rFonts w:ascii="Times New Roman;Times;Serif" w:hAnsi="Times New Roman;Times;Serif"/>
                <w:b/>
                <w:i w:val="false"/>
                <w:caps w:val="false"/>
                <w:smallCaps w:val="false"/>
                <w:sz w:val="20"/>
              </w:rPr>
              <w:t>CA</w:t>
            </w:r>
          </w:p>
        </w:tc>
        <w:tc>
          <w:tcPr>
            <w:tcW w:w="1505" w:type="dxa"/>
            <w:tcBorders/>
            <w:vAlign w:val="center"/>
          </w:tcPr>
          <w:p>
            <w:pPr>
              <w:pStyle w:val="TableContents"/>
              <w:bidi w:val="0"/>
              <w:spacing w:before="0" w:after="283"/>
              <w:jc w:val="center"/>
              <w:rPr/>
            </w:pPr>
            <w:r>
              <w:rPr/>
              <w:t> </w:t>
            </w:r>
          </w:p>
        </w:tc>
        <w:tc>
          <w:tcPr>
            <w:tcW w:w="2915" w:type="dxa"/>
            <w:tcBorders/>
            <w:vAlign w:val="center"/>
          </w:tcPr>
          <w:p>
            <w:pPr>
              <w:pStyle w:val="TableContents"/>
              <w:bidi w:val="0"/>
              <w:spacing w:before="0" w:after="283"/>
              <w:jc w:val="center"/>
              <w:rPr>
                <w:rFonts w:ascii="Times New Roman;Times;Serif" w:hAnsi="Times New Roman;Times;Serif"/>
                <w:b/>
                <w:sz w:val="20"/>
              </w:rPr>
            </w:pPr>
            <w:bookmarkStart w:id="11" w:name="xdx_908_edei--EntityAddressPostalZipCode"/>
            <w:bookmarkEnd w:id="11"/>
            <w:r>
              <w:rPr>
                <w:rFonts w:ascii="Times New Roman;Times;Serif" w:hAnsi="Times New Roman;Times;Serif"/>
                <w:b/>
                <w:sz w:val="20"/>
              </w:rPr>
              <w:t>94560</w:t>
            </w:r>
          </w:p>
        </w:tc>
      </w:tr>
      <w:tr>
        <w:trPr/>
        <w:tc>
          <w:tcPr>
            <w:tcW w:w="3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50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ind w:left="0" w:right="0" w:hanging="0"/>
        <w:jc w:val="left"/>
        <w:rPr/>
      </w:pPr>
      <w:r>
        <w:rPr/>
        <w:t> </w:t>
      </w:r>
    </w:p>
    <w:tbl>
      <w:tblPr>
        <w:tblW w:w="5615" w:type="dxa"/>
        <w:jc w:val="left"/>
        <w:tblInd w:w="0" w:type="dxa"/>
        <w:tblLayout w:type="fixed"/>
        <w:tblCellMar>
          <w:top w:w="0" w:type="dxa"/>
          <w:left w:w="0" w:type="dxa"/>
          <w:bottom w:w="0" w:type="dxa"/>
          <w:right w:w="0" w:type="dxa"/>
        </w:tblCellMar>
      </w:tblPr>
      <w:tblGrid>
        <w:gridCol w:w="5615"/>
      </w:tblGrid>
      <w:tr>
        <w:trPr/>
        <w:tc>
          <w:tcPr>
            <w:tcW w:w="5615" w:type="dxa"/>
            <w:tcBorders/>
            <w:vAlign w:val="center"/>
          </w:tcPr>
          <w:p>
            <w:pPr>
              <w:pStyle w:val="TableContents"/>
              <w:bidi w:val="0"/>
              <w:spacing w:before="0" w:after="283"/>
              <w:jc w:val="center"/>
              <w:rPr>
                <w:sz w:val="20"/>
              </w:rPr>
            </w:pPr>
            <w:r>
              <w:rPr>
                <w:sz w:val="20"/>
              </w:rPr>
              <w:t xml:space="preserve">Registrant’s telephone number, including area code: </w:t>
            </w:r>
            <w:r>
              <w:rPr>
                <w:b/>
                <w:sz w:val="20"/>
              </w:rPr>
              <w:t>(</w:t>
            </w:r>
            <w:bookmarkStart w:id="12" w:name="xdx_909_edei--CityAreaCode_c20260812__20"/>
            <w:bookmarkEnd w:id="12"/>
            <w:r>
              <w:rPr>
                <w:b/>
                <w:sz w:val="20"/>
              </w:rPr>
              <w:t xml:space="preserve">510) </w:t>
            </w:r>
            <w:bookmarkStart w:id="13" w:name="xdx_90C_edei--LocalPhoneNumber_c20260812"/>
            <w:bookmarkEnd w:id="13"/>
            <w:r>
              <w:rPr>
                <w:b/>
                <w:sz w:val="20"/>
              </w:rPr>
              <w:t>648-3553</w:t>
            </w:r>
          </w:p>
        </w:tc>
      </w:tr>
      <w:tr>
        <w:trPr/>
        <w:tc>
          <w:tcPr>
            <w:tcW w:w="5615" w:type="dxa"/>
            <w:tcBorders/>
            <w:vAlign w:val="center"/>
          </w:tcPr>
          <w:p>
            <w:pPr>
              <w:pStyle w:val="TableContents"/>
              <w:bidi w:val="0"/>
              <w:spacing w:before="0" w:after="283"/>
              <w:jc w:val="center"/>
              <w:rPr/>
            </w:pPr>
            <w:r>
              <w:rPr/>
              <w:t> </w:t>
            </w:r>
          </w:p>
        </w:tc>
      </w:tr>
      <w:tr>
        <w:trPr/>
        <w:tc>
          <w:tcPr>
            <w:tcW w:w="5615" w:type="dxa"/>
            <w:tcBorders/>
            <w:vAlign w:val="center"/>
          </w:tcPr>
          <w:p>
            <w:pPr>
              <w:pStyle w:val="TableContents"/>
              <w:bidi w:val="0"/>
              <w:spacing w:before="0" w:after="283"/>
              <w:jc w:val="center"/>
              <w:rPr>
                <w:sz w:val="20"/>
              </w:rPr>
            </w:pPr>
            <w:r>
              <w:rPr>
                <w:sz w:val="20"/>
              </w:rPr>
              <w:t>(Former name or former address,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2" w:right="0" w:hanging="302"/>
        <w:jc w:val="both"/>
        <w:rPr>
          <w:caps w:val="false"/>
          <w:smallCaps w:val="false"/>
        </w:rPr>
      </w:pPr>
      <w:bookmarkStart w:id="14" w:name="xdx_90D_edei--WrittenCommunications_c202"/>
      <w:bookmarkEnd w:id="14"/>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 </w:t>
      </w:r>
    </w:p>
    <w:p>
      <w:pPr>
        <w:pStyle w:val="TextBody"/>
        <w:bidi w:val="0"/>
        <w:spacing w:before="0" w:after="0"/>
        <w:ind w:left="302" w:right="0" w:hanging="302"/>
        <w:jc w:val="both"/>
        <w:rPr>
          <w:caps w:val="false"/>
          <w:smallCaps w:val="false"/>
        </w:rPr>
      </w:pPr>
      <w:bookmarkStart w:id="15" w:name="xdx_90D_edei--SolicitingMaterial_c202608"/>
      <w:bookmarkEnd w:id="15"/>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 </w:t>
      </w:r>
    </w:p>
    <w:p>
      <w:pPr>
        <w:pStyle w:val="TextBody"/>
        <w:bidi w:val="0"/>
        <w:spacing w:before="0" w:after="0"/>
        <w:ind w:left="302" w:right="0" w:hanging="302"/>
        <w:jc w:val="both"/>
        <w:rPr>
          <w:caps w:val="false"/>
          <w:smallCaps w:val="false"/>
        </w:rPr>
      </w:pPr>
      <w:bookmarkStart w:id="16" w:name="xdx_90A_edei--PreCommencementTenderOffer"/>
      <w:bookmarkEnd w:id="16"/>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 </w:t>
      </w:r>
    </w:p>
    <w:p>
      <w:pPr>
        <w:pStyle w:val="TextBody"/>
        <w:bidi w:val="0"/>
        <w:spacing w:before="0" w:after="0"/>
        <w:ind w:left="302" w:right="0" w:hanging="302"/>
        <w:jc w:val="both"/>
        <w:rPr>
          <w:caps w:val="false"/>
          <w:smallCaps w:val="false"/>
        </w:rPr>
      </w:pPr>
      <w:bookmarkStart w:id="17" w:name="xdx_903_edei--PreCommencementIssuerTende"/>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302" w:right="0" w:hanging="302"/>
        <w:jc w:val="both"/>
        <w:rPr>
          <w:caps w:val="false"/>
          <w:smallCaps w:val="false"/>
        </w:rPr>
      </w:pPr>
      <w:r>
        <w:rPr>
          <w:caps w:val="false"/>
          <w:smallCaps w:val="false"/>
        </w:rPr>
        <w:t> </w:t>
      </w:r>
    </w:p>
    <w:p>
      <w:pPr>
        <w:pStyle w:val="TextBody"/>
        <w:bidi w:val="0"/>
        <w:spacing w:before="0" w:after="0"/>
        <w:ind w:left="302" w:right="0" w:hanging="30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302" w:right="0" w:hanging="302"/>
        <w:jc w:val="both"/>
        <w:rPr>
          <w:caps w:val="false"/>
          <w:smallCaps w:val="false"/>
        </w:rPr>
      </w:pPr>
      <w:r>
        <w:rPr>
          <w:caps w:val="false"/>
          <w:smallCaps w:val="false"/>
        </w:rPr>
        <w:t> </w:t>
      </w:r>
    </w:p>
    <w:tbl>
      <w:tblPr>
        <w:tblW w:w="8070" w:type="dxa"/>
        <w:jc w:val="left"/>
        <w:tblInd w:w="0" w:type="dxa"/>
        <w:tblLayout w:type="fixed"/>
        <w:tblCellMar>
          <w:top w:w="0" w:type="dxa"/>
          <w:left w:w="0" w:type="dxa"/>
          <w:bottom w:w="28" w:type="dxa"/>
          <w:right w:w="0" w:type="dxa"/>
        </w:tblCellMar>
      </w:tblPr>
      <w:tblGrid>
        <w:gridCol w:w="4280"/>
        <w:gridCol w:w="60"/>
        <w:gridCol w:w="860"/>
        <w:gridCol w:w="60"/>
        <w:gridCol w:w="2810"/>
      </w:tblGrid>
      <w:tr>
        <w:trPr/>
        <w:tc>
          <w:tcPr>
            <w:tcW w:w="42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br/>
              <w:t>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w:t>
              <w:br/>
              <w:t>registered</w:t>
            </w:r>
          </w:p>
        </w:tc>
      </w:tr>
      <w:tr>
        <w:trPr/>
        <w:tc>
          <w:tcPr>
            <w:tcW w:w="4280" w:type="dxa"/>
            <w:tcBorders/>
            <w:tcMar>
              <w:bottom w:w="0" w:type="dxa"/>
            </w:tcMar>
            <w:vAlign w:val="center"/>
          </w:tcPr>
          <w:p>
            <w:pPr>
              <w:pStyle w:val="TableContents"/>
              <w:bidi w:val="0"/>
              <w:spacing w:before="0" w:after="283"/>
              <w:jc w:val="center"/>
              <w:rPr>
                <w:sz w:val="20"/>
              </w:rPr>
            </w:pPr>
            <w:bookmarkStart w:id="18" w:name="xdx_90B_edei--Security12bTitle_c20260812"/>
            <w:bookmarkEnd w:id="18"/>
            <w:r>
              <w:rPr>
                <w:sz w:val="20"/>
              </w:rPr>
              <w:t>Class A Common Stock, $0.0001 par value per share</w:t>
            </w:r>
          </w:p>
        </w:tc>
        <w:tc>
          <w:tcPr>
            <w:tcW w:w="60" w:type="dxa"/>
            <w:tcBorders/>
            <w:tcMar>
              <w:bottom w:w="0" w:type="dxa"/>
            </w:tcMar>
            <w:vAlign w:val="center"/>
          </w:tcPr>
          <w:p>
            <w:pPr>
              <w:pStyle w:val="TableContents"/>
              <w:bidi w:val="0"/>
              <w:spacing w:before="0" w:after="283"/>
              <w:jc w:val="center"/>
              <w:rPr/>
            </w:pPr>
            <w:r>
              <w:rPr/>
              <w:t> </w:t>
            </w:r>
          </w:p>
        </w:tc>
        <w:tc>
          <w:tcPr>
            <w:tcW w:w="860" w:type="dxa"/>
            <w:tcBorders/>
            <w:tcMar>
              <w:bottom w:w="0" w:type="dxa"/>
            </w:tcMar>
            <w:vAlign w:val="center"/>
          </w:tcPr>
          <w:p>
            <w:pPr>
              <w:pStyle w:val="TableContents"/>
              <w:bidi w:val="0"/>
              <w:spacing w:before="0" w:after="283"/>
              <w:jc w:val="center"/>
              <w:rPr>
                <w:sz w:val="20"/>
              </w:rPr>
            </w:pPr>
            <w:bookmarkStart w:id="19" w:name="xdx_904_edei--TradingSymbol_c20260812__2"/>
            <w:bookmarkEnd w:id="19"/>
            <w:r>
              <w:rPr>
                <w:sz w:val="20"/>
              </w:rPr>
              <w:t>LCID</w:t>
            </w:r>
          </w:p>
        </w:tc>
        <w:tc>
          <w:tcPr>
            <w:tcW w:w="60" w:type="dxa"/>
            <w:tcBorders/>
            <w:tcMar>
              <w:bottom w:w="0" w:type="dxa"/>
            </w:tcMar>
            <w:vAlign w:val="center"/>
          </w:tcPr>
          <w:p>
            <w:pPr>
              <w:pStyle w:val="TableContents"/>
              <w:bidi w:val="0"/>
              <w:spacing w:before="0" w:after="283"/>
              <w:jc w:val="center"/>
              <w:rPr/>
            </w:pPr>
            <w:r>
              <w:rPr/>
              <w:t> </w:t>
            </w:r>
          </w:p>
        </w:tc>
        <w:tc>
          <w:tcPr>
            <w:tcW w:w="2810" w:type="dxa"/>
            <w:tcBorders/>
            <w:tcMar>
              <w:bottom w:w="0" w:type="dxa"/>
            </w:tcMar>
            <w:vAlign w:val="center"/>
          </w:tcPr>
          <w:p>
            <w:pPr>
              <w:pStyle w:val="TableContents"/>
              <w:bidi w:val="0"/>
              <w:spacing w:before="0" w:after="283"/>
              <w:jc w:val="center"/>
              <w:rPr>
                <w:sz w:val="20"/>
              </w:rPr>
            </w:pPr>
            <w:bookmarkStart w:id="20" w:name="xdx_903_edei--SecurityExchangeName_c2026"/>
            <w:bookmarkEnd w:id="20"/>
            <w:r>
              <w:rPr>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0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60" w:after="240"/>
        <w:ind w:left="0" w:right="0" w:firstLine="36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2026, pursuant to a registration statement and a related prospectus supplement filed by Lucid Group,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with the Securities and Exchange Commission, the Company registered for resale up to (i) 55,000 shares of the Company’s Series C Convertible Preferred Stock, par value $0.0001 per share (the “</w:t>
      </w:r>
      <w:r>
        <w:rPr>
          <w:rFonts w:ascii="Times New Roman;Times;Serif" w:hAnsi="Times New Roman;Times;Serif"/>
          <w:b/>
          <w:i/>
          <w:caps w:val="false"/>
          <w:smallCaps w:val="false"/>
          <w:sz w:val="20"/>
        </w:rPr>
        <w:t>Series C Convertible Preferred Stock</w:t>
      </w:r>
      <w:r>
        <w:rPr>
          <w:rFonts w:ascii="Times New Roman;Times;Serif" w:hAnsi="Times New Roman;Times;Serif"/>
          <w:b w:val="false"/>
          <w:i w:val="false"/>
          <w:caps w:val="false"/>
          <w:smallCaps w:val="false"/>
          <w:sz w:val="20"/>
        </w:rPr>
        <w:t>”), issued to Ayar Third Investment Company (“</w:t>
      </w:r>
      <w:r>
        <w:rPr>
          <w:rFonts w:ascii="Times New Roman;Times;Serif" w:hAnsi="Times New Roman;Times;Serif"/>
          <w:b/>
          <w:i/>
          <w:caps w:val="false"/>
          <w:smallCaps w:val="false"/>
          <w:sz w:val="20"/>
        </w:rPr>
        <w:t>Ayar</w:t>
      </w:r>
      <w:r>
        <w:rPr>
          <w:rFonts w:ascii="Times New Roman;Times;Serif" w:hAnsi="Times New Roman;Times;Serif"/>
          <w:b w:val="false"/>
          <w:i w:val="false"/>
          <w:caps w:val="false"/>
          <w:smallCaps w:val="false"/>
          <w:sz w:val="20"/>
        </w:rPr>
        <w:t>”) in a private placement pursuant to a subscription agreement, dated April 14, 2026, by and between Ayar and the Company, (ii) 51,651,489 shares of Class A Common Stock, par value $0.0001 per share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which may be issued upon conversion of the Series C Convertible Preferred Stock as of June 30, 2026, and (iii) 24,038,462 shares of Common Stock issued to SMB Holding Corporation (“</w:t>
      </w:r>
      <w:r>
        <w:rPr>
          <w:rFonts w:ascii="Times New Roman;Times;Serif" w:hAnsi="Times New Roman;Times;Serif"/>
          <w:b/>
          <w:i/>
          <w:caps w:val="false"/>
          <w:smallCaps w:val="false"/>
          <w:sz w:val="20"/>
        </w:rPr>
        <w:t>SMB</w:t>
      </w:r>
      <w:r>
        <w:rPr>
          <w:rFonts w:ascii="Times New Roman;Times;Serif" w:hAnsi="Times New Roman;Times;Serif"/>
          <w:b w:val="false"/>
          <w:i w:val="false"/>
          <w:caps w:val="false"/>
          <w:smallCaps w:val="false"/>
          <w:sz w:val="20"/>
        </w:rPr>
        <w:t>”), a subsidiary of Uber Technologies, Inc., in a private placement pursuant to a subscription agreement, dated April 14, 2026, by and between SMB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filing a copy of the legal opinion and consent of Skadden, Arps, Slate, Meagher &amp; Flom LLP as Exhibit 5.1 to this Current Report on Form 8-K to add such exhibit to the Company’s Registration Statement on Form S-3ASR (File No. 333-282677).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a press release announcing the resale registration. A copy of the press release is attached as Exhibit 99.1 to this Current Report on Form 8-K and is incorporated by reference into this Item 8.01.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725"/>
        <w:gridCol w:w="6545"/>
      </w:tblGrid>
      <w:tr>
        <w:trPr/>
        <w:tc>
          <w:tcPr>
            <w:tcW w:w="7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w:t>
              <w:br/>
              <w:t>Number</w:t>
            </w:r>
          </w:p>
        </w:tc>
        <w:tc>
          <w:tcPr>
            <w:tcW w:w="65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vAlign w:val="center"/>
          </w:tcPr>
          <w:p>
            <w:pPr>
              <w:pStyle w:val="TableContents"/>
              <w:bidi w:val="0"/>
              <w:spacing w:before="0" w:after="283"/>
              <w:jc w:val="left"/>
              <w:rPr/>
            </w:pPr>
            <w:hyperlink w:anchor="tm2622757d2_ex5-1.htm">
              <w:r>
                <w:rPr>
                  <w:rStyle w:val="InternetLink"/>
                  <w:rFonts w:ascii="Times New Roman;Times;Serif" w:hAnsi="Times New Roman;Times;Serif"/>
                  <w:b w:val="false"/>
                  <w:i w:val="false"/>
                  <w:caps w:val="false"/>
                  <w:smallCaps w:val="false"/>
                  <w:sz w:val="20"/>
                </w:rPr>
                <w:t>5.1</w:t>
              </w:r>
            </w:hyperlink>
          </w:p>
        </w:tc>
        <w:tc>
          <w:tcPr>
            <w:tcW w:w="6545" w:type="dxa"/>
            <w:tcBorders/>
            <w:vAlign w:val="center"/>
          </w:tcPr>
          <w:p>
            <w:pPr>
              <w:pStyle w:val="TableContents"/>
              <w:bidi w:val="0"/>
              <w:spacing w:before="0" w:after="283"/>
              <w:jc w:val="left"/>
              <w:rPr/>
            </w:pPr>
            <w:hyperlink w:anchor="tm2622757d2_ex5-1.htm">
              <w:r>
                <w:rPr>
                  <w:rStyle w:val="InternetLink"/>
                  <w:rFonts w:ascii="Times New Roman;Times;Serif" w:hAnsi="Times New Roman;Times;Serif"/>
                  <w:b w:val="false"/>
                  <w:i w:val="false"/>
                  <w:caps w:val="false"/>
                  <w:smallCaps w:val="false"/>
                  <w:sz w:val="20"/>
                </w:rPr>
                <w:t>Opinion of Skadden, Arps, Slate, Meagher &amp; Flom LLP</w:t>
              </w:r>
            </w:hyperlink>
          </w:p>
        </w:tc>
      </w:tr>
      <w:tr>
        <w:trPr/>
        <w:tc>
          <w:tcPr>
            <w:tcW w:w="725" w:type="dxa"/>
            <w:tcBorders/>
            <w:vAlign w:val="center"/>
          </w:tcPr>
          <w:p>
            <w:pPr>
              <w:pStyle w:val="TableContents"/>
              <w:bidi w:val="0"/>
              <w:spacing w:before="0" w:after="283"/>
              <w:jc w:val="left"/>
              <w:rPr/>
            </w:pPr>
            <w:hyperlink w:anchor="tm2622757d2_ex99-1.htm">
              <w:r>
                <w:rPr>
                  <w:rStyle w:val="InternetLink"/>
                  <w:rFonts w:ascii="Times New Roman;Times;Serif" w:hAnsi="Times New Roman;Times;Serif"/>
                  <w:b w:val="false"/>
                  <w:i w:val="false"/>
                  <w:caps w:val="false"/>
                  <w:smallCaps w:val="false"/>
                  <w:sz w:val="20"/>
                </w:rPr>
                <w:t>99.1</w:t>
              </w:r>
            </w:hyperlink>
          </w:p>
        </w:tc>
        <w:tc>
          <w:tcPr>
            <w:tcW w:w="6545" w:type="dxa"/>
            <w:tcBorders/>
            <w:vAlign w:val="center"/>
          </w:tcPr>
          <w:p>
            <w:pPr>
              <w:pStyle w:val="TableContents"/>
              <w:bidi w:val="0"/>
              <w:spacing w:before="0" w:after="283"/>
              <w:jc w:val="left"/>
              <w:rPr/>
            </w:pPr>
            <w:hyperlink w:anchor="tm2622757d2_ex99-1.htm">
              <w:r>
                <w:rPr>
                  <w:rStyle w:val="InternetLink"/>
                  <w:rFonts w:ascii="Times New Roman;Times;Serif" w:hAnsi="Times New Roman;Times;Serif"/>
                  <w:b w:val="false"/>
                  <w:i w:val="false"/>
                  <w:caps w:val="false"/>
                  <w:smallCaps w:val="false"/>
                  <w:sz w:val="20"/>
                </w:rPr>
                <w:t>Lucid Press Release Dated August 12, 2026</w:t>
              </w:r>
            </w:hyperlink>
          </w:p>
        </w:tc>
      </w:tr>
      <w:tr>
        <w:trPr/>
        <w:tc>
          <w:tcPr>
            <w:tcW w:w="725" w:type="dxa"/>
            <w:tcBorders/>
            <w:vAlign w:val="center"/>
          </w:tcPr>
          <w:p>
            <w:pPr>
              <w:pStyle w:val="TableContents"/>
              <w:bidi w:val="0"/>
              <w:spacing w:before="0" w:after="283"/>
              <w:jc w:val="left"/>
              <w:rPr/>
            </w:pPr>
            <w:hyperlink w:anchor="tm2622757d2_ex5-1.htm">
              <w:r>
                <w:rPr>
                  <w:rStyle w:val="InternetLink"/>
                  <w:rFonts w:ascii="Times New Roman;Times;Serif" w:hAnsi="Times New Roman;Times;Serif"/>
                  <w:b w:val="false"/>
                  <w:i w:val="false"/>
                  <w:caps w:val="false"/>
                  <w:smallCaps w:val="false"/>
                  <w:sz w:val="20"/>
                </w:rPr>
                <w:t>23.1</w:t>
              </w:r>
            </w:hyperlink>
          </w:p>
        </w:tc>
        <w:tc>
          <w:tcPr>
            <w:tcW w:w="6545" w:type="dxa"/>
            <w:tcBorders/>
            <w:vAlign w:val="center"/>
          </w:tcPr>
          <w:p>
            <w:pPr>
              <w:pStyle w:val="TableContents"/>
              <w:bidi w:val="0"/>
              <w:spacing w:before="0" w:after="283"/>
              <w:jc w:val="left"/>
              <w:rPr/>
            </w:pPr>
            <w:hyperlink w:anchor="tm2622757d2_ex5-1.htm">
              <w:r>
                <w:rPr>
                  <w:rStyle w:val="InternetLink"/>
                  <w:rFonts w:ascii="Times New Roman;Times;Serif" w:hAnsi="Times New Roman;Times;Serif"/>
                  <w:b w:val="false"/>
                  <w:i w:val="false"/>
                  <w:caps w:val="false"/>
                  <w:smallCaps w:val="false"/>
                  <w:sz w:val="20"/>
                </w:rPr>
                <w:t>Consent of Skadden, Arps, Slate, Meagher &amp; Flom LLP (included in Exhibit 5.1)</w:t>
              </w:r>
            </w:hyperlink>
          </w:p>
        </w:tc>
      </w:tr>
      <w:tr>
        <w:trPr/>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12, 2026</w:t>
      </w:r>
    </w:p>
    <w:p>
      <w:pPr>
        <w:pStyle w:val="TextBody"/>
        <w:bidi w:val="0"/>
        <w:spacing w:before="0" w:after="0"/>
        <w:ind w:left="0" w:right="0" w:hanging="0"/>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75"/>
        <w:gridCol w:w="320"/>
        <w:gridCol w:w="1895"/>
      </w:tblGrid>
      <w:tr>
        <w:trPr/>
        <w:tc>
          <w:tcPr>
            <w:tcW w:w="75" w:type="dxa"/>
            <w:tcBorders/>
            <w:vAlign w:val="center"/>
          </w:tcPr>
          <w:p>
            <w:pPr>
              <w:pStyle w:val="TableContents"/>
              <w:bidi w:val="0"/>
              <w:spacing w:before="0" w:after="283"/>
              <w:jc w:val="left"/>
              <w:rPr/>
            </w:pPr>
            <w:r>
              <w:rPr/>
              <w:t> </w:t>
            </w:r>
          </w:p>
        </w:tc>
        <w:tc>
          <w:tcPr>
            <w:tcW w:w="22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LUCID GROUP,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Alexander De Bock</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Alexander De Bock</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2757d2_ex5-1.htm"/>
      <w:bookmarkStart w:id="23" w:name="kstm2622757d2_ex51"/>
      <w:bookmarkEnd w:id="22"/>
      <w:bookmarkEnd w:id="2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Skadden, Arps, Slate, Meagher &amp; Flom llp</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525 University Avenue</w:t>
      </w:r>
    </w:p>
    <w:tbl>
      <w:tblPr>
        <w:tblW w:w="5485" w:type="dxa"/>
        <w:jc w:val="left"/>
        <w:tblInd w:w="0" w:type="dxa"/>
        <w:tblLayout w:type="fixed"/>
        <w:tblCellMar>
          <w:top w:w="0" w:type="dxa"/>
          <w:left w:w="0" w:type="dxa"/>
          <w:bottom w:w="0" w:type="dxa"/>
          <w:right w:w="0" w:type="dxa"/>
        </w:tblCellMar>
      </w:tblPr>
      <w:tblGrid>
        <w:gridCol w:w="75"/>
        <w:gridCol w:w="3650"/>
        <w:gridCol w:w="1760"/>
      </w:tblGrid>
      <w:tr>
        <w:trPr/>
        <w:tc>
          <w:tcPr>
            <w:tcW w:w="75" w:type="dxa"/>
            <w:tcBorders/>
            <w:vAlign w:val="center"/>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center"/>
              <w:rPr>
                <w:caps/>
              </w:rPr>
            </w:pPr>
            <w:r>
              <w:rPr>
                <w:caps/>
              </w:rPr>
              <w:t>Palo Alto, California 94301</w:t>
            </w:r>
          </w:p>
        </w:tc>
        <w:tc>
          <w:tcPr>
            <w:tcW w:w="1760" w:type="dxa"/>
            <w:tcBorders/>
            <w:vAlign w:val="center"/>
          </w:tcPr>
          <w:p>
            <w:pPr>
              <w:pStyle w:val="TableContents"/>
              <w:bidi w:val="0"/>
              <w:spacing w:before="0" w:after="283"/>
              <w:jc w:val="center"/>
              <w:rPr>
                <w:caps/>
                <w:sz w:val="20"/>
              </w:rPr>
            </w:pPr>
            <w:r>
              <w:rPr>
                <w:caps/>
                <w:sz w:val="20"/>
              </w:rPr>
              <w:t>FIRM/AFFILIATE</w:t>
            </w:r>
          </w:p>
        </w:tc>
      </w:tr>
      <w:tr>
        <w:trPr/>
        <w:tc>
          <w:tcPr>
            <w:tcW w:w="75" w:type="dxa"/>
            <w:tcBorders/>
            <w:vAlign w:val="center"/>
          </w:tcPr>
          <w:p>
            <w:pPr>
              <w:pStyle w:val="TableContents"/>
              <w:bidi w:val="0"/>
              <w:spacing w:before="0" w:after="283"/>
              <w:jc w:val="center"/>
              <w:rPr/>
            </w:pPr>
            <w:r>
              <w:rPr/>
              <w:t> </w:t>
            </w:r>
          </w:p>
        </w:tc>
        <w:tc>
          <w:tcPr>
            <w:tcW w:w="3650" w:type="dxa"/>
            <w:tcBorders/>
            <w:vAlign w:val="center"/>
          </w:tcPr>
          <w:p>
            <w:pPr>
              <w:pStyle w:val="TableContents"/>
              <w:bidi w:val="0"/>
              <w:spacing w:before="0" w:after="283"/>
              <w:jc w:val="center"/>
              <w:rPr>
                <w:u w:val="single"/>
              </w:rPr>
            </w:pPr>
            <w:r>
              <w:rPr>
                <w:u w:val="single"/>
              </w:rPr>
              <w:t>               </w:t>
            </w:r>
          </w:p>
        </w:tc>
        <w:tc>
          <w:tcPr>
            <w:tcW w:w="1760" w:type="dxa"/>
            <w:tcBorders/>
            <w:vAlign w:val="center"/>
          </w:tcPr>
          <w:p>
            <w:pPr>
              <w:pStyle w:val="TableContents"/>
              <w:bidi w:val="0"/>
              <w:spacing w:before="0" w:after="283"/>
              <w:jc w:val="center"/>
              <w:rPr/>
            </w:pPr>
            <w:r>
              <w:rPr/>
              <w:t>OFFICES</w:t>
            </w:r>
          </w:p>
        </w:tc>
      </w:tr>
      <w:tr>
        <w:trPr/>
        <w:tc>
          <w:tcPr>
            <w:tcW w:w="75" w:type="dxa"/>
            <w:tcBorders/>
            <w:vAlign w:val="center"/>
          </w:tcPr>
          <w:p>
            <w:pPr>
              <w:pStyle w:val="TableContents"/>
              <w:bidi w:val="0"/>
              <w:spacing w:before="0" w:after="283"/>
              <w:jc w:val="center"/>
              <w:rPr/>
            </w:pPr>
            <w:r>
              <w:rPr/>
              <w:t> </w:t>
            </w:r>
          </w:p>
        </w:tc>
        <w:tc>
          <w:tcPr>
            <w:tcW w:w="3650" w:type="dxa"/>
            <w:tcBorders/>
            <w:vAlign w:val="center"/>
          </w:tcPr>
          <w:p>
            <w:pPr>
              <w:pStyle w:val="TableContents"/>
              <w:bidi w:val="0"/>
              <w:spacing w:before="0" w:after="283"/>
              <w:jc w:val="center"/>
              <w:rPr>
                <w:sz w:val="20"/>
              </w:rPr>
            </w:pPr>
            <w:r>
              <w:rPr>
                <w:sz w:val="20"/>
              </w:rPr>
              <w:t>TEL: (650) 470-4500</w:t>
            </w:r>
          </w:p>
        </w:tc>
        <w:tc>
          <w:tcPr>
            <w:tcW w:w="1760" w:type="dxa"/>
            <w:tcBorders/>
            <w:vAlign w:val="center"/>
          </w:tcPr>
          <w:p>
            <w:pPr>
              <w:pStyle w:val="TableContents"/>
              <w:bidi w:val="0"/>
              <w:spacing w:before="0" w:after="283"/>
              <w:jc w:val="center"/>
              <w:rPr>
                <w:u w:val="single"/>
              </w:rPr>
            </w:pPr>
            <w:r>
              <w:rPr>
                <w:u w:val="single"/>
              </w:rPr>
              <w:t>               </w:t>
            </w:r>
          </w:p>
        </w:tc>
      </w:tr>
      <w:tr>
        <w:trPr/>
        <w:tc>
          <w:tcPr>
            <w:tcW w:w="75" w:type="dxa"/>
            <w:tcBorders/>
            <w:vAlign w:val="center"/>
          </w:tcPr>
          <w:p>
            <w:pPr>
              <w:pStyle w:val="TableContents"/>
              <w:bidi w:val="0"/>
              <w:spacing w:before="0" w:after="283"/>
              <w:jc w:val="center"/>
              <w:rPr/>
            </w:pPr>
            <w:r>
              <w:rPr/>
              <w:t> </w:t>
            </w:r>
          </w:p>
        </w:tc>
        <w:tc>
          <w:tcPr>
            <w:tcW w:w="3650" w:type="dxa"/>
            <w:tcBorders/>
            <w:vAlign w:val="center"/>
          </w:tcPr>
          <w:p>
            <w:pPr>
              <w:pStyle w:val="TableContents"/>
              <w:bidi w:val="0"/>
              <w:spacing w:before="0" w:after="283"/>
              <w:jc w:val="center"/>
              <w:rPr>
                <w:sz w:val="20"/>
              </w:rPr>
            </w:pPr>
            <w:r>
              <w:rPr>
                <w:sz w:val="20"/>
              </w:rPr>
              <w:t>FAX: (650) 470-4570</w:t>
            </w:r>
          </w:p>
        </w:tc>
        <w:tc>
          <w:tcPr>
            <w:tcW w:w="1760" w:type="dxa"/>
            <w:tcBorders/>
            <w:vAlign w:val="center"/>
          </w:tcPr>
          <w:p>
            <w:pPr>
              <w:pStyle w:val="TableContents"/>
              <w:bidi w:val="0"/>
              <w:spacing w:before="0" w:after="283"/>
              <w:jc w:val="center"/>
              <w:rPr>
                <w:sz w:val="20"/>
              </w:rPr>
            </w:pPr>
            <w:r>
              <w:rPr>
                <w:sz w:val="20"/>
              </w:rPr>
              <w:t>BOSTON</w:t>
            </w:r>
          </w:p>
        </w:tc>
      </w:tr>
      <w:tr>
        <w:trPr/>
        <w:tc>
          <w:tcPr>
            <w:tcW w:w="75" w:type="dxa"/>
            <w:tcBorders/>
            <w:vAlign w:val="center"/>
          </w:tcPr>
          <w:p>
            <w:pPr>
              <w:pStyle w:val="TableContents"/>
              <w:bidi w:val="0"/>
              <w:spacing w:before="0" w:after="283"/>
              <w:jc w:val="center"/>
              <w:rPr/>
            </w:pPr>
            <w:r>
              <w:rPr/>
              <w:t> </w:t>
            </w:r>
          </w:p>
        </w:tc>
        <w:tc>
          <w:tcPr>
            <w:tcW w:w="3650" w:type="dxa"/>
            <w:tcBorders/>
            <w:vAlign w:val="center"/>
          </w:tcPr>
          <w:p>
            <w:pPr>
              <w:pStyle w:val="TableContents"/>
              <w:bidi w:val="0"/>
              <w:spacing w:before="0" w:after="283"/>
              <w:jc w:val="center"/>
              <w:rPr>
                <w:sz w:val="20"/>
              </w:rPr>
            </w:pPr>
            <w:r>
              <w:rPr>
                <w:sz w:val="20"/>
              </w:rPr>
              <w:t>www.skadden.com</w:t>
            </w:r>
          </w:p>
        </w:tc>
        <w:tc>
          <w:tcPr>
            <w:tcW w:w="1760" w:type="dxa"/>
            <w:tcBorders/>
            <w:vAlign w:val="center"/>
          </w:tcPr>
          <w:p>
            <w:pPr>
              <w:pStyle w:val="TableContents"/>
              <w:bidi w:val="0"/>
              <w:spacing w:before="0" w:after="283"/>
              <w:jc w:val="center"/>
              <w:rPr>
                <w:sz w:val="20"/>
              </w:rPr>
            </w:pPr>
            <w:r>
              <w:rPr>
                <w:sz w:val="20"/>
              </w:rPr>
              <w:t>CHICAGO</w:t>
            </w:r>
          </w:p>
        </w:tc>
      </w:tr>
      <w:tr>
        <w:trPr/>
        <w:tc>
          <w:tcPr>
            <w:tcW w:w="75" w:type="dxa"/>
            <w:tcBorders/>
            <w:vAlign w:val="center"/>
          </w:tcPr>
          <w:p>
            <w:pPr>
              <w:pStyle w:val="TableContents"/>
              <w:bidi w:val="0"/>
              <w:spacing w:before="0" w:after="283"/>
              <w:jc w:val="center"/>
              <w:rPr/>
            </w:pPr>
            <w:r>
              <w:rPr/>
              <w:t> </w:t>
            </w:r>
          </w:p>
        </w:tc>
        <w:tc>
          <w:tcPr>
            <w:tcW w:w="3650" w:type="dxa"/>
            <w:tcBorders/>
            <w:vAlign w:val="center"/>
          </w:tcPr>
          <w:p>
            <w:pPr>
              <w:pStyle w:val="TableContents"/>
              <w:bidi w:val="0"/>
              <w:spacing w:before="0" w:after="283"/>
              <w:jc w:val="center"/>
              <w:rPr/>
            </w:pPr>
            <w:r>
              <w:rPr/>
              <w:t> </w:t>
            </w:r>
          </w:p>
        </w:tc>
        <w:tc>
          <w:tcPr>
            <w:tcW w:w="1760" w:type="dxa"/>
            <w:tcBorders/>
            <w:vAlign w:val="center"/>
          </w:tcPr>
          <w:p>
            <w:pPr>
              <w:pStyle w:val="TableContents"/>
              <w:bidi w:val="0"/>
              <w:spacing w:before="0" w:after="283"/>
              <w:jc w:val="center"/>
              <w:rPr>
                <w:sz w:val="20"/>
              </w:rPr>
            </w:pPr>
            <w:r>
              <w:rPr>
                <w:sz w:val="20"/>
              </w:rPr>
              <w:t>HOUSTON</w:t>
            </w:r>
          </w:p>
        </w:tc>
      </w:tr>
      <w:tr>
        <w:trPr/>
        <w:tc>
          <w:tcPr>
            <w:tcW w:w="75" w:type="dxa"/>
            <w:tcBorders/>
            <w:vAlign w:val="center"/>
          </w:tcPr>
          <w:p>
            <w:pPr>
              <w:pStyle w:val="TableContents"/>
              <w:bidi w:val="0"/>
              <w:spacing w:before="0" w:after="283"/>
              <w:jc w:val="center"/>
              <w:rPr/>
            </w:pPr>
            <w:r>
              <w:rPr/>
              <w:t> </w:t>
            </w:r>
          </w:p>
        </w:tc>
        <w:tc>
          <w:tcPr>
            <w:tcW w:w="3650" w:type="dxa"/>
            <w:tcBorders/>
            <w:vAlign w:val="center"/>
          </w:tcPr>
          <w:p>
            <w:pPr>
              <w:pStyle w:val="TableContents"/>
              <w:bidi w:val="0"/>
              <w:spacing w:before="0" w:after="283"/>
              <w:jc w:val="center"/>
              <w:rPr/>
            </w:pPr>
            <w:r>
              <w:rPr/>
              <w:t> </w:t>
            </w:r>
          </w:p>
        </w:tc>
        <w:tc>
          <w:tcPr>
            <w:tcW w:w="1760" w:type="dxa"/>
            <w:tcBorders/>
            <w:vAlign w:val="center"/>
          </w:tcPr>
          <w:p>
            <w:pPr>
              <w:pStyle w:val="TableContents"/>
              <w:bidi w:val="0"/>
              <w:spacing w:before="0" w:after="283"/>
              <w:jc w:val="center"/>
              <w:rPr>
                <w:sz w:val="20"/>
              </w:rPr>
            </w:pPr>
            <w:r>
              <w:rPr>
                <w:sz w:val="20"/>
              </w:rPr>
              <w:t>LOS ANGELES</w:t>
            </w:r>
          </w:p>
        </w:tc>
      </w:tr>
      <w:tr>
        <w:trPr/>
        <w:tc>
          <w:tcPr>
            <w:tcW w:w="75" w:type="dxa"/>
            <w:tcBorders/>
            <w:vAlign w:val="center"/>
          </w:tcPr>
          <w:p>
            <w:pPr>
              <w:pStyle w:val="TableContents"/>
              <w:bidi w:val="0"/>
              <w:spacing w:before="0" w:after="283"/>
              <w:jc w:val="center"/>
              <w:rPr/>
            </w:pPr>
            <w:r>
              <w:rPr/>
              <w:t> </w:t>
            </w:r>
          </w:p>
        </w:tc>
        <w:tc>
          <w:tcPr>
            <w:tcW w:w="3650" w:type="dxa"/>
            <w:tcBorders/>
            <w:vAlign w:val="center"/>
          </w:tcPr>
          <w:p>
            <w:pPr>
              <w:pStyle w:val="TableContents"/>
              <w:bidi w:val="0"/>
              <w:spacing w:before="0" w:after="283"/>
              <w:jc w:val="center"/>
              <w:rPr/>
            </w:pPr>
            <w:r>
              <w:rPr/>
              <w:t> </w:t>
            </w:r>
          </w:p>
        </w:tc>
        <w:tc>
          <w:tcPr>
            <w:tcW w:w="1760" w:type="dxa"/>
            <w:tcBorders/>
            <w:vAlign w:val="center"/>
          </w:tcPr>
          <w:p>
            <w:pPr>
              <w:pStyle w:val="TableContents"/>
              <w:bidi w:val="0"/>
              <w:spacing w:before="0" w:after="283"/>
              <w:jc w:val="center"/>
              <w:rPr>
                <w:sz w:val="20"/>
              </w:rPr>
            </w:pPr>
            <w:r>
              <w:rPr>
                <w:sz w:val="20"/>
              </w:rPr>
              <w:t>PALO ALTO</w:t>
            </w:r>
          </w:p>
        </w:tc>
      </w:tr>
      <w:tr>
        <w:trPr/>
        <w:tc>
          <w:tcPr>
            <w:tcW w:w="75" w:type="dxa"/>
            <w:tcBorders/>
            <w:vAlign w:val="center"/>
          </w:tcPr>
          <w:p>
            <w:pPr>
              <w:pStyle w:val="TableContents"/>
              <w:bidi w:val="0"/>
              <w:spacing w:before="0" w:after="283"/>
              <w:jc w:val="center"/>
              <w:rPr/>
            </w:pPr>
            <w:r>
              <w:rPr/>
              <w:t> </w:t>
            </w:r>
          </w:p>
        </w:tc>
        <w:tc>
          <w:tcPr>
            <w:tcW w:w="3650" w:type="dxa"/>
            <w:tcBorders/>
            <w:vAlign w:val="center"/>
          </w:tcPr>
          <w:p>
            <w:pPr>
              <w:pStyle w:val="TableContents"/>
              <w:bidi w:val="0"/>
              <w:spacing w:before="0" w:after="283"/>
              <w:jc w:val="center"/>
              <w:rPr/>
            </w:pPr>
            <w:r>
              <w:rPr/>
              <w:t> </w:t>
            </w:r>
          </w:p>
        </w:tc>
        <w:tc>
          <w:tcPr>
            <w:tcW w:w="1760" w:type="dxa"/>
            <w:tcBorders/>
            <w:vAlign w:val="center"/>
          </w:tcPr>
          <w:p>
            <w:pPr>
              <w:pStyle w:val="TableContents"/>
              <w:bidi w:val="0"/>
              <w:spacing w:before="0" w:after="283"/>
              <w:jc w:val="center"/>
              <w:rPr>
                <w:sz w:val="20"/>
              </w:rPr>
            </w:pPr>
            <w:r>
              <w:rPr>
                <w:sz w:val="20"/>
              </w:rPr>
              <w:t>WASHINGTON, D.C.</w:t>
            </w:r>
          </w:p>
        </w:tc>
      </w:tr>
      <w:tr>
        <w:trPr/>
        <w:tc>
          <w:tcPr>
            <w:tcW w:w="75" w:type="dxa"/>
            <w:tcBorders/>
            <w:vAlign w:val="center"/>
          </w:tcPr>
          <w:p>
            <w:pPr>
              <w:pStyle w:val="TableContents"/>
              <w:bidi w:val="0"/>
              <w:spacing w:before="0" w:after="283"/>
              <w:jc w:val="center"/>
              <w:rPr/>
            </w:pPr>
            <w:r>
              <w:rPr/>
              <w:t> </w:t>
            </w:r>
          </w:p>
        </w:tc>
        <w:tc>
          <w:tcPr>
            <w:tcW w:w="3650" w:type="dxa"/>
            <w:tcBorders/>
            <w:vAlign w:val="center"/>
          </w:tcPr>
          <w:p>
            <w:pPr>
              <w:pStyle w:val="TableContents"/>
              <w:bidi w:val="0"/>
              <w:spacing w:before="0" w:after="283"/>
              <w:jc w:val="center"/>
              <w:rPr/>
            </w:pPr>
            <w:r>
              <w:rPr/>
              <w:t> </w:t>
            </w:r>
          </w:p>
        </w:tc>
        <w:tc>
          <w:tcPr>
            <w:tcW w:w="1760" w:type="dxa"/>
            <w:tcBorders/>
            <w:vAlign w:val="center"/>
          </w:tcPr>
          <w:p>
            <w:pPr>
              <w:pStyle w:val="TableContents"/>
              <w:bidi w:val="0"/>
              <w:spacing w:before="0" w:after="283"/>
              <w:jc w:val="center"/>
              <w:rPr>
                <w:sz w:val="20"/>
              </w:rPr>
            </w:pPr>
            <w:r>
              <w:rPr>
                <w:sz w:val="20"/>
              </w:rPr>
              <w:t>WILMINGTON</w:t>
            </w:r>
          </w:p>
        </w:tc>
      </w:tr>
      <w:tr>
        <w:trPr/>
        <w:tc>
          <w:tcPr>
            <w:tcW w:w="75" w:type="dxa"/>
            <w:tcBorders/>
            <w:vAlign w:val="center"/>
          </w:tcPr>
          <w:p>
            <w:pPr>
              <w:pStyle w:val="TableContents"/>
              <w:bidi w:val="0"/>
              <w:spacing w:before="0" w:after="283"/>
              <w:jc w:val="center"/>
              <w:rPr/>
            </w:pPr>
            <w:r>
              <w:rPr/>
              <w:t> </w:t>
            </w:r>
          </w:p>
        </w:tc>
        <w:tc>
          <w:tcPr>
            <w:tcW w:w="3650" w:type="dxa"/>
            <w:tcBorders/>
            <w:vAlign w:val="center"/>
          </w:tcPr>
          <w:p>
            <w:pPr>
              <w:pStyle w:val="TableContents"/>
              <w:bidi w:val="0"/>
              <w:spacing w:before="0" w:after="283"/>
              <w:jc w:val="center"/>
              <w:rPr/>
            </w:pPr>
            <w:r>
              <w:rPr/>
              <w:t> </w:t>
            </w:r>
          </w:p>
        </w:tc>
        <w:tc>
          <w:tcPr>
            <w:tcW w:w="1760" w:type="dxa"/>
            <w:tcBorders/>
            <w:vAlign w:val="center"/>
          </w:tcPr>
          <w:p>
            <w:pPr>
              <w:pStyle w:val="TableContents"/>
              <w:bidi w:val="0"/>
              <w:spacing w:before="0" w:after="283"/>
              <w:jc w:val="center"/>
              <w:rPr>
                <w:u w:val="single"/>
              </w:rPr>
            </w:pPr>
            <w:r>
              <w:rPr>
                <w:u w:val="single"/>
              </w:rPr>
              <w:t>               </w:t>
            </w:r>
          </w:p>
        </w:tc>
      </w:tr>
      <w:tr>
        <w:trPr/>
        <w:tc>
          <w:tcPr>
            <w:tcW w:w="75" w:type="dxa"/>
            <w:tcBorders/>
            <w:vAlign w:val="center"/>
          </w:tcPr>
          <w:p>
            <w:pPr>
              <w:pStyle w:val="TableContents"/>
              <w:bidi w:val="0"/>
              <w:spacing w:before="0" w:after="283"/>
              <w:jc w:val="center"/>
              <w:rPr/>
            </w:pPr>
            <w:r>
              <w:rPr/>
              <w:t> </w:t>
            </w:r>
          </w:p>
        </w:tc>
        <w:tc>
          <w:tcPr>
            <w:tcW w:w="3650" w:type="dxa"/>
            <w:tcBorders/>
            <w:vAlign w:val="center"/>
          </w:tcPr>
          <w:p>
            <w:pPr>
              <w:pStyle w:val="TableContents"/>
              <w:bidi w:val="0"/>
              <w:spacing w:before="0" w:after="283"/>
              <w:jc w:val="center"/>
              <w:rPr/>
            </w:pPr>
            <w:r>
              <w:rPr/>
              <w:t> </w:t>
            </w:r>
          </w:p>
        </w:tc>
        <w:tc>
          <w:tcPr>
            <w:tcW w:w="1760" w:type="dxa"/>
            <w:tcBorders/>
            <w:vAlign w:val="center"/>
          </w:tcPr>
          <w:p>
            <w:pPr>
              <w:pStyle w:val="TableContents"/>
              <w:bidi w:val="0"/>
              <w:spacing w:before="0" w:after="283"/>
              <w:jc w:val="center"/>
              <w:rPr>
                <w:sz w:val="20"/>
              </w:rPr>
            </w:pPr>
            <w:r>
              <w:rPr>
                <w:sz w:val="20"/>
              </w:rPr>
              <w:t>ABU DHABI</w:t>
            </w:r>
          </w:p>
        </w:tc>
      </w:tr>
      <w:tr>
        <w:trPr/>
        <w:tc>
          <w:tcPr>
            <w:tcW w:w="75" w:type="dxa"/>
            <w:tcBorders/>
            <w:vAlign w:val="center"/>
          </w:tcPr>
          <w:p>
            <w:pPr>
              <w:pStyle w:val="TableContents"/>
              <w:bidi w:val="0"/>
              <w:spacing w:before="0" w:after="283"/>
              <w:jc w:val="center"/>
              <w:rPr/>
            </w:pPr>
            <w:r>
              <w:rPr/>
              <w:t> </w:t>
            </w:r>
          </w:p>
        </w:tc>
        <w:tc>
          <w:tcPr>
            <w:tcW w:w="3650" w:type="dxa"/>
            <w:tcBorders/>
            <w:vAlign w:val="center"/>
          </w:tcPr>
          <w:p>
            <w:pPr>
              <w:pStyle w:val="TableContents"/>
              <w:bidi w:val="0"/>
              <w:spacing w:before="0" w:after="283"/>
              <w:jc w:val="center"/>
              <w:rPr/>
            </w:pPr>
            <w:r>
              <w:rPr/>
              <w:t> </w:t>
            </w:r>
          </w:p>
        </w:tc>
        <w:tc>
          <w:tcPr>
            <w:tcW w:w="1760" w:type="dxa"/>
            <w:tcBorders/>
            <w:vAlign w:val="center"/>
          </w:tcPr>
          <w:p>
            <w:pPr>
              <w:pStyle w:val="TableContents"/>
              <w:bidi w:val="0"/>
              <w:spacing w:before="0" w:after="283"/>
              <w:jc w:val="center"/>
              <w:rPr/>
            </w:pPr>
            <w:r>
              <w:rPr/>
              <w:t>BEIJING</w:t>
            </w:r>
          </w:p>
        </w:tc>
      </w:tr>
      <w:tr>
        <w:trPr/>
        <w:tc>
          <w:tcPr>
            <w:tcW w:w="75" w:type="dxa"/>
            <w:tcBorders/>
            <w:vAlign w:val="center"/>
          </w:tcPr>
          <w:p>
            <w:pPr>
              <w:pStyle w:val="TableContents"/>
              <w:bidi w:val="0"/>
              <w:spacing w:before="0" w:after="283"/>
              <w:jc w:val="center"/>
              <w:rPr/>
            </w:pPr>
            <w:r>
              <w:rPr/>
              <w:t> </w:t>
            </w:r>
          </w:p>
        </w:tc>
        <w:tc>
          <w:tcPr>
            <w:tcW w:w="3650" w:type="dxa"/>
            <w:tcBorders/>
            <w:vAlign w:val="center"/>
          </w:tcPr>
          <w:p>
            <w:pPr>
              <w:pStyle w:val="TableContents"/>
              <w:bidi w:val="0"/>
              <w:spacing w:before="0" w:after="283"/>
              <w:jc w:val="center"/>
              <w:rPr/>
            </w:pPr>
            <w:r>
              <w:rPr/>
              <w:t> </w:t>
            </w:r>
          </w:p>
        </w:tc>
        <w:tc>
          <w:tcPr>
            <w:tcW w:w="1760" w:type="dxa"/>
            <w:tcBorders/>
            <w:vAlign w:val="center"/>
          </w:tcPr>
          <w:p>
            <w:pPr>
              <w:pStyle w:val="TableContents"/>
              <w:bidi w:val="0"/>
              <w:spacing w:before="0" w:after="283"/>
              <w:jc w:val="center"/>
              <w:rPr/>
            </w:pPr>
            <w:r>
              <w:rPr/>
              <w:t>BRUSSELS</w:t>
            </w:r>
          </w:p>
        </w:tc>
      </w:tr>
      <w:tr>
        <w:trPr/>
        <w:tc>
          <w:tcPr>
            <w:tcW w:w="75" w:type="dxa"/>
            <w:tcBorders/>
            <w:vAlign w:val="center"/>
          </w:tcPr>
          <w:p>
            <w:pPr>
              <w:pStyle w:val="TableContents"/>
              <w:bidi w:val="0"/>
              <w:spacing w:before="0" w:after="283"/>
              <w:jc w:val="center"/>
              <w:rPr/>
            </w:pPr>
            <w:r>
              <w:rPr/>
              <w:t> </w:t>
            </w:r>
          </w:p>
        </w:tc>
        <w:tc>
          <w:tcPr>
            <w:tcW w:w="3650" w:type="dxa"/>
            <w:tcBorders/>
            <w:vAlign w:val="center"/>
          </w:tcPr>
          <w:p>
            <w:pPr>
              <w:pStyle w:val="TableContents"/>
              <w:bidi w:val="0"/>
              <w:spacing w:before="0" w:after="283"/>
              <w:jc w:val="center"/>
              <w:rPr/>
            </w:pPr>
            <w:r>
              <w:rPr/>
              <w:t> </w:t>
            </w:r>
          </w:p>
        </w:tc>
        <w:tc>
          <w:tcPr>
            <w:tcW w:w="1760" w:type="dxa"/>
            <w:tcBorders/>
            <w:vAlign w:val="center"/>
          </w:tcPr>
          <w:p>
            <w:pPr>
              <w:pStyle w:val="TableContents"/>
              <w:bidi w:val="0"/>
              <w:spacing w:before="0" w:after="283"/>
              <w:jc w:val="center"/>
              <w:rPr/>
            </w:pPr>
            <w:r>
              <w:rPr/>
              <w:t>FRANKFURT</w:t>
            </w:r>
          </w:p>
        </w:tc>
      </w:tr>
      <w:tr>
        <w:trPr/>
        <w:tc>
          <w:tcPr>
            <w:tcW w:w="75" w:type="dxa"/>
            <w:tcBorders/>
            <w:vAlign w:val="center"/>
          </w:tcPr>
          <w:p>
            <w:pPr>
              <w:pStyle w:val="TableContents"/>
              <w:bidi w:val="0"/>
              <w:spacing w:before="0" w:after="283"/>
              <w:jc w:val="center"/>
              <w:rPr/>
            </w:pPr>
            <w:r>
              <w:rPr/>
              <w:t> </w:t>
            </w:r>
          </w:p>
        </w:tc>
        <w:tc>
          <w:tcPr>
            <w:tcW w:w="3650" w:type="dxa"/>
            <w:tcBorders/>
            <w:vAlign w:val="center"/>
          </w:tcPr>
          <w:p>
            <w:pPr>
              <w:pStyle w:val="TableContents"/>
              <w:bidi w:val="0"/>
              <w:spacing w:before="0" w:after="283"/>
              <w:jc w:val="center"/>
              <w:rPr/>
            </w:pPr>
            <w:r>
              <w:rPr/>
              <w:t> </w:t>
            </w:r>
          </w:p>
        </w:tc>
        <w:tc>
          <w:tcPr>
            <w:tcW w:w="1760" w:type="dxa"/>
            <w:tcBorders/>
            <w:vAlign w:val="center"/>
          </w:tcPr>
          <w:p>
            <w:pPr>
              <w:pStyle w:val="TableContents"/>
              <w:bidi w:val="0"/>
              <w:spacing w:before="0" w:after="283"/>
              <w:jc w:val="center"/>
              <w:rPr/>
            </w:pPr>
            <w:r>
              <w:rPr/>
              <w:t>HONG KONG</w:t>
            </w:r>
          </w:p>
        </w:tc>
      </w:tr>
      <w:tr>
        <w:trPr/>
        <w:tc>
          <w:tcPr>
            <w:tcW w:w="75" w:type="dxa"/>
            <w:tcBorders/>
            <w:vAlign w:val="center"/>
          </w:tcPr>
          <w:p>
            <w:pPr>
              <w:pStyle w:val="TableContents"/>
              <w:bidi w:val="0"/>
              <w:spacing w:before="0" w:after="283"/>
              <w:jc w:val="center"/>
              <w:rPr/>
            </w:pPr>
            <w:r>
              <w:rPr/>
              <w:t> </w:t>
            </w:r>
          </w:p>
        </w:tc>
        <w:tc>
          <w:tcPr>
            <w:tcW w:w="3650" w:type="dxa"/>
            <w:tcBorders/>
            <w:vAlign w:val="center"/>
          </w:tcPr>
          <w:p>
            <w:pPr>
              <w:pStyle w:val="TableContents"/>
              <w:bidi w:val="0"/>
              <w:spacing w:before="0" w:after="283"/>
              <w:jc w:val="center"/>
              <w:rPr/>
            </w:pPr>
            <w:r>
              <w:rPr/>
              <w:t> </w:t>
            </w:r>
          </w:p>
        </w:tc>
        <w:tc>
          <w:tcPr>
            <w:tcW w:w="1760" w:type="dxa"/>
            <w:tcBorders/>
            <w:vAlign w:val="center"/>
          </w:tcPr>
          <w:p>
            <w:pPr>
              <w:pStyle w:val="TableContents"/>
              <w:bidi w:val="0"/>
              <w:spacing w:before="0" w:after="283"/>
              <w:jc w:val="center"/>
              <w:rPr/>
            </w:pPr>
            <w:r>
              <w:rPr/>
              <w:t>LONDON</w:t>
            </w:r>
          </w:p>
        </w:tc>
      </w:tr>
      <w:tr>
        <w:trPr/>
        <w:tc>
          <w:tcPr>
            <w:tcW w:w="75" w:type="dxa"/>
            <w:tcBorders/>
            <w:vAlign w:val="center"/>
          </w:tcPr>
          <w:p>
            <w:pPr>
              <w:pStyle w:val="TableContents"/>
              <w:bidi w:val="0"/>
              <w:spacing w:before="0" w:after="283"/>
              <w:jc w:val="center"/>
              <w:rPr/>
            </w:pPr>
            <w:r>
              <w:rPr/>
              <w:t> </w:t>
            </w:r>
          </w:p>
        </w:tc>
        <w:tc>
          <w:tcPr>
            <w:tcW w:w="3650" w:type="dxa"/>
            <w:tcBorders/>
            <w:vAlign w:val="center"/>
          </w:tcPr>
          <w:p>
            <w:pPr>
              <w:pStyle w:val="TableContents"/>
              <w:bidi w:val="0"/>
              <w:spacing w:before="0" w:after="283"/>
              <w:jc w:val="center"/>
              <w:rPr/>
            </w:pPr>
            <w:r>
              <w:rPr/>
              <w:t> </w:t>
            </w:r>
          </w:p>
        </w:tc>
        <w:tc>
          <w:tcPr>
            <w:tcW w:w="1760" w:type="dxa"/>
            <w:tcBorders/>
            <w:vAlign w:val="center"/>
          </w:tcPr>
          <w:p>
            <w:pPr>
              <w:pStyle w:val="TableContents"/>
              <w:bidi w:val="0"/>
              <w:spacing w:before="0" w:after="283"/>
              <w:jc w:val="center"/>
              <w:rPr/>
            </w:pPr>
            <w:r>
              <w:rPr/>
              <w:t>MUNICH</w:t>
            </w:r>
          </w:p>
        </w:tc>
      </w:tr>
      <w:tr>
        <w:trPr/>
        <w:tc>
          <w:tcPr>
            <w:tcW w:w="75" w:type="dxa"/>
            <w:tcBorders/>
            <w:vAlign w:val="center"/>
          </w:tcPr>
          <w:p>
            <w:pPr>
              <w:pStyle w:val="TableContents"/>
              <w:bidi w:val="0"/>
              <w:spacing w:before="0" w:after="283"/>
              <w:jc w:val="center"/>
              <w:rPr/>
            </w:pPr>
            <w:r>
              <w:rPr/>
              <w:t> </w:t>
            </w:r>
          </w:p>
        </w:tc>
        <w:tc>
          <w:tcPr>
            <w:tcW w:w="3650" w:type="dxa"/>
            <w:tcBorders/>
            <w:vAlign w:val="center"/>
          </w:tcPr>
          <w:p>
            <w:pPr>
              <w:pStyle w:val="TableContents"/>
              <w:bidi w:val="0"/>
              <w:spacing w:before="0" w:after="283"/>
              <w:jc w:val="center"/>
              <w:rPr/>
            </w:pPr>
            <w:r>
              <w:rPr/>
              <w:t> </w:t>
            </w:r>
          </w:p>
        </w:tc>
        <w:tc>
          <w:tcPr>
            <w:tcW w:w="1760" w:type="dxa"/>
            <w:tcBorders/>
            <w:vAlign w:val="center"/>
          </w:tcPr>
          <w:p>
            <w:pPr>
              <w:pStyle w:val="TableContents"/>
              <w:bidi w:val="0"/>
              <w:spacing w:before="0" w:after="283"/>
              <w:jc w:val="center"/>
              <w:rPr/>
            </w:pPr>
            <w:r>
              <w:rPr/>
              <w:t>PARIS</w:t>
            </w:r>
          </w:p>
        </w:tc>
      </w:tr>
      <w:tr>
        <w:trPr/>
        <w:tc>
          <w:tcPr>
            <w:tcW w:w="75" w:type="dxa"/>
            <w:tcBorders/>
            <w:vAlign w:val="center"/>
          </w:tcPr>
          <w:p>
            <w:pPr>
              <w:pStyle w:val="TableContents"/>
              <w:bidi w:val="0"/>
              <w:spacing w:before="0" w:after="283"/>
              <w:jc w:val="center"/>
              <w:rPr/>
            </w:pPr>
            <w:r>
              <w:rPr/>
              <w:t> </w:t>
            </w:r>
          </w:p>
        </w:tc>
        <w:tc>
          <w:tcPr>
            <w:tcW w:w="3650" w:type="dxa"/>
            <w:tcBorders/>
            <w:vAlign w:val="center"/>
          </w:tcPr>
          <w:p>
            <w:pPr>
              <w:pStyle w:val="TableContents"/>
              <w:bidi w:val="0"/>
              <w:spacing w:before="0" w:after="283"/>
              <w:jc w:val="center"/>
              <w:rPr/>
            </w:pPr>
            <w:r>
              <w:rPr/>
              <w:t> </w:t>
            </w:r>
          </w:p>
        </w:tc>
        <w:tc>
          <w:tcPr>
            <w:tcW w:w="1760" w:type="dxa"/>
            <w:tcBorders/>
            <w:vAlign w:val="center"/>
          </w:tcPr>
          <w:p>
            <w:pPr>
              <w:pStyle w:val="TableContents"/>
              <w:bidi w:val="0"/>
              <w:spacing w:before="0" w:after="283"/>
              <w:jc w:val="center"/>
              <w:rPr>
                <w:sz w:val="20"/>
              </w:rPr>
            </w:pPr>
            <w:r>
              <w:rPr>
                <w:sz w:val="20"/>
              </w:rPr>
              <w:t>SÃO PAULO</w:t>
            </w:r>
          </w:p>
        </w:tc>
      </w:tr>
      <w:tr>
        <w:trPr/>
        <w:tc>
          <w:tcPr>
            <w:tcW w:w="75" w:type="dxa"/>
            <w:tcBorders/>
            <w:vAlign w:val="center"/>
          </w:tcPr>
          <w:p>
            <w:pPr>
              <w:pStyle w:val="TableContents"/>
              <w:bidi w:val="0"/>
              <w:spacing w:before="0" w:after="283"/>
              <w:jc w:val="center"/>
              <w:rPr/>
            </w:pPr>
            <w:r>
              <w:rPr/>
              <w:t> </w:t>
            </w:r>
          </w:p>
        </w:tc>
        <w:tc>
          <w:tcPr>
            <w:tcW w:w="3650" w:type="dxa"/>
            <w:tcBorders/>
            <w:vAlign w:val="center"/>
          </w:tcPr>
          <w:p>
            <w:pPr>
              <w:pStyle w:val="TableContents"/>
              <w:bidi w:val="0"/>
              <w:spacing w:before="0" w:after="283"/>
              <w:jc w:val="center"/>
              <w:rPr/>
            </w:pPr>
            <w:r>
              <w:rPr/>
              <w:t> </w:t>
            </w:r>
          </w:p>
        </w:tc>
        <w:tc>
          <w:tcPr>
            <w:tcW w:w="1760" w:type="dxa"/>
            <w:tcBorders/>
            <w:vAlign w:val="center"/>
          </w:tcPr>
          <w:p>
            <w:pPr>
              <w:pStyle w:val="TableContents"/>
              <w:bidi w:val="0"/>
              <w:spacing w:before="0" w:after="283"/>
              <w:jc w:val="center"/>
              <w:rPr>
                <w:sz w:val="20"/>
              </w:rPr>
            </w:pPr>
            <w:r>
              <w:rPr>
                <w:sz w:val="20"/>
              </w:rPr>
              <w:t>SEOUL</w:t>
            </w:r>
          </w:p>
        </w:tc>
      </w:tr>
      <w:tr>
        <w:trPr/>
        <w:tc>
          <w:tcPr>
            <w:tcW w:w="75" w:type="dxa"/>
            <w:tcBorders/>
            <w:vAlign w:val="center"/>
          </w:tcPr>
          <w:p>
            <w:pPr>
              <w:pStyle w:val="TableContents"/>
              <w:bidi w:val="0"/>
              <w:spacing w:before="0" w:after="283"/>
              <w:jc w:val="center"/>
              <w:rPr/>
            </w:pPr>
            <w:r>
              <w:rPr/>
              <w:t> </w:t>
            </w:r>
          </w:p>
        </w:tc>
        <w:tc>
          <w:tcPr>
            <w:tcW w:w="3650" w:type="dxa"/>
            <w:tcBorders/>
            <w:vAlign w:val="center"/>
          </w:tcPr>
          <w:p>
            <w:pPr>
              <w:pStyle w:val="TableContents"/>
              <w:bidi w:val="0"/>
              <w:spacing w:before="0" w:after="283"/>
              <w:jc w:val="center"/>
              <w:rPr/>
            </w:pPr>
            <w:r>
              <w:rPr/>
              <w:t> </w:t>
            </w:r>
          </w:p>
        </w:tc>
        <w:tc>
          <w:tcPr>
            <w:tcW w:w="1760" w:type="dxa"/>
            <w:tcBorders/>
            <w:vAlign w:val="center"/>
          </w:tcPr>
          <w:p>
            <w:pPr>
              <w:pStyle w:val="TableContents"/>
              <w:bidi w:val="0"/>
              <w:spacing w:before="0" w:after="283"/>
              <w:jc w:val="center"/>
              <w:rPr>
                <w:sz w:val="20"/>
              </w:rPr>
            </w:pPr>
            <w:r>
              <w:rPr>
                <w:sz w:val="20"/>
              </w:rPr>
              <w:t>SINGAPORE</w:t>
            </w:r>
          </w:p>
        </w:tc>
      </w:tr>
      <w:tr>
        <w:trPr/>
        <w:tc>
          <w:tcPr>
            <w:tcW w:w="75" w:type="dxa"/>
            <w:tcBorders/>
            <w:vAlign w:val="center"/>
          </w:tcPr>
          <w:p>
            <w:pPr>
              <w:pStyle w:val="TableContents"/>
              <w:bidi w:val="0"/>
              <w:spacing w:before="0" w:after="283"/>
              <w:jc w:val="center"/>
              <w:rPr/>
            </w:pPr>
            <w:r>
              <w:rPr/>
              <w:t> </w:t>
            </w:r>
          </w:p>
        </w:tc>
        <w:tc>
          <w:tcPr>
            <w:tcW w:w="3650" w:type="dxa"/>
            <w:tcBorders/>
            <w:vAlign w:val="center"/>
          </w:tcPr>
          <w:p>
            <w:pPr>
              <w:pStyle w:val="TableContents"/>
              <w:bidi w:val="0"/>
              <w:spacing w:before="0" w:after="283"/>
              <w:jc w:val="center"/>
              <w:rPr/>
            </w:pPr>
            <w:r>
              <w:rPr/>
              <w:t> </w:t>
            </w:r>
          </w:p>
        </w:tc>
        <w:tc>
          <w:tcPr>
            <w:tcW w:w="1760" w:type="dxa"/>
            <w:tcBorders/>
            <w:vAlign w:val="center"/>
          </w:tcPr>
          <w:p>
            <w:pPr>
              <w:pStyle w:val="TableContents"/>
              <w:bidi w:val="0"/>
              <w:spacing w:before="0" w:after="283"/>
              <w:jc w:val="center"/>
              <w:rPr>
                <w:sz w:val="20"/>
              </w:rPr>
            </w:pPr>
            <w:r>
              <w:rPr>
                <w:sz w:val="20"/>
              </w:rPr>
              <w:t>TOKYO</w:t>
            </w:r>
          </w:p>
        </w:tc>
      </w:tr>
      <w:tr>
        <w:trPr/>
        <w:tc>
          <w:tcPr>
            <w:tcW w:w="75" w:type="dxa"/>
            <w:tcBorders/>
            <w:vAlign w:val="center"/>
          </w:tcPr>
          <w:p>
            <w:pPr>
              <w:pStyle w:val="TableContents"/>
              <w:bidi w:val="0"/>
              <w:spacing w:before="0" w:after="283"/>
              <w:jc w:val="center"/>
              <w:rPr/>
            </w:pPr>
            <w:r>
              <w:rPr/>
              <w:t> </w:t>
            </w:r>
          </w:p>
        </w:tc>
        <w:tc>
          <w:tcPr>
            <w:tcW w:w="3650" w:type="dxa"/>
            <w:tcBorders/>
            <w:vAlign w:val="center"/>
          </w:tcPr>
          <w:p>
            <w:pPr>
              <w:pStyle w:val="TableContents"/>
              <w:bidi w:val="0"/>
              <w:spacing w:before="0" w:after="283"/>
              <w:jc w:val="center"/>
              <w:rPr/>
            </w:pPr>
            <w:r>
              <w:rPr/>
              <w:t> </w:t>
            </w:r>
          </w:p>
        </w:tc>
        <w:tc>
          <w:tcPr>
            <w:tcW w:w="1760" w:type="dxa"/>
            <w:tcBorders/>
            <w:vAlign w:val="center"/>
          </w:tcPr>
          <w:p>
            <w:pPr>
              <w:pStyle w:val="TableContents"/>
              <w:bidi w:val="0"/>
              <w:spacing w:before="0" w:after="283"/>
              <w:jc w:val="center"/>
              <w:rPr>
                <w:sz w:val="20"/>
              </w:rPr>
            </w:pPr>
            <w:r>
              <w:rPr>
                <w:sz w:val="20"/>
              </w:rPr>
              <w:t>TORONTO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2880" w:firstLine="57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Lucid Group, Inc.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7373 Gateway Boulevard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Newark, California 94560</w:t>
      </w:r>
    </w:p>
    <w:p>
      <w:pPr>
        <w:pStyle w:val="TextBody"/>
        <w:bidi w:val="0"/>
        <w:spacing w:before="0" w:after="0"/>
        <w:ind w:left="0" w:right="0" w:hanging="0"/>
        <w:jc w:val="left"/>
        <w:rPr>
          <w:caps w:val="false"/>
          <w:smallCaps w:val="false"/>
        </w:rPr>
      </w:pPr>
      <w:r>
        <w:rPr>
          <w:caps w:val="false"/>
          <w:smallCaps w:val="false"/>
        </w:rPr>
        <w:t> </w:t>
      </w:r>
    </w:p>
    <w:tbl>
      <w:tblPr>
        <w:tblW w:w="3648" w:type="dxa"/>
        <w:jc w:val="left"/>
        <w:tblInd w:w="0" w:type="dxa"/>
        <w:tblLayout w:type="fixed"/>
        <w:tblCellMar>
          <w:top w:w="0" w:type="dxa"/>
          <w:left w:w="0" w:type="dxa"/>
          <w:bottom w:w="0" w:type="dxa"/>
          <w:right w:w="0" w:type="dxa"/>
        </w:tblCellMar>
      </w:tblPr>
      <w:tblGrid>
        <w:gridCol w:w="38"/>
        <w:gridCol w:w="305"/>
        <w:gridCol w:w="330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w:t>
            </w:r>
          </w:p>
        </w:tc>
        <w:tc>
          <w:tcPr>
            <w:tcW w:w="3305" w:type="dxa"/>
            <w:tcBorders/>
            <w:vAlign w:val="center"/>
          </w:tcPr>
          <w:p>
            <w:pPr>
              <w:pStyle w:val="TableContents"/>
              <w:bidi w:val="0"/>
              <w:spacing w:before="0" w:after="283"/>
              <w:jc w:val="both"/>
              <w:rPr>
                <w:sz w:val="20"/>
              </w:rPr>
            </w:pPr>
            <w:r>
              <w:rPr>
                <w:sz w:val="20"/>
              </w:rPr>
              <w:t>Lucid Group, Inc.</w:t>
              <w:br/>
            </w:r>
            <w:r>
              <w:rPr>
                <w:sz w:val="20"/>
                <w:u w:val="single"/>
              </w:rPr>
              <w:t>Registration Statement on Form S-3ASR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United States counsel to Lucid Group, Inc., a Delaware corporation (the “Company”), in connection with the resale by the selling stockholders identified in Schedule A hereto (the “Selling Stockholders”) of up to (i) 55,000 shares of the Company’s Series C Convertible Preferred Stock, par value $0.0001 per share (the “Series C Convertible Preferred Stock”), (ii) 51,651,489 shares of the Company’s Class A Common Stock (the “Conversion Shares”), par value $0.0001 per share (“Common Stock”), which may be issued upon conversion of the Series C Convertible Preferred Stock as of June 30, 2026, and (iii) 24,038,462 shares of Common Stock (the “Secondary Shares”). We have been advised that (i) the Series C Convertible Preferred Stock was issued pursuant to a subscription agreement (the “Series C Subscription Agreement”), dated as of April 14, 2026, between the Company and Ayar Third Investment Company, and (ii) the Secondary Shares were issued pursuant to a subscription agreement, dated as of April 14, 2026, between the Company and SMB Holding Corporation (the “Secondary Shares Subscription Agreement,” and together with the Series C Subscription Agreement, the “Subscription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Lucid Group, Inc.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being furnished in accordance with the requirements of Item 601(b)(5) of Regulation S-K under the Securities Act of 1933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opinions stated herein, we have examined and relied upon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registration statement on Form S-3ASR (File No. 333-282677) of the Company relating to Common Stock, preferred stock and other securities of the Company filed on October 16, 2024 with the Securities and Exchange Commission (the “Commission”) under the Securities Act, allowing for delayed offerings pursuant to Rule 415 of the General Rules and Regulations under the Securities Act (the “Rules and Regulations”), including the information deemed to be a part of the registration statement pursuant to Rule 430B of the Rules and Regulations (such registration statement being hereinafter referred to as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prospectus, dated October 16, 2024 (the “Base Prospectus”), which forms a part of and is included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prospectus supplement, dated August 12, 2026 (together with the Base Prospectus, the “Prospectus”), relating to the offering of the Series C Convertible Preferred Stock, the Secondary Shares and the Conversion Shares, in the form filed with the Commission pursuant to Rule 424(b) of the Rules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executed copies of the Subscription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 executed copy of a certificate of Brian K. Tomkiel, Chief Legal Officer, General Counsel and Corporate Secretary of the Company, dated the date hereof (the “Secretary’s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 copy of the Company’s Third Amended and Restated Certificate of Incorporation, as amended, certified by the Secretary of State of the State of Delaware as of August 12, 2026, and certified pursuant to the Secretary’s Certificate as being in effect on each of the respective dates of the resolutions referred to below and as of the date hereof (the “Amended and Restated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Lucid Group, Inc.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 copy of the Company’s Second Amended and Restated Bylaws, as amended and certified pursuant to the Secretary’s Certificate as being in effect on each of the respective dates of the resolutions referred to below and as of the date hereof (the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 copy of the Company’s certificate of designations of the Series C Convertible Preferred Stock (the “Series C Certificate of Designations”), certified by the Secretary of State of the State of Delaware as of August 12, 2026, and certified pursuant to the Secretary’s Certificate;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copies of certain resolutions of the Board of Directors of the Company, adopted on April 9, 2026, certain resolutions of the Special Pricing Subcommittee of the Pricing Committee thereof, adopted on April 13, 2026, and certain resolutions of the Audit Committee thereof, adopted on April 13, 2026, certified pursuant to the Secretary’s Certificate (collectively, the “Resolutions”).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examined originals or copies, certified or otherwise identified to our satisfaction, of such records of the Company and such agreements, certificates and receipts of public officials, certificates of officers or other representatives of the Company, the Selling Stockholders and others, and such other documents as we have deemed necessary or appropriate as a basis for the opinions stated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With respect to our opinion set forth in paragraph 1 below, we have assumed that (i) the Company received the consideration for the Series C Convertible Preferred Stock and the Secondary Shares set forth in the applicable Subscription Agreements and Resolutions and (ii) each issuance of the Series C Convertible Preferred Stock and the Secondary Shares has been registered in the Company’s share registry. As to any facts relevant to the opinions stated herein that we did not independently establish or verify, we have relied upon statements and representations of officers and other representatives of the Company and the Selling Stockholders and others and of public officials, including the facts and conclusions set forth in the Amended and Restated Certificate of Incorporation and the Secretary’s Certificate and the factual representations and warranties set forth in the Subscription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express any opinion with respect to the laws of any jurisdiction other than the General Corporation Law of the State of Delaware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“Organizational Documents” means those documents listed in paragraphs (f) through (h)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Lucid Group, Inc.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and assumptions stated herein, we are of the opinion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Series C Convertible Preferred Stock and the Secondary Shares have been duly authorized by all requisite corporate action on the part of the Company under the DGCL and have been validly issued and are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Conversion Shares have been duly authorized by all requisite corporate action on the part of the Company under the DGCL and upon conversion of the Series C Convertible Preferred Stock into Conversion Shares in accordance with the terms of the Series C Certificate of Designations,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rendering the foregoing opinions we have assumed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Company’s issuance of the Conversion Shares does not and will not and the Company’s issuance of the Series C Convertible Preferred Stock and the Secondary Shares did not (i) violate any statute to which the Company or such issuance is subject (except that we do not make this assumption with regard to the DGCL), or (ii) constitute a violation of, or a breach under, or require the consent or approval of any other person under, any agreement or instrument binding on the Company (except that we do not make this assumption with respect to the Organizational Documents, the Subscription Agreements or those agreements or instruments expressed to be governed by the laws of the State of New York which are listed in Part II of the Registration Statement or the Company’s Annual Report on Form 10-K for the year ended December 31, 2025, although we have assumed compliance with any covenant, restriction or provision with respect to financial ratios or tests or any aspect of the financial condition or results of operations of the Company contained in such agreements or instruments), and we have further assumed that the Company will continue to have sufficient authorized shares of Common Stock;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Company’s authorized capital stock was at the time of issuance of the Series C Convertible Preferred Stock and the Secondary Shares as set forth in the Amended and Restated Certificate of Incorporation and the Series C Certificate of Designations and is as set forth in the Amended and Restated Certificate of Incorporation and the Series C Certificate of Designations, and we have relied solely on the certified copies thereof issued by the Secretary of State of the State of Delaware and have not made any other inquiries or investigations.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shall be interpreted in accordance with customary practice of United States lawyers who regularly give opinions in transactions of this type.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reference to our firm under the heading “Validity Of The Securities” in the Prospectus forming part of the Registration Statement. We also hereby consent to the filing of this opinion letter with the Commission as an exhibit to the Company’s Current Report on Form 8-K being filed on the date hereof and incorporated by reference into the Registration Statement. In giving this consent, we do not thereby admit that we are within the category of persons whose consent is required under Section 7 of the Securities Act or the Rules and Regulations. This opinion letter is expressed as of the date hereof unless otherwise expressly stated, and we disclaim any undertaking to advise you of any subsequent changes in the facts stated or assumed herein or of any subsequent changes in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Lucid Group, Inc.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5</w:t>
      </w:r>
    </w:p>
    <w:p>
      <w:pPr>
        <w:pStyle w:val="TextBody"/>
        <w:bidi w:val="0"/>
        <w:spacing w:before="0" w:after="0"/>
        <w:ind w:left="0" w:right="0" w:hanging="0"/>
        <w:jc w:val="left"/>
        <w:rPr>
          <w:caps w:val="false"/>
          <w:smallCaps w:val="false"/>
        </w:rPr>
      </w:pPr>
      <w:r>
        <w:rPr>
          <w:caps w:val="false"/>
          <w:smallCaps w:val="false"/>
        </w:rPr>
        <w:t> </w:t>
      </w:r>
    </w:p>
    <w:tbl>
      <w:tblPr>
        <w:tblW w:w="3875" w:type="dxa"/>
        <w:jc w:val="left"/>
        <w:tblInd w:w="0" w:type="dxa"/>
        <w:tblLayout w:type="fixed"/>
        <w:tblCellMar>
          <w:top w:w="0" w:type="dxa"/>
          <w:left w:w="0" w:type="dxa"/>
          <w:bottom w:w="0" w:type="dxa"/>
          <w:right w:w="0" w:type="dxa"/>
        </w:tblCellMar>
      </w:tblPr>
      <w:tblGrid>
        <w:gridCol w:w="75"/>
        <w:gridCol w:w="3800"/>
      </w:tblGrid>
      <w:tr>
        <w:trPr/>
        <w:tc>
          <w:tcPr>
            <w:tcW w:w="7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Skadden, Arps, Slate, Meagher &amp; Flom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BDP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Lucid Group, Inc.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Investment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SMB Holding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4" w:name="tm2622757d2_ex99-1.htm"/>
      <w:bookmarkStart w:id="25" w:name="kstm2622757d2_ex991"/>
      <w:bookmarkEnd w:id="24"/>
      <w:bookmarkEnd w:id="25"/>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Lucid Files Resale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NEWARK, Calif., August 12, 2026 -- Lucid Group, Inc. (Nasdaq: LCID), maker of the world’s most advanced electric vehicles, today announced that it has filed a prospectus supplement with the Securities and Exchange Commission to register for resale up to (i) 55,000 shares of its Series C Convertible Preferred Stock, (ii) 51,651,489 shares of its Class A Common Stock that may be issued upon conversion of the Series C Convertible Preferred Stock as of June 30, 2026, and (iii) 24,038,462 shares of its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new shares will be issued or sold by Lucid in connection with this resale prospectus supplement. The shares were registered solely to fulfill Lucid’s contractual obligations to (i) Ayar Third Investment Company, an affiliate of the Public Investment Fund, with respect to shares of Series C Convertible Preferred Stock issued to Ayar in a private placement, and (ii) SMB Holding Corporation, a subsidiary of Uber Technologies, Inc., with respect to shares of Class A Common Stock issued to SMB in a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of these shares does not mean that the holders will offer or sell any of their securities. In fact, SMB is subject to transfer restrictions with respect to its shares until October 2027, and Ayar is subject to transfer restrictions with respect to its Series C Convertible Preferred Stock and any shares of Class A Common Stock issuable upon conversion thereof until April 2027. The Series C Convertible Preferred Stock is also subject to the conversion terms and other conditions set forth in its Certificate of Designations.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does not constitute an offer to sell or the solicitation of an offer to buy any of Lucid’s securities, nor shall there be any sale of Lucid’s securities in any jurisdiction in which such offer, solicitation or sale would be unlawful prior to registration or qualification under the securities laws of any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Lucid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Lucid (NASDAQ: LCID) is a Silicon Valley-based technology company focused on creating the most advanced EVs in the world. The award-winning Lucid Air and Lucid Gravity deliver best-in-class performance, sophisticated design, expansive interior space and unrivaled energy efficiency. Lucid assembles both vehicles in its state-of-the-art, vertically integrated factories in Arizona and Saudi Arabia. Through its industry-leading technology and innovations, Lucid is advancing the state-of-the-art of EV technology for the benefit of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investor@lucidmotors.com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media@lucidmotors.com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the timing of the sale of shares of Lucid’s Series C Convertible Preferred Stock and common stock. Actual events and circumstances may differ from these forward-looking statements. These forward-looking statements are subject to a number of risks and uncertainties. Among those risks and uncertainties are market conditions and risks relating to Lucid’s business, including those factors discussed under the cautionary language and the Risk Factors in Lucid’s Annual Report on Form 10-K for the year ended December 31, 2025, subsequent Quarterly Reports on Form 10-Q and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Accordingly, undue reliance should not be placed upon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3035</Words>
  <Characters>16498</Characters>
  <CharactersWithSpaces>19776</CharactersWithSpaces>
  <Paragraphs>331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