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UNITED STATES</w:t>
      </w:r>
    </w:p>
    <w:p>
      <w:pPr>
        <w:spacing w:after="0" w:line="39"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Washington, D.C. 20549</w:t>
      </w:r>
    </w:p>
    <w:p>
      <w:pPr>
        <w:spacing w:after="0" w:line="137" w:lineRule="exact"/>
        <w:rPr>
          <w:sz w:val="24"/>
          <w:szCs w:val="24"/>
          <w:color w:val="auto"/>
        </w:rPr>
      </w:pPr>
    </w:p>
    <w:p>
      <w:pPr>
        <w:ind w:left="3480"/>
        <w:spacing w:after="0"/>
        <w:rPr>
          <w:sz w:val="20"/>
          <w:szCs w:val="20"/>
          <w:color w:val="auto"/>
        </w:rPr>
      </w:pPr>
      <w:r>
        <w:rPr>
          <w:rFonts w:ascii="Arial" w:cs="Arial" w:eastAsia="Arial" w:hAnsi="Arial"/>
          <w:sz w:val="25"/>
          <w:szCs w:val="25"/>
          <w:b w:val="1"/>
          <w:bCs w:val="1"/>
          <w:color w:val="auto"/>
        </w:rPr>
        <w:t>SCHEDULE 14A INFORMATION</w:t>
      </w:r>
    </w:p>
    <w:p>
      <w:pPr>
        <w:spacing w:after="0" w:line="195" w:lineRule="exact"/>
        <w:rPr>
          <w:sz w:val="24"/>
          <w:szCs w:val="24"/>
          <w:color w:val="auto"/>
        </w:rPr>
      </w:pPr>
    </w:p>
    <w:p>
      <w:pPr>
        <w:ind w:left="3700"/>
        <w:spacing w:after="0"/>
        <w:rPr>
          <w:sz w:val="20"/>
          <w:szCs w:val="20"/>
          <w:color w:val="auto"/>
        </w:rPr>
      </w:pPr>
      <w:r>
        <w:rPr>
          <w:rFonts w:ascii="Arial" w:cs="Arial" w:eastAsia="Arial" w:hAnsi="Arial"/>
          <w:sz w:val="16"/>
          <w:szCs w:val="16"/>
          <w:color w:val="auto"/>
        </w:rPr>
        <w:t>Proxy Statement Pursuant to Section 14(a) of</w:t>
      </w:r>
    </w:p>
    <w:p>
      <w:pPr>
        <w:spacing w:after="0" w:line="32" w:lineRule="exact"/>
        <w:rPr>
          <w:sz w:val="24"/>
          <w:szCs w:val="24"/>
          <w:color w:val="auto"/>
        </w:rPr>
      </w:pPr>
    </w:p>
    <w:p>
      <w:pPr>
        <w:ind w:left="4040"/>
        <w:spacing w:after="0"/>
        <w:rPr>
          <w:sz w:val="20"/>
          <w:szCs w:val="20"/>
          <w:color w:val="auto"/>
        </w:rPr>
      </w:pPr>
      <w:r>
        <w:rPr>
          <w:rFonts w:ascii="Arial" w:cs="Arial" w:eastAsia="Arial" w:hAnsi="Arial"/>
          <w:sz w:val="16"/>
          <w:szCs w:val="16"/>
          <w:color w:val="auto"/>
        </w:rPr>
        <w:t>the Securities Exchange Act of 1934</w:t>
      </w:r>
    </w:p>
    <w:p>
      <w:pPr>
        <w:spacing w:after="0" w:line="141"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81"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1020" w:hanging="366"/>
        <w:spacing w:after="0"/>
        <w:tabs>
          <w:tab w:leader="none" w:pos="10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80" w:lineRule="exact"/>
        <w:rPr>
          <w:rFonts w:ascii="MS PGothic" w:cs="MS PGothic" w:eastAsia="MS PGothic" w:hAnsi="MS PGothic"/>
          <w:sz w:val="16"/>
          <w:szCs w:val="16"/>
          <w:color w:val="auto"/>
        </w:rPr>
      </w:pPr>
    </w:p>
    <w:p>
      <w:pPr>
        <w:ind w:left="1020" w:hanging="366"/>
        <w:spacing w:after="0"/>
        <w:tabs>
          <w:tab w:leader="none" w:pos="10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81" w:lineRule="exact"/>
        <w:rPr>
          <w:sz w:val="24"/>
          <w:szCs w:val="24"/>
          <w:color w:val="auto"/>
        </w:rPr>
      </w:pPr>
    </w:p>
    <w:p>
      <w:pPr>
        <w:ind w:left="1020" w:hanging="366"/>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67" w:lineRule="exact"/>
        <w:rPr>
          <w:sz w:val="24"/>
          <w:szCs w:val="24"/>
          <w:color w:val="auto"/>
        </w:rPr>
      </w:pPr>
    </w:p>
    <w:p>
      <w:pPr>
        <w:ind w:left="1020" w:hanging="366"/>
        <w:spacing w:after="0"/>
        <w:tabs>
          <w:tab w:leader="none" w:pos="10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80" w:lineRule="exact"/>
        <w:rPr>
          <w:rFonts w:ascii="MS PGothic" w:cs="MS PGothic" w:eastAsia="MS PGothic" w:hAnsi="MS PGothic"/>
          <w:sz w:val="16"/>
          <w:szCs w:val="16"/>
          <w:color w:val="auto"/>
        </w:rPr>
      </w:pPr>
    </w:p>
    <w:p>
      <w:pPr>
        <w:ind w:left="1020" w:hanging="366"/>
        <w:spacing w:after="0"/>
        <w:tabs>
          <w:tab w:leader="none" w:pos="10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1631315</wp:posOffset>
            </wp:positionH>
            <wp:positionV relativeFrom="paragraph">
              <wp:posOffset>149225</wp:posOffset>
            </wp:positionV>
            <wp:extent cx="3540125"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0125" cy="231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63500</wp:posOffset>
            </wp:positionV>
            <wp:extent cx="5966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4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295275</wp:posOffset>
            </wp:positionV>
            <wp:extent cx="5966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6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Payment of Filing Fee (Check the appropriate box):</w:t>
      </w:r>
    </w:p>
    <w:p>
      <w:pPr>
        <w:spacing w:after="0" w:line="181" w:lineRule="exact"/>
        <w:rPr>
          <w:sz w:val="24"/>
          <w:szCs w:val="24"/>
          <w:color w:val="auto"/>
        </w:rPr>
      </w:pPr>
    </w:p>
    <w:p>
      <w:pPr>
        <w:ind w:left="1020" w:hanging="366"/>
        <w:spacing w:after="0"/>
        <w:tabs>
          <w:tab w:leader="none" w:pos="102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81" w:lineRule="exact"/>
        <w:rPr>
          <w:sz w:val="24"/>
          <w:szCs w:val="24"/>
          <w:color w:val="auto"/>
        </w:rPr>
      </w:pPr>
    </w:p>
    <w:p>
      <w:pPr>
        <w:ind w:left="1020" w:hanging="366"/>
        <w:spacing w:after="0"/>
        <w:tabs>
          <w:tab w:leader="none" w:pos="10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previously paid with preliminary materials.</w:t>
      </w:r>
    </w:p>
    <w:p>
      <w:pPr>
        <w:spacing w:after="0" w:line="167" w:lineRule="exact"/>
        <w:rPr>
          <w:rFonts w:ascii="MS PGothic" w:cs="MS PGothic" w:eastAsia="MS PGothic" w:hAnsi="MS PGothic"/>
          <w:sz w:val="16"/>
          <w:szCs w:val="16"/>
          <w:color w:val="auto"/>
        </w:rPr>
      </w:pPr>
    </w:p>
    <w:p>
      <w:pPr>
        <w:ind w:left="1020" w:hanging="366"/>
        <w:spacing w:after="0"/>
        <w:tabs>
          <w:tab w:leader="none" w:pos="10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2974340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142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5005" cy="9142095"/>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10400665</wp:posOffset>
            </wp:positionV>
            <wp:extent cx="2644140"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4140" cy="336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line="183" w:lineRule="auto"/>
        <w:rPr>
          <w:sz w:val="20"/>
          <w:szCs w:val="20"/>
          <w:color w:val="auto"/>
        </w:rPr>
      </w:pPr>
      <w:r>
        <w:rPr>
          <w:rFonts w:ascii="Calibri" w:cs="Calibri" w:eastAsia="Calibri" w:hAnsi="Calibri"/>
          <w:sz w:val="14"/>
          <w:szCs w:val="14"/>
          <w:color w:val="003366"/>
        </w:rPr>
        <w:t>TABLE OF CONTENTS</w:t>
      </w:r>
      <w:r>
        <w:rPr>
          <w:rFonts w:ascii="Times New Roman" w:cs="Times New Roman" w:eastAsia="Times New Roman" w:hAnsi="Times New Roman"/>
          <w:sz w:val="56"/>
          <w:szCs w:val="56"/>
          <w:b w:val="1"/>
          <w:bCs w:val="1"/>
          <w:color w:val="FEFEFE"/>
          <w:vertAlign w:val="subscript"/>
        </w:rPr>
        <w:t>Letter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-241300</wp:posOffset>
            </wp:positionV>
            <wp:extent cx="2644140" cy="4794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4140" cy="479425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36"/>
          <w:szCs w:val="36"/>
          <w:b w:val="1"/>
          <w:bCs w:val="1"/>
          <w:color w:val="FEFEFE"/>
        </w:rPr>
        <w:t>Stockholders</w:t>
      </w:r>
      <w:r>
        <w:rPr>
          <w:rFonts w:ascii="Times New Roman" w:cs="Times New Roman" w:eastAsia="Times New Roman" w:hAnsi="Times New Roman"/>
          <w:sz w:val="16"/>
          <w:szCs w:val="16"/>
          <w:color w:val="000000"/>
        </w:rPr>
        <w:t>​</w:t>
      </w:r>
    </w:p>
    <w:p>
      <w:pPr>
        <w:spacing w:after="0" w:line="176"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C4B592"/>
        </w:rPr>
        <w:t>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-90170</wp:posOffset>
            </wp:positionV>
            <wp:extent cx="141478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780" cy="94615"/>
                    </a:xfrm>
                    <a:prstGeom prst="rect">
                      <a:avLst/>
                    </a:prstGeom>
                    <a:noFill/>
                  </pic:spPr>
                </pic:pic>
              </a:graphicData>
            </a:graphic>
          </wp:anchor>
        </w:drawing>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FEFEFE"/>
        </w:rPr>
        <w:t>Chief Executive Officer &amp;</w:t>
      </w:r>
    </w:p>
    <w:p>
      <w:pPr>
        <w:ind w:left="680"/>
        <w:spacing w:after="0" w:line="230" w:lineRule="auto"/>
        <w:rPr>
          <w:sz w:val="20"/>
          <w:szCs w:val="20"/>
          <w:color w:val="auto"/>
        </w:rPr>
      </w:pPr>
      <w:r>
        <w:rPr>
          <w:rFonts w:ascii="Arial" w:cs="Arial" w:eastAsia="Arial" w:hAnsi="Arial"/>
          <w:sz w:val="16"/>
          <w:szCs w:val="16"/>
          <w:color w:val="FEFEFE"/>
        </w:rPr>
        <w:t>Chief Technology Officer</w:t>
      </w:r>
    </w:p>
    <w:p>
      <w:pPr>
        <w:ind w:left="4540"/>
        <w:spacing w:after="0"/>
        <w:rPr>
          <w:sz w:val="20"/>
          <w:szCs w:val="20"/>
          <w:color w:val="auto"/>
        </w:rPr>
      </w:pPr>
      <w:r>
        <w:rPr>
          <w:rFonts w:ascii="Arial" w:cs="Arial" w:eastAsia="Arial" w:hAnsi="Arial"/>
          <w:sz w:val="16"/>
          <w:szCs w:val="16"/>
          <w:color w:val="auto"/>
        </w:rPr>
        <w:t>Dear Shareholders,</w:t>
      </w:r>
    </w:p>
    <w:p>
      <w:pPr>
        <w:spacing w:after="0" w:line="232" w:lineRule="exact"/>
        <w:rPr>
          <w:sz w:val="20"/>
          <w:szCs w:val="20"/>
          <w:color w:val="auto"/>
        </w:rPr>
      </w:pPr>
    </w:p>
    <w:p>
      <w:pPr>
        <w:ind w:left="4540" w:right="160"/>
        <w:spacing w:after="0" w:line="295" w:lineRule="auto"/>
        <w:rPr>
          <w:sz w:val="20"/>
          <w:szCs w:val="20"/>
          <w:color w:val="auto"/>
        </w:rPr>
      </w:pPr>
      <w:r>
        <w:rPr>
          <w:rFonts w:ascii="Arial" w:cs="Arial" w:eastAsia="Arial" w:hAnsi="Arial"/>
          <w:sz w:val="16"/>
          <w:szCs w:val="16"/>
          <w:color w:val="auto"/>
        </w:rPr>
        <w:t>I wish to thank you for your continued support of our company as we play a leading role in the transition towards sustainable mobility. We are proud to have a strong and engaged shareholder base and we continue to work diligently to create long-term value for all our stakeholders.</w:t>
      </w:r>
    </w:p>
    <w:p>
      <w:pPr>
        <w:spacing w:after="0" w:line="175" w:lineRule="exact"/>
        <w:rPr>
          <w:sz w:val="20"/>
          <w:szCs w:val="20"/>
          <w:color w:val="auto"/>
        </w:rPr>
      </w:pPr>
    </w:p>
    <w:p>
      <w:pPr>
        <w:ind w:left="4540"/>
        <w:spacing w:after="0" w:line="288" w:lineRule="auto"/>
        <w:rPr>
          <w:sz w:val="20"/>
          <w:szCs w:val="20"/>
          <w:color w:val="auto"/>
        </w:rPr>
      </w:pPr>
      <w:r>
        <w:rPr>
          <w:rFonts w:ascii="Arial" w:cs="Arial" w:eastAsia="Arial" w:hAnsi="Arial"/>
          <w:sz w:val="16"/>
          <w:szCs w:val="16"/>
          <w:color w:val="auto"/>
        </w:rPr>
        <w:t xml:space="preserve">2022 was a seminal year for Lucid Group. We accelerated the fulfillment of our enduring mission to inspire the adoption of sustainable energy by not only building zero-emission cars, but by delivering zero-emission cars in significant volume that make the </w:t>
      </w:r>
      <w:r>
        <w:rPr>
          <w:rFonts w:ascii="Arial" w:cs="Arial" w:eastAsia="Arial" w:hAnsi="Arial"/>
          <w:sz w:val="16"/>
          <w:szCs w:val="16"/>
          <w:i w:val="1"/>
          <w:iCs w:val="1"/>
          <w:color w:val="auto"/>
        </w:rPr>
        <w:t>best</w:t>
      </w:r>
      <w:r>
        <w:rPr>
          <w:rFonts w:ascii="Arial" w:cs="Arial" w:eastAsia="Arial" w:hAnsi="Arial"/>
          <w:sz w:val="16"/>
          <w:szCs w:val="16"/>
          <w:color w:val="auto"/>
        </w:rPr>
        <w:t xml:space="preserve"> use of the world’s resources through our advanced technology and design. We’ll continue focusing on innovation and bringing the best products we believe anyone has ever seen to market to delight our customers and to make a difference in the world for generations to come.</w:t>
      </w:r>
    </w:p>
    <w:p>
      <w:pPr>
        <w:spacing w:after="0" w:line="399" w:lineRule="exact"/>
        <w:rPr>
          <w:sz w:val="20"/>
          <w:szCs w:val="20"/>
          <w:color w:val="auto"/>
        </w:rPr>
      </w:pPr>
    </w:p>
    <w:p>
      <w:pPr>
        <w:ind w:left="4540" w:right="180"/>
        <w:spacing w:after="0" w:line="301" w:lineRule="auto"/>
        <w:rPr>
          <w:sz w:val="20"/>
          <w:szCs w:val="20"/>
          <w:color w:val="auto"/>
        </w:rPr>
      </w:pPr>
      <w:r>
        <w:rPr>
          <w:rFonts w:ascii="Arial" w:cs="Arial" w:eastAsia="Arial" w:hAnsi="Arial"/>
          <w:sz w:val="16"/>
          <w:szCs w:val="16"/>
          <w:color w:val="auto"/>
        </w:rPr>
        <w:t>In 2023, we will amplify our message across a broader audience to expand awareness of our products and our mission while, at the same time, continuing our focus on strong capital discipline.</w:t>
      </w:r>
    </w:p>
    <w:p>
      <w:pPr>
        <w:spacing w:after="0" w:line="172" w:lineRule="exact"/>
        <w:rPr>
          <w:sz w:val="20"/>
          <w:szCs w:val="20"/>
          <w:color w:val="auto"/>
        </w:rPr>
      </w:pPr>
    </w:p>
    <w:p>
      <w:pPr>
        <w:ind w:left="4540" w:right="20"/>
        <w:spacing w:after="0" w:line="288" w:lineRule="auto"/>
        <w:rPr>
          <w:sz w:val="20"/>
          <w:szCs w:val="20"/>
          <w:color w:val="auto"/>
        </w:rPr>
      </w:pPr>
      <w:r>
        <w:rPr>
          <w:rFonts w:ascii="Arial" w:cs="Arial" w:eastAsia="Arial" w:hAnsi="Arial"/>
          <w:sz w:val="16"/>
          <w:szCs w:val="16"/>
          <w:color w:val="auto"/>
        </w:rPr>
        <w:t>I would like to leave you with a message of restless optimism for the year ahead. We have what we view as the very best car imaginable in production today, a view substantiated with countless reviews and accolades. We will be ramping up in key new international markets, producing with quality in volume, and will have more attainable versions of Air arriving very soon. Truly landmark products are also on their way in Sapphire and Gravity, supported by a technology roadmap to keep us clearly ahead of the competition.</w:t>
      </w:r>
    </w:p>
    <w:p>
      <w:pPr>
        <w:spacing w:after="0" w:line="399" w:lineRule="exact"/>
        <w:rPr>
          <w:sz w:val="20"/>
          <w:szCs w:val="20"/>
          <w:color w:val="auto"/>
        </w:rPr>
      </w:pPr>
    </w:p>
    <w:p>
      <w:pPr>
        <w:ind w:left="4540" w:right="40"/>
        <w:spacing w:after="0" w:line="301" w:lineRule="auto"/>
        <w:rPr>
          <w:sz w:val="20"/>
          <w:szCs w:val="20"/>
          <w:color w:val="auto"/>
        </w:rPr>
      </w:pPr>
      <w:r>
        <w:rPr>
          <w:rFonts w:ascii="Arial" w:cs="Arial" w:eastAsia="Arial" w:hAnsi="Arial"/>
          <w:sz w:val="16"/>
          <w:szCs w:val="16"/>
          <w:color w:val="auto"/>
        </w:rPr>
        <w:t>Thank you for joining us on this journey to a sustainable future. I am sincerely grateful to everyone at Lucid for the work they do each and every day — and to our shareholders for their trust and investment in our company.</w:t>
      </w:r>
    </w:p>
    <w:p>
      <w:pPr>
        <w:spacing w:after="0" w:line="17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192405</wp:posOffset>
            </wp:positionV>
            <wp:extent cx="1971675"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7167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Peter Rawlinson</w:t>
      </w:r>
    </w:p>
    <w:p>
      <w:pPr>
        <w:spacing w:after="0" w:line="39"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Chief Executive Officer and</w:t>
      </w:r>
    </w:p>
    <w:p>
      <w:pPr>
        <w:spacing w:after="0" w:line="25"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3222625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0" w:right="123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Lucid Group, Inc.</w:t>
      </w:r>
    </w:p>
    <w:p>
      <w:pPr>
        <w:spacing w:after="0" w:line="194" w:lineRule="exact"/>
        <w:rPr>
          <w:sz w:val="20"/>
          <w:szCs w:val="20"/>
          <w:color w:val="auto"/>
        </w:rPr>
      </w:pPr>
    </w:p>
    <w:p>
      <w:pPr>
        <w:ind w:left="660" w:right="3020"/>
        <w:spacing w:after="0" w:line="278" w:lineRule="auto"/>
        <w:rPr>
          <w:sz w:val="20"/>
          <w:szCs w:val="20"/>
          <w:color w:val="auto"/>
        </w:rPr>
      </w:pPr>
      <w:r>
        <w:rPr>
          <w:rFonts w:ascii="Times New Roman" w:cs="Times New Roman" w:eastAsia="Times New Roman" w:hAnsi="Times New Roman"/>
          <w:sz w:val="35"/>
          <w:szCs w:val="35"/>
          <w:b w:val="1"/>
          <w:bCs w:val="1"/>
          <w:color w:val="auto"/>
        </w:rPr>
        <w:t>Notice of Annual Meeting of Stockholders to Be Held on April 24, 2023</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March 13, 2023​</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Dear Stockholder:</w:t>
      </w:r>
    </w:p>
    <w:p>
      <w:pPr>
        <w:spacing w:after="0" w:line="248" w:lineRule="exact"/>
        <w:rPr>
          <w:sz w:val="20"/>
          <w:szCs w:val="20"/>
          <w:color w:val="auto"/>
        </w:rPr>
      </w:pPr>
    </w:p>
    <w:p>
      <w:pPr>
        <w:ind w:left="660" w:right="260"/>
        <w:spacing w:after="0" w:line="301" w:lineRule="auto"/>
        <w:rPr>
          <w:sz w:val="20"/>
          <w:szCs w:val="20"/>
          <w:color w:val="auto"/>
        </w:rPr>
      </w:pPr>
      <w:r>
        <w:rPr>
          <w:rFonts w:ascii="Arial" w:cs="Arial" w:eastAsia="Arial" w:hAnsi="Arial"/>
          <w:sz w:val="16"/>
          <w:szCs w:val="16"/>
          <w:color w:val="auto"/>
        </w:rPr>
        <w:t>You are cordially invited to attend the 2023 Annual Meeting of Stockholders (the “Annual Meeting”) of Lucid Group, Inc., a Delaware corporation (“we,” “us,” “Lucid Group,” “Lucid” or the “Company”). The Annual Meeting will be held virtually on April 24, 2023 at 9:00 a.m. (Pacific Time), to consider and vote on the following proposals:</w:t>
      </w:r>
    </w:p>
    <w:p>
      <w:pPr>
        <w:spacing w:after="0" w:line="172" w:lineRule="exact"/>
        <w:rPr>
          <w:sz w:val="20"/>
          <w:szCs w:val="20"/>
          <w:color w:val="auto"/>
        </w:rPr>
      </w:pPr>
    </w:p>
    <w:p>
      <w:pPr>
        <w:ind w:left="980" w:right="360" w:hanging="326"/>
        <w:spacing w:after="0" w:line="32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the nine nominees to serve as directors, to hold office until the 2024 annual meeting of stockholders and until their successors are duly elected and qualified, or until their earlier death, resignation or removal;</w:t>
      </w:r>
    </w:p>
    <w:p>
      <w:pPr>
        <w:spacing w:after="0" w:line="155" w:lineRule="exact"/>
        <w:rPr>
          <w:rFonts w:ascii="Arial" w:cs="Arial" w:eastAsia="Arial" w:hAnsi="Arial"/>
          <w:sz w:val="16"/>
          <w:szCs w:val="16"/>
          <w:color w:val="auto"/>
        </w:rPr>
      </w:pPr>
    </w:p>
    <w:p>
      <w:pPr>
        <w:ind w:left="980" w:right="320" w:hanging="326"/>
        <w:spacing w:after="0" w:line="32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selection of Grant Thornton LLP as our independent registered public accounting firm for the fiscal year ending December 31, 2023;</w:t>
      </w:r>
    </w:p>
    <w:p>
      <w:pPr>
        <w:spacing w:after="0" w:line="155" w:lineRule="exact"/>
        <w:rPr>
          <w:rFonts w:ascii="Arial" w:cs="Arial" w:eastAsia="Arial" w:hAnsi="Arial"/>
          <w:sz w:val="16"/>
          <w:szCs w:val="16"/>
          <w:color w:val="auto"/>
        </w:rPr>
      </w:pPr>
    </w:p>
    <w:p>
      <w:pPr>
        <w:ind w:left="980" w:hanging="326"/>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an advisory basis, the compensation for our named executive officers;</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the amendment of the Lucid Group, Inc. Amended and Restated 2021 Stock Incentive Plan;</w:t>
      </w:r>
    </w:p>
    <w:p>
      <w:pPr>
        <w:spacing w:after="0" w:line="248" w:lineRule="exact"/>
        <w:rPr>
          <w:rFonts w:ascii="Arial" w:cs="Arial" w:eastAsia="Arial" w:hAnsi="Arial"/>
          <w:sz w:val="16"/>
          <w:szCs w:val="16"/>
          <w:color w:val="auto"/>
        </w:rPr>
      </w:pPr>
    </w:p>
    <w:p>
      <w:pPr>
        <w:ind w:left="980" w:right="340" w:hanging="326"/>
        <w:spacing w:after="0" w:line="321"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the amendment and restatement of the Company’s current certificate of incorporation (the “Third Amended and Restated Certificate of Incorporation”); and</w:t>
      </w:r>
    </w:p>
    <w:p>
      <w:pPr>
        <w:spacing w:after="0" w:line="155" w:lineRule="exact"/>
        <w:rPr>
          <w:rFonts w:ascii="Arial" w:cs="Arial" w:eastAsia="Arial" w:hAnsi="Arial"/>
          <w:sz w:val="16"/>
          <w:szCs w:val="16"/>
          <w:color w:val="auto"/>
        </w:rPr>
      </w:pPr>
    </w:p>
    <w:p>
      <w:pPr>
        <w:ind w:left="980" w:hanging="326"/>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conduct such other business as may properly come before the Annual Meeting or any adjournment thereof.</w:t>
      </w:r>
    </w:p>
    <w:p>
      <w:pPr>
        <w:spacing w:after="0" w:line="248" w:lineRule="exact"/>
        <w:rPr>
          <w:sz w:val="20"/>
          <w:szCs w:val="20"/>
          <w:color w:val="auto"/>
        </w:rPr>
      </w:pPr>
    </w:p>
    <w:p>
      <w:pPr>
        <w:ind w:left="660" w:right="860"/>
        <w:spacing w:after="0" w:line="321" w:lineRule="auto"/>
        <w:rPr>
          <w:sz w:val="20"/>
          <w:szCs w:val="20"/>
          <w:color w:val="auto"/>
        </w:rPr>
      </w:pPr>
      <w:r>
        <w:rPr>
          <w:rFonts w:ascii="Arial" w:cs="Arial" w:eastAsia="Arial" w:hAnsi="Arial"/>
          <w:sz w:val="16"/>
          <w:szCs w:val="16"/>
          <w:color w:val="auto"/>
        </w:rPr>
        <w:t>These items of business are more fully described in the proxy statement accompanying this Notice of Annual Meeting of Stockholders (the “Proxy Statement”).</w:t>
      </w:r>
    </w:p>
    <w:p>
      <w:pPr>
        <w:spacing w:after="0" w:line="156" w:lineRule="exact"/>
        <w:rPr>
          <w:sz w:val="20"/>
          <w:szCs w:val="20"/>
          <w:color w:val="auto"/>
        </w:rPr>
      </w:pPr>
    </w:p>
    <w:p>
      <w:pPr>
        <w:ind w:left="660" w:right="80"/>
        <w:spacing w:after="0" w:line="289" w:lineRule="auto"/>
        <w:rPr>
          <w:sz w:val="20"/>
          <w:szCs w:val="20"/>
          <w:color w:val="auto"/>
        </w:rPr>
      </w:pPr>
      <w:r>
        <w:rPr>
          <w:rFonts w:ascii="Arial" w:cs="Arial" w:eastAsia="Arial" w:hAnsi="Arial"/>
          <w:sz w:val="16"/>
          <w:szCs w:val="16"/>
          <w:color w:val="auto"/>
        </w:rPr>
        <w:t>The record date for the Annual Meeting is February 28, 2023 (the “Record Date”). Only stockholders of record at the close of business on the Record Date may vote at the Annual Meeting or any adjournment thereof. You will be able to attend the Annual Meeting remotely by registering at www.proxydocs.com/LCID. Upon completing your registration, you will receive further instructions via email, including a unique link that will allow you access to the Annual Meeting and to vote and submit questions. As part of the registration process, you must enter the control number located on your proxy card, voting instruction form, or Important Notice Regarding the Availability of Proxy Materials.</w:t>
      </w:r>
    </w:p>
    <w:p>
      <w:pPr>
        <w:spacing w:after="0" w:line="183"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to be held on</w:t>
      </w:r>
    </w:p>
    <w:p>
      <w:pPr>
        <w:spacing w:after="0" w:line="248"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April 24, 2023 at 9:00 a.m. (Pacific Time)</w:t>
      </w:r>
    </w:p>
    <w:p>
      <w:pPr>
        <w:spacing w:after="0" w:line="248"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via the internet at www.proxydocs.com/LCID</w:t>
      </w:r>
    </w:p>
    <w:p>
      <w:pPr>
        <w:spacing w:after="0" w:line="248"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The Proxy Statement and annual report to stockholders are available at: www.proxydocs.com/LCID.</w:t>
      </w:r>
    </w:p>
    <w:p>
      <w:pPr>
        <w:spacing w:after="0" w:line="248" w:lineRule="exact"/>
        <w:rPr>
          <w:sz w:val="20"/>
          <w:szCs w:val="20"/>
          <w:color w:val="auto"/>
        </w:rPr>
      </w:pPr>
    </w:p>
    <w:p>
      <w:pPr>
        <w:ind w:left="660" w:right="500"/>
        <w:spacing w:after="0" w:line="301" w:lineRule="auto"/>
        <w:rPr>
          <w:sz w:val="20"/>
          <w:szCs w:val="20"/>
          <w:color w:val="auto"/>
        </w:rPr>
      </w:pPr>
      <w:r>
        <w:rPr>
          <w:rFonts w:ascii="Arial" w:cs="Arial" w:eastAsia="Arial" w:hAnsi="Arial"/>
          <w:sz w:val="16"/>
          <w:szCs w:val="16"/>
          <w:color w:val="auto"/>
        </w:rPr>
        <w:t>We have determined that the Annual Meeting will be held in a virtual meeting format only, via the internet, with no physical in-person meeting. If you plan to participate in the virtual meeting, please see the Questions and Answers section below. Stockholders will be able to attend, vote and submit questions (both before, and for a portion of, the meeting)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962660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line="295" w:lineRule="auto"/>
        <w:rPr>
          <w:sz w:val="20"/>
          <w:szCs w:val="20"/>
          <w:color w:val="auto"/>
        </w:rPr>
      </w:pPr>
      <w:r>
        <w:rPr>
          <w:rFonts w:ascii="Arial" w:cs="Arial" w:eastAsia="Arial" w:hAnsi="Arial"/>
          <w:sz w:val="16"/>
          <w:szCs w:val="16"/>
          <w:color w:val="auto"/>
        </w:rPr>
        <w:t>In the event of an adjournment, postponement or emergency that may change the Annual Meeting’s time or date, we will make an announcement, issue a press release or post information at www.lucidmotors.com to notify stockholders, as appropriate. If you have any questions or need assistance in voting your shares, please write to Lucid Investor Relations at 7373 Gateway Boulevard, Newark, CA 94560 or by email at investor@lucidmotors.com.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Order of the Board of Directors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Jonathan Butler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General Counsel &amp; Secretary</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Newark, California</w:t>
      </w:r>
    </w:p>
    <w:p>
      <w:pPr>
        <w:spacing w:after="0" w:line="248" w:lineRule="exact"/>
        <w:rPr>
          <w:sz w:val="20"/>
          <w:szCs w:val="20"/>
          <w:color w:val="auto"/>
        </w:rPr>
      </w:pPr>
    </w:p>
    <w:p>
      <w:pPr>
        <w:ind w:left="660" w:right="60"/>
        <w:spacing w:after="0" w:line="294" w:lineRule="auto"/>
        <w:rPr>
          <w:sz w:val="20"/>
          <w:szCs w:val="20"/>
          <w:color w:val="auto"/>
        </w:rPr>
      </w:pPr>
      <w:r>
        <w:rPr>
          <w:rFonts w:ascii="Arial" w:cs="Arial" w:eastAsia="Arial" w:hAnsi="Arial"/>
          <w:sz w:val="16"/>
          <w:szCs w:val="16"/>
          <w:b w:val="1"/>
          <w:bCs w:val="1"/>
          <w:color w:val="auto"/>
        </w:rPr>
        <w:t>ALL STOCKHOLDERS ARE CORDIALLY INVITED TO VIRTUALLY ATTEND THE ANNUAL MEETING. WHETHER OR NOT YOU EXPECT TO ATTEND THE ANNUAL MEETING, PLEASE COMPLETE, DATE, SIGN AND RETURN THE PROXY CARD, OR VOTE OVER THE TELEPHONE OR INTERNET AS INSTRUCTED IN THESE MATERIALS, AS PROMPTLY AS POSSIBLE IN ORDER TO ENSURE YOUR REPRESENTATION AT THE ANNUAL MEETING. EVEN IF YOU HAVE VOTED BY PROXY, YOU MAY STILL VOTE IF YOU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5581650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806565" cy="9097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909764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FEFEF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4880" w:val="left"/>
          <w:tab w:leader="none" w:pos="5480" w:val="left"/>
          <w:tab w:leader="none" w:pos="9720" w:val="left"/>
        </w:tabs>
        <w:rPr>
          <w:sz w:val="20"/>
          <w:szCs w:val="20"/>
          <w:color w:val="auto"/>
        </w:rPr>
      </w:pPr>
      <w:r>
        <w:rPr>
          <w:rFonts w:ascii="Arial" w:cs="Arial" w:eastAsia="Arial" w:hAnsi="Arial"/>
          <w:sz w:val="25"/>
          <w:szCs w:val="25"/>
          <w:b w:val="1"/>
          <w:bCs w:val="1"/>
          <w:color w:val="FEFEFE"/>
          <w:vertAlign w:val="subscript"/>
        </w:rPr>
        <w:t>​</w:t>
      </w:r>
      <w:r>
        <w:rPr>
          <w:sz w:val="20"/>
          <w:szCs w:val="20"/>
          <w:color w:val="auto"/>
        </w:rPr>
        <w:tab/>
      </w:r>
      <w:r>
        <w:rPr>
          <w:rFonts w:ascii="Arial" w:cs="Arial" w:eastAsia="Arial" w:hAnsi="Arial"/>
          <w:sz w:val="25"/>
          <w:szCs w:val="25"/>
          <w:b w:val="1"/>
          <w:bCs w:val="1"/>
          <w:color w:val="FEFEFE"/>
          <w:vertAlign w:val="subscript"/>
        </w:rPr>
        <w:t>​</w:t>
      </w:r>
      <w:r>
        <w:rPr>
          <w:rFonts w:ascii="Arial" w:cs="Arial" w:eastAsia="Arial" w:hAnsi="Arial"/>
          <w:sz w:val="13"/>
          <w:szCs w:val="13"/>
          <w:b w:val="1"/>
          <w:bCs w:val="1"/>
          <w:color w:val="FEFEFE"/>
        </w:rPr>
        <w:t>Page</w:t>
      </w:r>
      <w:r>
        <w:rPr>
          <w:rFonts w:ascii="Arial" w:cs="Arial" w:eastAsia="Arial" w:hAnsi="Arial"/>
          <w:sz w:val="25"/>
          <w:szCs w:val="25"/>
          <w:b w:val="1"/>
          <w:bCs w:val="1"/>
          <w:color w:val="FEFEFE"/>
          <w:vertAlign w:val="subscript"/>
        </w:rPr>
        <w:t>​</w:t>
      </w:r>
      <w:r>
        <w:rPr>
          <w:sz w:val="20"/>
          <w:szCs w:val="20"/>
          <w:color w:val="auto"/>
        </w:rPr>
        <w:tab/>
      </w:r>
      <w:r>
        <w:rPr>
          <w:rFonts w:ascii="Arial" w:cs="Arial" w:eastAsia="Arial" w:hAnsi="Arial"/>
          <w:sz w:val="25"/>
          <w:szCs w:val="25"/>
          <w:b w:val="1"/>
          <w:bCs w:val="1"/>
          <w:color w:val="FEFEFE"/>
          <w:vertAlign w:val="subscript"/>
        </w:rPr>
        <w:t>​</w:t>
      </w:r>
      <w:r>
        <w:rPr>
          <w:sz w:val="20"/>
          <w:szCs w:val="20"/>
          <w:color w:val="auto"/>
        </w:rPr>
        <w:tab/>
      </w:r>
      <w:r>
        <w:rPr>
          <w:rFonts w:ascii="Arial" w:cs="Arial" w:eastAsia="Arial" w:hAnsi="Arial"/>
          <w:sz w:val="15"/>
          <w:szCs w:val="15"/>
          <w:b w:val="1"/>
          <w:bCs w:val="1"/>
          <w:color w:val="FEFEFE"/>
          <w:vertAlign w:val="subscript"/>
        </w:rPr>
        <w:t>​</w:t>
      </w:r>
      <w:r>
        <w:rPr>
          <w:rFonts w:ascii="Arial" w:cs="Arial" w:eastAsia="Arial" w:hAnsi="Arial"/>
          <w:sz w:val="15"/>
          <w:szCs w:val="15"/>
          <w:b w:val="1"/>
          <w:bCs w:val="1"/>
          <w:color w:val="FEFEFE"/>
        </w:rPr>
        <w:t>Page</w:t>
      </w:r>
      <w:r>
        <w:rPr>
          <w:rFonts w:ascii="Arial" w:cs="Arial" w:eastAsia="Arial" w:hAnsi="Arial"/>
          <w:sz w:val="15"/>
          <w:szCs w:val="15"/>
          <w:b w:val="1"/>
          <w:bCs w:val="1"/>
          <w:color w:val="FEFEFE"/>
          <w:vertAlign w:val="subscript"/>
        </w:rPr>
        <w:t>​</w:t>
      </w:r>
    </w:p>
    <w:p>
      <w:pPr>
        <w:sectPr>
          <w:pgSz w:w="11900" w:h="16838" w:orient="portrait"/>
          <w:cols w:equalWidth="0" w:num="1">
            <w:col w:w="10100"/>
          </w:cols>
          <w:pgMar w:left="480" w:top="97" w:right="1319" w:bottom="1440" w:gutter="0" w:footer="0" w:header="0"/>
        </w:sectPr>
      </w:pPr>
    </w:p>
    <w:p>
      <w:pPr>
        <w:spacing w:after="0" w:line="69"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4200" w:type="dxa"/>
            <w:vAlign w:val="bottom"/>
            <w:tcBorders>
              <w:bottom w:val="single" w:sz="8" w:color="FEFEFE"/>
            </w:tcBorders>
            <w:gridSpan w:val="22"/>
          </w:tcPr>
          <w:p>
            <w:pPr>
              <w:spacing w:after="0"/>
              <w:rPr>
                <w:sz w:val="20"/>
                <w:szCs w:val="20"/>
                <w:color w:val="auto"/>
              </w:rPr>
            </w:pPr>
            <w:r>
              <w:rPr>
                <w:rFonts w:ascii="Arial" w:cs="Arial" w:eastAsia="Arial" w:hAnsi="Arial"/>
                <w:sz w:val="16"/>
                <w:szCs w:val="16"/>
                <w:color w:val="FEFEFE"/>
              </w:rPr>
              <w:t>Questions and Answers About These Proxy Materials and</w:t>
            </w:r>
          </w:p>
        </w:tc>
        <w:tc>
          <w:tcPr>
            <w:tcW w:w="240" w:type="dxa"/>
            <w:vAlign w:val="bottom"/>
            <w:gridSpan w:val="2"/>
            <w:vMerge w:val="restart"/>
          </w:tcPr>
          <w:p>
            <w:pPr>
              <w:ind w:left="60"/>
              <w:spacing w:after="0"/>
              <w:rPr>
                <w:sz w:val="20"/>
                <w:szCs w:val="20"/>
                <w:color w:val="auto"/>
              </w:rPr>
            </w:pPr>
            <w:r>
              <w:rPr>
                <w:rFonts w:ascii="Arial" w:cs="Arial" w:eastAsia="Arial" w:hAnsi="Arial"/>
                <w:sz w:val="16"/>
                <w:szCs w:val="16"/>
                <w:color w:val="FEFEFE"/>
              </w:rPr>
              <w:t>​</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FEFEFE"/>
                <w:w w:val="71"/>
              </w:rPr>
              <w:t>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 w:type="dxa"/>
            <w:vAlign w:val="bottom"/>
            <w:tcBorders>
              <w:bottom w:val="single" w:sz="8" w:color="FEFEFE"/>
            </w:tcBorders>
            <w:gridSpan w:val="3"/>
          </w:tcPr>
          <w:p>
            <w:pPr>
              <w:spacing w:after="0" w:line="169" w:lineRule="exact"/>
              <w:rPr>
                <w:sz w:val="20"/>
                <w:szCs w:val="20"/>
                <w:color w:val="auto"/>
              </w:rPr>
            </w:pPr>
            <w:r>
              <w:rPr>
                <w:rFonts w:ascii="Arial" w:cs="Arial" w:eastAsia="Arial" w:hAnsi="Arial"/>
                <w:sz w:val="16"/>
                <w:szCs w:val="16"/>
                <w:color w:val="FEFEFE"/>
                <w:w w:val="96"/>
              </w:rPr>
              <w:t>Voting</w:t>
            </w:r>
          </w:p>
        </w:tc>
        <w:tc>
          <w:tcPr>
            <w:tcW w:w="3740" w:type="dxa"/>
            <w:vAlign w:val="bottom"/>
            <w:gridSpan w:val="19"/>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Borders>
              <w:bottom w:val="single" w:sz="8" w:color="FEFEFE"/>
            </w:tcBorders>
            <w:vMerge w:val="continue"/>
          </w:tcPr>
          <w:p>
            <w:pPr>
              <w:spacing w:after="0"/>
              <w:rPr>
                <w:sz w:val="16"/>
                <w:szCs w:val="16"/>
                <w:color w:val="auto"/>
              </w:rPr>
            </w:pPr>
          </w:p>
        </w:tc>
        <w:tc>
          <w:tcPr>
            <w:tcW w:w="80" w:type="dxa"/>
            <w:vAlign w:val="bottom"/>
          </w:tcPr>
          <w:p>
            <w:pPr>
              <w:ind w:left="20"/>
              <w:spacing w:after="0" w:line="162"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77"/>
        </w:trPr>
        <w:tc>
          <w:tcPr>
            <w:tcW w:w="26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C4B592"/>
              </w:rPr>
              <w:t xml:space="preserve">Proposal No. 1: </w:t>
            </w:r>
            <w:r>
              <w:rPr>
                <w:rFonts w:ascii="Arial" w:cs="Arial" w:eastAsia="Arial" w:hAnsi="Arial"/>
                <w:sz w:val="16"/>
                <w:szCs w:val="16"/>
                <w:color w:val="FEFEFE"/>
              </w:rPr>
              <w:t>Election of Directors</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vMerge w:val="restart"/>
          </w:tcPr>
          <w:p>
            <w:pPr>
              <w:ind w:left="60"/>
              <w:spacing w:after="0"/>
              <w:rPr>
                <w:sz w:val="20"/>
                <w:szCs w:val="20"/>
                <w:color w:val="auto"/>
              </w:rPr>
            </w:pPr>
            <w:r>
              <w:rPr>
                <w:rFonts w:ascii="Arial" w:cs="Arial" w:eastAsia="Arial" w:hAnsi="Arial"/>
                <w:sz w:val="16"/>
                <w:szCs w:val="16"/>
                <w:color w:val="FEFEFE"/>
              </w:rPr>
              <w:t>​</w:t>
            </w:r>
          </w:p>
        </w:tc>
        <w:tc>
          <w:tcPr>
            <w:tcW w:w="80" w:type="dxa"/>
            <w:vAlign w:val="bottom"/>
            <w:tcBorders>
              <w:bottom w:val="single" w:sz="8" w:color="FEFEFE"/>
            </w:tcBorders>
          </w:tcPr>
          <w:p>
            <w:pPr>
              <w:jc w:val="right"/>
              <w:spacing w:after="0"/>
              <w:rPr>
                <w:sz w:val="20"/>
                <w:szCs w:val="20"/>
                <w:color w:val="auto"/>
              </w:rPr>
            </w:pPr>
            <w:r>
              <w:rPr>
                <w:rFonts w:ascii="Arial" w:cs="Arial" w:eastAsia="Arial" w:hAnsi="Arial"/>
                <w:sz w:val="15"/>
                <w:szCs w:val="15"/>
                <w:color w:val="FEFEFE"/>
                <w:w w:val="71"/>
              </w:rPr>
              <w:t>8</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39"/>
        </w:trPr>
        <w:tc>
          <w:tcPr>
            <w:tcW w:w="4200" w:type="dxa"/>
            <w:vAlign w:val="bottom"/>
            <w:gridSpan w:val="22"/>
            <w:vMerge w:val="restart"/>
          </w:tcPr>
          <w:p>
            <w:pPr>
              <w:spacing w:after="0"/>
              <w:rPr>
                <w:sz w:val="20"/>
                <w:szCs w:val="20"/>
                <w:color w:val="auto"/>
              </w:rPr>
            </w:pPr>
            <w:r>
              <w:rPr>
                <w:rFonts w:ascii="Arial" w:cs="Arial" w:eastAsia="Arial" w:hAnsi="Arial"/>
                <w:sz w:val="16"/>
                <w:szCs w:val="16"/>
                <w:color w:val="FEFEFE"/>
              </w:rPr>
              <w:t>Information Regarding the Board of Directors and</w:t>
            </w:r>
          </w:p>
        </w:tc>
        <w:tc>
          <w:tcPr>
            <w:tcW w:w="2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4200" w:type="dxa"/>
            <w:vAlign w:val="bottom"/>
            <w:gridSpan w:val="2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40" w:type="dxa"/>
            <w:vAlign w:val="bottom"/>
            <w:tcBorders>
              <w:top w:val="single" w:sz="8" w:color="FEFEFE"/>
              <w:bottom w:val="single" w:sz="8" w:color="FEFEFE"/>
            </w:tcBorders>
            <w:gridSpan w:val="15"/>
          </w:tcPr>
          <w:p>
            <w:pPr>
              <w:spacing w:after="0" w:line="169" w:lineRule="exact"/>
              <w:rPr>
                <w:sz w:val="20"/>
                <w:szCs w:val="20"/>
                <w:color w:val="auto"/>
              </w:rPr>
            </w:pPr>
            <w:r>
              <w:rPr>
                <w:rFonts w:ascii="Arial" w:cs="Arial" w:eastAsia="Arial" w:hAnsi="Arial"/>
                <w:sz w:val="16"/>
                <w:szCs w:val="16"/>
                <w:color w:val="FEFEFE"/>
              </w:rPr>
              <w:t>Corporate Governance</w:t>
            </w:r>
          </w:p>
        </w:tc>
        <w:tc>
          <w:tcPr>
            <w:tcW w:w="660" w:type="dxa"/>
            <w:vAlign w:val="bottom"/>
            <w:gridSpan w:val="7"/>
          </w:tcPr>
          <w:p>
            <w:pPr>
              <w:spacing w:after="0"/>
              <w:rPr>
                <w:sz w:val="16"/>
                <w:szCs w:val="16"/>
                <w:color w:val="auto"/>
              </w:rPr>
            </w:pPr>
          </w:p>
        </w:tc>
        <w:tc>
          <w:tcPr>
            <w:tcW w:w="140" w:type="dxa"/>
            <w:vAlign w:val="bottom"/>
          </w:tcPr>
          <w:p>
            <w:pPr>
              <w:ind w:left="60"/>
              <w:spacing w:after="0" w:line="162"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line="149" w:lineRule="exact"/>
              <w:rPr>
                <w:sz w:val="20"/>
                <w:szCs w:val="20"/>
                <w:color w:val="auto"/>
              </w:rPr>
            </w:pPr>
            <w:r>
              <w:rPr>
                <w:rFonts w:ascii="Arial" w:cs="Arial" w:eastAsia="Arial" w:hAnsi="Arial"/>
                <w:sz w:val="16"/>
                <w:szCs w:val="16"/>
                <w:color w:val="FEFEFE"/>
                <w:w w:val="89"/>
              </w:rPr>
              <w:t>15</w:t>
            </w:r>
          </w:p>
        </w:tc>
        <w:tc>
          <w:tcPr>
            <w:tcW w:w="80" w:type="dxa"/>
            <w:vAlign w:val="bottom"/>
          </w:tcPr>
          <w:p>
            <w:pPr>
              <w:ind w:left="20"/>
              <w:spacing w:after="0" w:line="162"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7"/>
        </w:trPr>
        <w:tc>
          <w:tcPr>
            <w:tcW w:w="3980" w:type="dxa"/>
            <w:vAlign w:val="bottom"/>
            <w:tcBorders>
              <w:bottom w:val="single" w:sz="8" w:color="FEFEFE"/>
            </w:tcBorders>
            <w:gridSpan w:val="19"/>
          </w:tcPr>
          <w:p>
            <w:pPr>
              <w:spacing w:after="0"/>
              <w:rPr>
                <w:sz w:val="20"/>
                <w:szCs w:val="20"/>
                <w:color w:val="auto"/>
              </w:rPr>
            </w:pPr>
            <w:r>
              <w:rPr>
                <w:rFonts w:ascii="Arial" w:cs="Arial" w:eastAsia="Arial" w:hAnsi="Arial"/>
                <w:sz w:val="16"/>
                <w:szCs w:val="16"/>
                <w:color w:val="FEFEFE"/>
              </w:rPr>
              <w:t>Report of the Audit Committee of the Board of Directors</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23</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3580" w:type="dxa"/>
            <w:vAlign w:val="bottom"/>
            <w:gridSpan w:val="16"/>
            <w:vMerge w:val="restart"/>
          </w:tcPr>
          <w:p>
            <w:pPr>
              <w:spacing w:after="0"/>
              <w:rPr>
                <w:sz w:val="20"/>
                <w:szCs w:val="20"/>
                <w:color w:val="auto"/>
              </w:rPr>
            </w:pPr>
            <w:r>
              <w:rPr>
                <w:rFonts w:ascii="Arial" w:cs="Arial" w:eastAsia="Arial" w:hAnsi="Arial"/>
                <w:sz w:val="16"/>
                <w:szCs w:val="16"/>
                <w:color w:val="C4B592"/>
              </w:rPr>
              <w:t xml:space="preserve">Proposal No. 2: </w:t>
            </w:r>
            <w:r>
              <w:rPr>
                <w:rFonts w:ascii="Arial" w:cs="Arial" w:eastAsia="Arial" w:hAnsi="Arial"/>
                <w:sz w:val="16"/>
                <w:szCs w:val="16"/>
                <w:color w:val="FEFEFE"/>
              </w:rPr>
              <w:t>Ratification of the Selection of the</w:t>
            </w:r>
          </w:p>
        </w:tc>
        <w:tc>
          <w:tcPr>
            <w:tcW w:w="620" w:type="dxa"/>
            <w:vAlign w:val="bottom"/>
            <w:gridSpan w:val="6"/>
            <w:vMerge w:val="restart"/>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16"/>
            <w:vMerge w:val="continue"/>
          </w:tcPr>
          <w:p>
            <w:pPr>
              <w:spacing w:after="0"/>
              <w:rPr>
                <w:sz w:val="16"/>
                <w:szCs w:val="16"/>
                <w:color w:val="auto"/>
              </w:rPr>
            </w:pPr>
          </w:p>
        </w:tc>
        <w:tc>
          <w:tcPr>
            <w:tcW w:w="62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tcBorders>
              <w:bottom w:val="single" w:sz="8" w:color="0000EE"/>
            </w:tcBorders>
            <w:gridSpan w:val="13"/>
          </w:tcPr>
          <w:p>
            <w:pPr>
              <w:spacing w:after="0" w:line="169" w:lineRule="exact"/>
              <w:rPr>
                <w:sz w:val="20"/>
                <w:szCs w:val="20"/>
                <w:color w:val="auto"/>
              </w:rPr>
            </w:pPr>
            <w:r>
              <w:rPr>
                <w:rFonts w:ascii="Arial" w:cs="Arial" w:eastAsia="Arial" w:hAnsi="Arial"/>
                <w:sz w:val="16"/>
                <w:szCs w:val="16"/>
                <w:color w:val="FEFEFE"/>
              </w:rPr>
              <w:t>Independent Registered Public Accounting Firm</w:t>
            </w:r>
          </w:p>
        </w:tc>
        <w:tc>
          <w:tcPr>
            <w:tcW w:w="760" w:type="dxa"/>
            <w:vAlign w:val="bottom"/>
            <w:gridSpan w:val="9"/>
          </w:tcPr>
          <w:p>
            <w:pPr>
              <w:spacing w:after="0"/>
              <w:rPr>
                <w:sz w:val="16"/>
                <w:szCs w:val="16"/>
                <w:color w:val="auto"/>
              </w:rPr>
            </w:pPr>
          </w:p>
        </w:tc>
        <w:tc>
          <w:tcPr>
            <w:tcW w:w="140" w:type="dxa"/>
            <w:vAlign w:val="bottom"/>
          </w:tcPr>
          <w:p>
            <w:pPr>
              <w:ind w:left="60"/>
              <w:spacing w:after="0" w:line="162"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line="149" w:lineRule="exact"/>
              <w:rPr>
                <w:sz w:val="20"/>
                <w:szCs w:val="20"/>
                <w:color w:val="auto"/>
              </w:rPr>
            </w:pPr>
            <w:r>
              <w:rPr>
                <w:rFonts w:ascii="Arial" w:cs="Arial" w:eastAsia="Arial" w:hAnsi="Arial"/>
                <w:sz w:val="16"/>
                <w:szCs w:val="16"/>
                <w:color w:val="FEFEFE"/>
                <w:w w:val="89"/>
              </w:rPr>
              <w:t>24</w:t>
            </w:r>
          </w:p>
        </w:tc>
        <w:tc>
          <w:tcPr>
            <w:tcW w:w="80" w:type="dxa"/>
            <w:vAlign w:val="bottom"/>
          </w:tcPr>
          <w:p>
            <w:pPr>
              <w:ind w:left="20"/>
              <w:spacing w:after="0" w:line="162"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43"/>
        </w:trPr>
        <w:tc>
          <w:tcPr>
            <w:tcW w:w="4200" w:type="dxa"/>
            <w:vAlign w:val="bottom"/>
            <w:gridSpan w:val="22"/>
          </w:tcPr>
          <w:p>
            <w:pPr>
              <w:spacing w:after="0"/>
              <w:rPr>
                <w:sz w:val="20"/>
                <w:szCs w:val="20"/>
                <w:color w:val="auto"/>
              </w:rPr>
            </w:pPr>
            <w:r>
              <w:rPr>
                <w:rFonts w:ascii="Arial" w:cs="Arial" w:eastAsia="Arial" w:hAnsi="Arial"/>
                <w:sz w:val="16"/>
                <w:szCs w:val="16"/>
                <w:color w:val="C4B592"/>
              </w:rPr>
              <w:t xml:space="preserve">Proposal No. 3: </w:t>
            </w:r>
            <w:r>
              <w:rPr>
                <w:rFonts w:ascii="Arial" w:cs="Arial" w:eastAsia="Arial" w:hAnsi="Arial"/>
                <w:sz w:val="16"/>
                <w:szCs w:val="16"/>
                <w:color w:val="FEFEFE"/>
              </w:rPr>
              <w:t>Approval, on an Advisory Basis, of the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900" w:type="dxa"/>
            <w:vAlign w:val="bottom"/>
            <w:tcBorders>
              <w:top w:val="single" w:sz="8" w:color="0000EE"/>
              <w:bottom w:val="single" w:sz="8" w:color="0000EE"/>
            </w:tcBorders>
            <w:gridSpan w:val="18"/>
          </w:tcPr>
          <w:p>
            <w:pPr>
              <w:spacing w:after="0" w:line="169" w:lineRule="exact"/>
              <w:rPr>
                <w:sz w:val="20"/>
                <w:szCs w:val="20"/>
                <w:color w:val="auto"/>
              </w:rPr>
            </w:pPr>
            <w:r>
              <w:rPr>
                <w:rFonts w:ascii="Arial" w:cs="Arial" w:eastAsia="Arial" w:hAnsi="Arial"/>
                <w:sz w:val="16"/>
                <w:szCs w:val="16"/>
                <w:color w:val="FEFEFE"/>
              </w:rPr>
              <w:t>Compensation of Our Named Executive Officers</w:t>
            </w:r>
          </w:p>
        </w:tc>
        <w:tc>
          <w:tcPr>
            <w:tcW w:w="300" w:type="dxa"/>
            <w:vAlign w:val="bottom"/>
            <w:gridSpan w:val="4"/>
          </w:tcPr>
          <w:p>
            <w:pPr>
              <w:spacing w:after="0"/>
              <w:rPr>
                <w:sz w:val="16"/>
                <w:szCs w:val="16"/>
                <w:color w:val="auto"/>
              </w:rPr>
            </w:pPr>
          </w:p>
        </w:tc>
        <w:tc>
          <w:tcPr>
            <w:tcW w:w="140" w:type="dxa"/>
            <w:vAlign w:val="bottom"/>
          </w:tcPr>
          <w:p>
            <w:pPr>
              <w:ind w:left="60"/>
              <w:spacing w:after="0" w:line="162"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line="149" w:lineRule="exact"/>
              <w:rPr>
                <w:sz w:val="20"/>
                <w:szCs w:val="20"/>
                <w:color w:val="auto"/>
              </w:rPr>
            </w:pPr>
            <w:r>
              <w:rPr>
                <w:rFonts w:ascii="Arial" w:cs="Arial" w:eastAsia="Arial" w:hAnsi="Arial"/>
                <w:sz w:val="16"/>
                <w:szCs w:val="16"/>
                <w:color w:val="FEFEFE"/>
                <w:w w:val="89"/>
              </w:rPr>
              <w:t>27</w:t>
            </w:r>
          </w:p>
        </w:tc>
        <w:tc>
          <w:tcPr>
            <w:tcW w:w="80" w:type="dxa"/>
            <w:vAlign w:val="bottom"/>
          </w:tcPr>
          <w:p>
            <w:pPr>
              <w:ind w:left="20"/>
              <w:spacing w:after="0" w:line="162"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43"/>
        </w:trPr>
        <w:tc>
          <w:tcPr>
            <w:tcW w:w="410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C4B592"/>
              </w:rPr>
              <w:t xml:space="preserve">Proposal No. 4: </w:t>
            </w:r>
            <w:r>
              <w:rPr>
                <w:rFonts w:ascii="Arial" w:cs="Arial" w:eastAsia="Arial" w:hAnsi="Arial"/>
                <w:sz w:val="16"/>
                <w:szCs w:val="16"/>
                <w:color w:val="FEFEFE"/>
              </w:rPr>
              <w:t>Approval of the Amendment of the Lucid</w:t>
            </w:r>
          </w:p>
        </w:tc>
        <w:tc>
          <w:tcPr>
            <w:tcW w:w="1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140" w:type="dxa"/>
            <w:vAlign w:val="bottom"/>
            <w:tcBorders>
              <w:bottom w:val="single" w:sz="8" w:color="0000EE"/>
            </w:tcBorders>
            <w:gridSpan w:val="21"/>
          </w:tcPr>
          <w:p>
            <w:pPr>
              <w:spacing w:after="0" w:line="183" w:lineRule="exact"/>
              <w:rPr>
                <w:sz w:val="20"/>
                <w:szCs w:val="20"/>
                <w:color w:val="auto"/>
              </w:rPr>
            </w:pPr>
            <w:r>
              <w:rPr>
                <w:rFonts w:ascii="Arial" w:cs="Arial" w:eastAsia="Arial" w:hAnsi="Arial"/>
                <w:sz w:val="16"/>
                <w:szCs w:val="16"/>
                <w:color w:val="FEFEFE"/>
              </w:rPr>
              <w:t>Group, Inc. Amended and Restated 2021 Stock Incentive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00" w:type="dxa"/>
            <w:vAlign w:val="bottom"/>
            <w:gridSpan w:val="22"/>
          </w:tcPr>
          <w:p>
            <w:pPr>
              <w:spacing w:after="0" w:line="169" w:lineRule="exact"/>
              <w:rPr>
                <w:sz w:val="20"/>
                <w:szCs w:val="20"/>
                <w:color w:val="auto"/>
              </w:rPr>
            </w:pPr>
            <w:r>
              <w:rPr>
                <w:rFonts w:ascii="Arial" w:cs="Arial" w:eastAsia="Arial" w:hAnsi="Arial"/>
                <w:sz w:val="16"/>
                <w:szCs w:val="16"/>
                <w:color w:val="FEFEFE"/>
              </w:rPr>
              <w:t>Plan</w:t>
            </w:r>
          </w:p>
        </w:tc>
        <w:tc>
          <w:tcPr>
            <w:tcW w:w="140" w:type="dxa"/>
            <w:vAlign w:val="bottom"/>
          </w:tcPr>
          <w:p>
            <w:pPr>
              <w:ind w:left="60"/>
              <w:spacing w:after="0" w:line="162"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line="149" w:lineRule="exact"/>
              <w:rPr>
                <w:sz w:val="20"/>
                <w:szCs w:val="20"/>
                <w:color w:val="auto"/>
              </w:rPr>
            </w:pPr>
            <w:r>
              <w:rPr>
                <w:rFonts w:ascii="Arial" w:cs="Arial" w:eastAsia="Arial" w:hAnsi="Arial"/>
                <w:sz w:val="16"/>
                <w:szCs w:val="16"/>
                <w:color w:val="FEFEFE"/>
                <w:w w:val="89"/>
              </w:rPr>
              <w:t>29</w:t>
            </w:r>
          </w:p>
        </w:tc>
        <w:tc>
          <w:tcPr>
            <w:tcW w:w="80" w:type="dxa"/>
            <w:vAlign w:val="bottom"/>
          </w:tcPr>
          <w:p>
            <w:pPr>
              <w:ind w:left="20"/>
              <w:spacing w:after="0" w:line="162"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gridSpan w:val="22"/>
          </w:tcPr>
          <w:p>
            <w:pPr>
              <w:spacing w:after="0"/>
              <w:rPr>
                <w:sz w:val="20"/>
                <w:szCs w:val="20"/>
                <w:color w:val="auto"/>
              </w:rPr>
            </w:pPr>
            <w:r>
              <w:rPr>
                <w:rFonts w:ascii="Arial" w:cs="Arial" w:eastAsia="Arial" w:hAnsi="Arial"/>
                <w:sz w:val="16"/>
                <w:szCs w:val="16"/>
                <w:color w:val="C4B592"/>
              </w:rPr>
              <w:t xml:space="preserve">Proposal No. 5: </w:t>
            </w:r>
            <w:r>
              <w:rPr>
                <w:rFonts w:ascii="Arial" w:cs="Arial" w:eastAsia="Arial" w:hAnsi="Arial"/>
                <w:sz w:val="16"/>
                <w:szCs w:val="16"/>
                <w:color w:val="FEFEFE"/>
              </w:rPr>
              <w:t>Approval of the Third Amended and</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720" w:type="dxa"/>
            <w:vAlign w:val="bottom"/>
            <w:tcBorders>
              <w:top w:val="single" w:sz="8" w:color="0000EE"/>
              <w:bottom w:val="single" w:sz="8" w:color="0000EE"/>
            </w:tcBorders>
            <w:gridSpan w:val="17"/>
          </w:tcPr>
          <w:p>
            <w:pPr>
              <w:spacing w:after="0" w:line="169" w:lineRule="exact"/>
              <w:rPr>
                <w:sz w:val="20"/>
                <w:szCs w:val="20"/>
                <w:color w:val="auto"/>
              </w:rPr>
            </w:pPr>
            <w:r>
              <w:rPr>
                <w:rFonts w:ascii="Arial" w:cs="Arial" w:eastAsia="Arial" w:hAnsi="Arial"/>
                <w:sz w:val="16"/>
                <w:szCs w:val="16"/>
                <w:color w:val="FEFEFE"/>
              </w:rPr>
              <w:t>Restated Certificate of Incorporation</w:t>
            </w:r>
          </w:p>
        </w:tc>
        <w:tc>
          <w:tcPr>
            <w:tcW w:w="480" w:type="dxa"/>
            <w:vAlign w:val="bottom"/>
            <w:gridSpan w:val="5"/>
          </w:tcPr>
          <w:p>
            <w:pPr>
              <w:spacing w:after="0"/>
              <w:rPr>
                <w:sz w:val="16"/>
                <w:szCs w:val="16"/>
                <w:color w:val="auto"/>
              </w:rPr>
            </w:pPr>
          </w:p>
        </w:tc>
        <w:tc>
          <w:tcPr>
            <w:tcW w:w="140" w:type="dxa"/>
            <w:vAlign w:val="bottom"/>
          </w:tcPr>
          <w:p>
            <w:pPr>
              <w:ind w:left="60"/>
              <w:spacing w:after="0" w:line="162"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line="149" w:lineRule="exact"/>
              <w:rPr>
                <w:sz w:val="20"/>
                <w:szCs w:val="20"/>
                <w:color w:val="auto"/>
              </w:rPr>
            </w:pPr>
            <w:r>
              <w:rPr>
                <w:rFonts w:ascii="Arial" w:cs="Arial" w:eastAsia="Arial" w:hAnsi="Arial"/>
                <w:sz w:val="16"/>
                <w:szCs w:val="16"/>
                <w:color w:val="FEFEFE"/>
                <w:w w:val="89"/>
              </w:rPr>
              <w:t>36</w:t>
            </w:r>
          </w:p>
        </w:tc>
        <w:tc>
          <w:tcPr>
            <w:tcW w:w="80" w:type="dxa"/>
            <w:vAlign w:val="bottom"/>
          </w:tcPr>
          <w:p>
            <w:pPr>
              <w:ind w:left="20"/>
              <w:spacing w:after="0" w:line="162"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7"/>
        </w:trPr>
        <w:tc>
          <w:tcPr>
            <w:tcW w:w="2420" w:type="dxa"/>
            <w:vAlign w:val="bottom"/>
            <w:tcBorders>
              <w:bottom w:val="single" w:sz="8" w:color="FEFEFE"/>
            </w:tcBorders>
            <w:gridSpan w:val="8"/>
          </w:tcPr>
          <w:p>
            <w:pPr>
              <w:spacing w:after="0"/>
              <w:rPr>
                <w:sz w:val="20"/>
                <w:szCs w:val="20"/>
                <w:color w:val="auto"/>
              </w:rPr>
            </w:pPr>
            <w:r>
              <w:rPr>
                <w:rFonts w:ascii="Arial" w:cs="Arial" w:eastAsia="Arial" w:hAnsi="Arial"/>
                <w:sz w:val="16"/>
                <w:szCs w:val="16"/>
                <w:color w:val="FEFEFE"/>
              </w:rPr>
              <w:t>Lucid ESG: Principles and Impact</w:t>
            </w:r>
          </w:p>
        </w:tc>
        <w:tc>
          <w:tcPr>
            <w:tcW w:w="160" w:type="dxa"/>
            <w:vAlign w:val="bottom"/>
            <w:vMerge w:val="restart"/>
          </w:tcPr>
          <w:p>
            <w:pPr>
              <w:spacing w:after="0"/>
              <w:rPr>
                <w:sz w:val="22"/>
                <w:szCs w:val="22"/>
                <w:color w:val="auto"/>
              </w:rPr>
            </w:pPr>
          </w:p>
        </w:tc>
        <w:tc>
          <w:tcPr>
            <w:tcW w:w="420" w:type="dxa"/>
            <w:vAlign w:val="bottom"/>
            <w:gridSpan w:val="3"/>
            <w:vMerge w:val="restart"/>
          </w:tcPr>
          <w:p>
            <w:pPr>
              <w:spacing w:after="0"/>
              <w:rPr>
                <w:sz w:val="22"/>
                <w:szCs w:val="22"/>
                <w:color w:val="auto"/>
              </w:rPr>
            </w:pPr>
          </w:p>
        </w:tc>
        <w:tc>
          <w:tcPr>
            <w:tcW w:w="1200" w:type="dxa"/>
            <w:vAlign w:val="bottom"/>
            <w:gridSpan w:val="10"/>
            <w:vMerge w:val="restart"/>
          </w:tcPr>
          <w:p>
            <w:pPr>
              <w:spacing w:after="0"/>
              <w:rPr>
                <w:sz w:val="22"/>
                <w:szCs w:val="22"/>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38</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1140" w:type="dxa"/>
            <w:vAlign w:val="bottom"/>
            <w:gridSpan w:val="3"/>
          </w:tcPr>
          <w:p>
            <w:pPr>
              <w:spacing w:after="0"/>
              <w:rPr>
                <w:sz w:val="5"/>
                <w:szCs w:val="5"/>
                <w:color w:val="auto"/>
              </w:rPr>
            </w:pPr>
          </w:p>
        </w:tc>
        <w:tc>
          <w:tcPr>
            <w:tcW w:w="500" w:type="dxa"/>
            <w:vAlign w:val="bottom"/>
            <w:gridSpan w:val="2"/>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420" w:type="dxa"/>
            <w:vAlign w:val="bottom"/>
            <w:gridSpan w:val="3"/>
            <w:vMerge w:val="continue"/>
          </w:tcPr>
          <w:p>
            <w:pPr>
              <w:spacing w:after="0"/>
              <w:rPr>
                <w:sz w:val="5"/>
                <w:szCs w:val="5"/>
                <w:color w:val="auto"/>
              </w:rPr>
            </w:pPr>
          </w:p>
        </w:tc>
        <w:tc>
          <w:tcPr>
            <w:tcW w:w="1200" w:type="dxa"/>
            <w:vAlign w:val="bottom"/>
            <w:gridSpan w:val="10"/>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300" w:type="dxa"/>
            <w:vAlign w:val="bottom"/>
            <w:tcBorders>
              <w:bottom w:val="single" w:sz="8" w:color="FEFEFE"/>
            </w:tcBorders>
            <w:gridSpan w:val="4"/>
          </w:tcPr>
          <w:p>
            <w:pPr>
              <w:spacing w:after="0"/>
              <w:rPr>
                <w:sz w:val="20"/>
                <w:szCs w:val="20"/>
                <w:color w:val="auto"/>
              </w:rPr>
            </w:pPr>
            <w:r>
              <w:rPr>
                <w:rFonts w:ascii="Arial" w:cs="Arial" w:eastAsia="Arial" w:hAnsi="Arial"/>
                <w:sz w:val="16"/>
                <w:szCs w:val="16"/>
                <w:color w:val="FEFEFE"/>
                <w:w w:val="99"/>
              </w:rPr>
              <w:t>Executive Officers</w:t>
            </w:r>
          </w:p>
        </w:tc>
        <w:tc>
          <w:tcPr>
            <w:tcW w:w="500" w:type="dxa"/>
            <w:vAlign w:val="bottom"/>
            <w:gridSpan w:val="2"/>
            <w:vMerge w:val="restart"/>
          </w:tcPr>
          <w:p>
            <w:pPr>
              <w:spacing w:after="0"/>
              <w:rPr>
                <w:sz w:val="17"/>
                <w:szCs w:val="17"/>
                <w:color w:val="auto"/>
              </w:rPr>
            </w:pPr>
          </w:p>
        </w:tc>
        <w:tc>
          <w:tcPr>
            <w:tcW w:w="580" w:type="dxa"/>
            <w:vAlign w:val="bottom"/>
            <w:vMerge w:val="restart"/>
          </w:tcPr>
          <w:p>
            <w:pPr>
              <w:spacing w:after="0"/>
              <w:rPr>
                <w:sz w:val="17"/>
                <w:szCs w:val="17"/>
                <w:color w:val="auto"/>
              </w:rPr>
            </w:pPr>
          </w:p>
        </w:tc>
        <w:tc>
          <w:tcPr>
            <w:tcW w:w="200" w:type="dxa"/>
            <w:vAlign w:val="bottom"/>
            <w:gridSpan w:val="2"/>
            <w:vMerge w:val="restart"/>
          </w:tcPr>
          <w:p>
            <w:pPr>
              <w:spacing w:after="0"/>
              <w:rPr>
                <w:sz w:val="17"/>
                <w:szCs w:val="17"/>
                <w:color w:val="auto"/>
              </w:rPr>
            </w:pPr>
          </w:p>
        </w:tc>
        <w:tc>
          <w:tcPr>
            <w:tcW w:w="420" w:type="dxa"/>
            <w:vAlign w:val="bottom"/>
            <w:gridSpan w:val="3"/>
            <w:vMerge w:val="restart"/>
          </w:tcPr>
          <w:p>
            <w:pPr>
              <w:spacing w:after="0"/>
              <w:rPr>
                <w:sz w:val="17"/>
                <w:szCs w:val="17"/>
                <w:color w:val="auto"/>
              </w:rPr>
            </w:pPr>
          </w:p>
        </w:tc>
        <w:tc>
          <w:tcPr>
            <w:tcW w:w="1200" w:type="dxa"/>
            <w:vAlign w:val="bottom"/>
            <w:gridSpan w:val="10"/>
            <w:vMerge w:val="restart"/>
          </w:tcPr>
          <w:p>
            <w:pPr>
              <w:spacing w:after="0"/>
              <w:rPr>
                <w:sz w:val="17"/>
                <w:szCs w:val="17"/>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40</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1140" w:type="dxa"/>
            <w:vAlign w:val="bottom"/>
            <w:gridSpan w:val="3"/>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420" w:type="dxa"/>
            <w:vAlign w:val="bottom"/>
            <w:gridSpan w:val="3"/>
            <w:vMerge w:val="continue"/>
          </w:tcPr>
          <w:p>
            <w:pPr>
              <w:spacing w:after="0"/>
              <w:rPr>
                <w:sz w:val="5"/>
                <w:szCs w:val="5"/>
                <w:color w:val="auto"/>
              </w:rPr>
            </w:pPr>
          </w:p>
        </w:tc>
        <w:tc>
          <w:tcPr>
            <w:tcW w:w="1200" w:type="dxa"/>
            <w:vAlign w:val="bottom"/>
            <w:gridSpan w:val="10"/>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800" w:type="dxa"/>
            <w:vAlign w:val="bottom"/>
            <w:tcBorders>
              <w:bottom w:val="single" w:sz="8" w:color="FEFEFE"/>
            </w:tcBorders>
            <w:gridSpan w:val="6"/>
          </w:tcPr>
          <w:p>
            <w:pPr>
              <w:spacing w:after="0"/>
              <w:rPr>
                <w:sz w:val="20"/>
                <w:szCs w:val="20"/>
                <w:color w:val="auto"/>
              </w:rPr>
            </w:pPr>
            <w:r>
              <w:rPr>
                <w:rFonts w:ascii="Arial" w:cs="Arial" w:eastAsia="Arial" w:hAnsi="Arial"/>
                <w:sz w:val="16"/>
                <w:szCs w:val="16"/>
                <w:color w:val="FEFEFE"/>
              </w:rPr>
              <w:t>Executive Compensation</w:t>
            </w:r>
          </w:p>
        </w:tc>
        <w:tc>
          <w:tcPr>
            <w:tcW w:w="580" w:type="dxa"/>
            <w:vAlign w:val="bottom"/>
            <w:vMerge w:val="restart"/>
          </w:tcPr>
          <w:p>
            <w:pPr>
              <w:spacing w:after="0"/>
              <w:rPr>
                <w:sz w:val="17"/>
                <w:szCs w:val="17"/>
                <w:color w:val="auto"/>
              </w:rPr>
            </w:pPr>
          </w:p>
        </w:tc>
        <w:tc>
          <w:tcPr>
            <w:tcW w:w="200" w:type="dxa"/>
            <w:vAlign w:val="bottom"/>
            <w:gridSpan w:val="2"/>
            <w:vMerge w:val="restart"/>
          </w:tcPr>
          <w:p>
            <w:pPr>
              <w:spacing w:after="0"/>
              <w:rPr>
                <w:sz w:val="17"/>
                <w:szCs w:val="17"/>
                <w:color w:val="auto"/>
              </w:rPr>
            </w:pPr>
          </w:p>
        </w:tc>
        <w:tc>
          <w:tcPr>
            <w:tcW w:w="420" w:type="dxa"/>
            <w:vAlign w:val="bottom"/>
            <w:gridSpan w:val="3"/>
            <w:vMerge w:val="restart"/>
          </w:tcPr>
          <w:p>
            <w:pPr>
              <w:spacing w:after="0"/>
              <w:rPr>
                <w:sz w:val="17"/>
                <w:szCs w:val="17"/>
                <w:color w:val="auto"/>
              </w:rPr>
            </w:pPr>
          </w:p>
        </w:tc>
        <w:tc>
          <w:tcPr>
            <w:tcW w:w="1200" w:type="dxa"/>
            <w:vAlign w:val="bottom"/>
            <w:gridSpan w:val="10"/>
            <w:vMerge w:val="restart"/>
          </w:tcPr>
          <w:p>
            <w:pPr>
              <w:spacing w:after="0"/>
              <w:rPr>
                <w:sz w:val="17"/>
                <w:szCs w:val="17"/>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42</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1640" w:type="dxa"/>
            <w:vAlign w:val="bottom"/>
            <w:gridSpan w:val="5"/>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420" w:type="dxa"/>
            <w:vAlign w:val="bottom"/>
            <w:gridSpan w:val="3"/>
            <w:vMerge w:val="continue"/>
          </w:tcPr>
          <w:p>
            <w:pPr>
              <w:spacing w:after="0"/>
              <w:rPr>
                <w:sz w:val="5"/>
                <w:szCs w:val="5"/>
                <w:color w:val="auto"/>
              </w:rPr>
            </w:pPr>
          </w:p>
        </w:tc>
        <w:tc>
          <w:tcPr>
            <w:tcW w:w="1200" w:type="dxa"/>
            <w:vAlign w:val="bottom"/>
            <w:gridSpan w:val="10"/>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2840" w:type="dxa"/>
            <w:vAlign w:val="bottom"/>
            <w:tcBorders>
              <w:bottom w:val="single" w:sz="8" w:color="FEFEFE"/>
            </w:tcBorders>
            <w:gridSpan w:val="11"/>
          </w:tcPr>
          <w:p>
            <w:pPr>
              <w:spacing w:after="0"/>
              <w:rPr>
                <w:sz w:val="20"/>
                <w:szCs w:val="20"/>
                <w:color w:val="auto"/>
              </w:rPr>
            </w:pPr>
            <w:r>
              <w:rPr>
                <w:rFonts w:ascii="Arial" w:cs="Arial" w:eastAsia="Arial" w:hAnsi="Arial"/>
                <w:sz w:val="16"/>
                <w:szCs w:val="16"/>
                <w:color w:val="FEFEFE"/>
              </w:rPr>
              <w:t>Compensation Discussion and Analysis</w:t>
            </w:r>
          </w:p>
        </w:tc>
        <w:tc>
          <w:tcPr>
            <w:tcW w:w="1200" w:type="dxa"/>
            <w:vAlign w:val="bottom"/>
            <w:gridSpan w:val="10"/>
            <w:vMerge w:val="restart"/>
          </w:tcPr>
          <w:p>
            <w:pPr>
              <w:spacing w:after="0"/>
              <w:rPr>
                <w:sz w:val="17"/>
                <w:szCs w:val="17"/>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42</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2220" w:type="dxa"/>
            <w:vAlign w:val="bottom"/>
            <w:gridSpan w:val="6"/>
          </w:tcPr>
          <w:p>
            <w:pPr>
              <w:spacing w:after="0"/>
              <w:rPr>
                <w:sz w:val="5"/>
                <w:szCs w:val="5"/>
                <w:color w:val="auto"/>
              </w:rPr>
            </w:pPr>
          </w:p>
        </w:tc>
        <w:tc>
          <w:tcPr>
            <w:tcW w:w="200" w:type="dxa"/>
            <w:vAlign w:val="bottom"/>
            <w:gridSpan w:val="2"/>
          </w:tcPr>
          <w:p>
            <w:pPr>
              <w:spacing w:after="0"/>
              <w:rPr>
                <w:sz w:val="5"/>
                <w:szCs w:val="5"/>
                <w:color w:val="auto"/>
              </w:rPr>
            </w:pPr>
          </w:p>
        </w:tc>
        <w:tc>
          <w:tcPr>
            <w:tcW w:w="420" w:type="dxa"/>
            <w:vAlign w:val="bottom"/>
            <w:gridSpan w:val="3"/>
          </w:tcPr>
          <w:p>
            <w:pPr>
              <w:spacing w:after="0"/>
              <w:rPr>
                <w:sz w:val="5"/>
                <w:szCs w:val="5"/>
                <w:color w:val="auto"/>
              </w:rPr>
            </w:pPr>
          </w:p>
        </w:tc>
        <w:tc>
          <w:tcPr>
            <w:tcW w:w="1200" w:type="dxa"/>
            <w:vAlign w:val="bottom"/>
            <w:gridSpan w:val="10"/>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2420" w:type="dxa"/>
            <w:vAlign w:val="bottom"/>
            <w:tcBorders>
              <w:bottom w:val="single" w:sz="8" w:color="FEFEFE"/>
            </w:tcBorders>
            <w:gridSpan w:val="8"/>
          </w:tcPr>
          <w:p>
            <w:pPr>
              <w:spacing w:after="0"/>
              <w:rPr>
                <w:sz w:val="20"/>
                <w:szCs w:val="20"/>
                <w:color w:val="auto"/>
              </w:rPr>
            </w:pPr>
            <w:r>
              <w:rPr>
                <w:rFonts w:ascii="Arial" w:cs="Arial" w:eastAsia="Arial" w:hAnsi="Arial"/>
                <w:sz w:val="16"/>
                <w:szCs w:val="16"/>
                <w:color w:val="FEFEFE"/>
              </w:rPr>
              <w:t>Compensation Committee Report</w:t>
            </w:r>
          </w:p>
        </w:tc>
        <w:tc>
          <w:tcPr>
            <w:tcW w:w="1620" w:type="dxa"/>
            <w:vAlign w:val="bottom"/>
            <w:gridSpan w:val="13"/>
            <w:vMerge w:val="restart"/>
          </w:tcPr>
          <w:p>
            <w:pPr>
              <w:spacing w:after="0"/>
              <w:rPr>
                <w:sz w:val="17"/>
                <w:szCs w:val="17"/>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54</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2220" w:type="dxa"/>
            <w:vAlign w:val="bottom"/>
            <w:gridSpan w:val="6"/>
          </w:tcPr>
          <w:p>
            <w:pPr>
              <w:spacing w:after="0"/>
              <w:rPr>
                <w:sz w:val="5"/>
                <w:szCs w:val="5"/>
                <w:color w:val="auto"/>
              </w:rPr>
            </w:pPr>
          </w:p>
        </w:tc>
        <w:tc>
          <w:tcPr>
            <w:tcW w:w="200" w:type="dxa"/>
            <w:vAlign w:val="bottom"/>
            <w:gridSpan w:val="2"/>
          </w:tcPr>
          <w:p>
            <w:pPr>
              <w:spacing w:after="0"/>
              <w:rPr>
                <w:sz w:val="5"/>
                <w:szCs w:val="5"/>
                <w:color w:val="auto"/>
              </w:rPr>
            </w:pPr>
          </w:p>
        </w:tc>
        <w:tc>
          <w:tcPr>
            <w:tcW w:w="1620" w:type="dxa"/>
            <w:vAlign w:val="bottom"/>
            <w:gridSpan w:val="13"/>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2220" w:type="dxa"/>
            <w:vAlign w:val="bottom"/>
            <w:tcBorders>
              <w:bottom w:val="single" w:sz="8" w:color="FEFEFE"/>
            </w:tcBorders>
            <w:gridSpan w:val="6"/>
          </w:tcPr>
          <w:p>
            <w:pPr>
              <w:spacing w:after="0"/>
              <w:rPr>
                <w:sz w:val="20"/>
                <w:szCs w:val="20"/>
                <w:color w:val="auto"/>
              </w:rPr>
            </w:pPr>
            <w:r>
              <w:rPr>
                <w:rFonts w:ascii="Arial" w:cs="Arial" w:eastAsia="Arial" w:hAnsi="Arial"/>
                <w:sz w:val="16"/>
                <w:szCs w:val="16"/>
                <w:color w:val="FEFEFE"/>
                <w:w w:val="99"/>
              </w:rPr>
              <w:t>Summary Compensation Table</w:t>
            </w:r>
          </w:p>
        </w:tc>
        <w:tc>
          <w:tcPr>
            <w:tcW w:w="1820" w:type="dxa"/>
            <w:vAlign w:val="bottom"/>
            <w:gridSpan w:val="15"/>
            <w:vMerge w:val="restart"/>
          </w:tcPr>
          <w:p>
            <w:pPr>
              <w:spacing w:after="0"/>
              <w:rPr>
                <w:sz w:val="17"/>
                <w:szCs w:val="17"/>
                <w:color w:val="auto"/>
              </w:rPr>
            </w:pPr>
          </w:p>
        </w:tc>
        <w:tc>
          <w:tcPr>
            <w:tcW w:w="140" w:type="dxa"/>
            <w:vAlign w:val="bottom"/>
            <w:vMerge w:val="restart"/>
          </w:tcPr>
          <w:p>
            <w:pPr>
              <w:ind w:left="6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gridSpan w:val="2"/>
          </w:tcPr>
          <w:p>
            <w:pPr>
              <w:jc w:val="right"/>
              <w:spacing w:after="0"/>
              <w:rPr>
                <w:sz w:val="20"/>
                <w:szCs w:val="20"/>
                <w:color w:val="auto"/>
              </w:rPr>
            </w:pPr>
            <w:r>
              <w:rPr>
                <w:rFonts w:ascii="Arial" w:cs="Arial" w:eastAsia="Arial" w:hAnsi="Arial"/>
                <w:sz w:val="16"/>
                <w:szCs w:val="16"/>
                <w:color w:val="FEFEFE"/>
                <w:w w:val="89"/>
              </w:rPr>
              <w:t>55</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2220" w:type="dxa"/>
            <w:vAlign w:val="bottom"/>
            <w:gridSpan w:val="6"/>
          </w:tcPr>
          <w:p>
            <w:pPr>
              <w:spacing w:after="0"/>
              <w:rPr>
                <w:sz w:val="5"/>
                <w:szCs w:val="5"/>
                <w:color w:val="auto"/>
              </w:rPr>
            </w:pPr>
          </w:p>
        </w:tc>
        <w:tc>
          <w:tcPr>
            <w:tcW w:w="1820" w:type="dxa"/>
            <w:vAlign w:val="bottom"/>
            <w:gridSpan w:val="15"/>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3665855</wp:posOffset>
            </wp:positionV>
            <wp:extent cx="68065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17"/>
                <w:szCs w:val="17"/>
                <w:color w:val="auto"/>
              </w:rPr>
            </w:pPr>
          </w:p>
        </w:tc>
        <w:tc>
          <w:tcPr>
            <w:tcW w:w="2120" w:type="dxa"/>
            <w:vAlign w:val="bottom"/>
            <w:tcBorders>
              <w:bottom w:val="single" w:sz="8" w:color="FEFEFE"/>
            </w:tcBorders>
            <w:gridSpan w:val="8"/>
          </w:tcPr>
          <w:p>
            <w:pPr>
              <w:spacing w:after="0"/>
              <w:rPr>
                <w:sz w:val="20"/>
                <w:szCs w:val="20"/>
                <w:color w:val="auto"/>
              </w:rPr>
            </w:pPr>
            <w:r>
              <w:rPr>
                <w:rFonts w:ascii="Arial" w:cs="Arial" w:eastAsia="Arial" w:hAnsi="Arial"/>
                <w:sz w:val="16"/>
                <w:szCs w:val="16"/>
                <w:color w:val="FEFEFE"/>
              </w:rPr>
              <w:t>Grants of Plan-based Awards</w:t>
            </w:r>
          </w:p>
        </w:tc>
        <w:tc>
          <w:tcPr>
            <w:tcW w:w="300" w:type="dxa"/>
            <w:vAlign w:val="bottom"/>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700" w:type="dxa"/>
            <w:vAlign w:val="bottom"/>
            <w:vMerge w:val="restart"/>
          </w:tcPr>
          <w:p>
            <w:pPr>
              <w:spacing w:after="0"/>
              <w:rPr>
                <w:sz w:val="17"/>
                <w:szCs w:val="17"/>
                <w:color w:val="auto"/>
              </w:rPr>
            </w:pPr>
          </w:p>
        </w:tc>
        <w:tc>
          <w:tcPr>
            <w:tcW w:w="2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56</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3320" w:type="dxa"/>
            <w:vAlign w:val="bottom"/>
            <w:tcBorders>
              <w:bottom w:val="single" w:sz="8" w:color="FEFEFE"/>
            </w:tcBorders>
            <w:gridSpan w:val="12"/>
          </w:tcPr>
          <w:p>
            <w:pPr>
              <w:spacing w:after="0"/>
              <w:rPr>
                <w:sz w:val="20"/>
                <w:szCs w:val="20"/>
                <w:color w:val="auto"/>
              </w:rPr>
            </w:pPr>
            <w:r>
              <w:rPr>
                <w:rFonts w:ascii="Arial" w:cs="Arial" w:eastAsia="Arial" w:hAnsi="Arial"/>
                <w:sz w:val="16"/>
                <w:szCs w:val="16"/>
                <w:color w:val="FEFEFE"/>
              </w:rPr>
              <w:t>Outstanding Equity Awards at Fiscal Year-End</w:t>
            </w:r>
          </w:p>
        </w:tc>
        <w:tc>
          <w:tcPr>
            <w:tcW w:w="24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57</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60" w:type="dxa"/>
            <w:vAlign w:val="bottom"/>
          </w:tcPr>
          <w:p>
            <w:pPr>
              <w:spacing w:after="0"/>
              <w:rPr>
                <w:sz w:val="17"/>
                <w:szCs w:val="17"/>
                <w:color w:val="auto"/>
              </w:rPr>
            </w:pPr>
          </w:p>
        </w:tc>
        <w:tc>
          <w:tcPr>
            <w:tcW w:w="2540" w:type="dxa"/>
            <w:vAlign w:val="bottom"/>
            <w:tcBorders>
              <w:bottom w:val="single" w:sz="8" w:color="FEFEFE"/>
            </w:tcBorders>
            <w:gridSpan w:val="10"/>
          </w:tcPr>
          <w:p>
            <w:pPr>
              <w:spacing w:after="0"/>
              <w:rPr>
                <w:sz w:val="20"/>
                <w:szCs w:val="20"/>
                <w:color w:val="auto"/>
              </w:rPr>
            </w:pPr>
            <w:r>
              <w:rPr>
                <w:rFonts w:ascii="Arial" w:cs="Arial" w:eastAsia="Arial" w:hAnsi="Arial"/>
                <w:sz w:val="16"/>
                <w:szCs w:val="16"/>
                <w:color w:val="FEFEFE"/>
              </w:rPr>
              <w:t>Option Exercises and Stock Vested</w:t>
            </w:r>
          </w:p>
        </w:tc>
        <w:tc>
          <w:tcPr>
            <w:tcW w:w="8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58</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160" w:type="dxa"/>
            <w:vAlign w:val="bottom"/>
          </w:tcPr>
          <w:p>
            <w:pPr>
              <w:spacing w:after="0"/>
              <w:rPr>
                <w:sz w:val="5"/>
                <w:szCs w:val="5"/>
                <w:color w:val="auto"/>
              </w:rPr>
            </w:pPr>
          </w:p>
        </w:tc>
        <w:tc>
          <w:tcPr>
            <w:tcW w:w="3700" w:type="dxa"/>
            <w:vAlign w:val="bottom"/>
            <w:gridSpan w:val="15"/>
            <w:vMerge w:val="restart"/>
          </w:tcPr>
          <w:p>
            <w:pPr>
              <w:spacing w:after="0"/>
              <w:rPr>
                <w:sz w:val="20"/>
                <w:szCs w:val="20"/>
                <w:color w:val="auto"/>
              </w:rPr>
            </w:pPr>
            <w:r>
              <w:rPr>
                <w:rFonts w:ascii="Arial" w:cs="Arial" w:eastAsia="Arial" w:hAnsi="Arial"/>
                <w:sz w:val="16"/>
                <w:szCs w:val="16"/>
                <w:color w:val="FEFEFE"/>
              </w:rPr>
              <w:t>Potential Payments Upon Termination or Change in</w:t>
            </w:r>
          </w:p>
        </w:tc>
        <w:tc>
          <w:tcPr>
            <w:tcW w:w="60" w:type="dxa"/>
            <w:vAlign w:val="bottom"/>
            <w:vMerge w:val="restart"/>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6"/>
                <w:szCs w:val="16"/>
                <w:color w:val="auto"/>
              </w:rPr>
            </w:pPr>
          </w:p>
        </w:tc>
        <w:tc>
          <w:tcPr>
            <w:tcW w:w="3700" w:type="dxa"/>
            <w:vAlign w:val="bottom"/>
            <w:tcBorders>
              <w:bottom w:val="single" w:sz="8" w:color="FEFEFE"/>
            </w:tcBorders>
            <w:gridSpan w:val="15"/>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40" w:type="dxa"/>
            <w:vAlign w:val="bottom"/>
            <w:tcBorders>
              <w:bottom w:val="single" w:sz="8" w:color="FEFEFE"/>
            </w:tcBorders>
            <w:gridSpan w:val="2"/>
          </w:tcPr>
          <w:p>
            <w:pPr>
              <w:spacing w:after="0" w:line="169" w:lineRule="exact"/>
              <w:rPr>
                <w:sz w:val="20"/>
                <w:szCs w:val="20"/>
                <w:color w:val="auto"/>
              </w:rPr>
            </w:pPr>
            <w:r>
              <w:rPr>
                <w:rFonts w:ascii="Arial" w:cs="Arial" w:eastAsia="Arial" w:hAnsi="Arial"/>
                <w:sz w:val="16"/>
                <w:szCs w:val="16"/>
                <w:color w:val="FEFEFE"/>
              </w:rPr>
              <w:t>Control</w:t>
            </w:r>
          </w:p>
        </w:tc>
        <w:tc>
          <w:tcPr>
            <w:tcW w:w="3220" w:type="dxa"/>
            <w:vAlign w:val="bottom"/>
            <w:gridSpan w:val="14"/>
          </w:tcPr>
          <w:p>
            <w:pPr>
              <w:spacing w:after="0"/>
              <w:rPr>
                <w:sz w:val="16"/>
                <w:szCs w:val="16"/>
                <w:color w:val="auto"/>
              </w:rPr>
            </w:pPr>
          </w:p>
        </w:tc>
        <w:tc>
          <w:tcPr>
            <w:tcW w:w="420" w:type="dxa"/>
            <w:vAlign w:val="bottom"/>
            <w:gridSpan w:val="2"/>
          </w:tcPr>
          <w:p>
            <w:pPr>
              <w:ind w:left="340"/>
              <w:spacing w:after="0" w:line="162"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line="149" w:lineRule="exact"/>
              <w:rPr>
                <w:sz w:val="20"/>
                <w:szCs w:val="20"/>
                <w:color w:val="auto"/>
              </w:rPr>
            </w:pPr>
            <w:r>
              <w:rPr>
                <w:rFonts w:ascii="Arial" w:cs="Arial" w:eastAsia="Arial" w:hAnsi="Arial"/>
                <w:sz w:val="16"/>
                <w:szCs w:val="16"/>
                <w:color w:val="FEFEFE"/>
                <w:w w:val="89"/>
              </w:rPr>
              <w:t>60</w:t>
            </w:r>
          </w:p>
        </w:tc>
        <w:tc>
          <w:tcPr>
            <w:tcW w:w="80" w:type="dxa"/>
            <w:vAlign w:val="bottom"/>
          </w:tcPr>
          <w:p>
            <w:pPr>
              <w:ind w:left="20"/>
              <w:spacing w:after="0" w:line="162"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7"/>
        </w:trPr>
        <w:tc>
          <w:tcPr>
            <w:tcW w:w="1660" w:type="dxa"/>
            <w:vAlign w:val="bottom"/>
            <w:tcBorders>
              <w:bottom w:val="single" w:sz="8" w:color="FEFEFE"/>
            </w:tcBorders>
            <w:gridSpan w:val="7"/>
          </w:tcPr>
          <w:p>
            <w:pPr>
              <w:spacing w:after="0"/>
              <w:rPr>
                <w:sz w:val="20"/>
                <w:szCs w:val="20"/>
                <w:color w:val="auto"/>
              </w:rPr>
            </w:pPr>
            <w:r>
              <w:rPr>
                <w:rFonts w:ascii="Arial" w:cs="Arial" w:eastAsia="Arial" w:hAnsi="Arial"/>
                <w:sz w:val="16"/>
                <w:szCs w:val="16"/>
                <w:color w:val="FEFEFE"/>
              </w:rPr>
              <w:t>Director Compensation</w:t>
            </w:r>
          </w:p>
        </w:tc>
        <w:tc>
          <w:tcPr>
            <w:tcW w:w="140" w:type="dxa"/>
            <w:vAlign w:val="bottom"/>
            <w:vMerge w:val="restart"/>
          </w:tcPr>
          <w:p>
            <w:pPr>
              <w:spacing w:after="0"/>
              <w:rPr>
                <w:sz w:val="22"/>
                <w:szCs w:val="22"/>
                <w:color w:val="auto"/>
              </w:rPr>
            </w:pPr>
          </w:p>
        </w:tc>
        <w:tc>
          <w:tcPr>
            <w:tcW w:w="780" w:type="dxa"/>
            <w:vAlign w:val="bottom"/>
            <w:gridSpan w:val="2"/>
            <w:vMerge w:val="restart"/>
          </w:tcPr>
          <w:p>
            <w:pPr>
              <w:spacing w:after="0"/>
              <w:rPr>
                <w:sz w:val="22"/>
                <w:szCs w:val="22"/>
                <w:color w:val="auto"/>
              </w:rPr>
            </w:pPr>
          </w:p>
        </w:tc>
        <w:tc>
          <w:tcPr>
            <w:tcW w:w="200" w:type="dxa"/>
            <w:vAlign w:val="bottom"/>
            <w:gridSpan w:val="2"/>
            <w:vMerge w:val="restart"/>
          </w:tcPr>
          <w:p>
            <w:pPr>
              <w:spacing w:after="0"/>
              <w:rPr>
                <w:sz w:val="22"/>
                <w:szCs w:val="22"/>
                <w:color w:val="auto"/>
              </w:rPr>
            </w:pPr>
          </w:p>
        </w:tc>
        <w:tc>
          <w:tcPr>
            <w:tcW w:w="940" w:type="dxa"/>
            <w:vAlign w:val="bottom"/>
            <w:gridSpan w:val="2"/>
            <w:vMerge w:val="restart"/>
          </w:tcPr>
          <w:p>
            <w:pPr>
              <w:spacing w:after="0"/>
              <w:rPr>
                <w:sz w:val="22"/>
                <w:szCs w:val="22"/>
                <w:color w:val="auto"/>
              </w:rPr>
            </w:pPr>
          </w:p>
        </w:tc>
        <w:tc>
          <w:tcPr>
            <w:tcW w:w="100" w:type="dxa"/>
            <w:vAlign w:val="bottom"/>
            <w:vMerge w:val="restart"/>
          </w:tcPr>
          <w:p>
            <w:pPr>
              <w:spacing w:after="0"/>
              <w:rPr>
                <w:sz w:val="22"/>
                <w:szCs w:val="22"/>
                <w:color w:val="auto"/>
              </w:rPr>
            </w:pPr>
          </w:p>
        </w:tc>
        <w:tc>
          <w:tcPr>
            <w:tcW w:w="40" w:type="dxa"/>
            <w:vAlign w:val="bottom"/>
            <w:vMerge w:val="restart"/>
          </w:tcPr>
          <w:p>
            <w:pPr>
              <w:spacing w:after="0"/>
              <w:rPr>
                <w:sz w:val="22"/>
                <w:szCs w:val="22"/>
                <w:color w:val="auto"/>
              </w:rPr>
            </w:pPr>
          </w:p>
        </w:tc>
        <w:tc>
          <w:tcPr>
            <w:tcW w:w="60" w:type="dxa"/>
            <w:vAlign w:val="bottom"/>
            <w:vMerge w:val="restart"/>
          </w:tcPr>
          <w:p>
            <w:pPr>
              <w:spacing w:after="0"/>
              <w:rPr>
                <w:sz w:val="22"/>
                <w:szCs w:val="22"/>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61</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500" w:type="dxa"/>
            <w:vAlign w:val="bottom"/>
            <w:gridSpan w:val="2"/>
          </w:tcPr>
          <w:p>
            <w:pPr>
              <w:spacing w:after="0"/>
              <w:rPr>
                <w:sz w:val="5"/>
                <w:szCs w:val="5"/>
                <w:color w:val="auto"/>
              </w:rPr>
            </w:pPr>
          </w:p>
        </w:tc>
        <w:tc>
          <w:tcPr>
            <w:tcW w:w="46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780" w:type="dxa"/>
            <w:vAlign w:val="bottom"/>
            <w:tcBorders>
              <w:bottom w:val="single" w:sz="8" w:color="FEFEFE"/>
            </w:tcBorders>
            <w:gridSpan w:val="12"/>
          </w:tcPr>
          <w:p>
            <w:pPr>
              <w:spacing w:after="0"/>
              <w:rPr>
                <w:sz w:val="20"/>
                <w:szCs w:val="20"/>
                <w:color w:val="auto"/>
              </w:rPr>
            </w:pPr>
            <w:r>
              <w:rPr>
                <w:rFonts w:ascii="Arial" w:cs="Arial" w:eastAsia="Arial" w:hAnsi="Arial"/>
                <w:sz w:val="16"/>
                <w:szCs w:val="16"/>
                <w:color w:val="FEFEFE"/>
              </w:rPr>
              <w:t>Equity Compensation Plan Information</w:t>
            </w:r>
          </w:p>
        </w:tc>
        <w:tc>
          <w:tcPr>
            <w:tcW w:w="940" w:type="dxa"/>
            <w:vAlign w:val="bottom"/>
            <w:gridSpan w:val="2"/>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63</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500" w:type="dxa"/>
            <w:vAlign w:val="bottom"/>
            <w:gridSpan w:val="2"/>
          </w:tcPr>
          <w:p>
            <w:pPr>
              <w:spacing w:after="0"/>
              <w:rPr>
                <w:sz w:val="5"/>
                <w:szCs w:val="5"/>
                <w:color w:val="auto"/>
              </w:rPr>
            </w:pPr>
          </w:p>
        </w:tc>
        <w:tc>
          <w:tcPr>
            <w:tcW w:w="46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tcPr>
          <w:p>
            <w:pPr>
              <w:spacing w:after="0"/>
              <w:rPr>
                <w:sz w:val="5"/>
                <w:szCs w:val="5"/>
                <w:color w:val="auto"/>
              </w:rPr>
            </w:pPr>
          </w:p>
        </w:tc>
        <w:tc>
          <w:tcPr>
            <w:tcW w:w="780" w:type="dxa"/>
            <w:vAlign w:val="bottom"/>
            <w:gridSpan w:val="2"/>
          </w:tcPr>
          <w:p>
            <w:pPr>
              <w:spacing w:after="0"/>
              <w:rPr>
                <w:sz w:val="5"/>
                <w:szCs w:val="5"/>
                <w:color w:val="auto"/>
              </w:rPr>
            </w:pPr>
          </w:p>
        </w:tc>
        <w:tc>
          <w:tcPr>
            <w:tcW w:w="200" w:type="dxa"/>
            <w:vAlign w:val="bottom"/>
            <w:gridSpan w:val="2"/>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100" w:type="dxa"/>
            <w:vAlign w:val="bottom"/>
            <w:tcBorders>
              <w:bottom w:val="single" w:sz="8" w:color="FEFEFE"/>
            </w:tcBorders>
            <w:gridSpan w:val="6"/>
          </w:tcPr>
          <w:p>
            <w:pPr>
              <w:spacing w:after="0"/>
              <w:rPr>
                <w:sz w:val="20"/>
                <w:szCs w:val="20"/>
                <w:color w:val="auto"/>
              </w:rPr>
            </w:pPr>
            <w:r>
              <w:rPr>
                <w:rFonts w:ascii="Arial" w:cs="Arial" w:eastAsia="Arial" w:hAnsi="Arial"/>
                <w:sz w:val="16"/>
                <w:szCs w:val="16"/>
                <w:color w:val="FEFEFE"/>
                <w:w w:val="99"/>
              </w:rPr>
              <w:t>CEO Pay Ratio</w:t>
            </w:r>
          </w:p>
        </w:tc>
        <w:tc>
          <w:tcPr>
            <w:tcW w:w="700" w:type="dxa"/>
            <w:vAlign w:val="bottom"/>
            <w:gridSpan w:val="2"/>
            <w:vMerge w:val="restart"/>
          </w:tcPr>
          <w:p>
            <w:pPr>
              <w:spacing w:after="0"/>
              <w:rPr>
                <w:sz w:val="17"/>
                <w:szCs w:val="17"/>
                <w:color w:val="auto"/>
              </w:rPr>
            </w:pPr>
          </w:p>
        </w:tc>
        <w:tc>
          <w:tcPr>
            <w:tcW w:w="780" w:type="dxa"/>
            <w:vAlign w:val="bottom"/>
            <w:gridSpan w:val="2"/>
            <w:vMerge w:val="restart"/>
          </w:tcPr>
          <w:p>
            <w:pPr>
              <w:spacing w:after="0"/>
              <w:rPr>
                <w:sz w:val="17"/>
                <w:szCs w:val="17"/>
                <w:color w:val="auto"/>
              </w:rPr>
            </w:pPr>
          </w:p>
        </w:tc>
        <w:tc>
          <w:tcPr>
            <w:tcW w:w="1140" w:type="dxa"/>
            <w:vAlign w:val="bottom"/>
            <w:gridSpan w:val="4"/>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64</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500" w:type="dxa"/>
            <w:vAlign w:val="bottom"/>
            <w:gridSpan w:val="2"/>
          </w:tcPr>
          <w:p>
            <w:pPr>
              <w:spacing w:after="0"/>
              <w:rPr>
                <w:sz w:val="5"/>
                <w:szCs w:val="5"/>
                <w:color w:val="auto"/>
              </w:rPr>
            </w:pPr>
          </w:p>
        </w:tc>
        <w:tc>
          <w:tcPr>
            <w:tcW w:w="46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140" w:type="dxa"/>
            <w:vAlign w:val="bottom"/>
            <w:gridSpan w:val="4"/>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800" w:type="dxa"/>
            <w:vAlign w:val="bottom"/>
            <w:tcBorders>
              <w:bottom w:val="single" w:sz="8" w:color="FEFEFE"/>
            </w:tcBorders>
            <w:gridSpan w:val="8"/>
          </w:tcPr>
          <w:p>
            <w:pPr>
              <w:spacing w:after="0"/>
              <w:rPr>
                <w:sz w:val="20"/>
                <w:szCs w:val="20"/>
                <w:color w:val="auto"/>
              </w:rPr>
            </w:pPr>
            <w:r>
              <w:rPr>
                <w:rFonts w:ascii="Arial" w:cs="Arial" w:eastAsia="Arial" w:hAnsi="Arial"/>
                <w:sz w:val="16"/>
                <w:szCs w:val="16"/>
                <w:color w:val="FEFEFE"/>
              </w:rPr>
              <w:t>Pay Versus Performance</w:t>
            </w:r>
          </w:p>
        </w:tc>
        <w:tc>
          <w:tcPr>
            <w:tcW w:w="780" w:type="dxa"/>
            <w:vAlign w:val="bottom"/>
            <w:gridSpan w:val="2"/>
          </w:tcPr>
          <w:p>
            <w:pPr>
              <w:spacing w:after="0"/>
              <w:rPr>
                <w:sz w:val="17"/>
                <w:szCs w:val="17"/>
                <w:color w:val="auto"/>
              </w:rPr>
            </w:pPr>
          </w:p>
        </w:tc>
        <w:tc>
          <w:tcPr>
            <w:tcW w:w="114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65</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3920" w:type="dxa"/>
            <w:vAlign w:val="bottom"/>
            <w:gridSpan w:val="17"/>
            <w:vMerge w:val="restart"/>
          </w:tcPr>
          <w:p>
            <w:pPr>
              <w:spacing w:after="0"/>
              <w:rPr>
                <w:sz w:val="20"/>
                <w:szCs w:val="20"/>
                <w:color w:val="auto"/>
              </w:rPr>
            </w:pPr>
            <w:r>
              <w:rPr>
                <w:rFonts w:ascii="Arial" w:cs="Arial" w:eastAsia="Arial" w:hAnsi="Arial"/>
                <w:sz w:val="16"/>
                <w:szCs w:val="16"/>
                <w:color w:val="FEFEFE"/>
              </w:rPr>
              <w:t>Security Ownership of Certain Beneficial Owners and</w:t>
            </w:r>
          </w:p>
        </w:tc>
        <w:tc>
          <w:tcPr>
            <w:tcW w:w="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920" w:type="dxa"/>
            <w:vAlign w:val="bottom"/>
            <w:gridSpan w:val="17"/>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Borders>
              <w:top w:val="single" w:sz="8" w:color="FEFEFE"/>
              <w:bottom w:val="single" w:sz="8" w:color="FEFEFE"/>
            </w:tcBorders>
            <w:gridSpan w:val="15"/>
          </w:tcPr>
          <w:p>
            <w:pPr>
              <w:spacing w:after="0" w:line="169" w:lineRule="exact"/>
              <w:rPr>
                <w:sz w:val="20"/>
                <w:szCs w:val="20"/>
                <w:color w:val="auto"/>
              </w:rPr>
            </w:pPr>
            <w:r>
              <w:rPr>
                <w:rFonts w:ascii="Arial" w:cs="Arial" w:eastAsia="Arial" w:hAnsi="Arial"/>
                <w:sz w:val="16"/>
                <w:szCs w:val="16"/>
                <w:color w:val="FEFEFE"/>
              </w:rPr>
              <w:t>Management</w:t>
            </w:r>
          </w:p>
        </w:tc>
        <w:tc>
          <w:tcPr>
            <w:tcW w:w="100" w:type="dxa"/>
            <w:vAlign w:val="bottom"/>
            <w:gridSpan w:val="2"/>
          </w:tcPr>
          <w:p>
            <w:pPr>
              <w:spacing w:after="0"/>
              <w:rPr>
                <w:sz w:val="16"/>
                <w:szCs w:val="16"/>
                <w:color w:val="auto"/>
              </w:rPr>
            </w:pPr>
          </w:p>
        </w:tc>
        <w:tc>
          <w:tcPr>
            <w:tcW w:w="420" w:type="dxa"/>
            <w:vAlign w:val="bottom"/>
            <w:gridSpan w:val="2"/>
          </w:tcPr>
          <w:p>
            <w:pPr>
              <w:ind w:left="340"/>
              <w:spacing w:after="0" w:line="162"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line="149" w:lineRule="exact"/>
              <w:rPr>
                <w:sz w:val="20"/>
                <w:szCs w:val="20"/>
                <w:color w:val="auto"/>
              </w:rPr>
            </w:pPr>
            <w:r>
              <w:rPr>
                <w:rFonts w:ascii="Arial" w:cs="Arial" w:eastAsia="Arial" w:hAnsi="Arial"/>
                <w:sz w:val="16"/>
                <w:szCs w:val="16"/>
                <w:color w:val="FEFEFE"/>
                <w:w w:val="89"/>
              </w:rPr>
              <w:t>67</w:t>
            </w:r>
          </w:p>
        </w:tc>
        <w:tc>
          <w:tcPr>
            <w:tcW w:w="80" w:type="dxa"/>
            <w:vAlign w:val="bottom"/>
          </w:tcPr>
          <w:p>
            <w:pPr>
              <w:ind w:left="20"/>
              <w:spacing w:after="0" w:line="162"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7"/>
        </w:trPr>
        <w:tc>
          <w:tcPr>
            <w:tcW w:w="3860" w:type="dxa"/>
            <w:vAlign w:val="bottom"/>
            <w:tcBorders>
              <w:bottom w:val="single" w:sz="8" w:color="FEFEFE"/>
            </w:tcBorders>
            <w:gridSpan w:val="16"/>
          </w:tcPr>
          <w:p>
            <w:pPr>
              <w:spacing w:after="0"/>
              <w:rPr>
                <w:sz w:val="20"/>
                <w:szCs w:val="20"/>
                <w:color w:val="auto"/>
              </w:rPr>
            </w:pPr>
            <w:r>
              <w:rPr>
                <w:rFonts w:ascii="Arial" w:cs="Arial" w:eastAsia="Arial" w:hAnsi="Arial"/>
                <w:sz w:val="16"/>
                <w:szCs w:val="16"/>
                <w:color w:val="FEFEFE"/>
              </w:rPr>
              <w:t>Certain Relationships and Related Party Transactions</w:t>
            </w:r>
          </w:p>
        </w:tc>
        <w:tc>
          <w:tcPr>
            <w:tcW w:w="60" w:type="dxa"/>
            <w:vAlign w:val="bottom"/>
          </w:tcPr>
          <w:p>
            <w:pPr>
              <w:spacing w:after="0"/>
              <w:rPr>
                <w:sz w:val="22"/>
                <w:szCs w:val="22"/>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69</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3920" w:type="dxa"/>
            <w:vAlign w:val="bottom"/>
            <w:gridSpan w:val="17"/>
            <w:vMerge w:val="restart"/>
          </w:tcPr>
          <w:p>
            <w:pPr>
              <w:spacing w:after="0"/>
              <w:rPr>
                <w:sz w:val="20"/>
                <w:szCs w:val="20"/>
                <w:color w:val="auto"/>
              </w:rPr>
            </w:pPr>
            <w:r>
              <w:rPr>
                <w:rFonts w:ascii="Arial" w:cs="Arial" w:eastAsia="Arial" w:hAnsi="Arial"/>
                <w:sz w:val="16"/>
                <w:szCs w:val="16"/>
                <w:color w:val="FEFEFE"/>
              </w:rPr>
              <w:t>Householding of Proxy Materials; Availability of Annual</w:t>
            </w:r>
          </w:p>
        </w:tc>
        <w:tc>
          <w:tcPr>
            <w:tcW w:w="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920" w:type="dxa"/>
            <w:vAlign w:val="bottom"/>
            <w:tcBorders>
              <w:bottom w:val="single" w:sz="8" w:color="FEFEFE"/>
            </w:tcBorders>
            <w:gridSpan w:val="17"/>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 w:type="dxa"/>
            <w:vAlign w:val="bottom"/>
            <w:tcBorders>
              <w:bottom w:val="single" w:sz="8" w:color="FEFEFE"/>
            </w:tcBorders>
            <w:gridSpan w:val="2"/>
          </w:tcPr>
          <w:p>
            <w:pPr>
              <w:spacing w:after="0" w:line="169" w:lineRule="exact"/>
              <w:rPr>
                <w:sz w:val="20"/>
                <w:szCs w:val="20"/>
                <w:color w:val="auto"/>
              </w:rPr>
            </w:pPr>
            <w:r>
              <w:rPr>
                <w:rFonts w:ascii="Arial" w:cs="Arial" w:eastAsia="Arial" w:hAnsi="Arial"/>
                <w:sz w:val="16"/>
                <w:szCs w:val="16"/>
                <w:color w:val="FEFEFE"/>
                <w:w w:val="99"/>
              </w:rPr>
              <w:t>Report</w:t>
            </w:r>
          </w:p>
        </w:tc>
        <w:tc>
          <w:tcPr>
            <w:tcW w:w="3420" w:type="dxa"/>
            <w:vAlign w:val="bottom"/>
            <w:gridSpan w:val="15"/>
          </w:tcPr>
          <w:p>
            <w:pPr>
              <w:spacing w:after="0"/>
              <w:rPr>
                <w:sz w:val="16"/>
                <w:szCs w:val="16"/>
                <w:color w:val="auto"/>
              </w:rPr>
            </w:pPr>
          </w:p>
        </w:tc>
        <w:tc>
          <w:tcPr>
            <w:tcW w:w="420" w:type="dxa"/>
            <w:vAlign w:val="bottom"/>
            <w:gridSpan w:val="2"/>
          </w:tcPr>
          <w:p>
            <w:pPr>
              <w:ind w:left="340"/>
              <w:spacing w:after="0" w:line="162" w:lineRule="exact"/>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line="149" w:lineRule="exact"/>
              <w:rPr>
                <w:sz w:val="20"/>
                <w:szCs w:val="20"/>
                <w:color w:val="auto"/>
              </w:rPr>
            </w:pPr>
            <w:r>
              <w:rPr>
                <w:rFonts w:ascii="Arial" w:cs="Arial" w:eastAsia="Arial" w:hAnsi="Arial"/>
                <w:sz w:val="16"/>
                <w:szCs w:val="16"/>
                <w:color w:val="FEFEFE"/>
                <w:w w:val="89"/>
              </w:rPr>
              <w:t>72</w:t>
            </w:r>
          </w:p>
        </w:tc>
        <w:tc>
          <w:tcPr>
            <w:tcW w:w="80" w:type="dxa"/>
            <w:vAlign w:val="bottom"/>
          </w:tcPr>
          <w:p>
            <w:pPr>
              <w:ind w:left="20"/>
              <w:spacing w:after="0" w:line="162"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7"/>
        </w:trPr>
        <w:tc>
          <w:tcPr>
            <w:tcW w:w="1000" w:type="dxa"/>
            <w:vAlign w:val="bottom"/>
            <w:tcBorders>
              <w:bottom w:val="single" w:sz="8" w:color="FEFEFE"/>
            </w:tcBorders>
            <w:gridSpan w:val="5"/>
          </w:tcPr>
          <w:p>
            <w:pPr>
              <w:spacing w:after="0"/>
              <w:rPr>
                <w:sz w:val="20"/>
                <w:szCs w:val="20"/>
                <w:color w:val="auto"/>
              </w:rPr>
            </w:pPr>
            <w:r>
              <w:rPr>
                <w:rFonts w:ascii="Arial" w:cs="Arial" w:eastAsia="Arial" w:hAnsi="Arial"/>
                <w:sz w:val="16"/>
                <w:szCs w:val="16"/>
                <w:color w:val="FEFEFE"/>
              </w:rPr>
              <w:t>Other Matters</w:t>
            </w:r>
          </w:p>
        </w:tc>
        <w:tc>
          <w:tcPr>
            <w:tcW w:w="1580" w:type="dxa"/>
            <w:vAlign w:val="bottom"/>
            <w:gridSpan w:val="5"/>
          </w:tcPr>
          <w:p>
            <w:pPr>
              <w:spacing w:after="0"/>
              <w:rPr>
                <w:sz w:val="22"/>
                <w:szCs w:val="22"/>
                <w:color w:val="auto"/>
              </w:rPr>
            </w:pPr>
          </w:p>
        </w:tc>
        <w:tc>
          <w:tcPr>
            <w:tcW w:w="1140" w:type="dxa"/>
            <w:vAlign w:val="bottom"/>
            <w:gridSpan w:val="4"/>
          </w:tcPr>
          <w:p>
            <w:pPr>
              <w:spacing w:after="0"/>
              <w:rPr>
                <w:sz w:val="22"/>
                <w:szCs w:val="22"/>
                <w:color w:val="auto"/>
              </w:rPr>
            </w:pPr>
          </w:p>
        </w:tc>
        <w:tc>
          <w:tcPr>
            <w:tcW w:w="200" w:type="dxa"/>
            <w:vAlign w:val="bottom"/>
            <w:gridSpan w:val="3"/>
          </w:tcPr>
          <w:p>
            <w:pPr>
              <w:spacing w:after="0"/>
              <w:rPr>
                <w:sz w:val="22"/>
                <w:szCs w:val="22"/>
                <w:color w:val="auto"/>
              </w:rPr>
            </w:pPr>
          </w:p>
        </w:tc>
        <w:tc>
          <w:tcPr>
            <w:tcW w:w="420" w:type="dxa"/>
            <w:vAlign w:val="bottom"/>
            <w:gridSpan w:val="2"/>
            <w:vMerge w:val="restart"/>
          </w:tcPr>
          <w:p>
            <w:pPr>
              <w:ind w:left="340"/>
              <w:spacing w:after="0"/>
              <w:rPr>
                <w:sz w:val="20"/>
                <w:szCs w:val="20"/>
                <w:color w:val="auto"/>
              </w:rPr>
            </w:pPr>
            <w:r>
              <w:rPr>
                <w:rFonts w:ascii="Arial" w:cs="Arial" w:eastAsia="Arial" w:hAnsi="Arial"/>
                <w:sz w:val="16"/>
                <w:szCs w:val="16"/>
                <w:color w:val="FEFEFE"/>
              </w:rPr>
              <w:t>​</w:t>
            </w:r>
          </w:p>
        </w:tc>
        <w:tc>
          <w:tcPr>
            <w:tcW w:w="180" w:type="dxa"/>
            <w:vAlign w:val="bottom"/>
            <w:tcBorders>
              <w:bottom w:val="single" w:sz="8" w:color="FEFEFE"/>
            </w:tcBorders>
          </w:tcPr>
          <w:p>
            <w:pPr>
              <w:jc w:val="right"/>
              <w:spacing w:after="0"/>
              <w:rPr>
                <w:sz w:val="20"/>
                <w:szCs w:val="20"/>
                <w:color w:val="auto"/>
              </w:rPr>
            </w:pPr>
            <w:r>
              <w:rPr>
                <w:rFonts w:ascii="Arial" w:cs="Arial" w:eastAsia="Arial" w:hAnsi="Arial"/>
                <w:sz w:val="16"/>
                <w:szCs w:val="16"/>
                <w:color w:val="FEFEFE"/>
                <w:w w:val="89"/>
              </w:rPr>
              <w:t>72</w:t>
            </w:r>
          </w:p>
        </w:tc>
        <w:tc>
          <w:tcPr>
            <w:tcW w:w="80" w:type="dxa"/>
            <w:vAlign w:val="bottom"/>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59"/>
        </w:trPr>
        <w:tc>
          <w:tcPr>
            <w:tcW w:w="3720" w:type="dxa"/>
            <w:vAlign w:val="bottom"/>
            <w:gridSpan w:val="14"/>
            <w:vMerge w:val="restart"/>
          </w:tcPr>
          <w:p>
            <w:pPr>
              <w:spacing w:after="0"/>
              <w:rPr>
                <w:sz w:val="20"/>
                <w:szCs w:val="20"/>
                <w:color w:val="auto"/>
              </w:rPr>
            </w:pPr>
            <w:r>
              <w:rPr>
                <w:rFonts w:ascii="Arial" w:cs="Arial" w:eastAsia="Arial" w:hAnsi="Arial"/>
                <w:sz w:val="16"/>
                <w:szCs w:val="16"/>
                <w:color w:val="FEFEFE"/>
              </w:rPr>
              <w:t>Annex A — Lucid Group, Inc. Second Amended and</w:t>
            </w:r>
          </w:p>
        </w:tc>
        <w:tc>
          <w:tcPr>
            <w:tcW w:w="200" w:type="dxa"/>
            <w:vAlign w:val="bottom"/>
            <w:gridSpan w:val="3"/>
            <w:vMerge w:val="restart"/>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FEFEFE"/>
            </w:tcBorders>
            <w:gridSpan w:val="14"/>
            <w:vMerge w:val="continue"/>
          </w:tcPr>
          <w:p>
            <w:pPr>
              <w:spacing w:after="0"/>
              <w:rPr>
                <w:sz w:val="16"/>
                <w:szCs w:val="16"/>
                <w:color w:val="auto"/>
              </w:rPr>
            </w:pPr>
          </w:p>
        </w:tc>
        <w:tc>
          <w:tcPr>
            <w:tcW w:w="200" w:type="dxa"/>
            <w:vAlign w:val="bottom"/>
            <w:gridSpan w:val="3"/>
            <w:vMerge w:val="continue"/>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gridSpan w:val="10"/>
          </w:tcPr>
          <w:p>
            <w:pPr>
              <w:spacing w:after="0" w:line="169" w:lineRule="exact"/>
              <w:rPr>
                <w:sz w:val="20"/>
                <w:szCs w:val="20"/>
                <w:color w:val="auto"/>
              </w:rPr>
            </w:pPr>
            <w:r>
              <w:rPr>
                <w:rFonts w:ascii="Arial" w:cs="Arial" w:eastAsia="Arial" w:hAnsi="Arial"/>
                <w:sz w:val="16"/>
                <w:szCs w:val="16"/>
                <w:color w:val="FEFEFE"/>
              </w:rPr>
              <w:t>Restated 2021 Stock Incentive Plan</w:t>
            </w:r>
          </w:p>
        </w:tc>
        <w:tc>
          <w:tcPr>
            <w:tcW w:w="1340" w:type="dxa"/>
            <w:vAlign w:val="bottom"/>
            <w:gridSpan w:val="7"/>
          </w:tcPr>
          <w:p>
            <w:pPr>
              <w:spacing w:after="0"/>
              <w:rPr>
                <w:sz w:val="14"/>
                <w:szCs w:val="14"/>
                <w:color w:val="auto"/>
              </w:rPr>
            </w:pPr>
          </w:p>
        </w:tc>
        <w:tc>
          <w:tcPr>
            <w:tcW w:w="600" w:type="dxa"/>
            <w:vAlign w:val="bottom"/>
            <w:gridSpan w:val="3"/>
          </w:tcPr>
          <w:p>
            <w:pPr>
              <w:ind w:left="340"/>
              <w:spacing w:after="0" w:line="149" w:lineRule="exact"/>
              <w:rPr>
                <w:sz w:val="20"/>
                <w:szCs w:val="20"/>
                <w:color w:val="auto"/>
              </w:rPr>
            </w:pPr>
            <w:r>
              <w:rPr>
                <w:rFonts w:ascii="Arial" w:cs="Arial" w:eastAsia="Arial" w:hAnsi="Arial"/>
                <w:sz w:val="16"/>
                <w:szCs w:val="16"/>
                <w:color w:val="FEFEFE"/>
                <w:w w:val="96"/>
              </w:rPr>
              <w:t>​A-1</w:t>
            </w:r>
          </w:p>
        </w:tc>
        <w:tc>
          <w:tcPr>
            <w:tcW w:w="80" w:type="dxa"/>
            <w:vAlign w:val="bottom"/>
          </w:tcPr>
          <w:p>
            <w:pPr>
              <w:ind w:left="20"/>
              <w:spacing w:after="0" w:line="162"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0"/>
        </w:trPr>
        <w:tc>
          <w:tcPr>
            <w:tcW w:w="2580" w:type="dxa"/>
            <w:vAlign w:val="bottom"/>
            <w:gridSpan w:val="10"/>
            <w:shd w:val="clear" w:color="auto" w:fill="FEFEFE"/>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FEFEFE"/>
            </w:tcBorders>
          </w:tcPr>
          <w:p>
            <w:pPr>
              <w:spacing w:after="0" w:line="20" w:lineRule="exact"/>
              <w:rPr>
                <w:sz w:val="1"/>
                <w:szCs w:val="1"/>
                <w:color w:val="auto"/>
              </w:rPr>
            </w:pPr>
          </w:p>
        </w:tc>
        <w:tc>
          <w:tcPr>
            <w:tcW w:w="180" w:type="dxa"/>
            <w:vAlign w:val="bottom"/>
            <w:tcBorders>
              <w:top w:val="single" w:sz="8" w:color="FEFEF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920" w:type="dxa"/>
            <w:vAlign w:val="bottom"/>
            <w:tcBorders>
              <w:bottom w:val="single" w:sz="8" w:color="FEFEFE"/>
            </w:tcBorders>
            <w:gridSpan w:val="17"/>
          </w:tcPr>
          <w:p>
            <w:pPr>
              <w:spacing w:after="0"/>
              <w:rPr>
                <w:sz w:val="20"/>
                <w:szCs w:val="20"/>
                <w:color w:val="auto"/>
              </w:rPr>
            </w:pPr>
            <w:r>
              <w:rPr>
                <w:rFonts w:ascii="Arial" w:cs="Arial" w:eastAsia="Arial" w:hAnsi="Arial"/>
                <w:sz w:val="16"/>
                <w:szCs w:val="16"/>
                <w:color w:val="FEFEFE"/>
              </w:rPr>
              <w:t>Annex B — Third Amended and Restated Certificate of</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60" w:type="dxa"/>
            <w:vAlign w:val="bottom"/>
            <w:gridSpan w:val="4"/>
          </w:tcPr>
          <w:p>
            <w:pPr>
              <w:spacing w:after="0" w:line="169" w:lineRule="exact"/>
              <w:rPr>
                <w:sz w:val="20"/>
                <w:szCs w:val="20"/>
                <w:color w:val="auto"/>
              </w:rPr>
            </w:pPr>
            <w:r>
              <w:rPr>
                <w:rFonts w:ascii="Arial" w:cs="Arial" w:eastAsia="Arial" w:hAnsi="Arial"/>
                <w:sz w:val="16"/>
                <w:szCs w:val="16"/>
                <w:color w:val="FEFEFE"/>
              </w:rPr>
              <w:t>Incorporation</w:t>
            </w:r>
          </w:p>
        </w:tc>
        <w:tc>
          <w:tcPr>
            <w:tcW w:w="2960" w:type="dxa"/>
            <w:vAlign w:val="bottom"/>
            <w:gridSpan w:val="13"/>
          </w:tcPr>
          <w:p>
            <w:pPr>
              <w:spacing w:after="0"/>
              <w:rPr>
                <w:sz w:val="14"/>
                <w:szCs w:val="14"/>
                <w:color w:val="auto"/>
              </w:rPr>
            </w:pPr>
          </w:p>
        </w:tc>
        <w:tc>
          <w:tcPr>
            <w:tcW w:w="600" w:type="dxa"/>
            <w:vAlign w:val="bottom"/>
            <w:gridSpan w:val="3"/>
          </w:tcPr>
          <w:p>
            <w:pPr>
              <w:ind w:left="340"/>
              <w:spacing w:after="0" w:line="149" w:lineRule="exact"/>
              <w:rPr>
                <w:sz w:val="20"/>
                <w:szCs w:val="20"/>
                <w:color w:val="auto"/>
              </w:rPr>
            </w:pPr>
            <w:r>
              <w:rPr>
                <w:rFonts w:ascii="Arial" w:cs="Arial" w:eastAsia="Arial" w:hAnsi="Arial"/>
                <w:sz w:val="16"/>
                <w:szCs w:val="16"/>
                <w:color w:val="FEFEFE"/>
                <w:w w:val="96"/>
              </w:rPr>
              <w:t>​B-1</w:t>
            </w:r>
          </w:p>
        </w:tc>
        <w:tc>
          <w:tcPr>
            <w:tcW w:w="80" w:type="dxa"/>
            <w:vAlign w:val="bottom"/>
          </w:tcPr>
          <w:p>
            <w:pPr>
              <w:ind w:left="20"/>
              <w:spacing w:after="0" w:line="162" w:lineRule="exact"/>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0"/>
        </w:trPr>
        <w:tc>
          <w:tcPr>
            <w:tcW w:w="160" w:type="dxa"/>
            <w:vAlign w:val="bottom"/>
            <w:shd w:val="clear" w:color="auto" w:fill="FEFEFE"/>
          </w:tcPr>
          <w:p>
            <w:pPr>
              <w:spacing w:after="0" w:line="20" w:lineRule="exact"/>
              <w:rPr>
                <w:sz w:val="1"/>
                <w:szCs w:val="1"/>
                <w:color w:val="auto"/>
              </w:rPr>
            </w:pPr>
          </w:p>
        </w:tc>
        <w:tc>
          <w:tcPr>
            <w:tcW w:w="340" w:type="dxa"/>
            <w:vAlign w:val="bottom"/>
            <w:shd w:val="clear" w:color="auto" w:fill="FEFEFE"/>
          </w:tcPr>
          <w:p>
            <w:pPr>
              <w:spacing w:after="0" w:line="20" w:lineRule="exact"/>
              <w:rPr>
                <w:sz w:val="1"/>
                <w:szCs w:val="1"/>
                <w:color w:val="auto"/>
              </w:rPr>
            </w:pPr>
          </w:p>
        </w:tc>
        <w:tc>
          <w:tcPr>
            <w:tcW w:w="200" w:type="dxa"/>
            <w:vAlign w:val="bottom"/>
            <w:shd w:val="clear" w:color="auto" w:fill="FEFEFE"/>
          </w:tcPr>
          <w:p>
            <w:pPr>
              <w:spacing w:after="0" w:line="20" w:lineRule="exact"/>
              <w:rPr>
                <w:sz w:val="1"/>
                <w:szCs w:val="1"/>
                <w:color w:val="auto"/>
              </w:rPr>
            </w:pPr>
          </w:p>
        </w:tc>
        <w:tc>
          <w:tcPr>
            <w:tcW w:w="260" w:type="dxa"/>
            <w:vAlign w:val="bottom"/>
            <w:shd w:val="clear" w:color="auto" w:fill="FEFEF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FEFEFE"/>
            </w:tcBorders>
          </w:tcPr>
          <w:p>
            <w:pPr>
              <w:spacing w:after="0" w:line="20" w:lineRule="exact"/>
              <w:rPr>
                <w:sz w:val="1"/>
                <w:szCs w:val="1"/>
                <w:color w:val="auto"/>
              </w:rPr>
            </w:pPr>
          </w:p>
        </w:tc>
        <w:tc>
          <w:tcPr>
            <w:tcW w:w="180" w:type="dxa"/>
            <w:vAlign w:val="bottom"/>
            <w:tcBorders>
              <w:top w:val="single" w:sz="8" w:color="FEFEF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260" w:space="240"/>
            <w:col w:w="4600"/>
          </w:cols>
          <w:pgMar w:left="480" w:top="97" w:right="131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right="540"/>
        <w:spacing w:after="0" w:line="264" w:lineRule="auto"/>
        <w:rPr>
          <w:sz w:val="20"/>
          <w:szCs w:val="20"/>
          <w:color w:val="auto"/>
        </w:rPr>
      </w:pPr>
      <w:r>
        <w:rPr>
          <w:rFonts w:ascii="Times New Roman" w:cs="Times New Roman" w:eastAsia="Times New Roman" w:hAnsi="Times New Roman"/>
          <w:sz w:val="36"/>
          <w:szCs w:val="36"/>
          <w:b w:val="1"/>
          <w:bCs w:val="1"/>
          <w:color w:val="auto"/>
        </w:rPr>
        <w:t>Questions and Answers About These Proxy Materials and Voting</w:t>
      </w:r>
    </w:p>
    <w:p>
      <w:pPr>
        <w:spacing w:after="0" w:line="286" w:lineRule="exact"/>
        <w:rPr>
          <w:sz w:val="20"/>
          <w:szCs w:val="20"/>
          <w:color w:val="auto"/>
        </w:rPr>
      </w:pPr>
    </w:p>
    <w:p>
      <w:pPr>
        <w:ind w:left="660" w:right="700"/>
        <w:spacing w:after="0" w:line="314" w:lineRule="auto"/>
        <w:rPr>
          <w:sz w:val="20"/>
          <w:szCs w:val="20"/>
          <w:color w:val="auto"/>
        </w:rPr>
      </w:pPr>
      <w:r>
        <w:rPr>
          <w:rFonts w:ascii="Arial" w:cs="Arial" w:eastAsia="Arial" w:hAnsi="Arial"/>
          <w:sz w:val="14"/>
          <w:szCs w:val="14"/>
          <w:b w:val="1"/>
          <w:bCs w:val="1"/>
          <w:color w:val="8A6B24"/>
        </w:rPr>
        <w:t>Why did I receive a one-page notice in the mail regarding the internet availability of proxy materials instead of a full set of proxy materials?</w:t>
      </w:r>
    </w:p>
    <w:p>
      <w:pPr>
        <w:spacing w:after="0" w:line="100" w:lineRule="exact"/>
        <w:rPr>
          <w:sz w:val="20"/>
          <w:szCs w:val="20"/>
          <w:color w:val="auto"/>
        </w:rPr>
      </w:pPr>
    </w:p>
    <w:p>
      <w:pPr>
        <w:ind w:left="660" w:right="100"/>
        <w:spacing w:after="0" w:line="276" w:lineRule="auto"/>
        <w:rPr>
          <w:sz w:val="20"/>
          <w:szCs w:val="20"/>
          <w:color w:val="auto"/>
        </w:rPr>
      </w:pPr>
      <w:r>
        <w:rPr>
          <w:rFonts w:ascii="Arial" w:cs="Arial" w:eastAsia="Arial" w:hAnsi="Arial"/>
          <w:sz w:val="16"/>
          <w:szCs w:val="16"/>
          <w:color w:val="auto"/>
        </w:rPr>
        <w:t>Pursuant to “Notice and Access” rules adopted by the Securities and Exchange Commission (the “SEC”), we have elected to provide access to our proxy materials over the internet. Accordingly, we are sending an Important Notice Regarding the Availability of Proxy Materials (the “Proxy Availability Notice”) to our stockholders of record. All stockholders will have the ability to access the proxy materials on the website referred to in the Proxy Availability Notice free of charge or request to receive a printed set of the proxy materials for the Annual Meeting. Instructions on how to access the proxy materials over the internet or to request a printed copy may be found in the Proxy Availability Notice. We encourage stockholders to take advantage of the availability of the proxy materials online to help reduce the environmental impact of our annual meetings and reduce our printing and mailing costs.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that this Proxy Statement and the other proxy materials will be available to stockholders on or about March 13, 2023.</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Why are you having a virtual annual meeting?</w:t>
      </w:r>
    </w:p>
    <w:p>
      <w:pPr>
        <w:spacing w:after="0" w:line="185" w:lineRule="exact"/>
        <w:rPr>
          <w:sz w:val="20"/>
          <w:szCs w:val="20"/>
          <w:color w:val="auto"/>
        </w:rPr>
      </w:pPr>
    </w:p>
    <w:p>
      <w:pPr>
        <w:ind w:left="660" w:right="700"/>
        <w:spacing w:after="0" w:line="284" w:lineRule="auto"/>
        <w:rPr>
          <w:sz w:val="20"/>
          <w:szCs w:val="20"/>
          <w:color w:val="auto"/>
        </w:rPr>
      </w:pPr>
      <w:r>
        <w:rPr>
          <w:rFonts w:ascii="Arial" w:cs="Arial" w:eastAsia="Arial" w:hAnsi="Arial"/>
          <w:sz w:val="16"/>
          <w:szCs w:val="16"/>
          <w:color w:val="auto"/>
        </w:rPr>
        <w:t>We believe that a virtual Annual Meeting allows for participation by a broader group of stockholders, reduces the costs to stockholders associated with holding an in-person meeting, and is the best option for ensuring the health and safety of the participants in light of ongoing COVID-19.</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How can I attend a virtual annual meeting?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Annual Meeting will be held on April 24, 2023 at 9:00 a.m. (Pacific Time) via live webcast.</w:t>
      </w:r>
    </w:p>
    <w:p>
      <w:pPr>
        <w:spacing w:after="0" w:line="235" w:lineRule="exact"/>
        <w:rPr>
          <w:sz w:val="20"/>
          <w:szCs w:val="20"/>
          <w:color w:val="auto"/>
        </w:rPr>
      </w:pPr>
    </w:p>
    <w:p>
      <w:pPr>
        <w:ind w:left="660" w:right="40"/>
        <w:spacing w:after="0" w:line="292" w:lineRule="auto"/>
        <w:rPr>
          <w:sz w:val="20"/>
          <w:szCs w:val="20"/>
          <w:color w:val="auto"/>
        </w:rPr>
      </w:pPr>
      <w:r>
        <w:rPr>
          <w:rFonts w:ascii="Arial" w:cs="Arial" w:eastAsia="Arial" w:hAnsi="Arial"/>
          <w:sz w:val="16"/>
          <w:szCs w:val="16"/>
          <w:color w:val="auto"/>
        </w:rPr>
        <w:t>Only stockholders of record and beneficial owners of shares of our common stock, par value $0.0001 per share (the “Common Stock”), as of the close of business on February 28, 2023, the Record Date, may participate in the Annual Meeting, including voting and asking questions during the virtual Annual Meeting. You will not be able to attend the Annual Meeting physically in person.</w:t>
      </w:r>
    </w:p>
    <w:p>
      <w:pPr>
        <w:spacing w:after="0" w:line="165" w:lineRule="exact"/>
        <w:rPr>
          <w:sz w:val="20"/>
          <w:szCs w:val="20"/>
          <w:color w:val="auto"/>
        </w:rPr>
      </w:pPr>
    </w:p>
    <w:p>
      <w:pPr>
        <w:ind w:left="660" w:right="160"/>
        <w:spacing w:after="0" w:line="292" w:lineRule="auto"/>
        <w:rPr>
          <w:sz w:val="20"/>
          <w:szCs w:val="20"/>
          <w:color w:val="auto"/>
        </w:rPr>
      </w:pPr>
      <w:r>
        <w:rPr>
          <w:rFonts w:ascii="Arial" w:cs="Arial" w:eastAsia="Arial" w:hAnsi="Arial"/>
          <w:sz w:val="16"/>
          <w:szCs w:val="16"/>
          <w:color w:val="auto"/>
        </w:rPr>
        <w:t>In order to attend the Annual Meeting, you must register at www.proxydocs.com/LCID. Upon completing your registration, you will receive further instructions via email, including a unique link that will allow you access to the Annual Meeting and to vote and submit questions during the Annual Meeting.</w:t>
      </w:r>
    </w:p>
    <w:p>
      <w:pPr>
        <w:spacing w:after="0" w:line="165" w:lineRule="exact"/>
        <w:rPr>
          <w:sz w:val="20"/>
          <w:szCs w:val="20"/>
          <w:color w:val="auto"/>
        </w:rPr>
      </w:pPr>
    </w:p>
    <w:p>
      <w:pPr>
        <w:ind w:left="660" w:right="40"/>
        <w:spacing w:after="0" w:line="282" w:lineRule="auto"/>
        <w:rPr>
          <w:sz w:val="20"/>
          <w:szCs w:val="20"/>
          <w:color w:val="auto"/>
        </w:rPr>
      </w:pPr>
      <w:r>
        <w:rPr>
          <w:rFonts w:ascii="Arial" w:cs="Arial" w:eastAsia="Arial" w:hAnsi="Arial"/>
          <w:sz w:val="16"/>
          <w:szCs w:val="16"/>
          <w:color w:val="auto"/>
        </w:rPr>
        <w:t>As part of the registration process, you must enter the control number located on your proxy card, voting instruction form, or Proxy Availability Notice. If you are a beneficial owner of shares registered in the name of a broker, bank or other nominee, you will also need to provide the registered name on your account and the name of your broker, bank or other nominee as part of the registration process. If you are having trouble registering online, please use the link “Having trouble registering” at the bottom of the registration page to access the FAQ or email DSMSupport@mediantonline.com.</w:t>
      </w:r>
    </w:p>
    <w:p>
      <w:pPr>
        <w:spacing w:after="0" w:line="175" w:lineRule="exact"/>
        <w:rPr>
          <w:sz w:val="20"/>
          <w:szCs w:val="20"/>
          <w:color w:val="auto"/>
        </w:rPr>
      </w:pPr>
    </w:p>
    <w:p>
      <w:pPr>
        <w:ind w:left="660" w:right="320"/>
        <w:spacing w:after="0" w:line="304" w:lineRule="auto"/>
        <w:rPr>
          <w:sz w:val="20"/>
          <w:szCs w:val="20"/>
          <w:color w:val="auto"/>
        </w:rPr>
      </w:pPr>
      <w:r>
        <w:rPr>
          <w:rFonts w:ascii="Arial" w:cs="Arial" w:eastAsia="Arial" w:hAnsi="Arial"/>
          <w:sz w:val="16"/>
          <w:szCs w:val="16"/>
          <w:color w:val="auto"/>
        </w:rPr>
        <w:t>Whether or not you plan to attend the Annual Meeting, we urge you to vote and submit your proxy in advance of the meeting by one of the methods described in these proxy materials.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Can I ask questions at the virtual Annual Meeting?</w:t>
      </w:r>
    </w:p>
    <w:p>
      <w:pPr>
        <w:spacing w:after="0" w:line="172" w:lineRule="exact"/>
        <w:rPr>
          <w:sz w:val="20"/>
          <w:szCs w:val="20"/>
          <w:color w:val="auto"/>
        </w:rPr>
      </w:pPr>
    </w:p>
    <w:p>
      <w:pPr>
        <w:ind w:left="660" w:right="80"/>
        <w:spacing w:after="0" w:line="278" w:lineRule="auto"/>
        <w:rPr>
          <w:sz w:val="20"/>
          <w:szCs w:val="20"/>
          <w:color w:val="auto"/>
        </w:rPr>
      </w:pPr>
      <w:r>
        <w:rPr>
          <w:rFonts w:ascii="Arial" w:cs="Arial" w:eastAsia="Arial" w:hAnsi="Arial"/>
          <w:sz w:val="16"/>
          <w:szCs w:val="16"/>
          <w:color w:val="auto"/>
        </w:rPr>
        <w:t>Stockholders of record and beneficial owners of our Common Stock as of our Record Date who attend and participate in our virtual Annual Meeting will have an opportunity to submit questions live via the internet during a designated portion of the meeting. These stockholders may also submit a question in advance of the Annual Meeting by registering at www.proxydocs.com/LCID. In both cases, stockholders must have available their control number provided on their proxy card, voting instruction form, or Proxy Availability Notice.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does it mean if I receive more than one Proxy Availability Notice?</w:t>
      </w:r>
    </w:p>
    <w:p>
      <w:pPr>
        <w:spacing w:after="0" w:line="172" w:lineRule="exact"/>
        <w:rPr>
          <w:sz w:val="20"/>
          <w:szCs w:val="20"/>
          <w:color w:val="auto"/>
        </w:rPr>
      </w:pPr>
    </w:p>
    <w:p>
      <w:pPr>
        <w:jc w:val="both"/>
        <w:ind w:left="660" w:right="620"/>
        <w:spacing w:after="0" w:line="321" w:lineRule="auto"/>
        <w:rPr>
          <w:sz w:val="20"/>
          <w:szCs w:val="20"/>
          <w:color w:val="auto"/>
        </w:rPr>
      </w:pPr>
      <w:r>
        <w:rPr>
          <w:rFonts w:ascii="Arial" w:cs="Arial" w:eastAsia="Arial" w:hAnsi="Arial"/>
          <w:sz w:val="16"/>
          <w:szCs w:val="16"/>
          <w:color w:val="auto"/>
        </w:rPr>
        <w:t>If you receive more than one Proxy Availability Notice, your shares may be registered in more than one name or in different accounts. Please follow the voting instructions on each Proxy Availability Notice to ensure that all of your shares are voted.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Will I receive any other proxy materials by mail?</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send you a proxy card, along with a second Proxy Availability Notice, by mail on or after March 13, 2023.</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660"/>
        <w:spacing w:after="0"/>
        <w:tabs>
          <w:tab w:leader="none" w:pos="5220" w:val="left"/>
          <w:tab w:leader="none" w:pos="99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Who can vote at the Annual Meeting?</w:t>
      </w:r>
    </w:p>
    <w:p>
      <w:pPr>
        <w:spacing w:after="0" w:line="172" w:lineRule="exact"/>
        <w:rPr>
          <w:sz w:val="20"/>
          <w:szCs w:val="20"/>
          <w:color w:val="auto"/>
        </w:rPr>
      </w:pPr>
    </w:p>
    <w:p>
      <w:pPr>
        <w:ind w:left="660" w:right="120"/>
        <w:spacing w:after="0" w:line="304" w:lineRule="auto"/>
        <w:rPr>
          <w:sz w:val="20"/>
          <w:szCs w:val="20"/>
          <w:color w:val="auto"/>
        </w:rPr>
      </w:pPr>
      <w:r>
        <w:rPr>
          <w:rFonts w:ascii="Arial" w:cs="Arial" w:eastAsia="Arial" w:hAnsi="Arial"/>
          <w:sz w:val="16"/>
          <w:szCs w:val="16"/>
          <w:color w:val="auto"/>
        </w:rPr>
        <w:t>Only stockholders of record at the close of business on the Record Date of February 28, 2023 will be entitled to vote at the Annual Meeting. On the Record Date, there were 1,830,567,766 shares of Common Stock outstanding and entitled to vote.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Stockholder of Record: Shares Registered in Your Name</w:t>
      </w:r>
    </w:p>
    <w:p>
      <w:pPr>
        <w:spacing w:after="0" w:line="172" w:lineRule="exact"/>
        <w:rPr>
          <w:sz w:val="20"/>
          <w:szCs w:val="20"/>
          <w:color w:val="auto"/>
        </w:rPr>
      </w:pPr>
    </w:p>
    <w:p>
      <w:pPr>
        <w:ind w:left="660" w:right="240"/>
        <w:spacing w:after="0" w:line="321" w:lineRule="auto"/>
        <w:rPr>
          <w:sz w:val="20"/>
          <w:szCs w:val="20"/>
          <w:color w:val="auto"/>
        </w:rPr>
      </w:pPr>
      <w:r>
        <w:rPr>
          <w:rFonts w:ascii="Arial" w:cs="Arial" w:eastAsia="Arial" w:hAnsi="Arial"/>
          <w:sz w:val="16"/>
          <w:szCs w:val="16"/>
          <w:color w:val="auto"/>
        </w:rPr>
        <w:t>If, on February 28, 2023, your shares were registered directly in your name with our transfer agent, Equiniti Trust Company, then you are a stockholder of record. As a stockholder of record, you may vote at the Annual Meeting or vote by proxy.</w:t>
      </w:r>
    </w:p>
    <w:p>
      <w:pPr>
        <w:spacing w:after="0" w:line="142" w:lineRule="exact"/>
        <w:rPr>
          <w:sz w:val="20"/>
          <w:szCs w:val="20"/>
          <w:color w:val="auto"/>
        </w:rPr>
      </w:pPr>
    </w:p>
    <w:p>
      <w:pPr>
        <w:jc w:val="both"/>
        <w:ind w:left="660" w:right="460"/>
        <w:spacing w:after="0" w:line="292" w:lineRule="auto"/>
        <w:rPr>
          <w:sz w:val="20"/>
          <w:szCs w:val="20"/>
          <w:color w:val="auto"/>
        </w:rPr>
      </w:pPr>
      <w:r>
        <w:rPr>
          <w:rFonts w:ascii="Arial" w:cs="Arial" w:eastAsia="Arial" w:hAnsi="Arial"/>
          <w:sz w:val="16"/>
          <w:szCs w:val="16"/>
          <w:color w:val="auto"/>
        </w:rPr>
        <w:t>Whether or not you plan to attend the Annual Meeting, we urge you to vote by proxy over the telephone or on the internet as instructed below (see “How do I vote?”) or complete, date, sign and return the proxy card mailed to you to ensure your vote is counted.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Beneficial Owner: Shares Registered in the Name of a Broker, Bank or Other Nominee</w:t>
      </w:r>
    </w:p>
    <w:p>
      <w:pPr>
        <w:spacing w:after="0" w:line="185" w:lineRule="exact"/>
        <w:rPr>
          <w:sz w:val="20"/>
          <w:szCs w:val="20"/>
          <w:color w:val="auto"/>
        </w:rPr>
      </w:pPr>
    </w:p>
    <w:p>
      <w:pPr>
        <w:ind w:left="660" w:right="140"/>
        <w:spacing w:after="0" w:line="275" w:lineRule="auto"/>
        <w:rPr>
          <w:sz w:val="20"/>
          <w:szCs w:val="20"/>
          <w:color w:val="auto"/>
        </w:rPr>
      </w:pPr>
      <w:r>
        <w:rPr>
          <w:rFonts w:ascii="Arial" w:cs="Arial" w:eastAsia="Arial" w:hAnsi="Arial"/>
          <w:sz w:val="16"/>
          <w:szCs w:val="16"/>
          <w:color w:val="auto"/>
        </w:rPr>
        <w:t>If, on February 28, 2023, your shares were held, not in your name, but rather in an account at a brokerage firm, bank, dealer or other similar organization, then you are the beneficial owner of shares held in “street name” and the Proxy Availability Notice is being forwarded to you by the organization that holds your account. The organization holding your account is considered to be the stockholder of record for purposes of voting at the Annual Meeting. As a beneficial owner, you have the right to direct your broker, bank or other nominee regarding how to vote the shares in your account. You are also invited to attend the Annual Meeting. You may attend and vote at the Annual Meeting by registering as instructed above (see “How can I attend a virtual annual meeting?”).</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am I voting 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five matters scheduled for a vote:</w:t>
      </w:r>
    </w:p>
    <w:p>
      <w:pPr>
        <w:spacing w:after="0" w:line="167" w:lineRule="exact"/>
        <w:rPr>
          <w:sz w:val="20"/>
          <w:szCs w:val="20"/>
          <w:color w:val="auto"/>
        </w:rPr>
      </w:pPr>
    </w:p>
    <w:p>
      <w:pPr>
        <w:ind w:left="820" w:hanging="166"/>
        <w:spacing w:after="0"/>
        <w:tabs>
          <w:tab w:leader="none" w:pos="820" w:val="left"/>
        </w:tabs>
        <w:numPr>
          <w:ilvl w:val="0"/>
          <w:numId w:val="7"/>
        </w:numPr>
        <w:rPr>
          <w:rFonts w:ascii="Arial" w:cs="Arial" w:eastAsia="Arial" w:hAnsi="Arial"/>
          <w:sz w:val="16"/>
          <w:szCs w:val="16"/>
          <w:color w:val="8A6B24"/>
        </w:rPr>
      </w:pPr>
      <w:r>
        <w:rPr>
          <w:rFonts w:ascii="Arial" w:cs="Arial" w:eastAsia="Arial" w:hAnsi="Arial"/>
          <w:sz w:val="16"/>
          <w:szCs w:val="16"/>
          <w:color w:val="auto"/>
        </w:rPr>
        <w:t>Election of directors;</w:t>
      </w:r>
    </w:p>
    <w:p>
      <w:pPr>
        <w:spacing w:after="0" w:line="140" w:lineRule="exact"/>
        <w:rPr>
          <w:rFonts w:ascii="Arial" w:cs="Arial" w:eastAsia="Arial" w:hAnsi="Arial"/>
          <w:sz w:val="16"/>
          <w:szCs w:val="16"/>
          <w:color w:val="8A6B24"/>
        </w:rPr>
      </w:pPr>
    </w:p>
    <w:p>
      <w:pPr>
        <w:ind w:left="820" w:right="60" w:hanging="166"/>
        <w:spacing w:after="0" w:line="321" w:lineRule="auto"/>
        <w:tabs>
          <w:tab w:leader="none" w:pos="820" w:val="left"/>
        </w:tabs>
        <w:numPr>
          <w:ilvl w:val="0"/>
          <w:numId w:val="7"/>
        </w:numPr>
        <w:rPr>
          <w:rFonts w:ascii="Arial" w:cs="Arial" w:eastAsia="Arial" w:hAnsi="Arial"/>
          <w:sz w:val="16"/>
          <w:szCs w:val="16"/>
          <w:color w:val="8A6B24"/>
        </w:rPr>
      </w:pPr>
      <w:r>
        <w:rPr>
          <w:rFonts w:ascii="Arial" w:cs="Arial" w:eastAsia="Arial" w:hAnsi="Arial"/>
          <w:sz w:val="16"/>
          <w:szCs w:val="16"/>
          <w:color w:val="auto"/>
        </w:rPr>
        <w:t>Ratification of the selection of Grant Thornton LLP as our independent registered public accounting firm for the fiscal year ending December 31, 2023;</w:t>
      </w:r>
    </w:p>
    <w:p>
      <w:pPr>
        <w:spacing w:after="0" w:line="61" w:lineRule="exact"/>
        <w:rPr>
          <w:rFonts w:ascii="Arial" w:cs="Arial" w:eastAsia="Arial" w:hAnsi="Arial"/>
          <w:sz w:val="16"/>
          <w:szCs w:val="16"/>
          <w:color w:val="8A6B24"/>
        </w:rPr>
      </w:pPr>
    </w:p>
    <w:p>
      <w:pPr>
        <w:ind w:left="820" w:hanging="166"/>
        <w:spacing w:after="0"/>
        <w:tabs>
          <w:tab w:leader="none" w:pos="820" w:val="left"/>
        </w:tabs>
        <w:numPr>
          <w:ilvl w:val="0"/>
          <w:numId w:val="7"/>
        </w:numPr>
        <w:rPr>
          <w:rFonts w:ascii="Arial" w:cs="Arial" w:eastAsia="Arial" w:hAnsi="Arial"/>
          <w:sz w:val="16"/>
          <w:szCs w:val="16"/>
          <w:color w:val="8A6B24"/>
        </w:rPr>
      </w:pPr>
      <w:r>
        <w:rPr>
          <w:rFonts w:ascii="Arial" w:cs="Arial" w:eastAsia="Arial" w:hAnsi="Arial"/>
          <w:sz w:val="16"/>
          <w:szCs w:val="16"/>
          <w:color w:val="auto"/>
        </w:rPr>
        <w:t>Approval, on an advisory basis, of the compensation of our named executive officers;</w:t>
      </w:r>
    </w:p>
    <w:p>
      <w:pPr>
        <w:spacing w:after="0" w:line="140" w:lineRule="exact"/>
        <w:rPr>
          <w:rFonts w:ascii="Arial" w:cs="Arial" w:eastAsia="Arial" w:hAnsi="Arial"/>
          <w:sz w:val="16"/>
          <w:szCs w:val="16"/>
          <w:color w:val="8A6B24"/>
        </w:rPr>
      </w:pPr>
    </w:p>
    <w:p>
      <w:pPr>
        <w:ind w:left="820" w:hanging="166"/>
        <w:spacing w:after="0"/>
        <w:tabs>
          <w:tab w:leader="none" w:pos="820" w:val="left"/>
        </w:tabs>
        <w:numPr>
          <w:ilvl w:val="0"/>
          <w:numId w:val="7"/>
        </w:numPr>
        <w:rPr>
          <w:rFonts w:ascii="Arial" w:cs="Arial" w:eastAsia="Arial" w:hAnsi="Arial"/>
          <w:sz w:val="16"/>
          <w:szCs w:val="16"/>
          <w:color w:val="8A6B24"/>
        </w:rPr>
      </w:pPr>
      <w:r>
        <w:rPr>
          <w:rFonts w:ascii="Arial" w:cs="Arial" w:eastAsia="Arial" w:hAnsi="Arial"/>
          <w:sz w:val="16"/>
          <w:szCs w:val="16"/>
          <w:color w:val="auto"/>
        </w:rPr>
        <w:t>Approval of the amendment of the Lucid Group, Inc. Amended and Restated 2021 Stock Incentive Plan; and</w:t>
      </w:r>
    </w:p>
    <w:p>
      <w:pPr>
        <w:spacing w:after="0" w:line="153" w:lineRule="exact"/>
        <w:rPr>
          <w:rFonts w:ascii="Arial" w:cs="Arial" w:eastAsia="Arial" w:hAnsi="Arial"/>
          <w:sz w:val="16"/>
          <w:szCs w:val="16"/>
          <w:color w:val="8A6B24"/>
        </w:rPr>
      </w:pPr>
    </w:p>
    <w:p>
      <w:pPr>
        <w:ind w:left="820" w:hanging="166"/>
        <w:spacing w:after="0"/>
        <w:tabs>
          <w:tab w:leader="none" w:pos="820" w:val="left"/>
        </w:tabs>
        <w:numPr>
          <w:ilvl w:val="0"/>
          <w:numId w:val="7"/>
        </w:numPr>
        <w:rPr>
          <w:rFonts w:ascii="Arial" w:cs="Arial" w:eastAsia="Arial" w:hAnsi="Arial"/>
          <w:sz w:val="16"/>
          <w:szCs w:val="16"/>
          <w:color w:val="8A6B24"/>
        </w:rPr>
      </w:pPr>
      <w:r>
        <w:rPr>
          <w:rFonts w:ascii="Arial" w:cs="Arial" w:eastAsia="Arial" w:hAnsi="Arial"/>
          <w:sz w:val="16"/>
          <w:szCs w:val="16"/>
          <w:color w:val="auto"/>
        </w:rPr>
        <w:t>Approval of the Third Amended and Restated Certificate of Incorporation.</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if another matter is properly brought before the Annual Meeting?</w:t>
      </w:r>
    </w:p>
    <w:p>
      <w:pPr>
        <w:spacing w:after="0" w:line="172" w:lineRule="exact"/>
        <w:rPr>
          <w:sz w:val="20"/>
          <w:szCs w:val="20"/>
          <w:color w:val="auto"/>
        </w:rPr>
      </w:pPr>
    </w:p>
    <w:p>
      <w:pPr>
        <w:ind w:left="660" w:right="200"/>
        <w:spacing w:after="0" w:line="292" w:lineRule="auto"/>
        <w:rPr>
          <w:sz w:val="20"/>
          <w:szCs w:val="20"/>
          <w:color w:val="auto"/>
        </w:rPr>
      </w:pPr>
      <w:r>
        <w:rPr>
          <w:rFonts w:ascii="Arial" w:cs="Arial" w:eastAsia="Arial" w:hAnsi="Arial"/>
          <w:sz w:val="16"/>
          <w:szCs w:val="16"/>
          <w:color w:val="auto"/>
        </w:rPr>
        <w:t>Our Board of Directors (the “Board” or the “Board of Directors”) knows of no other matters that will be presented for consideration at the Annual Meeting. If any other matters are properly brought before the Annual Meeting, the persons named in the accompanying proxy will vote the shares for which you grant your proxy on those matters in accordance with their best judgment.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is the Board’s voting recommendation?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recommends that you vote your shares:</w:t>
      </w:r>
    </w:p>
    <w:p>
      <w:pPr>
        <w:spacing w:after="0" w:line="167" w:lineRule="exact"/>
        <w:rPr>
          <w:sz w:val="20"/>
          <w:szCs w:val="20"/>
          <w:color w:val="auto"/>
        </w:rPr>
      </w:pPr>
    </w:p>
    <w:p>
      <w:pPr>
        <w:ind w:left="820" w:hanging="166"/>
        <w:spacing w:after="0"/>
        <w:tabs>
          <w:tab w:leader="none" w:pos="820" w:val="left"/>
        </w:tabs>
        <w:numPr>
          <w:ilvl w:val="0"/>
          <w:numId w:val="8"/>
        </w:numPr>
        <w:rPr>
          <w:rFonts w:ascii="Arial" w:cs="Arial" w:eastAsia="Arial" w:hAnsi="Arial"/>
          <w:sz w:val="16"/>
          <w:szCs w:val="16"/>
          <w:color w:val="8A6B2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nominees for director;</w:t>
      </w:r>
    </w:p>
    <w:p>
      <w:pPr>
        <w:spacing w:after="0" w:line="140" w:lineRule="exact"/>
        <w:rPr>
          <w:rFonts w:ascii="Arial" w:cs="Arial" w:eastAsia="Arial" w:hAnsi="Arial"/>
          <w:sz w:val="16"/>
          <w:szCs w:val="16"/>
          <w:color w:val="8A6B24"/>
        </w:rPr>
      </w:pPr>
    </w:p>
    <w:p>
      <w:pPr>
        <w:ind w:left="820" w:right="520" w:hanging="166"/>
        <w:spacing w:after="0" w:line="321" w:lineRule="auto"/>
        <w:tabs>
          <w:tab w:leader="none" w:pos="820" w:val="left"/>
        </w:tabs>
        <w:numPr>
          <w:ilvl w:val="0"/>
          <w:numId w:val="8"/>
        </w:numPr>
        <w:rPr>
          <w:rFonts w:ascii="Arial" w:cs="Arial" w:eastAsia="Arial" w:hAnsi="Arial"/>
          <w:sz w:val="16"/>
          <w:szCs w:val="16"/>
          <w:color w:val="8A6B2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Grant Thornton LLP as our independent registered public accounting firm for the fiscal year ending</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2023;</w:t>
      </w:r>
    </w:p>
    <w:p>
      <w:pPr>
        <w:spacing w:after="0" w:line="47" w:lineRule="exact"/>
        <w:rPr>
          <w:rFonts w:ascii="Arial" w:cs="Arial" w:eastAsia="Arial" w:hAnsi="Arial"/>
          <w:sz w:val="16"/>
          <w:szCs w:val="16"/>
          <w:color w:val="8A6B24"/>
        </w:rPr>
      </w:pPr>
    </w:p>
    <w:p>
      <w:pPr>
        <w:ind w:left="820" w:hanging="166"/>
        <w:spacing w:after="0"/>
        <w:tabs>
          <w:tab w:leader="none" w:pos="820" w:val="left"/>
        </w:tabs>
        <w:numPr>
          <w:ilvl w:val="0"/>
          <w:numId w:val="8"/>
        </w:numPr>
        <w:rPr>
          <w:rFonts w:ascii="Arial" w:cs="Arial" w:eastAsia="Arial" w:hAnsi="Arial"/>
          <w:sz w:val="16"/>
          <w:szCs w:val="16"/>
          <w:color w:val="8A6B2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 compensation of our named executive officers;</w:t>
      </w:r>
    </w:p>
    <w:p>
      <w:pPr>
        <w:spacing w:after="0" w:line="153" w:lineRule="exact"/>
        <w:rPr>
          <w:rFonts w:ascii="Arial" w:cs="Arial" w:eastAsia="Arial" w:hAnsi="Arial"/>
          <w:sz w:val="16"/>
          <w:szCs w:val="16"/>
          <w:color w:val="8A6B24"/>
        </w:rPr>
      </w:pPr>
    </w:p>
    <w:p>
      <w:pPr>
        <w:ind w:left="820" w:hanging="166"/>
        <w:spacing w:after="0"/>
        <w:tabs>
          <w:tab w:leader="none" w:pos="820" w:val="left"/>
        </w:tabs>
        <w:numPr>
          <w:ilvl w:val="0"/>
          <w:numId w:val="8"/>
        </w:numPr>
        <w:rPr>
          <w:rFonts w:ascii="Arial" w:cs="Arial" w:eastAsia="Arial" w:hAnsi="Arial"/>
          <w:sz w:val="16"/>
          <w:szCs w:val="16"/>
          <w:color w:val="8A6B2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amendment of the Lucid Group, Inc. Amended and Restated 2021 Stock Incentive Plan; and</w:t>
      </w:r>
    </w:p>
    <w:p>
      <w:pPr>
        <w:spacing w:after="0" w:line="140" w:lineRule="exact"/>
        <w:rPr>
          <w:rFonts w:ascii="Arial" w:cs="Arial" w:eastAsia="Arial" w:hAnsi="Arial"/>
          <w:sz w:val="16"/>
          <w:szCs w:val="16"/>
          <w:color w:val="8A6B24"/>
        </w:rPr>
      </w:pPr>
    </w:p>
    <w:p>
      <w:pPr>
        <w:ind w:left="820" w:hanging="166"/>
        <w:spacing w:after="0"/>
        <w:tabs>
          <w:tab w:leader="none" w:pos="820" w:val="left"/>
        </w:tabs>
        <w:numPr>
          <w:ilvl w:val="0"/>
          <w:numId w:val="8"/>
        </w:numPr>
        <w:rPr>
          <w:rFonts w:ascii="Arial" w:cs="Arial" w:eastAsia="Arial" w:hAnsi="Arial"/>
          <w:sz w:val="16"/>
          <w:szCs w:val="16"/>
          <w:color w:val="8A6B24"/>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Third Amended and Restated Certificate of Incorporation.</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How do I vote?</w:t>
      </w:r>
    </w:p>
    <w:p>
      <w:pPr>
        <w:spacing w:after="0" w:line="185" w:lineRule="exact"/>
        <w:rPr>
          <w:sz w:val="20"/>
          <w:szCs w:val="20"/>
          <w:color w:val="auto"/>
        </w:rPr>
      </w:pPr>
    </w:p>
    <w:p>
      <w:pPr>
        <w:ind w:left="660" w:right="240"/>
        <w:spacing w:after="0" w:line="304" w:lineRule="auto"/>
        <w:rPr>
          <w:sz w:val="20"/>
          <w:szCs w:val="20"/>
          <w:color w:val="auto"/>
        </w:rPr>
      </w:pPr>
      <w:r>
        <w:rPr>
          <w:rFonts w:ascii="Arial" w:cs="Arial" w:eastAsia="Arial" w:hAnsi="Arial"/>
          <w:sz w:val="16"/>
          <w:szCs w:val="16"/>
          <w:color w:val="auto"/>
        </w:rPr>
        <w:t>Regarding the election of directors, you may either vote “For” the nominees to the Board or you may “Withhold” your vote for any nominee you specify. For any other matters to be voted on, you may vote “For” or “Against,” or abstain from voting.</w:t>
      </w:r>
    </w:p>
    <w:p>
      <w:pPr>
        <w:sectPr>
          <w:pgSz w:w="11900" w:h="16838" w:orient="portrait"/>
          <w:cols w:equalWidth="0" w:num="1">
            <w:col w:w="10080"/>
          </w:cols>
          <w:pgMar w:left="580" w:top="97" w:right="1239" w:bottom="1440" w:gutter="0" w:footer="0" w:header="0"/>
        </w:sectPr>
      </w:pPr>
    </w:p>
    <w:p>
      <w:pPr>
        <w:spacing w:after="0" w:line="35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540"/>
        <w:spacing w:after="0" w:line="321" w:lineRule="auto"/>
        <w:rPr>
          <w:sz w:val="20"/>
          <w:szCs w:val="20"/>
          <w:color w:val="auto"/>
        </w:rPr>
      </w:pPr>
      <w:r>
        <w:rPr>
          <w:rFonts w:ascii="Arial" w:cs="Arial" w:eastAsia="Arial" w:hAnsi="Arial"/>
          <w:sz w:val="16"/>
          <w:szCs w:val="16"/>
          <w:color w:val="auto"/>
        </w:rPr>
        <w:t>The procedures for voting depend on whether your shares are registered in your name or are held by a bank, broker or other nominee: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Stockholder of Record: Shares Registered in Your Name</w:t>
      </w:r>
    </w:p>
    <w:p>
      <w:pPr>
        <w:spacing w:after="0" w:line="185" w:lineRule="exact"/>
        <w:rPr>
          <w:sz w:val="20"/>
          <w:szCs w:val="20"/>
          <w:color w:val="auto"/>
        </w:rPr>
      </w:pPr>
    </w:p>
    <w:p>
      <w:pPr>
        <w:ind w:left="660" w:right="80"/>
        <w:spacing w:after="0" w:line="291" w:lineRule="auto"/>
        <w:rPr>
          <w:sz w:val="20"/>
          <w:szCs w:val="20"/>
          <w:color w:val="auto"/>
        </w:rPr>
      </w:pPr>
      <w:r>
        <w:rPr>
          <w:rFonts w:ascii="Arial" w:cs="Arial" w:eastAsia="Arial" w:hAnsi="Arial"/>
          <w:sz w:val="16"/>
          <w:szCs w:val="16"/>
          <w:color w:val="auto"/>
        </w:rPr>
        <w:t>If you are a stockholder of record, you may vote at the Annual Meeting, or vote in advance of the Annual Meeting by proxy over the telephone, by proxy through the internet, or by proxy using a proxy card that you may request or that we may elect to deliver at a later time. Whether or not you plan to attend the Annual Meeting, we urge you to vote in advance by proxy to ensure your vote is counted. You may still attend the Annual Meeting and vote even if you have already voted by proxy. Voting at the Annual Meeting will have the effect of revoking your previously submitted proxy (see “Can I change my vote after submitting my proxy?” below).</w:t>
      </w:r>
    </w:p>
    <w:p>
      <w:pPr>
        <w:sectPr>
          <w:pgSz w:w="11900" w:h="16838" w:orient="portrait"/>
          <w:cols w:equalWidth="0" w:num="1">
            <w:col w:w="10100"/>
          </w:cols>
          <w:pgMar w:left="580" w:top="97" w:right="1219" w:bottom="1440" w:gutter="0" w:footer="0" w:header="0"/>
        </w:sect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By</w:t>
      </w:r>
      <w:r>
        <w:rPr>
          <w:rFonts w:ascii="Arial" w:cs="Arial" w:eastAsia="Arial" w:hAnsi="Arial"/>
          <w:sz w:val="16"/>
          <w:szCs w:val="16"/>
          <w:color w:val="auto"/>
        </w:rPr>
        <w:t>​</w:t>
      </w:r>
      <w:r>
        <w:rPr>
          <w:rFonts w:ascii="Arial" w:cs="Arial" w:eastAsia="Arial" w:hAnsi="Arial"/>
          <w:sz w:val="16"/>
          <w:szCs w:val="16"/>
          <w:b w:val="1"/>
          <w:bCs w:val="1"/>
          <w:color w:val="auto"/>
        </w:rPr>
        <w:t xml:space="preserve"> Internet</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p>
    <w:p>
      <w:pPr>
        <w:ind w:left="660"/>
        <w:spacing w:after="0"/>
        <w:rPr>
          <w:sz w:val="20"/>
          <w:szCs w:val="20"/>
          <w:color w:val="auto"/>
        </w:rPr>
      </w:pPr>
      <w:r>
        <w:rPr>
          <w:rFonts w:ascii="Arial" w:cs="Arial" w:eastAsia="Arial" w:hAnsi="Arial"/>
          <w:sz w:val="15"/>
          <w:szCs w:val="15"/>
          <w:b w:val="1"/>
          <w:bCs w:val="1"/>
          <w:color w:val="auto"/>
        </w:rPr>
        <w:t>By Telephone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20"/>
                <w:szCs w:val="20"/>
                <w:color w:val="auto"/>
              </w:rPr>
            </w:pPr>
            <w:r>
              <w:rPr>
                <w:rFonts w:ascii="Arial" w:cs="Arial" w:eastAsia="Arial" w:hAnsi="Arial"/>
                <w:sz w:val="16"/>
                <w:szCs w:val="16"/>
                <w:color w:val="auto"/>
              </w:rPr>
              <w:t>Go to www.proxypush.com/LCID, which is available 24 hours a day, 7 days a week until 11:59 p.m.</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(Eastern Time) on April 23, 2023, and follow the instructions on the proxy card or in the Proxy Availability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Notice. If you vote via the internet, you do not need to return a proxy card by mail.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500" w:type="dxa"/>
            <w:vAlign w:val="bottom"/>
            <w:vMerge w:val="restart"/>
          </w:tcPr>
          <w:p>
            <w:pPr>
              <w:spacing w:after="0"/>
              <w:rPr>
                <w:sz w:val="20"/>
                <w:szCs w:val="20"/>
                <w:color w:val="auto"/>
              </w:rPr>
            </w:pPr>
            <w:r>
              <w:rPr>
                <w:rFonts w:ascii="Arial" w:cs="Arial" w:eastAsia="Arial" w:hAnsi="Arial"/>
                <w:sz w:val="16"/>
                <w:szCs w:val="16"/>
                <w:color w:val="auto"/>
              </w:rPr>
              <w:t>On a touch-tone telephone, dial toll-free 1-866-883-3382, which is available 24 hours a day, 7 days a</w:t>
            </w:r>
          </w:p>
        </w:tc>
        <w:tc>
          <w:tcPr>
            <w:tcW w:w="6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7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week until 11:59 p.m. (Eastern Time) on April 23, 2023, and follow the instructions on the proxy card or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6"/>
                <w:szCs w:val="16"/>
                <w:color w:val="auto"/>
              </w:rPr>
              <w:t>the Proxy Availability Notice. If you vote by telephone, you do not need to return a proxy card by mail.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ectPr>
          <w:pgSz w:w="11900" w:h="16838" w:orient="portrait"/>
          <w:cols w:equalWidth="0" w:num="3">
            <w:col w:w="1700" w:space="620"/>
            <w:col w:w="140" w:space="80"/>
            <w:col w:w="7560"/>
          </w:cols>
          <w:pgMar w:left="580" w:top="97" w:right="1219" w:bottom="1440" w:gutter="0" w:footer="0" w:header="0"/>
          <w:type w:val="continuous"/>
        </w:sectPr>
      </w:pPr>
    </w:p>
    <w:tbl>
      <w:tblPr>
        <w:tblLayout w:type="fixed"/>
        <w:tblInd w:w="660" w:type="dxa"/>
        <w:tblCellMar>
          <w:top w:w="0" w:type="dxa"/>
          <w:left w:w="0" w:type="dxa"/>
          <w:bottom w:w="0" w:type="dxa"/>
          <w:right w:w="0" w:type="dxa"/>
        </w:tblCellMar>
      </w:tblPr>
      <w:tr>
        <w:trPr>
          <w:trHeight w:val="184"/>
        </w:trPr>
        <w:tc>
          <w:tcPr>
            <w:tcW w:w="1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Pr>
          <w:p>
            <w:pPr>
              <w:ind w:left="540"/>
              <w:spacing w:after="0"/>
              <w:rPr>
                <w:sz w:val="20"/>
                <w:szCs w:val="20"/>
                <w:color w:val="auto"/>
              </w:rPr>
            </w:pPr>
            <w:r>
              <w:rPr>
                <w:rFonts w:ascii="Arial" w:cs="Arial" w:eastAsia="Arial" w:hAnsi="Arial"/>
                <w:sz w:val="16"/>
                <w:szCs w:val="16"/>
                <w:color w:val="auto"/>
              </w:rPr>
              <w:t>​ ​</w:t>
            </w:r>
          </w:p>
        </w:tc>
        <w:tc>
          <w:tcPr>
            <w:tcW w:w="7380" w:type="dxa"/>
            <w:vAlign w:val="bottom"/>
            <w:vMerge w:val="restart"/>
          </w:tcPr>
          <w:p>
            <w:pPr>
              <w:ind w:left="40"/>
              <w:spacing w:after="0"/>
              <w:rPr>
                <w:sz w:val="20"/>
                <w:szCs w:val="20"/>
                <w:color w:val="auto"/>
              </w:rPr>
            </w:pPr>
            <w:r>
              <w:rPr>
                <w:rFonts w:ascii="Arial" w:cs="Arial" w:eastAsia="Arial" w:hAnsi="Arial"/>
                <w:sz w:val="16"/>
                <w:szCs w:val="16"/>
                <w:color w:val="auto"/>
              </w:rPr>
              <w:t>Complete, sign, date, and mail your proxy card in the enclosed, postage-prepaid envelope. If mailed,</w:t>
            </w:r>
          </w:p>
        </w:tc>
        <w:tc>
          <w:tcPr>
            <w:tcW w:w="220" w:type="dxa"/>
            <w:vAlign w:val="bottom"/>
          </w:tcPr>
          <w:p>
            <w:pPr>
              <w:ind w:lef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1120" w:type="dxa"/>
            <w:vAlign w:val="bottom"/>
          </w:tcPr>
          <w:p>
            <w:pPr>
              <w:spacing w:after="0" w:line="161" w:lineRule="exact"/>
              <w:rPr>
                <w:sz w:val="20"/>
                <w:szCs w:val="20"/>
                <w:color w:val="auto"/>
              </w:rPr>
            </w:pPr>
            <w:r>
              <w:rPr>
                <w:rFonts w:ascii="Arial" w:cs="Arial" w:eastAsia="Arial" w:hAnsi="Arial"/>
                <w:sz w:val="16"/>
                <w:szCs w:val="16"/>
                <w:b w:val="1"/>
                <w:bCs w:val="1"/>
                <w:color w:val="auto"/>
              </w:rPr>
              <w:t>By Mail</w:t>
            </w:r>
          </w:p>
        </w:tc>
        <w:tc>
          <w:tcPr>
            <w:tcW w:w="720" w:type="dxa"/>
            <w:vAlign w:val="bottom"/>
          </w:tcPr>
          <w:p>
            <w:pPr>
              <w:spacing w:after="0"/>
              <w:rPr>
                <w:sz w:val="14"/>
                <w:szCs w:val="14"/>
                <w:color w:val="auto"/>
              </w:rPr>
            </w:pPr>
          </w:p>
        </w:tc>
        <w:tc>
          <w:tcPr>
            <w:tcW w:w="7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380" w:type="dxa"/>
            <w:vAlign w:val="bottom"/>
          </w:tcPr>
          <w:p>
            <w:pPr>
              <w:ind w:left="40"/>
              <w:spacing w:after="0"/>
              <w:rPr>
                <w:sz w:val="20"/>
                <w:szCs w:val="20"/>
                <w:color w:val="auto"/>
              </w:rPr>
            </w:pPr>
            <w:r>
              <w:rPr>
                <w:rFonts w:ascii="Arial" w:cs="Arial" w:eastAsia="Arial" w:hAnsi="Arial"/>
                <w:sz w:val="16"/>
                <w:szCs w:val="16"/>
                <w:color w:val="auto"/>
              </w:rPr>
              <w:t>your completed and signed proxy card must be received by April 23, 2023.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0100"/>
          </w:cols>
          <w:pgMar w:left="580" w:top="97" w:right="1219" w:bottom="1440" w:gutter="0" w:footer="0" w:header="0"/>
          <w:type w:val="continuous"/>
        </w:sectPr>
      </w:pPr>
    </w:p>
    <w:p>
      <w:pPr>
        <w:ind w:left="660"/>
        <w:spacing w:after="0"/>
        <w:tabs>
          <w:tab w:leader="none" w:pos="23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w:t>
      </w:r>
    </w:p>
    <w:p>
      <w:pPr>
        <w:ind w:left="660"/>
        <w:spacing w:after="0"/>
        <w:rPr>
          <w:sz w:val="20"/>
          <w:szCs w:val="20"/>
          <w:color w:val="auto"/>
        </w:rPr>
      </w:pPr>
      <w:r>
        <w:rPr>
          <w:rFonts w:ascii="Arial" w:cs="Arial" w:eastAsia="Arial" w:hAnsi="Arial"/>
          <w:sz w:val="16"/>
          <w:szCs w:val="16"/>
          <w:b w:val="1"/>
          <w:bCs w:val="1"/>
          <w:color w:val="auto"/>
        </w:rPr>
        <w:t>At the Virtual Meeting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460" w:type="dxa"/>
            <w:vAlign w:val="bottom"/>
            <w:vMerge w:val="restart"/>
          </w:tcPr>
          <w:p>
            <w:pPr>
              <w:spacing w:after="0"/>
              <w:rPr>
                <w:sz w:val="20"/>
                <w:szCs w:val="20"/>
                <w:color w:val="auto"/>
              </w:rPr>
            </w:pPr>
            <w:r>
              <w:rPr>
                <w:rFonts w:ascii="Arial" w:cs="Arial" w:eastAsia="Arial" w:hAnsi="Arial"/>
                <w:sz w:val="16"/>
                <w:szCs w:val="16"/>
                <w:color w:val="auto"/>
              </w:rPr>
              <w:t>You may also vote by attending the meeting virtually through www.proxydocs.com/LCID. To attend the</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7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Annual Meeting and vote your shares, you must register for the Annual Meeting and provide the control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number located on your proxy card, voting instruction form, or Proxy Availability Notice. Even if you plan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to attend and participate in our virtual Annual Meeting, we encourage you to vote over the internet or by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telephone as described above, or by returning a proxy card following your request of paper copies. This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will ensure that your vote will be counted if you are unable to, or later decide not to, participate in the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6"/>
                <w:szCs w:val="16"/>
                <w:color w:val="auto"/>
              </w:rPr>
              <w:t>virtual Annual Meeting.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60" w:space="80"/>
            <w:col w:w="7560"/>
          </w:cols>
          <w:pgMar w:left="580" w:top="97" w:right="1219" w:bottom="1440" w:gutter="0" w:footer="0" w:header="0"/>
          <w:type w:val="continuous"/>
        </w:sect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Beneficial Owner: Shares Registered in the Name of Broker, Bank or Other Nominee</w:t>
      </w:r>
    </w:p>
    <w:p>
      <w:pPr>
        <w:spacing w:after="0" w:line="199" w:lineRule="exact"/>
        <w:rPr>
          <w:sz w:val="20"/>
          <w:szCs w:val="20"/>
          <w:color w:val="auto"/>
        </w:rPr>
      </w:pPr>
    </w:p>
    <w:p>
      <w:pPr>
        <w:ind w:left="660" w:right="240"/>
        <w:spacing w:after="0" w:line="301" w:lineRule="auto"/>
        <w:rPr>
          <w:sz w:val="20"/>
          <w:szCs w:val="20"/>
          <w:color w:val="auto"/>
        </w:rPr>
      </w:pPr>
      <w:r>
        <w:rPr>
          <w:rFonts w:ascii="Arial" w:cs="Arial" w:eastAsia="Arial" w:hAnsi="Arial"/>
          <w:sz w:val="16"/>
          <w:szCs w:val="16"/>
          <w:color w:val="auto"/>
        </w:rPr>
        <w:t>If you are a beneficial owner of shares registered in the name of your broker, bank or other nominee, you should have received a Proxy Availability Notice containing voting instructions from that organization rather than from us. Simply follow the voting instructions in the Proxy Availability Notice to ensure that your vote is counted.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How many votes do I have?</w:t>
      </w:r>
    </w:p>
    <w:p>
      <w:pPr>
        <w:spacing w:after="0" w:line="185" w:lineRule="exact"/>
        <w:rPr>
          <w:sz w:val="20"/>
          <w:szCs w:val="20"/>
          <w:color w:val="auto"/>
        </w:rPr>
      </w:pPr>
    </w:p>
    <w:p>
      <w:pPr>
        <w:ind w:left="660" w:right="520"/>
        <w:spacing w:after="0" w:line="321" w:lineRule="auto"/>
        <w:rPr>
          <w:sz w:val="20"/>
          <w:szCs w:val="20"/>
          <w:color w:val="auto"/>
        </w:rPr>
      </w:pPr>
      <w:r>
        <w:rPr>
          <w:rFonts w:ascii="Arial" w:cs="Arial" w:eastAsia="Arial" w:hAnsi="Arial"/>
          <w:sz w:val="16"/>
          <w:szCs w:val="16"/>
          <w:color w:val="auto"/>
        </w:rPr>
        <w:t>On each matter to be voted upon, you have one vote for each share of Common Stock you own as of February 28, 2023, the Record Date.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if I return a proxy card or otherwise vote but do not make specific choices?</w:t>
      </w:r>
    </w:p>
    <w:p>
      <w:pPr>
        <w:spacing w:after="0" w:line="185" w:lineRule="exact"/>
        <w:rPr>
          <w:sz w:val="20"/>
          <w:szCs w:val="20"/>
          <w:color w:val="auto"/>
        </w:rPr>
      </w:pPr>
    </w:p>
    <w:p>
      <w:pPr>
        <w:ind w:left="660" w:right="240"/>
        <w:spacing w:after="0" w:line="289" w:lineRule="auto"/>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applicable, “For” the election of each of the nominees for director, “For” the ratification of Grant Thornton LLP as our independent registered public accounting firm, “For” the approval, on an advisory basis, of the compensation of our named executive officers, “For” the amendment of the Lucid Group, Inc. Amended and Restated 2021 Stock Incentive Plan and “For” the approval of the Third Amended and Restated Certificate of Incorporation. If any other matter is properly presented at the Annual Meeting, your proxy holder (one of the individuals named on your proxy card) will vote your shares using his or her best judgment.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Will my vote be kept confidential?</w:t>
      </w:r>
    </w:p>
    <w:p>
      <w:pPr>
        <w:spacing w:after="0" w:line="199" w:lineRule="exact"/>
        <w:rPr>
          <w:sz w:val="20"/>
          <w:szCs w:val="20"/>
          <w:color w:val="auto"/>
        </w:rPr>
      </w:pPr>
    </w:p>
    <w:p>
      <w:pPr>
        <w:ind w:left="660" w:right="60"/>
        <w:spacing w:after="0" w:line="321" w:lineRule="auto"/>
        <w:rPr>
          <w:sz w:val="20"/>
          <w:szCs w:val="20"/>
          <w:color w:val="auto"/>
        </w:rPr>
      </w:pPr>
      <w:r>
        <w:rPr>
          <w:rFonts w:ascii="Arial" w:cs="Arial" w:eastAsia="Arial" w:hAnsi="Arial"/>
          <w:sz w:val="16"/>
          <w:szCs w:val="16"/>
          <w:color w:val="auto"/>
        </w:rPr>
        <w:t>Proxies, ballots and voting tabulations are handled on a confidential basis to protect your voting privacy. This information will not be disclosed, except as required by law.</w:t>
      </w:r>
    </w:p>
    <w:p>
      <w:pPr>
        <w:sectPr>
          <w:pgSz w:w="11900" w:h="16838" w:orient="portrait"/>
          <w:cols w:equalWidth="0" w:num="1">
            <w:col w:w="10100"/>
          </w:cols>
          <w:pgMar w:left="580" w:top="97"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60"/>
        <w:spacing w:after="0"/>
        <w:tabs>
          <w:tab w:leader="none" w:pos="5220" w:val="left"/>
          <w:tab w:leader="none" w:pos="99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Who is paying for this proxy solicitation?</w:t>
      </w:r>
    </w:p>
    <w:p>
      <w:pPr>
        <w:spacing w:after="0" w:line="185" w:lineRule="exact"/>
        <w:rPr>
          <w:sz w:val="20"/>
          <w:szCs w:val="20"/>
          <w:color w:val="auto"/>
        </w:rPr>
      </w:pPr>
    </w:p>
    <w:p>
      <w:pPr>
        <w:ind w:left="660" w:right="120"/>
        <w:spacing w:after="0" w:line="291" w:lineRule="auto"/>
        <w:rPr>
          <w:sz w:val="20"/>
          <w:szCs w:val="20"/>
          <w:color w:val="auto"/>
        </w:rPr>
      </w:pPr>
      <w:r>
        <w:rPr>
          <w:rFonts w:ascii="Arial" w:cs="Arial" w:eastAsia="Arial" w:hAnsi="Arial"/>
          <w:sz w:val="16"/>
          <w:szCs w:val="16"/>
          <w:color w:val="auto"/>
        </w:rPr>
        <w:t>The accompanying proxy is solicited on behalf of the Board for use at the Annual Meeting. Accordingly, we will pay for the entire cost of soliciting proxies. In addition to these proxy materials, our directors and employees may also solicit proxies in person, by telephone or by other means of communication. Our directors and employees will not be paid any additional compensation for soliciting proxies. We may also reimburse brokerage firms, banks and other nominees for the cost of forwarding proxy materials to beneficial owners.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Can I change my vote after submitting my proxy?</w:t>
      </w:r>
    </w:p>
    <w:p>
      <w:pPr>
        <w:spacing w:after="0" w:line="199" w:lineRule="exact"/>
        <w:rPr>
          <w:sz w:val="20"/>
          <w:szCs w:val="20"/>
          <w:color w:val="auto"/>
        </w:rPr>
      </w:pPr>
    </w:p>
    <w:p>
      <w:pPr>
        <w:ind w:left="660" w:right="80"/>
        <w:spacing w:after="0" w:line="321" w:lineRule="auto"/>
        <w:rPr>
          <w:sz w:val="20"/>
          <w:szCs w:val="20"/>
          <w:color w:val="auto"/>
        </w:rPr>
      </w:pPr>
      <w:r>
        <w:rPr>
          <w:rFonts w:ascii="Arial" w:cs="Arial" w:eastAsia="Arial" w:hAnsi="Arial"/>
          <w:sz w:val="16"/>
          <w:szCs w:val="16"/>
          <w:color w:val="auto"/>
        </w:rPr>
        <w:t>Yes. You can revoke your proxy at any time before the final vote at the Annual Meeting. If you are the record holder of your shares, you may revoke your proxy in any one of the following ways:</w:t>
      </w:r>
    </w:p>
    <w:p>
      <w:pPr>
        <w:spacing w:after="0" w:line="75" w:lineRule="exact"/>
        <w:rPr>
          <w:sz w:val="20"/>
          <w:szCs w:val="20"/>
          <w:color w:val="auto"/>
        </w:rPr>
      </w:pPr>
    </w:p>
    <w:p>
      <w:pPr>
        <w:ind w:left="820" w:hanging="166"/>
        <w:spacing w:after="0"/>
        <w:tabs>
          <w:tab w:leader="none" w:pos="820" w:val="left"/>
        </w:tabs>
        <w:numPr>
          <w:ilvl w:val="0"/>
          <w:numId w:val="9"/>
        </w:numPr>
        <w:rPr>
          <w:rFonts w:ascii="Arial" w:cs="Arial" w:eastAsia="Arial" w:hAnsi="Arial"/>
          <w:sz w:val="16"/>
          <w:szCs w:val="16"/>
          <w:color w:val="8A6B24"/>
        </w:rPr>
      </w:pPr>
      <w:r>
        <w:rPr>
          <w:rFonts w:ascii="Arial" w:cs="Arial" w:eastAsia="Arial" w:hAnsi="Arial"/>
          <w:sz w:val="16"/>
          <w:szCs w:val="16"/>
          <w:color w:val="auto"/>
        </w:rPr>
        <w:t>You may grant a subsequent proxy via the internet or telephone.</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9"/>
        </w:numPr>
        <w:rPr>
          <w:rFonts w:ascii="Arial" w:cs="Arial" w:eastAsia="Arial" w:hAnsi="Arial"/>
          <w:sz w:val="16"/>
          <w:szCs w:val="16"/>
          <w:color w:val="8A6B24"/>
        </w:rPr>
      </w:pPr>
      <w:r>
        <w:rPr>
          <w:rFonts w:ascii="Arial" w:cs="Arial" w:eastAsia="Arial" w:hAnsi="Arial"/>
          <w:sz w:val="16"/>
          <w:szCs w:val="16"/>
          <w:color w:val="auto"/>
        </w:rPr>
        <w:t>You may submit another properly completed proxy card with a later date.</w:t>
      </w:r>
    </w:p>
    <w:p>
      <w:pPr>
        <w:spacing w:after="0" w:line="167" w:lineRule="exact"/>
        <w:rPr>
          <w:rFonts w:ascii="Arial" w:cs="Arial" w:eastAsia="Arial" w:hAnsi="Arial"/>
          <w:sz w:val="16"/>
          <w:szCs w:val="16"/>
          <w:color w:val="8A6B24"/>
        </w:rPr>
      </w:pPr>
    </w:p>
    <w:p>
      <w:pPr>
        <w:ind w:left="820" w:right="500" w:hanging="166"/>
        <w:spacing w:after="0" w:line="321" w:lineRule="auto"/>
        <w:tabs>
          <w:tab w:leader="none" w:pos="820" w:val="left"/>
        </w:tabs>
        <w:numPr>
          <w:ilvl w:val="0"/>
          <w:numId w:val="9"/>
        </w:numPr>
        <w:rPr>
          <w:rFonts w:ascii="Arial" w:cs="Arial" w:eastAsia="Arial" w:hAnsi="Arial"/>
          <w:sz w:val="16"/>
          <w:szCs w:val="16"/>
          <w:color w:val="8A6B24"/>
        </w:rPr>
      </w:pPr>
      <w:r>
        <w:rPr>
          <w:rFonts w:ascii="Arial" w:cs="Arial" w:eastAsia="Arial" w:hAnsi="Arial"/>
          <w:sz w:val="16"/>
          <w:szCs w:val="16"/>
          <w:color w:val="auto"/>
        </w:rPr>
        <w:t>You may send a timely written notice that you are revoking your proxy to our Secretary at Lucid Group, Inc., 7373 Gateway Boulevard, Newark, CA 94560, which must be received by April 23, 2023.</w:t>
      </w:r>
    </w:p>
    <w:p>
      <w:pPr>
        <w:spacing w:after="0" w:line="74" w:lineRule="exact"/>
        <w:rPr>
          <w:rFonts w:ascii="Arial" w:cs="Arial" w:eastAsia="Arial" w:hAnsi="Arial"/>
          <w:sz w:val="16"/>
          <w:szCs w:val="16"/>
          <w:color w:val="8A6B24"/>
        </w:rPr>
      </w:pPr>
    </w:p>
    <w:p>
      <w:pPr>
        <w:ind w:left="820" w:hanging="166"/>
        <w:spacing w:after="0"/>
        <w:tabs>
          <w:tab w:leader="none" w:pos="820" w:val="left"/>
        </w:tabs>
        <w:numPr>
          <w:ilvl w:val="0"/>
          <w:numId w:val="9"/>
        </w:numPr>
        <w:rPr>
          <w:rFonts w:ascii="Arial" w:cs="Arial" w:eastAsia="Arial" w:hAnsi="Arial"/>
          <w:sz w:val="16"/>
          <w:szCs w:val="16"/>
          <w:color w:val="8A6B24"/>
        </w:rPr>
      </w:pPr>
      <w:r>
        <w:rPr>
          <w:rFonts w:ascii="Arial" w:cs="Arial" w:eastAsia="Arial" w:hAnsi="Arial"/>
          <w:sz w:val="16"/>
          <w:szCs w:val="16"/>
          <w:color w:val="auto"/>
        </w:rPr>
        <w:t>You may attend and vote at the Annual Meeting. Simply attending the Annual Meeting will not, by itself, revoke your proxy.</w:t>
      </w:r>
    </w:p>
    <w:p>
      <w:pPr>
        <w:spacing w:after="0" w:line="248" w:lineRule="exact"/>
        <w:rPr>
          <w:sz w:val="20"/>
          <w:szCs w:val="20"/>
          <w:color w:val="auto"/>
        </w:rPr>
      </w:pPr>
    </w:p>
    <w:p>
      <w:pPr>
        <w:ind w:left="660" w:right="300"/>
        <w:spacing w:after="0" w:line="301" w:lineRule="auto"/>
        <w:rPr>
          <w:sz w:val="20"/>
          <w:szCs w:val="20"/>
          <w:color w:val="auto"/>
        </w:rPr>
      </w:pPr>
      <w:r>
        <w:rPr>
          <w:rFonts w:ascii="Arial" w:cs="Arial" w:eastAsia="Arial" w:hAnsi="Arial"/>
          <w:sz w:val="16"/>
          <w:szCs w:val="16"/>
          <w:color w:val="auto"/>
        </w:rPr>
        <w:t>Your most current proxy card or telephone or internet proxy is the one that is counted, so long as it is provided by the applicable deadline. If your shares are held by your broker, banker or other nominee, you should follow the instructions provided by your broker, bank or other nominee to change your vote or revoke your proxy or you may attend and vote at the Annual Meeting.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When are stockholder proposals for inclusion in our Proxy Statement for next year’s annual meeting due?</w:t>
      </w:r>
    </w:p>
    <w:p>
      <w:pPr>
        <w:spacing w:after="0" w:line="199" w:lineRule="exact"/>
        <w:rPr>
          <w:sz w:val="20"/>
          <w:szCs w:val="20"/>
          <w:color w:val="auto"/>
        </w:rPr>
      </w:pPr>
    </w:p>
    <w:p>
      <w:pPr>
        <w:ind w:left="660" w:right="260"/>
        <w:spacing w:after="0" w:line="295" w:lineRule="auto"/>
        <w:rPr>
          <w:sz w:val="20"/>
          <w:szCs w:val="20"/>
          <w:color w:val="auto"/>
        </w:rPr>
      </w:pPr>
      <w:r>
        <w:rPr>
          <w:rFonts w:ascii="Arial" w:cs="Arial" w:eastAsia="Arial" w:hAnsi="Arial"/>
          <w:sz w:val="16"/>
          <w:szCs w:val="16"/>
          <w:color w:val="auto"/>
        </w:rPr>
        <w:t>Stockholders wishing to present proposals for inclusion in our Proxy Statement for the 2024 annual meeting of stockholders (the “2024 Annual Meeting”) pursuant to Rule 14a-8 of the Securities Exchange Act of 1934, as amended (the “Exchange Act”), must submit their proposals so that they are received by us at our principal executive offices no later than November 14, 2023. Proposals should be sent to our Secretary at Lucid Group, Inc., 7373 Gateway Boulevard, Newark, CA 94560.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When are other proposals and stockholder nominations for the 2024 Annual Meeting due?</w:t>
      </w:r>
    </w:p>
    <w:p>
      <w:pPr>
        <w:spacing w:after="0" w:line="185" w:lineRule="exact"/>
        <w:rPr>
          <w:sz w:val="20"/>
          <w:szCs w:val="20"/>
          <w:color w:val="auto"/>
        </w:rPr>
      </w:pPr>
    </w:p>
    <w:p>
      <w:pPr>
        <w:ind w:left="660" w:right="120"/>
        <w:spacing w:after="0" w:line="291" w:lineRule="auto"/>
        <w:rPr>
          <w:sz w:val="20"/>
          <w:szCs w:val="20"/>
          <w:color w:val="auto"/>
        </w:rPr>
      </w:pPr>
      <w:r>
        <w:rPr>
          <w:rFonts w:ascii="Arial" w:cs="Arial" w:eastAsia="Arial" w:hAnsi="Arial"/>
          <w:sz w:val="16"/>
          <w:szCs w:val="16"/>
          <w:color w:val="auto"/>
        </w:rPr>
        <w:t>With respect to proposals and nominations not to be included in our Proxy Statement pursuant to Rule 14a-8 of the Exchange Act, our second amended and restated bylaws (our “Bylaws”) provide that stockholders who wish to nominate a director or propose other business to be brought before the stockholders at an annual meeting of stockholders must notify our Secretary by a written notice, which notice must be received at our principal executive offices not less than 90 days nor more than 120 days prior to the first anniversary date of the immediately preceding year’s annual meeting of stockholders.</w:t>
      </w:r>
    </w:p>
    <w:p>
      <w:pPr>
        <w:spacing w:after="0" w:line="181" w:lineRule="exact"/>
        <w:rPr>
          <w:sz w:val="20"/>
          <w:szCs w:val="20"/>
          <w:color w:val="auto"/>
        </w:rPr>
      </w:pPr>
    </w:p>
    <w:p>
      <w:pPr>
        <w:ind w:left="660" w:right="80"/>
        <w:spacing w:after="0" w:line="288" w:lineRule="auto"/>
        <w:rPr>
          <w:sz w:val="20"/>
          <w:szCs w:val="20"/>
          <w:color w:val="auto"/>
        </w:rPr>
      </w:pPr>
      <w:r>
        <w:rPr>
          <w:rFonts w:ascii="Arial" w:cs="Arial" w:eastAsia="Arial" w:hAnsi="Arial"/>
          <w:sz w:val="16"/>
          <w:szCs w:val="16"/>
          <w:color w:val="auto"/>
        </w:rPr>
        <w:t>Stockholders wishing to present nominations for director or proposals for consideration at the 2024 Annual Meeting under these provisions of our Bylaws must submit their nominations or proposals so that they are received at our principal executive offices not later than January 25, 2024 and not earlier than December 26, 2023 in order to be considered. In the event that the date of the 2024 Annual Meeting is advanced more than 30 days prior to such anniversary date or delayed more than 70 days after such anniversary date then to be timely such notice must be received by the Company no earlier than 120 days prior to the 2024 Annual Meeting and no later than the later of 70 days prior to the date of the 2024 Annual Meeting or the 10th day following the day on which public announcement of the date of the 2024 Annual Meeting was first made by the Company.</w:t>
      </w:r>
    </w:p>
    <w:p>
      <w:pPr>
        <w:spacing w:after="0" w:line="183" w:lineRule="exact"/>
        <w:rPr>
          <w:sz w:val="20"/>
          <w:szCs w:val="20"/>
          <w:color w:val="auto"/>
        </w:rPr>
      </w:pPr>
    </w:p>
    <w:p>
      <w:pPr>
        <w:ind w:left="660" w:right="280"/>
        <w:spacing w:after="0" w:line="295" w:lineRule="auto"/>
        <w:rPr>
          <w:sz w:val="20"/>
          <w:szCs w:val="20"/>
          <w:color w:val="auto"/>
        </w:rPr>
      </w:pPr>
      <w:r>
        <w:rPr>
          <w:rFonts w:ascii="Arial" w:cs="Arial" w:eastAsia="Arial" w:hAnsi="Arial"/>
          <w:sz w:val="16"/>
          <w:szCs w:val="16"/>
          <w:color w:val="auto"/>
        </w:rPr>
        <w:t>Nominations or proposals should be sent in writing to our Secretary at Lucid Group, Inc., 7373 Gateway Boulevard, Newark, CA 94560. A stockholder’s notice to nominate a director or bring any other business before the Annual Meeting or the 2024 Annual Meeting must set forth certain information, which is specified in our Bylaws. A complete copy of our Bylaws is included as Exhibit 3.2 to our Current Report on Form 8-K filed with the SEC on March 3, 2023.</w:t>
      </w:r>
    </w:p>
    <w:p>
      <w:pPr>
        <w:spacing w:after="0" w:line="175" w:lineRule="exact"/>
        <w:rPr>
          <w:sz w:val="20"/>
          <w:szCs w:val="20"/>
          <w:color w:val="auto"/>
        </w:rPr>
      </w:pPr>
    </w:p>
    <w:p>
      <w:pPr>
        <w:ind w:left="660" w:right="160"/>
        <w:spacing w:after="0" w:line="291" w:lineRule="auto"/>
        <w:rPr>
          <w:sz w:val="20"/>
          <w:szCs w:val="20"/>
          <w:color w:val="auto"/>
        </w:rPr>
      </w:pPr>
      <w:r>
        <w:rPr>
          <w:rFonts w:ascii="Arial" w:cs="Arial" w:eastAsia="Arial" w:hAnsi="Arial"/>
          <w:sz w:val="16"/>
          <w:szCs w:val="16"/>
          <w:color w:val="auto"/>
        </w:rPr>
        <w:t>In addition to satisfying the foregoing requirements under our Bylaws, to comply with the universal proxy card rules, stockholders who intend to solicit proxies in support of director nominees other than our nominees must provide notice that sets forth the information required by Rule 14a-19 under the Exchange Act, which notice must be postmarked or transmitted electronically to us at our principal executive offices no later than 60 calendar days prior to the anniversary date of the Annual Meeting (for the 2024 Annual Meeting, no later than February 24, 2024). However, if the date of the 2024 Annual Meeting is changed by more than</w:t>
      </w:r>
    </w:p>
    <w:p>
      <w:pPr>
        <w:sectPr>
          <w:pgSz w:w="11900" w:h="16838" w:orient="portrait"/>
          <w:cols w:equalWidth="0" w:num="1">
            <w:col w:w="10080"/>
          </w:cols>
          <w:pgMar w:left="580" w:top="97" w:right="1239" w:bottom="1440" w:gutter="0" w:footer="0" w:header="0"/>
        </w:sectPr>
      </w:pPr>
    </w:p>
    <w:p>
      <w:pPr>
        <w:spacing w:after="0" w:line="366"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30 calendar days from such anniversary date, then notice must be provided by the later of 60 calendar days prior to the date of the 2024 Annual Meeting or the 10th calendar day following the day on which public announcement of the date of the 2024 Annual Meeting is first made by us.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How are votes counted?</w:t>
      </w:r>
    </w:p>
    <w:p>
      <w:pPr>
        <w:spacing w:after="0" w:line="172" w:lineRule="exact"/>
        <w:rPr>
          <w:sz w:val="20"/>
          <w:szCs w:val="20"/>
          <w:color w:val="auto"/>
        </w:rPr>
      </w:pPr>
    </w:p>
    <w:p>
      <w:pPr>
        <w:ind w:left="660" w:right="140"/>
        <w:spacing w:after="0" w:line="292" w:lineRule="auto"/>
        <w:rPr>
          <w:sz w:val="20"/>
          <w:szCs w:val="20"/>
          <w:color w:val="auto"/>
        </w:rPr>
      </w:pPr>
      <w:r>
        <w:rPr>
          <w:rFonts w:ascii="Arial" w:cs="Arial" w:eastAsia="Arial" w:hAnsi="Arial"/>
          <w:sz w:val="16"/>
          <w:szCs w:val="16"/>
          <w:color w:val="auto"/>
        </w:rPr>
        <w:t>Votes will be counted by the inspector of election appointed for the Annual Meeting, who will separately count votes “For,” votes to “Withhold” and broker non-votes for the proposal to elect directors. With respect to other proposals, the inspector of election will separately count votes “For,” votes “Against,” votes to “Abstain” and broker non-votes (if applicable).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are “broker non-votes”?</w:t>
      </w:r>
    </w:p>
    <w:p>
      <w:pPr>
        <w:spacing w:after="0" w:line="172" w:lineRule="exact"/>
        <w:rPr>
          <w:sz w:val="20"/>
          <w:szCs w:val="20"/>
          <w:color w:val="auto"/>
        </w:rPr>
      </w:pPr>
    </w:p>
    <w:p>
      <w:pPr>
        <w:ind w:left="660" w:right="40"/>
        <w:spacing w:after="0" w:line="273" w:lineRule="auto"/>
        <w:rPr>
          <w:sz w:val="20"/>
          <w:szCs w:val="20"/>
          <w:color w:val="auto"/>
        </w:rPr>
      </w:pPr>
      <w:r>
        <w:rPr>
          <w:rFonts w:ascii="Arial" w:cs="Arial" w:eastAsia="Arial" w:hAnsi="Arial"/>
          <w:sz w:val="16"/>
          <w:szCs w:val="16"/>
          <w:color w:val="auto"/>
        </w:rPr>
        <w:t>Broker non-votes occur when a beneficial owner of shares held in “street name” does not give instructions to the broker, bank or other nominee holding the shares as to how to vote.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cannot vote the shares with respect to “non-routine” matters. Under the rules and interpretations of The Nasdaq Stock Market LLC (“Nasdaq”), which generally apply to all brokers, banks or other nominees, on voting matters characterized by Nasdaq as “routine,” Nasdaq member firms have the discretionary authority to vote shares for which their customers do not provide voting instructions. On non-routine proposals, such “uninstructed shares” may not be voted by member firms. Only the proposal to ratify the selection of our independent registered public accounting firm is considered a “routine” matter for this purpose and brokers, banks or other nominees generally have discretionary voting power with respect to such proposal. Broker non-votes will be counted for the purpose of determining whether a quorum is present at the Annual Meeting.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is the effect of abstentions, votes to withhold and broker non-votes?</w:t>
      </w:r>
    </w:p>
    <w:p>
      <w:pPr>
        <w:spacing w:after="0" w:line="172" w:lineRule="exact"/>
        <w:rPr>
          <w:sz w:val="20"/>
          <w:szCs w:val="20"/>
          <w:color w:val="auto"/>
        </w:rPr>
      </w:pPr>
    </w:p>
    <w:p>
      <w:pPr>
        <w:ind w:left="660" w:right="140"/>
        <w:spacing w:after="0" w:line="275" w:lineRule="auto"/>
        <w:rPr>
          <w:sz w:val="20"/>
          <w:szCs w:val="20"/>
          <w:color w:val="auto"/>
        </w:rPr>
      </w:pPr>
      <w:r>
        <w:rPr>
          <w:rFonts w:ascii="Arial" w:cs="Arial" w:eastAsia="Arial" w:hAnsi="Arial"/>
          <w:sz w:val="16"/>
          <w:szCs w:val="16"/>
          <w:b w:val="1"/>
          <w:bCs w:val="1"/>
          <w:i w:val="1"/>
          <w:iCs w:val="1"/>
          <w:color w:val="auto"/>
        </w:rPr>
        <w:t>Abstentions</w:t>
      </w:r>
      <w:r>
        <w:rPr>
          <w:rFonts w:ascii="Arial" w:cs="Arial" w:eastAsia="Arial" w:hAnsi="Arial"/>
          <w:sz w:val="16"/>
          <w:szCs w:val="16"/>
          <w:color w:val="auto"/>
        </w:rPr>
        <w:t>: Under Delaware law (under which we are incorporated), abstentions are counted as shares present and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 at the Annual Meeting, but they are not counted as shares cast. Our Bylaws provide that a stockholder action (other than the election of directors) shall be decided by the vote of the holders of a majority of the total number of votes of the Company’s capital stock cast on the matter. Therefore, abstentions will have no effect on Proposal No. 2: Ratification of the Selection of the Independent Registered Public Accounting Firm, Proposal No. 3: The approval, on an advisory basis, of the compensation of our named executive officers, or Proposal No. 4: The approval of the amendment of the Lucid Group, Inc. Amended and Restated 2021 Stock Incentive Plan. However, under Delaware law, amendments to a certificate of incorporation must be adopted by the affirmative vote of the total voting power of the relevant corporation. Accordingly, abstentions will have the same effect as votes cast “Against” Proposal No. 5: The approval of the Third Amended and Restated Certificate of Incorporation.</w:t>
      </w:r>
    </w:p>
    <w:p>
      <w:pPr>
        <w:spacing w:after="0" w:line="182" w:lineRule="exact"/>
        <w:rPr>
          <w:sz w:val="20"/>
          <w:szCs w:val="20"/>
          <w:color w:val="auto"/>
        </w:rPr>
      </w:pPr>
    </w:p>
    <w:p>
      <w:pPr>
        <w:ind w:left="660" w:right="80"/>
        <w:spacing w:after="0" w:line="278" w:lineRule="auto"/>
        <w:rPr>
          <w:sz w:val="20"/>
          <w:szCs w:val="20"/>
          <w:color w:val="auto"/>
        </w:rPr>
      </w:pPr>
      <w:r>
        <w:rPr>
          <w:rFonts w:ascii="Arial" w:cs="Arial" w:eastAsia="Arial" w:hAnsi="Arial"/>
          <w:sz w:val="16"/>
          <w:szCs w:val="16"/>
          <w:b w:val="1"/>
          <w:bCs w:val="1"/>
          <w:i w:val="1"/>
          <w:iCs w:val="1"/>
          <w:color w:val="auto"/>
        </w:rPr>
        <w:t>Votes to Withhold</w:t>
      </w:r>
      <w:r>
        <w:rPr>
          <w:rFonts w:ascii="Arial" w:cs="Arial" w:eastAsia="Arial" w:hAnsi="Arial"/>
          <w:sz w:val="16"/>
          <w:szCs w:val="16"/>
          <w:color w:val="auto"/>
        </w:rPr>
        <w:t>: For Proposal No. 1: Election of Directors, you may vote “For” all or some of the nominees or you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“Withhold” your vote with respect to one or more of the nominees. The nine nominees who receive the most “For” votes cast by the holders of shares either present at the Annual Meeting or represented by proxy will be elected to our Board. Broker non-votes will have no effect on Proposal No. 1: Election of Directors. In an uncontested election, “Withhold” votes will not prevent a candidate from getting elected.</w:t>
      </w:r>
    </w:p>
    <w:p>
      <w:pPr>
        <w:spacing w:after="0" w:line="190" w:lineRule="exact"/>
        <w:rPr>
          <w:sz w:val="20"/>
          <w:szCs w:val="20"/>
          <w:color w:val="auto"/>
        </w:rPr>
      </w:pPr>
    </w:p>
    <w:p>
      <w:pPr>
        <w:ind w:left="660" w:right="80"/>
        <w:spacing w:after="0" w:line="276" w:lineRule="auto"/>
        <w:rPr>
          <w:sz w:val="20"/>
          <w:szCs w:val="20"/>
          <w:color w:val="auto"/>
        </w:rPr>
      </w:pPr>
      <w:r>
        <w:rPr>
          <w:rFonts w:ascii="Arial" w:cs="Arial" w:eastAsia="Arial" w:hAnsi="Arial"/>
          <w:sz w:val="16"/>
          <w:szCs w:val="16"/>
          <w:b w:val="1"/>
          <w:bCs w:val="1"/>
          <w:i w:val="1"/>
          <w:iCs w:val="1"/>
          <w:color w:val="auto"/>
        </w:rPr>
        <w:t>Broker Non-Votes</w:t>
      </w:r>
      <w:r>
        <w:rPr>
          <w:rFonts w:ascii="Arial" w:cs="Arial" w:eastAsia="Arial" w:hAnsi="Arial"/>
          <w:sz w:val="16"/>
          <w:szCs w:val="16"/>
          <w:color w:val="auto"/>
        </w:rPr>
        <w:t>: A “broker non-vote” occurs when a broker, bank or other nominee holding your shares in street name does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 on a particular matter because you did not provide the broker, bank or other nominee voting instructions and the broker, bank or other nominee lacks discretionary voting authority to vote the shares because the matter is considered “non-routine” under Nasdaq rules. The “non-routine” matters on the agenda for the Annual Meeting are Proposal No. 1: Election of Directors, Proposal No. 3: The approval, on an advisory basis, of the compensation of our named executive officers, Proposal No. 4: The approval of the amendment of the Lucid Group, Inc. Amended and Restated 2021 Stock Incentive Plan and Proposal No. 5: The approval of the Third Amended and Restated Certificate of Incorporation.</w:t>
      </w:r>
    </w:p>
    <w:p>
      <w:pPr>
        <w:spacing w:after="0" w:line="179" w:lineRule="exact"/>
        <w:rPr>
          <w:sz w:val="20"/>
          <w:szCs w:val="20"/>
          <w:color w:val="auto"/>
        </w:rPr>
      </w:pPr>
    </w:p>
    <w:p>
      <w:pPr>
        <w:ind w:left="660" w:right="200"/>
        <w:spacing w:after="0" w:line="274" w:lineRule="auto"/>
        <w:rPr>
          <w:sz w:val="20"/>
          <w:szCs w:val="20"/>
          <w:color w:val="auto"/>
        </w:rPr>
      </w:pPr>
      <w:r>
        <w:rPr>
          <w:rFonts w:ascii="Arial" w:cs="Arial" w:eastAsia="Arial" w:hAnsi="Arial"/>
          <w:sz w:val="16"/>
          <w:szCs w:val="16"/>
          <w:color w:val="auto"/>
        </w:rPr>
        <w:t>Broker non-votes will be counted for the purpose of determining whether a quorum is present at the Annual Meeting. However, because broker non-votes are not considered under Delaware law to be entitled to vote at the Annual Meeting, they will have no effect on the outcome of the vote on Proposal No. 1: Election of Directors, Proposal No. 3: The approval, on an advisory basis, of the compensation of our named executive officers, and Proposal No. 4: The approval of the amendment of the Lucid Group, Inc. Amended and Restated 2021 Stock Incentive Plan but will have the same effect as votes cast “Against” Proposal No. 5: The approval of the Third Amended and Restated Certificate of Incorporation. As a result, if you hold your shares in street name and you do not instruct your broker, bank or other nominee how to vote your shares on these proposals, no votes will be cast on your behalf on these proposals. Therefore, it is critical that you indicate your vote on this proposal if you want your vote to be counted.</w:t>
      </w:r>
    </w:p>
    <w:p>
      <w:pPr>
        <w:spacing w:after="0" w:line="395" w:lineRule="exact"/>
        <w:rPr>
          <w:sz w:val="20"/>
          <w:szCs w:val="20"/>
          <w:color w:val="auto"/>
        </w:rPr>
      </w:pPr>
    </w:p>
    <w:p>
      <w:pPr>
        <w:ind w:left="660"/>
        <w:spacing w:after="0"/>
        <w:tabs>
          <w:tab w:leader="none" w:pos="5220" w:val="left"/>
          <w:tab w:leader="none" w:pos="99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180"/>
        <w:spacing w:after="0" w:line="283" w:lineRule="auto"/>
        <w:rPr>
          <w:sz w:val="20"/>
          <w:szCs w:val="20"/>
          <w:color w:val="auto"/>
        </w:rPr>
      </w:pPr>
      <w:r>
        <w:rPr>
          <w:rFonts w:ascii="Arial" w:cs="Arial" w:eastAsia="Arial" w:hAnsi="Arial"/>
          <w:sz w:val="16"/>
          <w:szCs w:val="16"/>
          <w:color w:val="auto"/>
        </w:rPr>
        <w:t>The proposal to ratify the selection of Grant Thornton LLP as our independent registered public accounting firm for the fiscal year ending December 31, 2023 should be considered a “routine” matter. Therefore, your broker, bank or other nominee will be able to vote on Proposal No. 2: Ratification of the Selection of the Independent Registered Public Accounting Firm even if it does not receive instructions from you, so long as it holds your shares in its name.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How many votes are needed to approve each proposal?</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6180" w:type="dxa"/>
            <w:vAlign w:val="bottom"/>
            <w:shd w:val="clear" w:color="auto" w:fill="000000"/>
          </w:tcPr>
          <w:p>
            <w:pPr>
              <w:spacing w:after="0"/>
              <w:rPr>
                <w:sz w:val="13"/>
                <w:szCs w:val="13"/>
                <w:color w:val="auto"/>
              </w:rPr>
            </w:pPr>
          </w:p>
        </w:tc>
        <w:tc>
          <w:tcPr>
            <w:tcW w:w="22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120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Vote Required</w:t>
            </w:r>
          </w:p>
        </w:tc>
        <w:tc>
          <w:tcPr>
            <w:tcW w:w="12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100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Discretionary</w:t>
            </w:r>
          </w:p>
        </w:tc>
        <w:tc>
          <w:tcPr>
            <w:tcW w:w="20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9"/>
        </w:trPr>
        <w:tc>
          <w:tcPr>
            <w:tcW w:w="60" w:type="dxa"/>
            <w:vAlign w:val="bottom"/>
            <w:shd w:val="clear" w:color="auto" w:fill="000000"/>
          </w:tcPr>
          <w:p>
            <w:pPr>
              <w:spacing w:after="0"/>
              <w:rPr>
                <w:sz w:val="12"/>
                <w:szCs w:val="12"/>
                <w:color w:val="auto"/>
              </w:rPr>
            </w:pPr>
          </w:p>
        </w:tc>
        <w:tc>
          <w:tcPr>
            <w:tcW w:w="6380" w:type="dxa"/>
            <w:vAlign w:val="bottom"/>
            <w:gridSpan w:val="2"/>
            <w:shd w:val="clear" w:color="auto" w:fill="000000"/>
          </w:tcPr>
          <w:p>
            <w:pPr>
              <w:ind w:left="80"/>
              <w:spacing w:after="0"/>
              <w:rPr>
                <w:sz w:val="20"/>
                <w:szCs w:val="20"/>
                <w:color w:val="auto"/>
              </w:rPr>
            </w:pPr>
            <w:r>
              <w:rPr>
                <w:rFonts w:ascii="Arial" w:cs="Arial" w:eastAsia="Arial" w:hAnsi="Arial"/>
                <w:sz w:val="13"/>
                <w:szCs w:val="13"/>
                <w:b w:val="1"/>
                <w:bCs w:val="1"/>
                <w:color w:val="FEFEFE"/>
              </w:rPr>
              <w:t>Proposal</w:t>
            </w:r>
          </w:p>
        </w:tc>
        <w:tc>
          <w:tcPr>
            <w:tcW w:w="22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0" w:type="dxa"/>
            <w:vAlign w:val="bottom"/>
            <w:vMerge w:val="continue"/>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00" w:type="dxa"/>
            <w:vAlign w:val="bottom"/>
            <w:vMerge w:val="continue"/>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618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2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0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Voting Allowed?</w:t>
            </w: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6180" w:type="dxa"/>
            <w:vAlign w:val="bottom"/>
            <w:shd w:val="clear" w:color="auto" w:fill="000000"/>
          </w:tcPr>
          <w:p>
            <w:pPr>
              <w:spacing w:after="0"/>
              <w:rPr>
                <w:sz w:val="10"/>
                <w:szCs w:val="10"/>
                <w:color w:val="auto"/>
              </w:rPr>
            </w:pPr>
          </w:p>
        </w:tc>
        <w:tc>
          <w:tcPr>
            <w:tcW w:w="22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2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00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390"/>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w w:val="99"/>
              </w:rPr>
              <w:t>1</w:t>
            </w:r>
          </w:p>
        </w:tc>
        <w:tc>
          <w:tcPr>
            <w:tcW w:w="6180" w:type="dxa"/>
            <w:vAlign w:val="bottom"/>
          </w:tcPr>
          <w:p>
            <w:pPr>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Election of Directors</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rPr>
              <w:t>Plurality</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rPr>
              <w:t>No</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3"/>
        </w:trPr>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gridSpan w:val="2"/>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6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shd w:val="clear" w:color="auto" w:fill="F7F7F7"/>
          </w:tcPr>
          <w:p>
            <w:pPr>
              <w:ind w:left="80"/>
              <w:spacing w:after="0"/>
              <w:rPr>
                <w:sz w:val="20"/>
                <w:szCs w:val="20"/>
                <w:color w:val="auto"/>
              </w:rPr>
            </w:pPr>
            <w:r>
              <w:rPr>
                <w:rFonts w:ascii="Times New Roman" w:cs="Times New Roman" w:eastAsia="Times New Roman" w:hAnsi="Times New Roman"/>
                <w:sz w:val="20"/>
                <w:szCs w:val="20"/>
                <w:b w:val="1"/>
                <w:bCs w:val="1"/>
                <w:color w:val="auto"/>
                <w:w w:val="99"/>
              </w:rPr>
              <w:t>2</w:t>
            </w:r>
          </w:p>
        </w:tc>
        <w:tc>
          <w:tcPr>
            <w:tcW w:w="6180" w:type="dxa"/>
            <w:vAlign w:val="bottom"/>
            <w:shd w:val="clear" w:color="auto" w:fill="F7F7F7"/>
          </w:tcPr>
          <w:p>
            <w:pPr>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Ratification of the Selection of the Independent Registered Public Accounting Firm</w:t>
            </w:r>
          </w:p>
        </w:tc>
        <w:tc>
          <w:tcPr>
            <w:tcW w:w="32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12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Majority Cast</w:t>
            </w:r>
          </w:p>
        </w:tc>
        <w:tc>
          <w:tcPr>
            <w:tcW w:w="22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1000" w:type="dxa"/>
            <w:vAlign w:val="bottom"/>
            <w:shd w:val="clear" w:color="auto" w:fill="F7F7F7"/>
          </w:tcPr>
          <w:p>
            <w:pPr>
              <w:jc w:val="center"/>
              <w:spacing w:after="0"/>
              <w:rPr>
                <w:sz w:val="20"/>
                <w:szCs w:val="20"/>
                <w:color w:val="auto"/>
              </w:rPr>
            </w:pPr>
            <w:r>
              <w:rPr>
                <w:rFonts w:ascii="Arial" w:cs="Arial" w:eastAsia="Arial" w:hAnsi="Arial"/>
                <w:sz w:val="14"/>
                <w:szCs w:val="14"/>
                <w:color w:val="auto"/>
                <w:w w:val="99"/>
              </w:rPr>
              <w:t>Yes</w:t>
            </w:r>
          </w:p>
        </w:tc>
        <w:tc>
          <w:tcPr>
            <w:tcW w:w="2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60" w:type="dxa"/>
            <w:vAlign w:val="bottom"/>
            <w:tcBorders>
              <w:bottom w:val="single" w:sz="8" w:color="auto"/>
            </w:tcBorders>
            <w:shd w:val="clear" w:color="auto" w:fill="F7F7F7"/>
          </w:tcPr>
          <w:p>
            <w:pPr>
              <w:spacing w:after="0"/>
              <w:rPr>
                <w:sz w:val="6"/>
                <w:szCs w:val="6"/>
                <w:color w:val="auto"/>
              </w:rPr>
            </w:pPr>
          </w:p>
        </w:tc>
        <w:tc>
          <w:tcPr>
            <w:tcW w:w="200" w:type="dxa"/>
            <w:vAlign w:val="bottom"/>
            <w:tcBorders>
              <w:bottom w:val="single" w:sz="8" w:color="auto"/>
            </w:tcBorders>
            <w:shd w:val="clear" w:color="auto" w:fill="F7F7F7"/>
          </w:tcPr>
          <w:p>
            <w:pPr>
              <w:spacing w:after="0"/>
              <w:rPr>
                <w:sz w:val="6"/>
                <w:szCs w:val="6"/>
                <w:color w:val="auto"/>
              </w:rPr>
            </w:pPr>
          </w:p>
        </w:tc>
        <w:tc>
          <w:tcPr>
            <w:tcW w:w="6180" w:type="dxa"/>
            <w:vAlign w:val="bottom"/>
            <w:tcBorders>
              <w:bottom w:val="single" w:sz="8" w:color="auto"/>
            </w:tcBorders>
            <w:shd w:val="clear" w:color="auto" w:fill="F7F7F7"/>
          </w:tcPr>
          <w:p>
            <w:pPr>
              <w:spacing w:after="0"/>
              <w:rPr>
                <w:sz w:val="6"/>
                <w:szCs w:val="6"/>
                <w:color w:val="auto"/>
              </w:rPr>
            </w:pPr>
          </w:p>
        </w:tc>
        <w:tc>
          <w:tcPr>
            <w:tcW w:w="320" w:type="dxa"/>
            <w:vAlign w:val="bottom"/>
            <w:tcBorders>
              <w:bottom w:val="single" w:sz="8" w:color="auto"/>
            </w:tcBorders>
            <w:gridSpan w:val="2"/>
            <w:shd w:val="clear" w:color="auto" w:fill="F7F7F7"/>
          </w:tcPr>
          <w:p>
            <w:pPr>
              <w:spacing w:after="0"/>
              <w:rPr>
                <w:sz w:val="6"/>
                <w:szCs w:val="6"/>
                <w:color w:val="auto"/>
              </w:rPr>
            </w:pPr>
          </w:p>
        </w:tc>
        <w:tc>
          <w:tcPr>
            <w:tcW w:w="1200" w:type="dxa"/>
            <w:vAlign w:val="bottom"/>
            <w:tcBorders>
              <w:bottom w:val="single" w:sz="8" w:color="auto"/>
            </w:tcBorders>
            <w:shd w:val="clear" w:color="auto" w:fill="F7F7F7"/>
          </w:tcPr>
          <w:p>
            <w:pPr>
              <w:spacing w:after="0"/>
              <w:rPr>
                <w:sz w:val="6"/>
                <w:szCs w:val="6"/>
                <w:color w:val="auto"/>
              </w:rPr>
            </w:pPr>
          </w:p>
        </w:tc>
        <w:tc>
          <w:tcPr>
            <w:tcW w:w="220" w:type="dxa"/>
            <w:vAlign w:val="bottom"/>
            <w:tcBorders>
              <w:bottom w:val="single" w:sz="8" w:color="auto"/>
            </w:tcBorders>
            <w:gridSpan w:val="2"/>
            <w:shd w:val="clear" w:color="auto" w:fill="F7F7F7"/>
          </w:tcPr>
          <w:p>
            <w:pPr>
              <w:spacing w:after="0"/>
              <w:rPr>
                <w:sz w:val="6"/>
                <w:szCs w:val="6"/>
                <w:color w:val="auto"/>
              </w:rPr>
            </w:pPr>
          </w:p>
        </w:tc>
        <w:tc>
          <w:tcPr>
            <w:tcW w:w="1000" w:type="dxa"/>
            <w:vAlign w:val="bottom"/>
            <w:tcBorders>
              <w:bottom w:val="single" w:sz="8" w:color="auto"/>
            </w:tcBorders>
            <w:shd w:val="clear" w:color="auto" w:fill="F7F7F7"/>
          </w:tcPr>
          <w:p>
            <w:pPr>
              <w:spacing w:after="0"/>
              <w:rPr>
                <w:sz w:val="6"/>
                <w:szCs w:val="6"/>
                <w:color w:val="auto"/>
              </w:rPr>
            </w:pPr>
          </w:p>
        </w:tc>
        <w:tc>
          <w:tcPr>
            <w:tcW w:w="200" w:type="dxa"/>
            <w:vAlign w:val="bottom"/>
            <w:tcBorders>
              <w:bottom w:val="single" w:sz="8" w:color="auto"/>
            </w:tcBorders>
            <w:shd w:val="clear" w:color="auto" w:fill="F7F7F7"/>
          </w:tcPr>
          <w:p>
            <w:pPr>
              <w:spacing w:after="0"/>
              <w:rPr>
                <w:sz w:val="6"/>
                <w:szCs w:val="6"/>
                <w:color w:val="auto"/>
              </w:rPr>
            </w:pPr>
          </w:p>
        </w:tc>
        <w:tc>
          <w:tcPr>
            <w:tcW w:w="0" w:type="dxa"/>
            <w:vAlign w:val="bottom"/>
          </w:tcPr>
          <w:p>
            <w:pPr>
              <w:spacing w:after="0"/>
              <w:rPr>
                <w:sz w:val="1"/>
                <w:szCs w:val="1"/>
                <w:color w:val="auto"/>
              </w:rPr>
            </w:pPr>
          </w:p>
        </w:tc>
      </w:tr>
      <w:tr>
        <w:trPr>
          <w:trHeight w:val="383"/>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20"/>
                <w:szCs w:val="20"/>
                <w:b w:val="1"/>
                <w:bCs w:val="1"/>
                <w:color w:val="auto"/>
                <w:w w:val="99"/>
              </w:rPr>
              <w:t>3</w:t>
            </w:r>
          </w:p>
        </w:tc>
        <w:tc>
          <w:tcPr>
            <w:tcW w:w="6180" w:type="dxa"/>
            <w:vAlign w:val="bottom"/>
          </w:tcPr>
          <w:p>
            <w:pPr>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The approval, on an advisory basis, of the compensation of our named executive officers</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200" w:type="dxa"/>
            <w:vAlign w:val="bottom"/>
          </w:tcPr>
          <w:p>
            <w:pPr>
              <w:jc w:val="center"/>
              <w:spacing w:after="0"/>
              <w:rPr>
                <w:sz w:val="20"/>
                <w:szCs w:val="20"/>
                <w:color w:val="auto"/>
              </w:rPr>
            </w:pPr>
            <w:r>
              <w:rPr>
                <w:rFonts w:ascii="Arial" w:cs="Arial" w:eastAsia="Arial" w:hAnsi="Arial"/>
                <w:sz w:val="14"/>
                <w:szCs w:val="14"/>
                <w:color w:val="auto"/>
              </w:rPr>
              <w:t>Majority Cast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000" w:type="dxa"/>
            <w:vAlign w:val="bottom"/>
          </w:tcPr>
          <w:p>
            <w:pPr>
              <w:jc w:val="center"/>
              <w:spacing w:after="0"/>
              <w:rPr>
                <w:sz w:val="20"/>
                <w:szCs w:val="20"/>
                <w:color w:val="auto"/>
              </w:rPr>
            </w:pPr>
            <w:r>
              <w:rPr>
                <w:rFonts w:ascii="Arial" w:cs="Arial" w:eastAsia="Arial" w:hAnsi="Arial"/>
                <w:sz w:val="14"/>
                <w:szCs w:val="14"/>
                <w:color w:val="auto"/>
              </w:rPr>
              <w:t>No</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1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gridSpan w:val="2"/>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2"/>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6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F7F7F7"/>
          </w:tcPr>
          <w:p>
            <w:pPr>
              <w:ind w:left="80"/>
              <w:spacing w:after="0"/>
              <w:rPr>
                <w:sz w:val="20"/>
                <w:szCs w:val="20"/>
                <w:color w:val="auto"/>
              </w:rPr>
            </w:pPr>
            <w:r>
              <w:rPr>
                <w:rFonts w:ascii="Times New Roman" w:cs="Times New Roman" w:eastAsia="Times New Roman" w:hAnsi="Times New Roman"/>
                <w:sz w:val="20"/>
                <w:szCs w:val="20"/>
                <w:b w:val="1"/>
                <w:bCs w:val="1"/>
                <w:color w:val="auto"/>
                <w:w w:val="99"/>
              </w:rPr>
              <w:t>4</w:t>
            </w:r>
          </w:p>
        </w:tc>
        <w:tc>
          <w:tcPr>
            <w:tcW w:w="6180" w:type="dxa"/>
            <w:vAlign w:val="bottom"/>
            <w:shd w:val="clear" w:color="auto" w:fill="F7F7F7"/>
          </w:tcPr>
          <w:p>
            <w:pPr>
              <w:spacing w:after="0" w:line="26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The approval of the amendment of the Lucid Group, Inc. Amended and Restated 2021 Stock</w:t>
            </w:r>
          </w:p>
        </w:tc>
        <w:tc>
          <w:tcPr>
            <w:tcW w:w="32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12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Majority Cast</w:t>
            </w:r>
          </w:p>
        </w:tc>
        <w:tc>
          <w:tcPr>
            <w:tcW w:w="22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100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No</w:t>
            </w:r>
          </w:p>
        </w:tc>
        <w:tc>
          <w:tcPr>
            <w:tcW w:w="2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0" w:type="dxa"/>
            <w:vAlign w:val="bottom"/>
            <w:tcBorders>
              <w:bottom w:val="single" w:sz="8" w:color="F7F7F7"/>
            </w:tcBorders>
            <w:shd w:val="clear" w:color="auto" w:fill="F7F7F7"/>
          </w:tcPr>
          <w:p>
            <w:pPr>
              <w:spacing w:after="0"/>
              <w:rPr>
                <w:sz w:val="21"/>
                <w:szCs w:val="21"/>
                <w:color w:val="auto"/>
              </w:rPr>
            </w:pPr>
          </w:p>
        </w:tc>
        <w:tc>
          <w:tcPr>
            <w:tcW w:w="200" w:type="dxa"/>
            <w:vAlign w:val="bottom"/>
            <w:tcBorders>
              <w:bottom w:val="single" w:sz="8" w:color="F7F7F7"/>
            </w:tcBorders>
            <w:vMerge w:val="continue"/>
            <w:shd w:val="clear" w:color="auto" w:fill="F7F7F7"/>
          </w:tcPr>
          <w:p>
            <w:pPr>
              <w:spacing w:after="0"/>
              <w:rPr>
                <w:sz w:val="21"/>
                <w:szCs w:val="21"/>
                <w:color w:val="auto"/>
              </w:rPr>
            </w:pPr>
          </w:p>
        </w:tc>
        <w:tc>
          <w:tcPr>
            <w:tcW w:w="6180" w:type="dxa"/>
            <w:vAlign w:val="bottom"/>
            <w:tcBorders>
              <w:bottom w:val="single" w:sz="8" w:color="F7F7F7"/>
            </w:tcBorders>
            <w:shd w:val="clear" w:color="auto" w:fill="F7F7F7"/>
          </w:tcPr>
          <w:p>
            <w:pPr>
              <w:ind w:left="160"/>
              <w:spacing w:after="0"/>
              <w:rPr>
                <w:sz w:val="20"/>
                <w:szCs w:val="20"/>
                <w:color w:val="auto"/>
              </w:rPr>
            </w:pPr>
            <w:r>
              <w:rPr>
                <w:rFonts w:ascii="Arial" w:cs="Arial" w:eastAsia="Arial" w:hAnsi="Arial"/>
                <w:sz w:val="14"/>
                <w:szCs w:val="14"/>
                <w:color w:val="auto"/>
              </w:rPr>
              <w:t>Incentive Plan</w:t>
            </w:r>
          </w:p>
        </w:tc>
        <w:tc>
          <w:tcPr>
            <w:tcW w:w="220" w:type="dxa"/>
            <w:vAlign w:val="bottom"/>
            <w:tcBorders>
              <w:bottom w:val="single" w:sz="8" w:color="F7F7F7"/>
            </w:tcBorders>
            <w:shd w:val="clear" w:color="auto" w:fill="F7F7F7"/>
          </w:tcPr>
          <w:p>
            <w:pPr>
              <w:spacing w:after="0"/>
              <w:rPr>
                <w:sz w:val="21"/>
                <w:szCs w:val="21"/>
                <w:color w:val="auto"/>
              </w:rPr>
            </w:pPr>
          </w:p>
        </w:tc>
        <w:tc>
          <w:tcPr>
            <w:tcW w:w="100" w:type="dxa"/>
            <w:vAlign w:val="bottom"/>
            <w:tcBorders>
              <w:bottom w:val="single" w:sz="8" w:color="F7F7F7"/>
            </w:tcBorders>
            <w:shd w:val="clear" w:color="auto" w:fill="F7F7F7"/>
          </w:tcPr>
          <w:p>
            <w:pPr>
              <w:spacing w:after="0"/>
              <w:rPr>
                <w:sz w:val="21"/>
                <w:szCs w:val="21"/>
                <w:color w:val="auto"/>
              </w:rPr>
            </w:pPr>
          </w:p>
        </w:tc>
        <w:tc>
          <w:tcPr>
            <w:tcW w:w="1200" w:type="dxa"/>
            <w:vAlign w:val="bottom"/>
            <w:tcBorders>
              <w:bottom w:val="single" w:sz="8" w:color="F7F7F7"/>
            </w:tcBorders>
            <w:shd w:val="clear" w:color="auto" w:fill="F7F7F7"/>
          </w:tcPr>
          <w:p>
            <w:pPr>
              <w:spacing w:after="0"/>
              <w:rPr>
                <w:sz w:val="21"/>
                <w:szCs w:val="21"/>
                <w:color w:val="auto"/>
              </w:rPr>
            </w:pPr>
          </w:p>
        </w:tc>
        <w:tc>
          <w:tcPr>
            <w:tcW w:w="120" w:type="dxa"/>
            <w:vAlign w:val="bottom"/>
            <w:tcBorders>
              <w:bottom w:val="single" w:sz="8" w:color="F7F7F7"/>
            </w:tcBorders>
            <w:shd w:val="clear" w:color="auto" w:fill="F7F7F7"/>
          </w:tcPr>
          <w:p>
            <w:pPr>
              <w:spacing w:after="0"/>
              <w:rPr>
                <w:sz w:val="21"/>
                <w:szCs w:val="21"/>
                <w:color w:val="auto"/>
              </w:rPr>
            </w:pPr>
          </w:p>
        </w:tc>
        <w:tc>
          <w:tcPr>
            <w:tcW w:w="100" w:type="dxa"/>
            <w:vAlign w:val="bottom"/>
            <w:tcBorders>
              <w:bottom w:val="single" w:sz="8" w:color="F7F7F7"/>
            </w:tcBorders>
            <w:shd w:val="clear" w:color="auto" w:fill="F7F7F7"/>
          </w:tcPr>
          <w:p>
            <w:pPr>
              <w:spacing w:after="0"/>
              <w:rPr>
                <w:sz w:val="21"/>
                <w:szCs w:val="21"/>
                <w:color w:val="auto"/>
              </w:rPr>
            </w:pPr>
          </w:p>
        </w:tc>
        <w:tc>
          <w:tcPr>
            <w:tcW w:w="1000" w:type="dxa"/>
            <w:vAlign w:val="bottom"/>
            <w:tcBorders>
              <w:bottom w:val="single" w:sz="8" w:color="F7F7F7"/>
            </w:tcBorders>
            <w:shd w:val="clear" w:color="auto" w:fill="F7F7F7"/>
          </w:tcPr>
          <w:p>
            <w:pPr>
              <w:spacing w:after="0"/>
              <w:rPr>
                <w:sz w:val="21"/>
                <w:szCs w:val="21"/>
                <w:color w:val="auto"/>
              </w:rPr>
            </w:pPr>
          </w:p>
        </w:tc>
        <w:tc>
          <w:tcPr>
            <w:tcW w:w="200" w:type="dxa"/>
            <w:vAlign w:val="bottom"/>
            <w:tcBorders>
              <w:bottom w:val="single" w:sz="8" w:color="F7F7F7"/>
            </w:tcBorders>
            <w:shd w:val="clear" w:color="auto" w:fill="F7F7F7"/>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w w:val="99"/>
              </w:rPr>
              <w:t>5</w:t>
            </w:r>
          </w:p>
        </w:tc>
        <w:tc>
          <w:tcPr>
            <w:tcW w:w="6180" w:type="dxa"/>
            <w:vAlign w:val="bottom"/>
            <w:tcBorders>
              <w:top w:val="single" w:sz="8" w:color="auto"/>
            </w:tcBorders>
          </w:tcPr>
          <w:p>
            <w:pPr>
              <w:spacing w:after="0" w:line="281"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The approval of the Third Amended and Restated Certificate of Incorporation</w:t>
            </w: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66</w:t>
            </w:r>
            <w:r>
              <w:rPr>
                <w:rFonts w:ascii="Arial" w:cs="Arial" w:eastAsia="Arial" w:hAnsi="Arial"/>
                <w:sz w:val="17"/>
                <w:szCs w:val="17"/>
                <w:color w:val="auto"/>
                <w:vertAlign w:val="superscript"/>
              </w:rPr>
              <w:t>2</w:t>
            </w:r>
            <w:r>
              <w:rPr>
                <w:rFonts w:ascii="Arial" w:cs="Arial" w:eastAsia="Arial" w:hAnsi="Arial"/>
                <w:sz w:val="14"/>
                <w:szCs w:val="14"/>
                <w:color w:val="auto"/>
              </w:rPr>
              <w:t>∕</w:t>
            </w:r>
            <w:r>
              <w:rPr>
                <w:rFonts w:ascii="Arial" w:cs="Arial" w:eastAsia="Arial" w:hAnsi="Arial"/>
                <w:sz w:val="10"/>
                <w:szCs w:val="10"/>
                <w:color w:val="auto"/>
              </w:rPr>
              <w:t>3</w:t>
            </w:r>
            <w:r>
              <w:rPr>
                <w:rFonts w:ascii="Arial" w:cs="Arial" w:eastAsia="Arial" w:hAnsi="Arial"/>
                <w:sz w:val="14"/>
                <w:szCs w:val="14"/>
                <w:color w:val="auto"/>
              </w:rPr>
              <w:t>% of</w:t>
            </w: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Outstanding 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80"/>
        <w:spacing w:after="0" w:line="249" w:lineRule="auto"/>
        <w:rPr>
          <w:sz w:val="20"/>
          <w:szCs w:val="20"/>
          <w:color w:val="auto"/>
        </w:rPr>
      </w:pPr>
      <w:r>
        <w:rPr>
          <w:rFonts w:ascii="Arial" w:cs="Arial" w:eastAsia="Arial" w:hAnsi="Arial"/>
          <w:sz w:val="16"/>
          <w:szCs w:val="16"/>
          <w:color w:val="auto"/>
        </w:rPr>
        <w:t>A “Plurality,” with regard to the election of directors, means that the nine nominees who receive the most “For” votes cast by the holders of shares either present at the Annual Meeting or represented by proxy will be elected to our Board. A “Majority Cast,” with regard to each of Proposal No.’s 2, 3 and 4 means that, to be approved, a majority of the votes cast on the proposal must be voted “For” the proposal. The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Outstanding Stock” with regard to Proposal No. 5 means that, to be approved, Proposal No. 5 must be voted “For” by an affirmative vote of the holders of not less than two-thirds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total voting power of all outstanding Common Stock entitled to vote in the Annual Meeting.</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Accordingly:</w:t>
      </w:r>
    </w:p>
    <w:p>
      <w:pPr>
        <w:spacing w:after="0" w:line="167" w:lineRule="exact"/>
        <w:rPr>
          <w:sz w:val="20"/>
          <w:szCs w:val="20"/>
          <w:color w:val="auto"/>
        </w:rPr>
      </w:pPr>
    </w:p>
    <w:p>
      <w:pPr>
        <w:ind w:left="820" w:right="120" w:hanging="166"/>
        <w:spacing w:after="0" w:line="301" w:lineRule="auto"/>
        <w:tabs>
          <w:tab w:leader="none" w:pos="820" w:val="left"/>
        </w:tabs>
        <w:numPr>
          <w:ilvl w:val="0"/>
          <w:numId w:val="10"/>
        </w:numPr>
        <w:rPr>
          <w:rFonts w:ascii="Arial" w:cs="Arial" w:eastAsia="Arial" w:hAnsi="Arial"/>
          <w:sz w:val="16"/>
          <w:szCs w:val="16"/>
          <w:color w:val="8A6B24"/>
        </w:rPr>
      </w:pPr>
      <w:r>
        <w:rPr>
          <w:rFonts w:ascii="Arial" w:cs="Arial" w:eastAsia="Arial" w:hAnsi="Arial"/>
          <w:sz w:val="16"/>
          <w:szCs w:val="16"/>
          <w:b w:val="1"/>
          <w:bCs w:val="1"/>
          <w:color w:val="8A6B24"/>
        </w:rPr>
        <w:t xml:space="preserve">Proposal No. 1: </w:t>
      </w:r>
      <w:r>
        <w:rPr>
          <w:rFonts w:ascii="Arial" w:cs="Arial" w:eastAsia="Arial" w:hAnsi="Arial"/>
          <w:sz w:val="16"/>
          <w:szCs w:val="16"/>
          <w:color w:val="000000"/>
        </w:rPr>
        <w:t>For the election of directors, the nines nominees receiving the most “For” votes from the holders of shares</w:t>
      </w:r>
      <w:r>
        <w:rPr>
          <w:rFonts w:ascii="Arial" w:cs="Arial" w:eastAsia="Arial" w:hAnsi="Arial"/>
          <w:sz w:val="16"/>
          <w:szCs w:val="16"/>
          <w:b w:val="1"/>
          <w:bCs w:val="1"/>
          <w:color w:val="8A6B24"/>
        </w:rPr>
        <w:t xml:space="preserve"> </w:t>
      </w:r>
      <w:r>
        <w:rPr>
          <w:rFonts w:ascii="Arial" w:cs="Arial" w:eastAsia="Arial" w:hAnsi="Arial"/>
          <w:sz w:val="16"/>
          <w:szCs w:val="16"/>
          <w:color w:val="000000"/>
        </w:rPr>
        <w:t>present at the Annual Meeting or represented by proxy and entitled to vote on Proposal No. 1 will be elected as directors to hold office until the 2024 Annual Meeting. Only votes “For” or “Withheld” will affect the outcome. Broker non-votes will have no effect.</w:t>
      </w:r>
    </w:p>
    <w:p>
      <w:pPr>
        <w:spacing w:after="0" w:line="90" w:lineRule="exact"/>
        <w:rPr>
          <w:rFonts w:ascii="Arial" w:cs="Arial" w:eastAsia="Arial" w:hAnsi="Arial"/>
          <w:sz w:val="16"/>
          <w:szCs w:val="16"/>
          <w:color w:val="8A6B24"/>
        </w:rPr>
      </w:pPr>
    </w:p>
    <w:p>
      <w:pPr>
        <w:ind w:left="820" w:right="240" w:hanging="166"/>
        <w:spacing w:after="0" w:line="295" w:lineRule="auto"/>
        <w:tabs>
          <w:tab w:leader="none" w:pos="820" w:val="left"/>
        </w:tabs>
        <w:numPr>
          <w:ilvl w:val="0"/>
          <w:numId w:val="10"/>
        </w:numPr>
        <w:rPr>
          <w:rFonts w:ascii="Arial" w:cs="Arial" w:eastAsia="Arial" w:hAnsi="Arial"/>
          <w:sz w:val="16"/>
          <w:szCs w:val="16"/>
          <w:color w:val="8A6B24"/>
        </w:rPr>
      </w:pPr>
      <w:r>
        <w:rPr>
          <w:rFonts w:ascii="Arial" w:cs="Arial" w:eastAsia="Arial" w:hAnsi="Arial"/>
          <w:sz w:val="16"/>
          <w:szCs w:val="16"/>
          <w:b w:val="1"/>
          <w:bCs w:val="1"/>
          <w:color w:val="8A6B24"/>
        </w:rPr>
        <w:t xml:space="preserve">Proposal No. 2: </w:t>
      </w:r>
      <w:r>
        <w:rPr>
          <w:rFonts w:ascii="Arial" w:cs="Arial" w:eastAsia="Arial" w:hAnsi="Arial"/>
          <w:sz w:val="16"/>
          <w:szCs w:val="16"/>
          <w:color w:val="000000"/>
        </w:rPr>
        <w:t>To be approved, a majority of the total votes cast on Proposal No. 2 must be voted “For” the ratification of the</w:t>
      </w:r>
      <w:r>
        <w:rPr>
          <w:rFonts w:ascii="Arial" w:cs="Arial" w:eastAsia="Arial" w:hAnsi="Arial"/>
          <w:sz w:val="16"/>
          <w:szCs w:val="16"/>
          <w:b w:val="1"/>
          <w:bCs w:val="1"/>
          <w:color w:val="8A6B24"/>
        </w:rPr>
        <w:t xml:space="preserve"> </w:t>
      </w:r>
      <w:r>
        <w:rPr>
          <w:rFonts w:ascii="Arial" w:cs="Arial" w:eastAsia="Arial" w:hAnsi="Arial"/>
          <w:sz w:val="16"/>
          <w:szCs w:val="16"/>
          <w:color w:val="000000"/>
        </w:rPr>
        <w:t>selection of Grant Thornton LLP as our independent registered public accounting firm for the fiscal year ending December 31, 2023. Broker non-votes are not applicable with respect to Proposal No. 2 as brokers generally have discretion to vote uninstructed shares on this proposal. Abstentions will have no effect.</w:t>
      </w:r>
    </w:p>
    <w:p>
      <w:pPr>
        <w:spacing w:after="0" w:line="80" w:lineRule="exact"/>
        <w:rPr>
          <w:rFonts w:ascii="Arial" w:cs="Arial" w:eastAsia="Arial" w:hAnsi="Arial"/>
          <w:sz w:val="16"/>
          <w:szCs w:val="16"/>
          <w:color w:val="8A6B24"/>
        </w:rPr>
      </w:pPr>
    </w:p>
    <w:p>
      <w:pPr>
        <w:ind w:left="820" w:right="40" w:hanging="166"/>
        <w:spacing w:after="0" w:line="301" w:lineRule="auto"/>
        <w:tabs>
          <w:tab w:leader="none" w:pos="820" w:val="left"/>
        </w:tabs>
        <w:numPr>
          <w:ilvl w:val="0"/>
          <w:numId w:val="10"/>
        </w:numPr>
        <w:rPr>
          <w:rFonts w:ascii="Arial" w:cs="Arial" w:eastAsia="Arial" w:hAnsi="Arial"/>
          <w:sz w:val="16"/>
          <w:szCs w:val="16"/>
          <w:color w:val="8A6B24"/>
        </w:rPr>
      </w:pPr>
      <w:r>
        <w:rPr>
          <w:rFonts w:ascii="Arial" w:cs="Arial" w:eastAsia="Arial" w:hAnsi="Arial"/>
          <w:sz w:val="16"/>
          <w:szCs w:val="16"/>
          <w:b w:val="1"/>
          <w:bCs w:val="1"/>
          <w:color w:val="8A6B24"/>
        </w:rPr>
        <w:t xml:space="preserve">Proposal No. 3: </w:t>
      </w:r>
      <w:r>
        <w:rPr>
          <w:rFonts w:ascii="Arial" w:cs="Arial" w:eastAsia="Arial" w:hAnsi="Arial"/>
          <w:sz w:val="16"/>
          <w:szCs w:val="16"/>
          <w:color w:val="000000"/>
        </w:rPr>
        <w:t>To be approved, a majority of the total votes cast on Proposal No. 3 must be voted “For” the approval, on an</w:t>
      </w:r>
      <w:r>
        <w:rPr>
          <w:rFonts w:ascii="Arial" w:cs="Arial" w:eastAsia="Arial" w:hAnsi="Arial"/>
          <w:sz w:val="16"/>
          <w:szCs w:val="16"/>
          <w:b w:val="1"/>
          <w:bCs w:val="1"/>
          <w:color w:val="8A6B24"/>
        </w:rPr>
        <w:t xml:space="preserve"> </w:t>
      </w:r>
      <w:r>
        <w:rPr>
          <w:rFonts w:ascii="Arial" w:cs="Arial" w:eastAsia="Arial" w:hAnsi="Arial"/>
          <w:sz w:val="16"/>
          <w:szCs w:val="16"/>
          <w:color w:val="000000"/>
        </w:rPr>
        <w:t>advisory basis, of the compensation of our named executive officers. Only votes “For” or “Against” will affect the outcome. Broker non-votes and abstentions will have no effect.</w:t>
      </w:r>
    </w:p>
    <w:p>
      <w:pPr>
        <w:spacing w:after="0" w:line="90" w:lineRule="exact"/>
        <w:rPr>
          <w:rFonts w:ascii="Arial" w:cs="Arial" w:eastAsia="Arial" w:hAnsi="Arial"/>
          <w:sz w:val="16"/>
          <w:szCs w:val="16"/>
          <w:color w:val="8A6B24"/>
        </w:rPr>
      </w:pPr>
    </w:p>
    <w:p>
      <w:pPr>
        <w:ind w:left="820" w:right="180" w:hanging="166"/>
        <w:spacing w:after="0" w:line="301" w:lineRule="auto"/>
        <w:tabs>
          <w:tab w:leader="none" w:pos="820" w:val="left"/>
        </w:tabs>
        <w:numPr>
          <w:ilvl w:val="0"/>
          <w:numId w:val="10"/>
        </w:numPr>
        <w:rPr>
          <w:rFonts w:ascii="Arial" w:cs="Arial" w:eastAsia="Arial" w:hAnsi="Arial"/>
          <w:sz w:val="16"/>
          <w:szCs w:val="16"/>
          <w:color w:val="8A6B24"/>
        </w:rPr>
      </w:pPr>
      <w:r>
        <w:rPr>
          <w:rFonts w:ascii="Arial" w:cs="Arial" w:eastAsia="Arial" w:hAnsi="Arial"/>
          <w:sz w:val="16"/>
          <w:szCs w:val="16"/>
          <w:b w:val="1"/>
          <w:bCs w:val="1"/>
          <w:color w:val="8A6B24"/>
        </w:rPr>
        <w:t xml:space="preserve">Proposal No. 4: </w:t>
      </w:r>
      <w:r>
        <w:rPr>
          <w:rFonts w:ascii="Arial" w:cs="Arial" w:eastAsia="Arial" w:hAnsi="Arial"/>
          <w:sz w:val="16"/>
          <w:szCs w:val="16"/>
          <w:color w:val="000000"/>
        </w:rPr>
        <w:t>To be approved, a majority of the total votes cast on Proposal No. 4 must be voted “For” the approval of the</w:t>
      </w:r>
      <w:r>
        <w:rPr>
          <w:rFonts w:ascii="Arial" w:cs="Arial" w:eastAsia="Arial" w:hAnsi="Arial"/>
          <w:sz w:val="16"/>
          <w:szCs w:val="16"/>
          <w:b w:val="1"/>
          <w:bCs w:val="1"/>
          <w:color w:val="8A6B24"/>
        </w:rPr>
        <w:t xml:space="preserve"> </w:t>
      </w:r>
      <w:r>
        <w:rPr>
          <w:rFonts w:ascii="Arial" w:cs="Arial" w:eastAsia="Arial" w:hAnsi="Arial"/>
          <w:sz w:val="16"/>
          <w:szCs w:val="16"/>
          <w:color w:val="000000"/>
        </w:rPr>
        <w:t>amendment of the Lucid Group, Inc. Amended and Restated 2021 Stock Incentive Plan. Only votes “For” or “Against” will affect the outcome. Broker non-votes and abstentions will have no effect.</w:t>
      </w:r>
    </w:p>
    <w:p>
      <w:pPr>
        <w:spacing w:after="0" w:line="90" w:lineRule="exact"/>
        <w:rPr>
          <w:rFonts w:ascii="Arial" w:cs="Arial" w:eastAsia="Arial" w:hAnsi="Arial"/>
          <w:sz w:val="16"/>
          <w:szCs w:val="16"/>
          <w:color w:val="8A6B24"/>
        </w:rPr>
      </w:pPr>
    </w:p>
    <w:p>
      <w:pPr>
        <w:ind w:left="820" w:right="220" w:hanging="166"/>
        <w:spacing w:after="0" w:line="301" w:lineRule="auto"/>
        <w:tabs>
          <w:tab w:leader="none" w:pos="820" w:val="left"/>
        </w:tabs>
        <w:numPr>
          <w:ilvl w:val="0"/>
          <w:numId w:val="10"/>
        </w:numPr>
        <w:rPr>
          <w:rFonts w:ascii="Arial" w:cs="Arial" w:eastAsia="Arial" w:hAnsi="Arial"/>
          <w:sz w:val="16"/>
          <w:szCs w:val="16"/>
          <w:color w:val="8A6B24"/>
        </w:rPr>
      </w:pPr>
      <w:r>
        <w:rPr>
          <w:rFonts w:ascii="Arial" w:cs="Arial" w:eastAsia="Arial" w:hAnsi="Arial"/>
          <w:sz w:val="16"/>
          <w:szCs w:val="16"/>
          <w:b w:val="1"/>
          <w:bCs w:val="1"/>
          <w:color w:val="8A6B24"/>
        </w:rPr>
        <w:t xml:space="preserve">Proposal No. 5: </w:t>
      </w:r>
      <w:r>
        <w:rPr>
          <w:rFonts w:ascii="Arial" w:cs="Arial" w:eastAsia="Arial" w:hAnsi="Arial"/>
          <w:sz w:val="16"/>
          <w:szCs w:val="16"/>
          <w:color w:val="000000"/>
        </w:rPr>
        <w:t>To be approved, not less than two-thirds (66 2/3%) of the total voting power of all outstanding Common Stock</w:t>
      </w:r>
      <w:r>
        <w:rPr>
          <w:rFonts w:ascii="Arial" w:cs="Arial" w:eastAsia="Arial" w:hAnsi="Arial"/>
          <w:sz w:val="16"/>
          <w:szCs w:val="16"/>
          <w:b w:val="1"/>
          <w:bCs w:val="1"/>
          <w:color w:val="8A6B24"/>
        </w:rPr>
        <w:t xml:space="preserve"> </w:t>
      </w:r>
      <w:r>
        <w:rPr>
          <w:rFonts w:ascii="Arial" w:cs="Arial" w:eastAsia="Arial" w:hAnsi="Arial"/>
          <w:sz w:val="16"/>
          <w:szCs w:val="16"/>
          <w:color w:val="000000"/>
        </w:rPr>
        <w:t>entitled to vote in the Annual Meeting must be voted “For” the approval of the Third Amended and Restated Certificate of Incorporation. Abstentions and broker non-votes will have the same effect as votes cast “Against” the proposal.</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 of the proposals, if approved, entitles stockholders to appraisal rights under Delaware law or our certificate of incorporation.</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What is the quorum requirement?</w:t>
      </w:r>
    </w:p>
    <w:p>
      <w:pPr>
        <w:spacing w:after="0" w:line="185" w:lineRule="exact"/>
        <w:rPr>
          <w:sz w:val="20"/>
          <w:szCs w:val="20"/>
          <w:color w:val="auto"/>
        </w:rPr>
      </w:pPr>
    </w:p>
    <w:p>
      <w:pPr>
        <w:ind w:left="660" w:right="400"/>
        <w:spacing w:after="0" w:line="284" w:lineRule="auto"/>
        <w:rPr>
          <w:sz w:val="20"/>
          <w:szCs w:val="20"/>
          <w:color w:val="auto"/>
        </w:rPr>
      </w:pPr>
      <w:r>
        <w:rPr>
          <w:rFonts w:ascii="Arial" w:cs="Arial" w:eastAsia="Arial" w:hAnsi="Arial"/>
          <w:sz w:val="16"/>
          <w:szCs w:val="16"/>
          <w:color w:val="auto"/>
        </w:rPr>
        <w:t>A quorum of stockholders is necessary to hold a valid stockholder meeting. A quorum will be present if stockholders holding at least a majority of the outstanding shares entitled to vote are present or represented by proxy at the Annual Meeting. On the Record</w:t>
      </w:r>
    </w:p>
    <w:p>
      <w:pPr>
        <w:sectPr>
          <w:pgSz w:w="11900" w:h="16838" w:orient="portrait"/>
          <w:cols w:equalWidth="0" w:num="1">
            <w:col w:w="10080"/>
          </w:cols>
          <w:pgMar w:left="580" w:top="97" w:right="1239" w:bottom="1440" w:gutter="0" w:footer="0" w:header="0"/>
        </w:sectPr>
      </w:pPr>
    </w:p>
    <w:p>
      <w:pPr>
        <w:spacing w:after="0" w:line="382"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92075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480"/>
        <w:spacing w:after="0" w:line="321" w:lineRule="auto"/>
        <w:rPr>
          <w:sz w:val="20"/>
          <w:szCs w:val="20"/>
          <w:color w:val="auto"/>
        </w:rPr>
      </w:pPr>
      <w:r>
        <w:rPr>
          <w:rFonts w:ascii="Arial" w:cs="Arial" w:eastAsia="Arial" w:hAnsi="Arial"/>
          <w:sz w:val="16"/>
          <w:szCs w:val="16"/>
          <w:color w:val="auto"/>
        </w:rPr>
        <w:t>Date, there were 1,830,567,766 shares outstanding and entitled to vote. Virtual attendance at our Annual Meeting constitutes “presence” for purposes of a quorum at the meeting.</w:t>
      </w:r>
    </w:p>
    <w:p>
      <w:pPr>
        <w:spacing w:after="0" w:line="156" w:lineRule="exact"/>
        <w:rPr>
          <w:sz w:val="20"/>
          <w:szCs w:val="20"/>
          <w:color w:val="auto"/>
        </w:rPr>
      </w:pPr>
    </w:p>
    <w:p>
      <w:pPr>
        <w:ind w:left="660" w:right="120"/>
        <w:spacing w:after="0" w:line="287" w:lineRule="auto"/>
        <w:rPr>
          <w:sz w:val="20"/>
          <w:szCs w:val="20"/>
          <w:color w:val="auto"/>
        </w:rPr>
      </w:pPr>
      <w:r>
        <w:rPr>
          <w:rFonts w:ascii="Arial" w:cs="Arial" w:eastAsia="Arial" w:hAnsi="Arial"/>
          <w:sz w:val="16"/>
          <w:szCs w:val="16"/>
          <w:color w:val="auto"/>
        </w:rPr>
        <w:t>Your shares will be counted toward the quorum only if you submit a valid proxy by mail, over the phone or through the internet (or one is submitted on your behalf by your broker, bank or other nominee) or if you vote at the Annual Meeting. Abstentions, votes to “Withhold” and broker non-votes will be counted toward the quorum requirement. If there is no quorum, then either the chair of the Annual Meeting or the holders of a majority of shares present at the Annual Meeting or represented by proxy may adjourn the meeting to another date. At any adjourned Annual Meeting at which a quorum is present, any business may be transacted that might have been transacted at the Annual Meeting as originally notified. If the adjournment is for more than 30 days, or if after that adjournment a new record date is fixed for the adjourned Annual Meeting, a notice of the adjourned Annual Meeting shall be given to each stockholder of record entitled to vote at the adjourned Annual Meeting.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How can I find out the results of the voting at the Annual Meeting?</w:t>
      </w:r>
    </w:p>
    <w:p>
      <w:pPr>
        <w:spacing w:after="0" w:line="185"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Preliminary voting results will be announced at the Annual Meeting. In addition, final voting results will be published in a Current Report on Form 8-K that we expect to file with the SEC within four business days after the Annual Meeting. If final voting results are not available to us in time to file a Form 8-K with the SEC within four business days after the Annual Meeting, we intend to file a Form 8-K to publish the preliminary results within four business days after the Annual Meeting and file an additional Form 8-K to publish the final results within four business days after the final results are known to us.</w:t>
      </w:r>
    </w:p>
    <w:p>
      <w:pPr>
        <w:spacing w:after="0" w:line="181" w:lineRule="exact"/>
        <w:rPr>
          <w:sz w:val="20"/>
          <w:szCs w:val="20"/>
          <w:color w:val="auto"/>
        </w:rPr>
      </w:pPr>
    </w:p>
    <w:p>
      <w:pPr>
        <w:ind w:left="660" w:right="920"/>
        <w:spacing w:after="0" w:line="332" w:lineRule="auto"/>
        <w:rPr>
          <w:sz w:val="20"/>
          <w:szCs w:val="20"/>
          <w:color w:val="auto"/>
        </w:rPr>
      </w:pPr>
      <w:r>
        <w:rPr>
          <w:rFonts w:ascii="Arial" w:cs="Arial" w:eastAsia="Arial" w:hAnsi="Arial"/>
          <w:sz w:val="16"/>
          <w:szCs w:val="16"/>
          <w:b w:val="1"/>
          <w:bCs w:val="1"/>
          <w:color w:val="auto"/>
        </w:rPr>
        <w:t>If you have any questions or need assistance in voting your shares, please write to Lucid Investor Relations at investor@lucidmotors.com.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Interest of Certain Persons in Matters to Be Acted Upon</w:t>
      </w:r>
    </w:p>
    <w:p>
      <w:pPr>
        <w:spacing w:after="0" w:line="400" w:lineRule="exact"/>
        <w:rPr>
          <w:sz w:val="20"/>
          <w:szCs w:val="20"/>
          <w:color w:val="auto"/>
        </w:rPr>
      </w:pPr>
    </w:p>
    <w:p>
      <w:pPr>
        <w:jc w:val="both"/>
        <w:ind w:left="660" w:right="140"/>
        <w:spacing w:after="0" w:line="281" w:lineRule="auto"/>
        <w:rPr>
          <w:sz w:val="20"/>
          <w:szCs w:val="20"/>
          <w:color w:val="auto"/>
        </w:rPr>
      </w:pPr>
      <w:r>
        <w:rPr>
          <w:rFonts w:ascii="Arial" w:cs="Arial" w:eastAsia="Arial" w:hAnsi="Arial"/>
          <w:sz w:val="16"/>
          <w:szCs w:val="16"/>
          <w:color w:val="auto"/>
        </w:rPr>
        <w:t>Employee and non-employee directors will be eligible to receive awards under the Lucid Group, Inc. Amended and Restated 2021 Stock Incentive Plan, including as amended pursuant to Proposal No. 4. Accordingly, members of our Board (including as director nominees) and our executive officers have a substantial interest in the approval of the amendment of the Lucid Group, Inc.</w:t>
      </w:r>
    </w:p>
    <w:p>
      <w:pPr>
        <w:spacing w:after="0" w:line="2" w:lineRule="exact"/>
        <w:rPr>
          <w:sz w:val="20"/>
          <w:szCs w:val="20"/>
          <w:color w:val="auto"/>
        </w:rPr>
      </w:pPr>
    </w:p>
    <w:p>
      <w:pPr>
        <w:ind w:left="660" w:right="120"/>
        <w:spacing w:after="0" w:line="295" w:lineRule="auto"/>
        <w:rPr>
          <w:sz w:val="20"/>
          <w:szCs w:val="20"/>
          <w:color w:val="auto"/>
        </w:rPr>
      </w:pPr>
      <w:r>
        <w:rPr>
          <w:rFonts w:ascii="Arial" w:cs="Arial" w:eastAsia="Arial" w:hAnsi="Arial"/>
          <w:sz w:val="16"/>
          <w:szCs w:val="16"/>
          <w:color w:val="auto"/>
        </w:rPr>
        <w:t>Amended and Restated 2021 Stock Incentive Plan. The tables below under “Outstanding Equity Awards at Fiscal Year-End” and “Director Compensation” provide information concerning all outstanding awards held by a named executive officer or director as of December 31, 2022, including, but not limited to, awards made under the Lucid Group, Inc. Amended and Restated 2021 Stock Incentive Plan.</w:t>
      </w:r>
    </w:p>
    <w:p>
      <w:pPr>
        <w:spacing w:after="0" w:line="175" w:lineRule="exact"/>
        <w:rPr>
          <w:sz w:val="20"/>
          <w:szCs w:val="20"/>
          <w:color w:val="auto"/>
        </w:rPr>
      </w:pPr>
    </w:p>
    <w:p>
      <w:pPr>
        <w:ind w:left="660" w:right="80"/>
        <w:spacing w:after="0" w:line="321" w:lineRule="auto"/>
        <w:rPr>
          <w:sz w:val="20"/>
          <w:szCs w:val="20"/>
          <w:color w:val="auto"/>
        </w:rPr>
      </w:pPr>
      <w:r>
        <w:rPr>
          <w:rFonts w:ascii="Arial" w:cs="Arial" w:eastAsia="Arial" w:hAnsi="Arial"/>
          <w:sz w:val="16"/>
          <w:szCs w:val="16"/>
          <w:color w:val="auto"/>
        </w:rPr>
        <w:t>Other than disclosed above, none of our directors, director nominees, or executive officers has any special interest in any matter to be voted upon other than election to the Board of Directors.</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tabs>
          <w:tab w:leader="none" w:pos="5220" w:val="left"/>
          <w:tab w:leader="none" w:pos="99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-81280</wp:posOffset>
            </wp:positionV>
            <wp:extent cx="6489065" cy="254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7"/>
          <w:szCs w:val="27"/>
          <w:b w:val="1"/>
          <w:bCs w:val="1"/>
          <w:color w:val="auto"/>
        </w:rPr>
        <w:t>Proposal No. 1</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Election of Directors</w:t>
      </w:r>
    </w:p>
    <w:p>
      <w:pPr>
        <w:spacing w:after="0" w:line="340" w:lineRule="exact"/>
        <w:rPr>
          <w:sz w:val="20"/>
          <w:szCs w:val="20"/>
          <w:color w:val="auto"/>
        </w:rPr>
      </w:pPr>
    </w:p>
    <w:p>
      <w:pPr>
        <w:ind w:left="660" w:right="80"/>
        <w:spacing w:after="0" w:line="278" w:lineRule="auto"/>
        <w:rPr>
          <w:sz w:val="20"/>
          <w:szCs w:val="20"/>
          <w:color w:val="auto"/>
        </w:rPr>
      </w:pPr>
      <w:r>
        <w:rPr>
          <w:rFonts w:ascii="Arial" w:cs="Arial" w:eastAsia="Arial" w:hAnsi="Arial"/>
          <w:sz w:val="16"/>
          <w:szCs w:val="16"/>
          <w:color w:val="auto"/>
        </w:rPr>
        <w:t>Our Board of Directors is currently composed of nine members. All directors are elected by the stockholders at each annual meeting to serve from the time of their election until the date of the annual meeting of stockholders next following the annual meeting at which such director was elected. The current Board of Directors is comprised of Turqi Alnowaiser, Glenn R. August, Nancy Gioia, Frank Lindenberg, Andrew Liveris, Nichelle Maynard-Elliott, Anthony “Tony” Posawatz, Peter Rawlinson and Janet S. Wong. Ms. Gioia, Mr. Lindenberg and Mr. Posawatz will not be standing for re-election at the Annual Meeting.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Nominating and Corporate Governance Committee of the Board has recommended, and the Board has approved, the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nomination of Turqi Alnowaiser, Glenn R. August, Andrew Liveris, Sherif Marakby, Nichelle Maynard-Elliott, Chabi Nouri, Peter</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Rawlinson, Ori Winitzer and Janet S. Wong, as directors for a one-year term expiring at the 2024 Annual Meeting and until their</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respective successors are duly elected and qualified, or, if sooner, until the director’s death, resignation or removal. Each of</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Alnowaiser, Mr. August, Mr. Liveris, Ms. Maynard-Elliott, Mr. Rawlinson and Ms. Wong is currently a director of the Company.</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Directors are elected by a plurality of the votes of the holders of shares present or represented by proxy and entitled to vote on the</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election of directors. The nine nominees receiving the highest number of  “For” votes will be elected.</w:t>
      </w:r>
    </w:p>
    <w:p>
      <w:pPr>
        <w:spacing w:after="0" w:line="236" w:lineRule="exact"/>
        <w:rPr>
          <w:sz w:val="20"/>
          <w:szCs w:val="20"/>
          <w:color w:val="auto"/>
        </w:rPr>
      </w:pPr>
    </w:p>
    <w:p>
      <w:pPr>
        <w:ind w:left="660" w:right="220"/>
        <w:spacing w:after="0" w:line="277" w:lineRule="auto"/>
        <w:rPr>
          <w:sz w:val="20"/>
          <w:szCs w:val="20"/>
          <w:color w:val="auto"/>
        </w:rPr>
      </w:pPr>
      <w:r>
        <w:rPr>
          <w:rFonts w:ascii="Arial" w:cs="Arial" w:eastAsia="Arial" w:hAnsi="Arial"/>
          <w:sz w:val="16"/>
          <w:szCs w:val="16"/>
          <w:color w:val="auto"/>
        </w:rPr>
        <w:t>Proxies cannot be voted for a greater number of persons than the number of nominees named in this Proxy Statement. If any nominee should become unavailable to serve for any reason, it is intended that votes will be cast for a substitute nominee designated by the Nominating and Corporate Governance Committee and approved by the Board. We have no reason to believe that any nominee named will be unable to serve if elected.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Certain Stockholder Rights to Nominate Directors</w:t>
      </w:r>
    </w:p>
    <w:p>
      <w:pPr>
        <w:spacing w:after="0" w:line="172" w:lineRule="exact"/>
        <w:rPr>
          <w:sz w:val="20"/>
          <w:szCs w:val="20"/>
          <w:color w:val="auto"/>
        </w:rPr>
      </w:pPr>
    </w:p>
    <w:p>
      <w:pPr>
        <w:ind w:left="660" w:right="140"/>
        <w:spacing w:after="0" w:line="292" w:lineRule="auto"/>
        <w:rPr>
          <w:sz w:val="20"/>
          <w:szCs w:val="20"/>
          <w:color w:val="auto"/>
        </w:rPr>
      </w:pPr>
      <w:r>
        <w:rPr>
          <w:rFonts w:ascii="Arial" w:cs="Arial" w:eastAsia="Arial" w:hAnsi="Arial"/>
          <w:sz w:val="16"/>
          <w:szCs w:val="16"/>
          <w:color w:val="auto"/>
        </w:rPr>
        <w:t>Pursuant to the Investor Rights Agreement, dated as of February 22, 2021 and as amended on November 8, 2022, by and among the Company, Ayar Third Investment Company (“Ayar”) and certain other parties (the “Investor Rights Agreement”), Ayar has the right to nominate five directors to our Board of Directors.</w:t>
      </w:r>
    </w:p>
    <w:p>
      <w:pPr>
        <w:spacing w:after="0" w:line="165" w:lineRule="exact"/>
        <w:rPr>
          <w:sz w:val="20"/>
          <w:szCs w:val="20"/>
          <w:color w:val="auto"/>
        </w:rPr>
      </w:pPr>
    </w:p>
    <w:p>
      <w:pPr>
        <w:ind w:left="660" w:right="80"/>
        <w:spacing w:after="0" w:line="274" w:lineRule="auto"/>
        <w:rPr>
          <w:sz w:val="20"/>
          <w:szCs w:val="20"/>
          <w:color w:val="auto"/>
        </w:rPr>
      </w:pPr>
      <w:r>
        <w:rPr>
          <w:rFonts w:ascii="Arial" w:cs="Arial" w:eastAsia="Arial" w:hAnsi="Arial"/>
          <w:sz w:val="16"/>
          <w:szCs w:val="16"/>
          <w:color w:val="auto"/>
        </w:rPr>
        <w:t>Ayar’s right to nominate directors to our Board of Directors is subject to its (and its permitted transferees’) continued beneficial ownership of specified amounts of our Common Stock as compared to the Common Stock issued and outstanding as of the record date of each applicable annual or special meeting of stockholders at which directors are to be elected. If Ayar (or its permitted transferees) owns beneficially: (i) 50% or greater of the shares of our Common Stock issued and outstanding as of the record date of such annual or special meeting of stockholders, it has the right to nominate five directors; (ii) less than 50% but greater than or equal to 40% of the shares of our Common Stock issued and outstanding as of the record date of such annual or special meeting of stockholders, it has the right to nominate four directors; (iii) less than 40% but greater than or equal to 30% of the shares of our Common Stock issued and outstanding as of the record date of such annual or special meeting of stockholders, it has the right to nominate three directors; (iv) less than 30% but greater than or equal to 20% of the shares of our Common Stock issued and outstanding as of the record date of such annual or special meeting of stockholders, it has the right to nominate two directors;</w:t>
      </w:r>
    </w:p>
    <w:p>
      <w:pPr>
        <w:sectPr>
          <w:pgSz w:w="11900" w:h="16838" w:orient="portrait"/>
          <w:cols w:equalWidth="0" w:num="1">
            <w:col w:w="10080"/>
          </w:cols>
          <w:pgMar w:left="580" w:top="97" w:right="1239" w:bottom="1440" w:gutter="0" w:footer="0" w:header="0"/>
        </w:sectPr>
      </w:pPr>
    </w:p>
    <w:p>
      <w:pPr>
        <w:spacing w:after="0" w:line="393"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80" w:hanging="6"/>
        <w:spacing w:after="0" w:line="289" w:lineRule="auto"/>
        <w:tabs>
          <w:tab w:leader="none" w:pos="894"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less than 20% but greater than or equal to 10% of the shares of our Common Stock issued and outstanding as of the record date of such annual or special meeting of stockholders, it has the right to nominate one director; (vi) less than 10% of the shares of our Common Stock issued and outstanding as of the record date of such annual or special meeting of stockholders, it will not have the right to nominate any directors pursuant to the Investor Rights Agreement. If the size of our Board is increased or decreased, the number of directors Ayar is entitled to nominate will be increased or decreased in proportion to such increase or decrease in the size of our Board, rounded down to the nearest whole number.</w:t>
      </w:r>
    </w:p>
    <w:p>
      <w:pPr>
        <w:spacing w:after="0" w:line="183" w:lineRule="exact"/>
        <w:rPr>
          <w:sz w:val="20"/>
          <w:szCs w:val="20"/>
          <w:color w:val="auto"/>
        </w:rPr>
      </w:pPr>
    </w:p>
    <w:p>
      <w:pPr>
        <w:ind w:left="660" w:right="100"/>
        <w:spacing w:after="0" w:line="288" w:lineRule="auto"/>
        <w:rPr>
          <w:sz w:val="20"/>
          <w:szCs w:val="20"/>
          <w:color w:val="auto"/>
        </w:rPr>
      </w:pPr>
      <w:r>
        <w:rPr>
          <w:rFonts w:ascii="Arial" w:cs="Arial" w:eastAsia="Arial" w:hAnsi="Arial"/>
          <w:sz w:val="16"/>
          <w:szCs w:val="16"/>
          <w:color w:val="auto"/>
        </w:rPr>
        <w:t>Further, for so long as Ayar beneficially owns twenty percent (20%) or greater of the shares of our Common Stock issued and outstanding, it has the right to designate the chairman of our Board. In addition, for so long as Ayar beneficially owns shares of our Common Stock representing at least one-third (33 1∕3%) of the Common Stock then issued and outstanding, Ayar has the right to have at least one Ayar director appointed to serve on each committee of the Board. For additional information, please see the section entitled “Certain Relationships and Related Party Transactions.” In accordance with the Investor Rights Agreement, Turqi Alnowaiser, Andrew Liveris, Sherif Marakby, Nichelle Maynard-Elliott and Ori Winitzer were designated for nomination by Ayar to the Board of Directors and nominated by the Nominating and Corporate Governance Committee and the Board.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Nominees for Director</w:t>
      </w:r>
    </w:p>
    <w:p>
      <w:pPr>
        <w:spacing w:after="0" w:line="185" w:lineRule="exact"/>
        <w:rPr>
          <w:sz w:val="20"/>
          <w:szCs w:val="20"/>
          <w:color w:val="auto"/>
        </w:rPr>
      </w:pPr>
    </w:p>
    <w:p>
      <w:pPr>
        <w:ind w:left="660" w:right="560"/>
        <w:spacing w:after="0" w:line="321" w:lineRule="auto"/>
        <w:rPr>
          <w:sz w:val="20"/>
          <w:szCs w:val="20"/>
          <w:color w:val="auto"/>
        </w:rPr>
      </w:pPr>
      <w:r>
        <w:rPr>
          <w:rFonts w:ascii="Arial" w:cs="Arial" w:eastAsia="Arial" w:hAnsi="Arial"/>
          <w:sz w:val="16"/>
          <w:szCs w:val="16"/>
          <w:color w:val="auto"/>
        </w:rPr>
        <w:t>The names and ages as of the date of this Proxy Statement of the nominees, length of service with the Company and Board committee memberships are set forth in the table below.</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14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920" w:type="dxa"/>
            <w:vAlign w:val="bottom"/>
            <w:shd w:val="clear" w:color="auto" w:fill="000000"/>
          </w:tcPr>
          <w:p>
            <w:pPr>
              <w:ind w:left="480"/>
              <w:spacing w:after="0"/>
              <w:rPr>
                <w:sz w:val="20"/>
                <w:szCs w:val="20"/>
                <w:color w:val="auto"/>
              </w:rPr>
            </w:pPr>
            <w:r>
              <w:rPr>
                <w:rFonts w:ascii="Arial" w:cs="Arial" w:eastAsia="Arial" w:hAnsi="Arial"/>
                <w:sz w:val="13"/>
                <w:szCs w:val="13"/>
                <w:b w:val="1"/>
                <w:bCs w:val="1"/>
                <w:color w:val="FEFEFE"/>
              </w:rPr>
              <w:t>​ ​</w:t>
            </w:r>
          </w:p>
        </w:tc>
        <w:tc>
          <w:tcPr>
            <w:tcW w:w="18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 ​</w:t>
            </w:r>
          </w:p>
        </w:tc>
        <w:tc>
          <w:tcPr>
            <w:tcW w:w="52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Director</w:t>
            </w:r>
          </w:p>
        </w:tc>
        <w:tc>
          <w:tcPr>
            <w:tcW w:w="18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 ​</w:t>
            </w:r>
          </w:p>
        </w:tc>
        <w:tc>
          <w:tcPr>
            <w:tcW w:w="50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3"/>
              </w:rPr>
              <w:t>Current</w:t>
            </w:r>
          </w:p>
        </w:tc>
        <w:tc>
          <w:tcPr>
            <w:tcW w:w="18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 ​</w:t>
            </w:r>
          </w:p>
        </w:tc>
        <w:tc>
          <w:tcPr>
            <w:tcW w:w="78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Independent</w:t>
            </w:r>
          </w:p>
        </w:tc>
        <w:tc>
          <w:tcPr>
            <w:tcW w:w="20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 ​</w:t>
            </w:r>
          </w:p>
        </w:tc>
        <w:tc>
          <w:tcPr>
            <w:tcW w:w="680" w:type="dxa"/>
            <w:vAlign w:val="bottom"/>
            <w:vMerge w:val="restart"/>
            <w:shd w:val="clear" w:color="auto" w:fill="000000"/>
          </w:tcPr>
          <w:p>
            <w:pPr>
              <w:ind w:left="160"/>
              <w:spacing w:after="0"/>
              <w:rPr>
                <w:sz w:val="20"/>
                <w:szCs w:val="20"/>
                <w:color w:val="auto"/>
              </w:rPr>
            </w:pPr>
            <w:r>
              <w:rPr>
                <w:rFonts w:ascii="Arial" w:cs="Arial" w:eastAsia="Arial" w:hAnsi="Arial"/>
                <w:sz w:val="13"/>
                <w:szCs w:val="13"/>
                <w:b w:val="1"/>
                <w:bCs w:val="1"/>
                <w:color w:val="FEFEFE"/>
              </w:rPr>
              <w:t>Audit</w:t>
            </w:r>
          </w:p>
        </w:tc>
        <w:tc>
          <w:tcPr>
            <w:tcW w:w="18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 ​</w:t>
            </w:r>
          </w:p>
        </w:tc>
        <w:tc>
          <w:tcPr>
            <w:tcW w:w="92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EFEFE"/>
                <w:w w:val="97"/>
              </w:rPr>
              <w:t>Compensation</w:t>
            </w:r>
          </w:p>
        </w:tc>
        <w:tc>
          <w:tcPr>
            <w:tcW w:w="18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 ​</w:t>
            </w:r>
          </w:p>
        </w:tc>
        <w:tc>
          <w:tcPr>
            <w:tcW w:w="76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Nominating</w:t>
            </w:r>
          </w:p>
        </w:tc>
        <w:tc>
          <w:tcPr>
            <w:tcW w:w="18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 ​</w:t>
            </w:r>
          </w:p>
        </w:tc>
        <w:tc>
          <w:tcPr>
            <w:tcW w:w="72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Executive</w:t>
            </w:r>
          </w:p>
        </w:tc>
        <w:tc>
          <w:tcPr>
            <w:tcW w:w="16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8"/>
        </w:trPr>
        <w:tc>
          <w:tcPr>
            <w:tcW w:w="214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Name</w:t>
            </w:r>
          </w:p>
        </w:tc>
        <w:tc>
          <w:tcPr>
            <w:tcW w:w="920" w:type="dxa"/>
            <w:vAlign w:val="bottom"/>
            <w:shd w:val="clear" w:color="auto" w:fill="000000"/>
          </w:tcPr>
          <w:p>
            <w:pPr>
              <w:ind w:left="660"/>
              <w:spacing w:after="0"/>
              <w:rPr>
                <w:sz w:val="20"/>
                <w:szCs w:val="20"/>
                <w:color w:val="auto"/>
              </w:rPr>
            </w:pPr>
            <w:r>
              <w:rPr>
                <w:rFonts w:ascii="Arial" w:cs="Arial" w:eastAsia="Arial" w:hAnsi="Arial"/>
                <w:sz w:val="13"/>
                <w:szCs w:val="13"/>
                <w:b w:val="1"/>
                <w:bCs w:val="1"/>
                <w:color w:val="FEFEFE"/>
                <w:w w:val="97"/>
              </w:rPr>
              <w:t>Age</w:t>
            </w:r>
          </w:p>
        </w:tc>
        <w:tc>
          <w:tcPr>
            <w:tcW w:w="180" w:type="dxa"/>
            <w:vAlign w:val="bottom"/>
            <w:shd w:val="clear" w:color="auto" w:fill="000000"/>
          </w:tcPr>
          <w:p>
            <w:pPr>
              <w:spacing w:after="0"/>
              <w:rPr>
                <w:sz w:val="12"/>
                <w:szCs w:val="12"/>
                <w:color w:val="auto"/>
              </w:rPr>
            </w:pPr>
          </w:p>
        </w:tc>
        <w:tc>
          <w:tcPr>
            <w:tcW w:w="520" w:type="dxa"/>
            <w:vAlign w:val="bottom"/>
            <w:vMerge w:val="continue"/>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500" w:type="dxa"/>
            <w:vAlign w:val="bottom"/>
            <w:vMerge w:val="continue"/>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780" w:type="dxa"/>
            <w:vAlign w:val="bottom"/>
            <w:vMerge w:val="continue"/>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680" w:type="dxa"/>
            <w:vAlign w:val="bottom"/>
            <w:vMerge w:val="continue"/>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920" w:type="dxa"/>
            <w:vAlign w:val="bottom"/>
            <w:vMerge w:val="continue"/>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760" w:type="dxa"/>
            <w:vAlign w:val="bottom"/>
            <w:vMerge w:val="continue"/>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720" w:type="dxa"/>
            <w:vAlign w:val="bottom"/>
            <w:vMerge w:val="continue"/>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000000"/>
          </w:tcPr>
          <w:p>
            <w:pPr>
              <w:spacing w:after="0"/>
              <w:rPr>
                <w:sz w:val="12"/>
                <w:szCs w:val="12"/>
                <w:color w:val="auto"/>
              </w:rPr>
            </w:pPr>
          </w:p>
        </w:tc>
        <w:tc>
          <w:tcPr>
            <w:tcW w:w="9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5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Since</w:t>
            </w:r>
          </w:p>
        </w:tc>
        <w:tc>
          <w:tcPr>
            <w:tcW w:w="180" w:type="dxa"/>
            <w:vAlign w:val="bottom"/>
            <w:shd w:val="clear" w:color="auto" w:fill="000000"/>
          </w:tcPr>
          <w:p>
            <w:pPr>
              <w:spacing w:after="0"/>
              <w:rPr>
                <w:sz w:val="12"/>
                <w:szCs w:val="12"/>
                <w:color w:val="auto"/>
              </w:rPr>
            </w:pPr>
          </w:p>
        </w:tc>
        <w:tc>
          <w:tcPr>
            <w:tcW w:w="50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4"/>
              </w:rPr>
              <w:t>Term</w:t>
            </w:r>
          </w:p>
        </w:tc>
        <w:tc>
          <w:tcPr>
            <w:tcW w:w="18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6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Committee</w:t>
            </w:r>
          </w:p>
        </w:tc>
        <w:tc>
          <w:tcPr>
            <w:tcW w:w="180" w:type="dxa"/>
            <w:vAlign w:val="bottom"/>
            <w:shd w:val="clear" w:color="auto" w:fill="000000"/>
          </w:tcPr>
          <w:p>
            <w:pPr>
              <w:spacing w:after="0"/>
              <w:rPr>
                <w:sz w:val="12"/>
                <w:szCs w:val="12"/>
                <w:color w:val="auto"/>
              </w:rPr>
            </w:pPr>
          </w:p>
        </w:tc>
        <w:tc>
          <w:tcPr>
            <w:tcW w:w="9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Committee</w:t>
            </w:r>
          </w:p>
        </w:tc>
        <w:tc>
          <w:tcPr>
            <w:tcW w:w="180" w:type="dxa"/>
            <w:vAlign w:val="bottom"/>
            <w:shd w:val="clear" w:color="auto" w:fill="000000"/>
          </w:tcPr>
          <w:p>
            <w:pPr>
              <w:spacing w:after="0"/>
              <w:rPr>
                <w:sz w:val="12"/>
                <w:szCs w:val="12"/>
                <w:color w:val="auto"/>
              </w:rPr>
            </w:pPr>
          </w:p>
        </w:tc>
        <w:tc>
          <w:tcPr>
            <w:tcW w:w="7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4"/>
              </w:rPr>
              <w:t>and</w:t>
            </w:r>
          </w:p>
        </w:tc>
        <w:tc>
          <w:tcPr>
            <w:tcW w:w="180" w:type="dxa"/>
            <w:vAlign w:val="bottom"/>
            <w:shd w:val="clear" w:color="auto" w:fill="000000"/>
          </w:tcPr>
          <w:p>
            <w:pPr>
              <w:spacing w:after="0"/>
              <w:rPr>
                <w:sz w:val="12"/>
                <w:szCs w:val="12"/>
                <w:color w:val="auto"/>
              </w:rPr>
            </w:pPr>
          </w:p>
        </w:tc>
        <w:tc>
          <w:tcPr>
            <w:tcW w:w="7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Committee</w:t>
            </w:r>
          </w:p>
        </w:tc>
        <w:tc>
          <w:tcPr>
            <w:tcW w:w="1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40" w:type="dxa"/>
            <w:vAlign w:val="bottom"/>
            <w:shd w:val="clear" w:color="auto" w:fill="000000"/>
          </w:tcPr>
          <w:p>
            <w:pPr>
              <w:spacing w:after="0"/>
              <w:rPr>
                <w:sz w:val="11"/>
                <w:szCs w:val="11"/>
                <w:color w:val="auto"/>
              </w:rPr>
            </w:pPr>
          </w:p>
        </w:tc>
        <w:tc>
          <w:tcPr>
            <w:tcW w:w="92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50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3"/>
              </w:rPr>
              <w:t>Expires</w:t>
            </w:r>
          </w:p>
        </w:tc>
        <w:tc>
          <w:tcPr>
            <w:tcW w:w="18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92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760" w:type="dxa"/>
            <w:vAlign w:val="bottom"/>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Corporate</w:t>
            </w:r>
          </w:p>
        </w:tc>
        <w:tc>
          <w:tcPr>
            <w:tcW w:w="18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40" w:type="dxa"/>
            <w:vAlign w:val="bottom"/>
            <w:shd w:val="clear" w:color="auto" w:fill="000000"/>
          </w:tcPr>
          <w:p>
            <w:pPr>
              <w:spacing w:after="0"/>
              <w:rPr>
                <w:sz w:val="12"/>
                <w:szCs w:val="12"/>
                <w:color w:val="auto"/>
              </w:rPr>
            </w:pPr>
          </w:p>
        </w:tc>
        <w:tc>
          <w:tcPr>
            <w:tcW w:w="9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50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9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7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Governance</w:t>
            </w:r>
          </w:p>
        </w:tc>
        <w:tc>
          <w:tcPr>
            <w:tcW w:w="180" w:type="dxa"/>
            <w:vAlign w:val="bottom"/>
            <w:shd w:val="clear" w:color="auto" w:fill="000000"/>
          </w:tcPr>
          <w:p>
            <w:pPr>
              <w:spacing w:after="0"/>
              <w:rPr>
                <w:sz w:val="12"/>
                <w:szCs w:val="12"/>
                <w:color w:val="auto"/>
              </w:rPr>
            </w:pPr>
          </w:p>
        </w:tc>
        <w:tc>
          <w:tcPr>
            <w:tcW w:w="72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40" w:type="dxa"/>
            <w:vAlign w:val="bottom"/>
            <w:shd w:val="clear" w:color="auto" w:fill="000000"/>
          </w:tcPr>
          <w:p>
            <w:pPr>
              <w:spacing w:after="0"/>
              <w:rPr>
                <w:sz w:val="14"/>
                <w:szCs w:val="14"/>
                <w:color w:val="auto"/>
              </w:rPr>
            </w:pPr>
          </w:p>
        </w:tc>
        <w:tc>
          <w:tcPr>
            <w:tcW w:w="92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50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78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68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92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7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Committee</w:t>
            </w:r>
          </w:p>
        </w:tc>
        <w:tc>
          <w:tcPr>
            <w:tcW w:w="18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40" w:type="dxa"/>
            <w:vAlign w:val="bottom"/>
            <w:shd w:val="clear" w:color="auto" w:fill="000000"/>
          </w:tcPr>
          <w:p>
            <w:pPr>
              <w:spacing w:after="0"/>
              <w:rPr>
                <w:sz w:val="10"/>
                <w:szCs w:val="10"/>
                <w:color w:val="auto"/>
              </w:rPr>
            </w:pPr>
          </w:p>
        </w:tc>
        <w:tc>
          <w:tcPr>
            <w:tcW w:w="92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52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50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78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68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92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76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72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40" w:type="dxa"/>
            <w:vAlign w:val="bottom"/>
          </w:tcPr>
          <w:p>
            <w:pPr>
              <w:ind w:left="60"/>
              <w:spacing w:after="0" w:line="139" w:lineRule="exact"/>
              <w:rPr>
                <w:sz w:val="20"/>
                <w:szCs w:val="20"/>
                <w:color w:val="auto"/>
              </w:rPr>
            </w:pPr>
            <w:r>
              <w:rPr>
                <w:rFonts w:ascii="Arial" w:cs="Arial" w:eastAsia="Arial" w:hAnsi="Arial"/>
                <w:sz w:val="14"/>
                <w:szCs w:val="14"/>
                <w:color w:val="auto"/>
              </w:rPr>
              <w:t>​</w:t>
            </w:r>
          </w:p>
        </w:tc>
        <w:tc>
          <w:tcPr>
            <w:tcW w:w="920" w:type="dxa"/>
            <w:vAlign w:val="bottom"/>
          </w:tcPr>
          <w:p>
            <w:pPr>
              <w:ind w:left="480"/>
              <w:spacing w:after="0" w:line="139" w:lineRule="exact"/>
              <w:rPr>
                <w:sz w:val="20"/>
                <w:szCs w:val="20"/>
                <w:color w:val="auto"/>
              </w:rPr>
            </w:pPr>
            <w:r>
              <w:rPr>
                <w:rFonts w:ascii="Arial" w:cs="Arial" w:eastAsia="Arial" w:hAnsi="Arial"/>
                <w:sz w:val="14"/>
                <w:szCs w:val="14"/>
                <w:color w:val="auto"/>
              </w:rPr>
              <w:t>​ ​</w:t>
            </w:r>
          </w:p>
        </w:tc>
        <w:tc>
          <w:tcPr>
            <w:tcW w:w="180" w:type="dxa"/>
            <w:vAlign w:val="bottom"/>
          </w:tcPr>
          <w:p>
            <w:pPr>
              <w:ind w:left="20"/>
              <w:spacing w:after="0" w:line="139" w:lineRule="exact"/>
              <w:rPr>
                <w:sz w:val="20"/>
                <w:szCs w:val="20"/>
                <w:color w:val="auto"/>
              </w:rPr>
            </w:pPr>
            <w:r>
              <w:rPr>
                <w:rFonts w:ascii="Arial" w:cs="Arial" w:eastAsia="Arial" w:hAnsi="Arial"/>
                <w:sz w:val="14"/>
                <w:szCs w:val="14"/>
                <w:color w:val="auto"/>
              </w:rPr>
              <w:t>​ ​</w:t>
            </w:r>
          </w:p>
        </w:tc>
        <w:tc>
          <w:tcPr>
            <w:tcW w:w="52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180" w:type="dxa"/>
            <w:vAlign w:val="bottom"/>
          </w:tcPr>
          <w:p>
            <w:pPr>
              <w:ind w:left="20"/>
              <w:spacing w:after="0" w:line="139" w:lineRule="exact"/>
              <w:rPr>
                <w:sz w:val="20"/>
                <w:szCs w:val="20"/>
                <w:color w:val="auto"/>
              </w:rPr>
            </w:pPr>
            <w:r>
              <w:rPr>
                <w:rFonts w:ascii="Arial" w:cs="Arial" w:eastAsia="Arial" w:hAnsi="Arial"/>
                <w:sz w:val="14"/>
                <w:szCs w:val="14"/>
                <w:color w:val="auto"/>
              </w:rPr>
              <w:t>​ ​</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Pr>
          <w:p>
            <w:pPr>
              <w:ind w:left="20"/>
              <w:spacing w:after="0" w:line="139" w:lineRule="exact"/>
              <w:rPr>
                <w:sz w:val="20"/>
                <w:szCs w:val="20"/>
                <w:color w:val="auto"/>
              </w:rPr>
            </w:pPr>
            <w:r>
              <w:rPr>
                <w:rFonts w:ascii="Arial" w:cs="Arial" w:eastAsia="Arial" w:hAnsi="Arial"/>
                <w:sz w:val="14"/>
                <w:szCs w:val="14"/>
                <w:color w:val="auto"/>
              </w:rPr>
              <w:t>​ ​</w:t>
            </w:r>
          </w:p>
        </w:tc>
        <w:tc>
          <w:tcPr>
            <w:tcW w:w="780" w:type="dxa"/>
            <w:vAlign w:val="bottom"/>
          </w:tcPr>
          <w:p>
            <w:pPr>
              <w:spacing w:after="0"/>
              <w:rPr>
                <w:sz w:val="12"/>
                <w:szCs w:val="12"/>
                <w:color w:val="auto"/>
              </w:rPr>
            </w:pPr>
          </w:p>
        </w:tc>
        <w:tc>
          <w:tcPr>
            <w:tcW w:w="200" w:type="dxa"/>
            <w:vAlign w:val="bottom"/>
          </w:tcPr>
          <w:p>
            <w:pPr>
              <w:ind w:left="40"/>
              <w:spacing w:after="0" w:line="139" w:lineRule="exact"/>
              <w:rPr>
                <w:sz w:val="20"/>
                <w:szCs w:val="20"/>
                <w:color w:val="auto"/>
              </w:rPr>
            </w:pPr>
            <w:r>
              <w:rPr>
                <w:rFonts w:ascii="Arial" w:cs="Arial" w:eastAsia="Arial" w:hAnsi="Arial"/>
                <w:sz w:val="14"/>
                <w:szCs w:val="14"/>
                <w:color w:val="auto"/>
              </w:rPr>
              <w:t>​ ​</w:t>
            </w:r>
          </w:p>
        </w:tc>
        <w:tc>
          <w:tcPr>
            <w:tcW w:w="680" w:type="dxa"/>
            <w:vAlign w:val="bottom"/>
          </w:tcPr>
          <w:p>
            <w:pPr>
              <w:jc w:val="center"/>
              <w:spacing w:after="0" w:line="139"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39" w:lineRule="exact"/>
              <w:rPr>
                <w:sz w:val="20"/>
                <w:szCs w:val="20"/>
                <w:color w:val="auto"/>
              </w:rPr>
            </w:pPr>
            <w:r>
              <w:rPr>
                <w:rFonts w:ascii="Arial" w:cs="Arial" w:eastAsia="Arial" w:hAnsi="Arial"/>
                <w:sz w:val="14"/>
                <w:szCs w:val="14"/>
                <w:color w:val="auto"/>
              </w:rPr>
              <w:t>​ ​</w:t>
            </w:r>
          </w:p>
        </w:tc>
        <w:tc>
          <w:tcPr>
            <w:tcW w:w="920" w:type="dxa"/>
            <w:vAlign w:val="bottom"/>
          </w:tcPr>
          <w:p>
            <w:pPr>
              <w:jc w:val="center"/>
              <w:spacing w:after="0" w:line="139" w:lineRule="exact"/>
              <w:rPr>
                <w:sz w:val="20"/>
                <w:szCs w:val="20"/>
                <w:color w:val="auto"/>
              </w:rPr>
            </w:pPr>
            <w:r>
              <w:rPr>
                <w:rFonts w:ascii="Arial" w:cs="Arial" w:eastAsia="Arial" w:hAnsi="Arial"/>
                <w:sz w:val="14"/>
                <w:szCs w:val="14"/>
                <w:color w:val="auto"/>
              </w:rPr>
              <w:t>​</w:t>
            </w:r>
          </w:p>
        </w:tc>
        <w:tc>
          <w:tcPr>
            <w:tcW w:w="180" w:type="dxa"/>
            <w:vAlign w:val="bottom"/>
          </w:tcPr>
          <w:p>
            <w:pPr>
              <w:ind w:left="20"/>
              <w:spacing w:after="0" w:line="139" w:lineRule="exact"/>
              <w:rPr>
                <w:sz w:val="20"/>
                <w:szCs w:val="20"/>
                <w:color w:val="auto"/>
              </w:rPr>
            </w:pPr>
            <w:r>
              <w:rPr>
                <w:rFonts w:ascii="Arial" w:cs="Arial" w:eastAsia="Arial" w:hAnsi="Arial"/>
                <w:sz w:val="14"/>
                <w:szCs w:val="14"/>
                <w:color w:val="auto"/>
              </w:rPr>
              <w:t>​ ​</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Chair</w:t>
            </w:r>
          </w:p>
        </w:tc>
        <w:tc>
          <w:tcPr>
            <w:tcW w:w="180" w:type="dxa"/>
            <w:vAlign w:val="bottom"/>
          </w:tcPr>
          <w:p>
            <w:pPr>
              <w:ind w:left="40"/>
              <w:spacing w:after="0" w:line="139" w:lineRule="exact"/>
              <w:rPr>
                <w:sz w:val="20"/>
                <w:szCs w:val="20"/>
                <w:color w:val="auto"/>
              </w:rPr>
            </w:pPr>
            <w:r>
              <w:rPr>
                <w:rFonts w:ascii="Arial" w:cs="Arial" w:eastAsia="Arial" w:hAnsi="Arial"/>
                <w:sz w:val="14"/>
                <w:szCs w:val="14"/>
                <w:color w:val="auto"/>
              </w:rPr>
              <w:t>​ ​</w:t>
            </w:r>
          </w:p>
        </w:tc>
        <w:tc>
          <w:tcPr>
            <w:tcW w:w="720" w:type="dxa"/>
            <w:vAlign w:val="bottom"/>
          </w:tcPr>
          <w:p>
            <w:pPr>
              <w:spacing w:after="0"/>
              <w:rPr>
                <w:sz w:val="12"/>
                <w:szCs w:val="12"/>
                <w:color w:val="auto"/>
              </w:rPr>
            </w:pPr>
          </w:p>
        </w:tc>
        <w:tc>
          <w:tcPr>
            <w:tcW w:w="160" w:type="dxa"/>
            <w:vAlign w:val="bottom"/>
          </w:tcPr>
          <w:p>
            <w:pPr>
              <w:ind w:left="60"/>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140" w:type="dxa"/>
            <w:vAlign w:val="bottom"/>
          </w:tcPr>
          <w:p>
            <w:pPr>
              <w:ind w:left="120"/>
              <w:spacing w:after="0"/>
              <w:rPr>
                <w:sz w:val="20"/>
                <w:szCs w:val="20"/>
                <w:color w:val="auto"/>
              </w:rPr>
            </w:pPr>
            <w:r>
              <w:rPr>
                <w:rFonts w:ascii="Arial" w:cs="Arial" w:eastAsia="Arial" w:hAnsi="Arial"/>
                <w:sz w:val="14"/>
                <w:szCs w:val="14"/>
                <w:color w:val="auto"/>
              </w:rPr>
              <w:t>Turqi Alnowaiser</w:t>
            </w:r>
          </w:p>
        </w:tc>
        <w:tc>
          <w:tcPr>
            <w:tcW w:w="920" w:type="dxa"/>
            <w:vAlign w:val="bottom"/>
          </w:tcPr>
          <w:p>
            <w:pPr>
              <w:ind w:left="700"/>
              <w:spacing w:after="0"/>
              <w:rPr>
                <w:sz w:val="20"/>
                <w:szCs w:val="20"/>
                <w:color w:val="auto"/>
              </w:rPr>
            </w:pPr>
            <w:r>
              <w:rPr>
                <w:rFonts w:ascii="Arial" w:cs="Arial" w:eastAsia="Arial" w:hAnsi="Arial"/>
                <w:sz w:val="14"/>
                <w:szCs w:val="14"/>
                <w:color w:val="auto"/>
              </w:rPr>
              <w:t>46</w:t>
            </w: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140" w:type="dxa"/>
            <w:vAlign w:val="bottom"/>
            <w:shd w:val="clear" w:color="auto" w:fill="F7F7F7"/>
          </w:tcPr>
          <w:p>
            <w:pPr>
              <w:ind w:left="60"/>
              <w:spacing w:after="0" w:line="133" w:lineRule="exact"/>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ind w:left="480"/>
              <w:spacing w:after="0" w:line="133" w:lineRule="exact"/>
              <w:rPr>
                <w:sz w:val="20"/>
                <w:szCs w:val="20"/>
                <w:color w:val="auto"/>
              </w:rPr>
            </w:pPr>
            <w:r>
              <w:rPr>
                <w:rFonts w:ascii="Arial" w:cs="Arial" w:eastAsia="Arial" w:hAnsi="Arial"/>
                <w:sz w:val="14"/>
                <w:szCs w:val="14"/>
                <w:color w:val="auto"/>
              </w:rPr>
              <w:t>​ ​</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520" w:type="dxa"/>
            <w:vAlign w:val="bottom"/>
            <w:vMerge w:val="restart"/>
            <w:shd w:val="clear" w:color="auto" w:fill="F7F7F7"/>
          </w:tcPr>
          <w:p>
            <w:pPr>
              <w:jc w:val="center"/>
              <w:spacing w:after="0"/>
              <w:rPr>
                <w:sz w:val="20"/>
                <w:szCs w:val="20"/>
                <w:color w:val="auto"/>
              </w:rPr>
            </w:pPr>
            <w:r>
              <w:rPr>
                <w:rFonts w:ascii="Arial" w:cs="Arial" w:eastAsia="Arial" w:hAnsi="Arial"/>
                <w:sz w:val="14"/>
                <w:szCs w:val="14"/>
                <w:color w:val="auto"/>
              </w:rPr>
              <w:t>2021</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500" w:type="dxa"/>
            <w:vAlign w:val="bottom"/>
            <w:vMerge w:val="restart"/>
            <w:shd w:val="clear" w:color="auto" w:fill="F7F7F7"/>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spacing w:after="0"/>
              <w:rPr>
                <w:sz w:val="11"/>
                <w:szCs w:val="11"/>
                <w:color w:val="auto"/>
              </w:rPr>
            </w:pPr>
          </w:p>
        </w:tc>
        <w:tc>
          <w:tcPr>
            <w:tcW w:w="20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 ​</w:t>
            </w:r>
          </w:p>
        </w:tc>
        <w:tc>
          <w:tcPr>
            <w:tcW w:w="680" w:type="dxa"/>
            <w:vAlign w:val="bottom"/>
            <w:shd w:val="clear" w:color="auto" w:fill="F7F7F7"/>
          </w:tcPr>
          <w:p>
            <w:pPr>
              <w:spacing w:after="0"/>
              <w:rPr>
                <w:sz w:val="11"/>
                <w:szCs w:val="11"/>
                <w:color w:val="auto"/>
              </w:rPr>
            </w:pPr>
          </w:p>
        </w:tc>
        <w:tc>
          <w:tcPr>
            <w:tcW w:w="18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 ​</w:t>
            </w:r>
          </w:p>
        </w:tc>
        <w:tc>
          <w:tcPr>
            <w:tcW w:w="92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spacing w:after="0"/>
              <w:rPr>
                <w:sz w:val="11"/>
                <w:szCs w:val="11"/>
                <w:color w:val="auto"/>
              </w:rPr>
            </w:pPr>
          </w:p>
        </w:tc>
        <w:tc>
          <w:tcPr>
            <w:tcW w:w="18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 ​</w:t>
            </w:r>
          </w:p>
        </w:tc>
        <w:tc>
          <w:tcPr>
            <w:tcW w:w="72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60" w:type="dxa"/>
            <w:vAlign w:val="bottom"/>
            <w:shd w:val="clear" w:color="auto" w:fill="F7F7F7"/>
          </w:tcPr>
          <w:p>
            <w:pPr>
              <w:ind w:left="60"/>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140" w:type="dxa"/>
            <w:vAlign w:val="bottom"/>
            <w:shd w:val="clear" w:color="auto" w:fill="F7F7F7"/>
          </w:tcPr>
          <w:p>
            <w:pPr>
              <w:ind w:left="120"/>
              <w:spacing w:after="0"/>
              <w:rPr>
                <w:sz w:val="20"/>
                <w:szCs w:val="20"/>
                <w:color w:val="auto"/>
              </w:rPr>
            </w:pPr>
            <w:r>
              <w:rPr>
                <w:rFonts w:ascii="Arial" w:cs="Arial" w:eastAsia="Arial" w:hAnsi="Arial"/>
                <w:sz w:val="14"/>
                <w:szCs w:val="14"/>
                <w:color w:val="auto"/>
              </w:rPr>
              <w:t>Glenn R. August</w:t>
            </w:r>
          </w:p>
        </w:tc>
        <w:tc>
          <w:tcPr>
            <w:tcW w:w="920" w:type="dxa"/>
            <w:vAlign w:val="bottom"/>
            <w:shd w:val="clear" w:color="auto" w:fill="F7F7F7"/>
          </w:tcPr>
          <w:p>
            <w:pPr>
              <w:ind w:left="700"/>
              <w:spacing w:after="0"/>
              <w:rPr>
                <w:sz w:val="20"/>
                <w:szCs w:val="20"/>
                <w:color w:val="auto"/>
              </w:rPr>
            </w:pPr>
            <w:r>
              <w:rPr>
                <w:rFonts w:ascii="Arial" w:cs="Arial" w:eastAsia="Arial" w:hAnsi="Arial"/>
                <w:sz w:val="14"/>
                <w:szCs w:val="14"/>
                <w:color w:val="auto"/>
              </w:rPr>
              <w:t>61</w:t>
            </w:r>
          </w:p>
        </w:tc>
        <w:tc>
          <w:tcPr>
            <w:tcW w:w="180" w:type="dxa"/>
            <w:vAlign w:val="bottom"/>
            <w:shd w:val="clear" w:color="auto" w:fill="F7F7F7"/>
          </w:tcPr>
          <w:p>
            <w:pPr>
              <w:spacing w:after="0"/>
              <w:rPr>
                <w:sz w:val="16"/>
                <w:szCs w:val="16"/>
                <w:color w:val="auto"/>
              </w:rPr>
            </w:pPr>
          </w:p>
        </w:tc>
        <w:tc>
          <w:tcPr>
            <w:tcW w:w="520" w:type="dxa"/>
            <w:vAlign w:val="bottom"/>
            <w:vMerge w:val="continue"/>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500" w:type="dxa"/>
            <w:vAlign w:val="bottom"/>
            <w:vMerge w:val="continue"/>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780" w:type="dxa"/>
            <w:vAlign w:val="bottom"/>
            <w:shd w:val="clear" w:color="auto" w:fill="F7F7F7"/>
          </w:tcPr>
          <w:p>
            <w:pPr>
              <w:spacing w:after="0"/>
              <w:rPr>
                <w:sz w:val="16"/>
                <w:szCs w:val="16"/>
                <w:color w:val="auto"/>
              </w:rPr>
            </w:pPr>
          </w:p>
        </w:tc>
        <w:tc>
          <w:tcPr>
            <w:tcW w:w="200" w:type="dxa"/>
            <w:vAlign w:val="bottom"/>
            <w:shd w:val="clear" w:color="auto" w:fill="F7F7F7"/>
          </w:tcPr>
          <w:p>
            <w:pPr>
              <w:spacing w:after="0"/>
              <w:rPr>
                <w:sz w:val="16"/>
                <w:szCs w:val="16"/>
                <w:color w:val="auto"/>
              </w:rPr>
            </w:pPr>
          </w:p>
        </w:tc>
        <w:tc>
          <w:tcPr>
            <w:tcW w:w="68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92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76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720" w:type="dxa"/>
            <w:vAlign w:val="bottom"/>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4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0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80" w:type="dxa"/>
            <w:vAlign w:val="bottom"/>
            <w:tcBorders>
              <w:bottom w:val="single" w:sz="8" w:color="auto"/>
            </w:tcBorders>
            <w:shd w:val="clear" w:color="auto" w:fill="F7F7F7"/>
          </w:tcPr>
          <w:p>
            <w:pPr>
              <w:spacing w:after="0"/>
              <w:rPr>
                <w:sz w:val="11"/>
                <w:szCs w:val="11"/>
                <w:color w:val="auto"/>
              </w:rPr>
            </w:pPr>
          </w:p>
        </w:tc>
        <w:tc>
          <w:tcPr>
            <w:tcW w:w="200" w:type="dxa"/>
            <w:vAlign w:val="bottom"/>
            <w:tcBorders>
              <w:bottom w:val="single" w:sz="8" w:color="auto"/>
            </w:tcBorders>
            <w:shd w:val="clear" w:color="auto" w:fill="F7F7F7"/>
          </w:tcPr>
          <w:p>
            <w:pPr>
              <w:spacing w:after="0"/>
              <w:rPr>
                <w:sz w:val="11"/>
                <w:szCs w:val="11"/>
                <w:color w:val="auto"/>
              </w:rPr>
            </w:pPr>
          </w:p>
        </w:tc>
        <w:tc>
          <w:tcPr>
            <w:tcW w:w="68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6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20" w:type="dxa"/>
            <w:vAlign w:val="bottom"/>
            <w:tcBorders>
              <w:bottom w:val="single" w:sz="8" w:color="auto"/>
            </w:tcBorders>
            <w:shd w:val="clear" w:color="auto" w:fill="F7F7F7"/>
          </w:tcPr>
          <w:p>
            <w:pPr>
              <w:spacing w:after="0"/>
              <w:rPr>
                <w:sz w:val="11"/>
                <w:szCs w:val="11"/>
                <w:color w:val="auto"/>
              </w:rPr>
            </w:pPr>
          </w:p>
        </w:tc>
        <w:tc>
          <w:tcPr>
            <w:tcW w:w="160" w:type="dxa"/>
            <w:vAlign w:val="bottom"/>
            <w:tcBorders>
              <w:bottom w:val="single" w:sz="8" w:color="auto"/>
            </w:tcBorders>
            <w:shd w:val="clear" w:color="auto" w:fill="F7F7F7"/>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920" w:type="dxa"/>
            <w:vAlign w:val="bottom"/>
          </w:tcPr>
          <w:p>
            <w:pPr>
              <w:ind w:left="480"/>
              <w:spacing w:after="0" w:line="133" w:lineRule="exact"/>
              <w:rPr>
                <w:sz w:val="20"/>
                <w:szCs w:val="20"/>
                <w:color w:val="auto"/>
              </w:rPr>
            </w:pPr>
            <w:r>
              <w:rPr>
                <w:rFonts w:ascii="Arial" w:cs="Arial" w:eastAsia="Arial" w:hAnsi="Arial"/>
                <w:sz w:val="14"/>
                <w:szCs w:val="14"/>
                <w:color w:val="auto"/>
              </w:rPr>
              <w:t>​ ​</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52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780" w:type="dxa"/>
            <w:vAlign w:val="bottom"/>
          </w:tcPr>
          <w:p>
            <w:pPr>
              <w:spacing w:after="0"/>
              <w:rPr>
                <w:sz w:val="11"/>
                <w:szCs w:val="11"/>
                <w:color w:val="auto"/>
              </w:rPr>
            </w:pPr>
          </w:p>
        </w:tc>
        <w:tc>
          <w:tcPr>
            <w:tcW w:w="200" w:type="dxa"/>
            <w:vAlign w:val="bottom"/>
          </w:tcPr>
          <w:p>
            <w:pPr>
              <w:ind w:left="40"/>
              <w:spacing w:after="0" w:line="133" w:lineRule="exact"/>
              <w:rPr>
                <w:sz w:val="20"/>
                <w:szCs w:val="20"/>
                <w:color w:val="auto"/>
              </w:rPr>
            </w:pPr>
            <w:r>
              <w:rPr>
                <w:rFonts w:ascii="Arial" w:cs="Arial" w:eastAsia="Arial" w:hAnsi="Arial"/>
                <w:sz w:val="14"/>
                <w:szCs w:val="14"/>
                <w:color w:val="auto"/>
              </w:rPr>
              <w:t>​ ​</w:t>
            </w:r>
          </w:p>
        </w:tc>
        <w:tc>
          <w:tcPr>
            <w:tcW w:w="680" w:type="dxa"/>
            <w:vAlign w:val="bottom"/>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33" w:lineRule="exact"/>
              <w:rPr>
                <w:sz w:val="20"/>
                <w:szCs w:val="20"/>
                <w:color w:val="auto"/>
              </w:rPr>
            </w:pPr>
            <w:r>
              <w:rPr>
                <w:rFonts w:ascii="Arial" w:cs="Arial" w:eastAsia="Arial" w:hAnsi="Arial"/>
                <w:sz w:val="14"/>
                <w:szCs w:val="14"/>
                <w:color w:val="auto"/>
              </w:rPr>
              <w:t>​ ​</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Chair</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760" w:type="dxa"/>
            <w:vAlign w:val="bottom"/>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33" w:lineRule="exact"/>
              <w:rPr>
                <w:sz w:val="20"/>
                <w:szCs w:val="20"/>
                <w:color w:val="auto"/>
              </w:rPr>
            </w:pPr>
            <w:r>
              <w:rPr>
                <w:rFonts w:ascii="Arial" w:cs="Arial" w:eastAsia="Arial" w:hAnsi="Arial"/>
                <w:sz w:val="14"/>
                <w:szCs w:val="14"/>
                <w:color w:val="auto"/>
              </w:rPr>
              <w:t>​ ​</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Chair</w:t>
            </w:r>
          </w:p>
        </w:tc>
        <w:tc>
          <w:tcPr>
            <w:tcW w:w="16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140" w:type="dxa"/>
            <w:vAlign w:val="bottom"/>
          </w:tcPr>
          <w:p>
            <w:pPr>
              <w:ind w:left="120"/>
              <w:spacing w:after="0"/>
              <w:rPr>
                <w:sz w:val="20"/>
                <w:szCs w:val="20"/>
                <w:color w:val="auto"/>
              </w:rPr>
            </w:pPr>
            <w:r>
              <w:rPr>
                <w:rFonts w:ascii="Arial" w:cs="Arial" w:eastAsia="Arial" w:hAnsi="Arial"/>
                <w:sz w:val="14"/>
                <w:szCs w:val="14"/>
                <w:color w:val="auto"/>
              </w:rPr>
              <w:t>Andrew Liveris*</w:t>
            </w:r>
          </w:p>
        </w:tc>
        <w:tc>
          <w:tcPr>
            <w:tcW w:w="920" w:type="dxa"/>
            <w:vAlign w:val="bottom"/>
          </w:tcPr>
          <w:p>
            <w:pPr>
              <w:ind w:left="700"/>
              <w:spacing w:after="0"/>
              <w:rPr>
                <w:sz w:val="20"/>
                <w:szCs w:val="20"/>
                <w:color w:val="auto"/>
              </w:rPr>
            </w:pPr>
            <w:r>
              <w:rPr>
                <w:rFonts w:ascii="Arial" w:cs="Arial" w:eastAsia="Arial" w:hAnsi="Arial"/>
                <w:sz w:val="14"/>
                <w:szCs w:val="14"/>
                <w:color w:val="auto"/>
              </w:rPr>
              <w:t>68</w:t>
            </w: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shd w:val="clear" w:color="auto" w:fill="F7F7F7"/>
          </w:tcPr>
          <w:p>
            <w:pPr>
              <w:ind w:left="60"/>
              <w:spacing w:after="0" w:line="133" w:lineRule="exact"/>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ind w:left="480"/>
              <w:spacing w:after="0" w:line="133" w:lineRule="exact"/>
              <w:rPr>
                <w:sz w:val="20"/>
                <w:szCs w:val="20"/>
                <w:color w:val="auto"/>
              </w:rPr>
            </w:pPr>
            <w:r>
              <w:rPr>
                <w:rFonts w:ascii="Arial" w:cs="Arial" w:eastAsia="Arial" w:hAnsi="Arial"/>
                <w:sz w:val="14"/>
                <w:szCs w:val="14"/>
                <w:color w:val="auto"/>
              </w:rPr>
              <w:t>​ ​</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52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500" w:type="dxa"/>
            <w:vAlign w:val="bottom"/>
            <w:shd w:val="clear" w:color="auto" w:fill="F7F7F7"/>
          </w:tcPr>
          <w:p>
            <w:pPr>
              <w:ind w:left="240"/>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spacing w:after="0"/>
              <w:rPr>
                <w:sz w:val="11"/>
                <w:szCs w:val="11"/>
                <w:color w:val="auto"/>
              </w:rPr>
            </w:pPr>
          </w:p>
        </w:tc>
        <w:tc>
          <w:tcPr>
            <w:tcW w:w="20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 ​</w:t>
            </w:r>
          </w:p>
        </w:tc>
        <w:tc>
          <w:tcPr>
            <w:tcW w:w="68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 ​</w:t>
            </w:r>
          </w:p>
        </w:tc>
        <w:tc>
          <w:tcPr>
            <w:tcW w:w="92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 ​</w:t>
            </w:r>
          </w:p>
        </w:tc>
        <w:tc>
          <w:tcPr>
            <w:tcW w:w="72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60" w:type="dxa"/>
            <w:vAlign w:val="bottom"/>
            <w:shd w:val="clear" w:color="auto" w:fill="F7F7F7"/>
          </w:tcPr>
          <w:p>
            <w:pPr>
              <w:ind w:left="60"/>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140" w:type="dxa"/>
            <w:vAlign w:val="bottom"/>
            <w:shd w:val="clear" w:color="auto" w:fill="F7F7F7"/>
          </w:tcPr>
          <w:p>
            <w:pPr>
              <w:ind w:left="120"/>
              <w:spacing w:after="0"/>
              <w:rPr>
                <w:sz w:val="20"/>
                <w:szCs w:val="20"/>
                <w:color w:val="auto"/>
              </w:rPr>
            </w:pPr>
            <w:r>
              <w:rPr>
                <w:rFonts w:ascii="Arial" w:cs="Arial" w:eastAsia="Arial" w:hAnsi="Arial"/>
                <w:sz w:val="14"/>
                <w:szCs w:val="14"/>
                <w:color w:val="auto"/>
              </w:rPr>
              <w:t>Sherif Marakby**</w:t>
            </w:r>
          </w:p>
        </w:tc>
        <w:tc>
          <w:tcPr>
            <w:tcW w:w="920" w:type="dxa"/>
            <w:vAlign w:val="bottom"/>
            <w:shd w:val="clear" w:color="auto" w:fill="F7F7F7"/>
          </w:tcPr>
          <w:p>
            <w:pPr>
              <w:ind w:left="700"/>
              <w:spacing w:after="0"/>
              <w:rPr>
                <w:sz w:val="20"/>
                <w:szCs w:val="20"/>
                <w:color w:val="auto"/>
              </w:rPr>
            </w:pPr>
            <w:r>
              <w:rPr>
                <w:rFonts w:ascii="Arial" w:cs="Arial" w:eastAsia="Arial" w:hAnsi="Arial"/>
                <w:sz w:val="14"/>
                <w:szCs w:val="14"/>
                <w:color w:val="auto"/>
              </w:rPr>
              <w:t>57</w:t>
            </w:r>
          </w:p>
        </w:tc>
        <w:tc>
          <w:tcPr>
            <w:tcW w:w="180" w:type="dxa"/>
            <w:vAlign w:val="bottom"/>
            <w:shd w:val="clear" w:color="auto" w:fill="F7F7F7"/>
          </w:tcPr>
          <w:p>
            <w:pPr>
              <w:spacing w:after="0"/>
              <w:rPr>
                <w:sz w:val="16"/>
                <w:szCs w:val="16"/>
                <w:color w:val="auto"/>
              </w:rPr>
            </w:pPr>
          </w:p>
        </w:tc>
        <w:tc>
          <w:tcPr>
            <w:tcW w:w="52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50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780" w:type="dxa"/>
            <w:vAlign w:val="bottom"/>
            <w:shd w:val="clear" w:color="auto" w:fill="F7F7F7"/>
          </w:tcPr>
          <w:p>
            <w:pPr>
              <w:spacing w:after="0"/>
              <w:rPr>
                <w:sz w:val="16"/>
                <w:szCs w:val="16"/>
                <w:color w:val="auto"/>
              </w:rPr>
            </w:pPr>
          </w:p>
        </w:tc>
        <w:tc>
          <w:tcPr>
            <w:tcW w:w="200" w:type="dxa"/>
            <w:vAlign w:val="bottom"/>
            <w:shd w:val="clear" w:color="auto" w:fill="F7F7F7"/>
          </w:tcPr>
          <w:p>
            <w:pPr>
              <w:spacing w:after="0"/>
              <w:rPr>
                <w:sz w:val="16"/>
                <w:szCs w:val="16"/>
                <w:color w:val="auto"/>
              </w:rPr>
            </w:pPr>
          </w:p>
        </w:tc>
        <w:tc>
          <w:tcPr>
            <w:tcW w:w="68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92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76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720" w:type="dxa"/>
            <w:vAlign w:val="bottom"/>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4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0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80" w:type="dxa"/>
            <w:vAlign w:val="bottom"/>
            <w:tcBorders>
              <w:bottom w:val="single" w:sz="8" w:color="auto"/>
            </w:tcBorders>
            <w:shd w:val="clear" w:color="auto" w:fill="F7F7F7"/>
          </w:tcPr>
          <w:p>
            <w:pPr>
              <w:spacing w:after="0"/>
              <w:rPr>
                <w:sz w:val="11"/>
                <w:szCs w:val="11"/>
                <w:color w:val="auto"/>
              </w:rPr>
            </w:pPr>
          </w:p>
        </w:tc>
        <w:tc>
          <w:tcPr>
            <w:tcW w:w="200" w:type="dxa"/>
            <w:vAlign w:val="bottom"/>
            <w:tcBorders>
              <w:bottom w:val="single" w:sz="8" w:color="auto"/>
            </w:tcBorders>
            <w:shd w:val="clear" w:color="auto" w:fill="F7F7F7"/>
          </w:tcPr>
          <w:p>
            <w:pPr>
              <w:spacing w:after="0"/>
              <w:rPr>
                <w:sz w:val="11"/>
                <w:szCs w:val="11"/>
                <w:color w:val="auto"/>
              </w:rPr>
            </w:pPr>
          </w:p>
        </w:tc>
        <w:tc>
          <w:tcPr>
            <w:tcW w:w="68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6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20" w:type="dxa"/>
            <w:vAlign w:val="bottom"/>
            <w:tcBorders>
              <w:bottom w:val="single" w:sz="8" w:color="auto"/>
            </w:tcBorders>
            <w:shd w:val="clear" w:color="auto" w:fill="F7F7F7"/>
          </w:tcPr>
          <w:p>
            <w:pPr>
              <w:spacing w:after="0"/>
              <w:rPr>
                <w:sz w:val="11"/>
                <w:szCs w:val="11"/>
                <w:color w:val="auto"/>
              </w:rPr>
            </w:pPr>
          </w:p>
        </w:tc>
        <w:tc>
          <w:tcPr>
            <w:tcW w:w="160" w:type="dxa"/>
            <w:vAlign w:val="bottom"/>
            <w:tcBorders>
              <w:bottom w:val="single" w:sz="8" w:color="auto"/>
            </w:tcBorders>
            <w:shd w:val="clear" w:color="auto" w:fill="F7F7F7"/>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920" w:type="dxa"/>
            <w:vAlign w:val="bottom"/>
          </w:tcPr>
          <w:p>
            <w:pPr>
              <w:ind w:left="480"/>
              <w:spacing w:after="0" w:line="133" w:lineRule="exact"/>
              <w:rPr>
                <w:sz w:val="20"/>
                <w:szCs w:val="20"/>
                <w:color w:val="auto"/>
              </w:rPr>
            </w:pPr>
            <w:r>
              <w:rPr>
                <w:rFonts w:ascii="Arial" w:cs="Arial" w:eastAsia="Arial" w:hAnsi="Arial"/>
                <w:sz w:val="14"/>
                <w:szCs w:val="14"/>
                <w:color w:val="auto"/>
              </w:rPr>
              <w:t>​ ​</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52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780" w:type="dxa"/>
            <w:vAlign w:val="bottom"/>
          </w:tcPr>
          <w:p>
            <w:pPr>
              <w:spacing w:after="0"/>
              <w:rPr>
                <w:sz w:val="11"/>
                <w:szCs w:val="11"/>
                <w:color w:val="auto"/>
              </w:rPr>
            </w:pPr>
          </w:p>
        </w:tc>
        <w:tc>
          <w:tcPr>
            <w:tcW w:w="200" w:type="dxa"/>
            <w:vAlign w:val="bottom"/>
          </w:tcPr>
          <w:p>
            <w:pPr>
              <w:ind w:left="40"/>
              <w:spacing w:after="0" w:line="133" w:lineRule="exact"/>
              <w:rPr>
                <w:sz w:val="20"/>
                <w:szCs w:val="20"/>
                <w:color w:val="auto"/>
              </w:rPr>
            </w:pPr>
            <w:r>
              <w:rPr>
                <w:rFonts w:ascii="Arial" w:cs="Arial" w:eastAsia="Arial" w:hAnsi="Arial"/>
                <w:sz w:val="14"/>
                <w:szCs w:val="14"/>
                <w:color w:val="auto"/>
              </w:rPr>
              <w:t>​ ​</w:t>
            </w:r>
          </w:p>
        </w:tc>
        <w:tc>
          <w:tcPr>
            <w:tcW w:w="680" w:type="dxa"/>
            <w:vAlign w:val="bottom"/>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33" w:lineRule="exact"/>
              <w:rPr>
                <w:sz w:val="20"/>
                <w:szCs w:val="20"/>
                <w:color w:val="auto"/>
              </w:rPr>
            </w:pPr>
            <w:r>
              <w:rPr>
                <w:rFonts w:ascii="Arial" w:cs="Arial" w:eastAsia="Arial" w:hAnsi="Arial"/>
                <w:sz w:val="14"/>
                <w:szCs w:val="14"/>
                <w:color w:val="auto"/>
              </w:rPr>
              <w:t>​ ​</w:t>
            </w:r>
          </w:p>
        </w:tc>
        <w:tc>
          <w:tcPr>
            <w:tcW w:w="920" w:type="dxa"/>
            <w:vAlign w:val="bottom"/>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76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4"/>
                <w:szCs w:val="14"/>
                <w:color w:val="auto"/>
              </w:rPr>
              <w:t>​ ​</w:t>
            </w:r>
          </w:p>
        </w:tc>
        <w:tc>
          <w:tcPr>
            <w:tcW w:w="720" w:type="dxa"/>
            <w:vAlign w:val="bottom"/>
          </w:tcPr>
          <w:p>
            <w:pPr>
              <w:jc w:val="center"/>
              <w:spacing w:after="0" w:line="133" w:lineRule="exact"/>
              <w:rPr>
                <w:sz w:val="20"/>
                <w:szCs w:val="20"/>
                <w:color w:val="auto"/>
              </w:rPr>
            </w:pPr>
            <w:r>
              <w:rPr>
                <w:rFonts w:ascii="Arial" w:cs="Arial" w:eastAsia="Arial" w:hAnsi="Arial"/>
                <w:sz w:val="14"/>
                <w:szCs w:val="14"/>
                <w:color w:val="auto"/>
              </w:rPr>
              <w:t>​</w:t>
            </w:r>
          </w:p>
        </w:tc>
        <w:tc>
          <w:tcPr>
            <w:tcW w:w="16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140" w:type="dxa"/>
            <w:vAlign w:val="bottom"/>
          </w:tcPr>
          <w:p>
            <w:pPr>
              <w:ind w:left="120"/>
              <w:spacing w:after="0"/>
              <w:rPr>
                <w:sz w:val="20"/>
                <w:szCs w:val="20"/>
                <w:color w:val="auto"/>
              </w:rPr>
            </w:pPr>
            <w:r>
              <w:rPr>
                <w:rFonts w:ascii="Arial" w:cs="Arial" w:eastAsia="Arial" w:hAnsi="Arial"/>
                <w:sz w:val="14"/>
                <w:szCs w:val="14"/>
                <w:color w:val="auto"/>
              </w:rPr>
              <w:t>Nichelle Maynard-Elliott</w:t>
            </w:r>
          </w:p>
        </w:tc>
        <w:tc>
          <w:tcPr>
            <w:tcW w:w="920" w:type="dxa"/>
            <w:vAlign w:val="bottom"/>
          </w:tcPr>
          <w:p>
            <w:pPr>
              <w:ind w:left="700"/>
              <w:spacing w:after="0"/>
              <w:rPr>
                <w:sz w:val="20"/>
                <w:szCs w:val="20"/>
                <w:color w:val="auto"/>
              </w:rPr>
            </w:pPr>
            <w:r>
              <w:rPr>
                <w:rFonts w:ascii="Arial" w:cs="Arial" w:eastAsia="Arial" w:hAnsi="Arial"/>
                <w:sz w:val="14"/>
                <w:szCs w:val="14"/>
                <w:color w:val="auto"/>
              </w:rPr>
              <w:t>54</w:t>
            </w: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shd w:val="clear" w:color="auto" w:fill="F7F7F7"/>
          </w:tcPr>
          <w:p>
            <w:pPr>
              <w:ind w:left="60"/>
              <w:spacing w:after="0" w:line="133" w:lineRule="exact"/>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ind w:left="480"/>
              <w:spacing w:after="0" w:line="133" w:lineRule="exact"/>
              <w:rPr>
                <w:sz w:val="20"/>
                <w:szCs w:val="20"/>
                <w:color w:val="auto"/>
              </w:rPr>
            </w:pPr>
            <w:r>
              <w:rPr>
                <w:rFonts w:ascii="Arial" w:cs="Arial" w:eastAsia="Arial" w:hAnsi="Arial"/>
                <w:sz w:val="14"/>
                <w:szCs w:val="14"/>
                <w:color w:val="auto"/>
              </w:rPr>
              <w:t>​ ​</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52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500" w:type="dxa"/>
            <w:vAlign w:val="bottom"/>
            <w:shd w:val="clear" w:color="auto" w:fill="F7F7F7"/>
          </w:tcPr>
          <w:p>
            <w:pPr>
              <w:ind w:left="240"/>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spacing w:after="0"/>
              <w:rPr>
                <w:sz w:val="11"/>
                <w:szCs w:val="11"/>
                <w:color w:val="auto"/>
              </w:rPr>
            </w:pPr>
          </w:p>
        </w:tc>
        <w:tc>
          <w:tcPr>
            <w:tcW w:w="20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 ​</w:t>
            </w:r>
          </w:p>
        </w:tc>
        <w:tc>
          <w:tcPr>
            <w:tcW w:w="68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 ​</w:t>
            </w:r>
          </w:p>
        </w:tc>
        <w:tc>
          <w:tcPr>
            <w:tcW w:w="92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 ​</w:t>
            </w:r>
          </w:p>
        </w:tc>
        <w:tc>
          <w:tcPr>
            <w:tcW w:w="72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60" w:type="dxa"/>
            <w:vAlign w:val="bottom"/>
            <w:shd w:val="clear" w:color="auto" w:fill="F7F7F7"/>
          </w:tcPr>
          <w:p>
            <w:pPr>
              <w:ind w:left="60"/>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140" w:type="dxa"/>
            <w:vAlign w:val="bottom"/>
            <w:shd w:val="clear" w:color="auto" w:fill="F7F7F7"/>
          </w:tcPr>
          <w:p>
            <w:pPr>
              <w:ind w:left="120"/>
              <w:spacing w:after="0"/>
              <w:rPr>
                <w:sz w:val="20"/>
                <w:szCs w:val="20"/>
                <w:color w:val="auto"/>
              </w:rPr>
            </w:pPr>
            <w:r>
              <w:rPr>
                <w:rFonts w:ascii="Arial" w:cs="Arial" w:eastAsia="Arial" w:hAnsi="Arial"/>
                <w:sz w:val="14"/>
                <w:szCs w:val="14"/>
                <w:color w:val="auto"/>
              </w:rPr>
              <w:t>Chabi Nouri**</w:t>
            </w:r>
          </w:p>
        </w:tc>
        <w:tc>
          <w:tcPr>
            <w:tcW w:w="920" w:type="dxa"/>
            <w:vAlign w:val="bottom"/>
            <w:shd w:val="clear" w:color="auto" w:fill="F7F7F7"/>
          </w:tcPr>
          <w:p>
            <w:pPr>
              <w:ind w:left="700"/>
              <w:spacing w:after="0"/>
              <w:rPr>
                <w:sz w:val="20"/>
                <w:szCs w:val="20"/>
                <w:color w:val="auto"/>
              </w:rPr>
            </w:pPr>
            <w:r>
              <w:rPr>
                <w:rFonts w:ascii="Arial" w:cs="Arial" w:eastAsia="Arial" w:hAnsi="Arial"/>
                <w:sz w:val="14"/>
                <w:szCs w:val="14"/>
                <w:color w:val="auto"/>
              </w:rPr>
              <w:t>49</w:t>
            </w:r>
          </w:p>
        </w:tc>
        <w:tc>
          <w:tcPr>
            <w:tcW w:w="180" w:type="dxa"/>
            <w:vAlign w:val="bottom"/>
            <w:shd w:val="clear" w:color="auto" w:fill="F7F7F7"/>
          </w:tcPr>
          <w:p>
            <w:pPr>
              <w:spacing w:after="0"/>
              <w:rPr>
                <w:sz w:val="16"/>
                <w:szCs w:val="16"/>
                <w:color w:val="auto"/>
              </w:rPr>
            </w:pPr>
          </w:p>
        </w:tc>
        <w:tc>
          <w:tcPr>
            <w:tcW w:w="52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50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780" w:type="dxa"/>
            <w:vAlign w:val="bottom"/>
            <w:shd w:val="clear" w:color="auto" w:fill="F7F7F7"/>
          </w:tcPr>
          <w:p>
            <w:pPr>
              <w:spacing w:after="0"/>
              <w:rPr>
                <w:sz w:val="16"/>
                <w:szCs w:val="16"/>
                <w:color w:val="auto"/>
              </w:rPr>
            </w:pPr>
          </w:p>
        </w:tc>
        <w:tc>
          <w:tcPr>
            <w:tcW w:w="200" w:type="dxa"/>
            <w:vAlign w:val="bottom"/>
            <w:shd w:val="clear" w:color="auto" w:fill="F7F7F7"/>
          </w:tcPr>
          <w:p>
            <w:pPr>
              <w:spacing w:after="0"/>
              <w:rPr>
                <w:sz w:val="16"/>
                <w:szCs w:val="16"/>
                <w:color w:val="auto"/>
              </w:rPr>
            </w:pPr>
          </w:p>
        </w:tc>
        <w:tc>
          <w:tcPr>
            <w:tcW w:w="68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92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76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720" w:type="dxa"/>
            <w:vAlign w:val="bottom"/>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4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0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80" w:type="dxa"/>
            <w:vAlign w:val="bottom"/>
            <w:tcBorders>
              <w:bottom w:val="single" w:sz="8" w:color="auto"/>
            </w:tcBorders>
            <w:shd w:val="clear" w:color="auto" w:fill="F7F7F7"/>
          </w:tcPr>
          <w:p>
            <w:pPr>
              <w:spacing w:after="0"/>
              <w:rPr>
                <w:sz w:val="11"/>
                <w:szCs w:val="11"/>
                <w:color w:val="auto"/>
              </w:rPr>
            </w:pPr>
          </w:p>
        </w:tc>
        <w:tc>
          <w:tcPr>
            <w:tcW w:w="200" w:type="dxa"/>
            <w:vAlign w:val="bottom"/>
            <w:tcBorders>
              <w:bottom w:val="single" w:sz="8" w:color="auto"/>
            </w:tcBorders>
            <w:shd w:val="clear" w:color="auto" w:fill="F7F7F7"/>
          </w:tcPr>
          <w:p>
            <w:pPr>
              <w:spacing w:after="0"/>
              <w:rPr>
                <w:sz w:val="11"/>
                <w:szCs w:val="11"/>
                <w:color w:val="auto"/>
              </w:rPr>
            </w:pPr>
          </w:p>
        </w:tc>
        <w:tc>
          <w:tcPr>
            <w:tcW w:w="68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6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20" w:type="dxa"/>
            <w:vAlign w:val="bottom"/>
            <w:tcBorders>
              <w:bottom w:val="single" w:sz="8" w:color="auto"/>
            </w:tcBorders>
            <w:shd w:val="clear" w:color="auto" w:fill="F7F7F7"/>
          </w:tcPr>
          <w:p>
            <w:pPr>
              <w:spacing w:after="0"/>
              <w:rPr>
                <w:sz w:val="11"/>
                <w:szCs w:val="11"/>
                <w:color w:val="auto"/>
              </w:rPr>
            </w:pPr>
          </w:p>
        </w:tc>
        <w:tc>
          <w:tcPr>
            <w:tcW w:w="160" w:type="dxa"/>
            <w:vAlign w:val="bottom"/>
            <w:tcBorders>
              <w:bottom w:val="single" w:sz="8" w:color="auto"/>
            </w:tcBorders>
            <w:shd w:val="clear" w:color="auto" w:fill="F7F7F7"/>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920" w:type="dxa"/>
            <w:vAlign w:val="bottom"/>
          </w:tcPr>
          <w:p>
            <w:pPr>
              <w:ind w:left="480"/>
              <w:spacing w:after="0" w:line="133" w:lineRule="exact"/>
              <w:rPr>
                <w:sz w:val="20"/>
                <w:szCs w:val="20"/>
                <w:color w:val="auto"/>
              </w:rPr>
            </w:pPr>
            <w:r>
              <w:rPr>
                <w:rFonts w:ascii="Arial" w:cs="Arial" w:eastAsia="Arial" w:hAnsi="Arial"/>
                <w:sz w:val="14"/>
                <w:szCs w:val="14"/>
                <w:color w:val="auto"/>
              </w:rPr>
              <w:t>​ ​</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52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780" w:type="dxa"/>
            <w:vAlign w:val="bottom"/>
          </w:tcPr>
          <w:p>
            <w:pPr>
              <w:jc w:val="center"/>
              <w:spacing w:after="0" w:line="133"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33" w:lineRule="exact"/>
              <w:rPr>
                <w:sz w:val="20"/>
                <w:szCs w:val="20"/>
                <w:color w:val="auto"/>
              </w:rPr>
            </w:pPr>
            <w:r>
              <w:rPr>
                <w:rFonts w:ascii="Arial" w:cs="Arial" w:eastAsia="Arial" w:hAnsi="Arial"/>
                <w:sz w:val="14"/>
                <w:szCs w:val="14"/>
                <w:color w:val="auto"/>
              </w:rPr>
              <w:t>​ ​</w:t>
            </w:r>
          </w:p>
        </w:tc>
        <w:tc>
          <w:tcPr>
            <w:tcW w:w="680" w:type="dxa"/>
            <w:vAlign w:val="bottom"/>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33" w:lineRule="exact"/>
              <w:rPr>
                <w:sz w:val="20"/>
                <w:szCs w:val="20"/>
                <w:color w:val="auto"/>
              </w:rPr>
            </w:pPr>
            <w:r>
              <w:rPr>
                <w:rFonts w:ascii="Arial" w:cs="Arial" w:eastAsia="Arial" w:hAnsi="Arial"/>
                <w:sz w:val="14"/>
                <w:szCs w:val="14"/>
                <w:color w:val="auto"/>
              </w:rPr>
              <w:t>​ ​</w:t>
            </w:r>
          </w:p>
        </w:tc>
        <w:tc>
          <w:tcPr>
            <w:tcW w:w="920" w:type="dxa"/>
            <w:vAlign w:val="bottom"/>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760" w:type="dxa"/>
            <w:vAlign w:val="bottom"/>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33" w:lineRule="exact"/>
              <w:rPr>
                <w:sz w:val="20"/>
                <w:szCs w:val="20"/>
                <w:color w:val="auto"/>
              </w:rPr>
            </w:pPr>
            <w:r>
              <w:rPr>
                <w:rFonts w:ascii="Arial" w:cs="Arial" w:eastAsia="Arial" w:hAnsi="Arial"/>
                <w:sz w:val="14"/>
                <w:szCs w:val="14"/>
                <w:color w:val="auto"/>
              </w:rPr>
              <w:t>​ ​</w:t>
            </w:r>
          </w:p>
        </w:tc>
        <w:tc>
          <w:tcPr>
            <w:tcW w:w="720" w:type="dxa"/>
            <w:vAlign w:val="bottom"/>
          </w:tcPr>
          <w:p>
            <w:pPr>
              <w:spacing w:after="0"/>
              <w:rPr>
                <w:sz w:val="11"/>
                <w:szCs w:val="11"/>
                <w:color w:val="auto"/>
              </w:rPr>
            </w:pPr>
          </w:p>
        </w:tc>
        <w:tc>
          <w:tcPr>
            <w:tcW w:w="16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140" w:type="dxa"/>
            <w:vAlign w:val="bottom"/>
          </w:tcPr>
          <w:p>
            <w:pPr>
              <w:ind w:left="120"/>
              <w:spacing w:after="0"/>
              <w:rPr>
                <w:sz w:val="20"/>
                <w:szCs w:val="20"/>
                <w:color w:val="auto"/>
              </w:rPr>
            </w:pPr>
            <w:r>
              <w:rPr>
                <w:rFonts w:ascii="Arial" w:cs="Arial" w:eastAsia="Arial" w:hAnsi="Arial"/>
                <w:sz w:val="14"/>
                <w:szCs w:val="14"/>
                <w:color w:val="auto"/>
              </w:rPr>
              <w:t>Peter Rawlinson</w:t>
            </w:r>
          </w:p>
        </w:tc>
        <w:tc>
          <w:tcPr>
            <w:tcW w:w="920" w:type="dxa"/>
            <w:vAlign w:val="bottom"/>
          </w:tcPr>
          <w:p>
            <w:pPr>
              <w:ind w:left="700"/>
              <w:spacing w:after="0"/>
              <w:rPr>
                <w:sz w:val="20"/>
                <w:szCs w:val="20"/>
                <w:color w:val="auto"/>
              </w:rPr>
            </w:pPr>
            <w:r>
              <w:rPr>
                <w:rFonts w:ascii="Arial" w:cs="Arial" w:eastAsia="Arial" w:hAnsi="Arial"/>
                <w:sz w:val="14"/>
                <w:szCs w:val="14"/>
                <w:color w:val="auto"/>
              </w:rPr>
              <w:t>65</w:t>
            </w: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shd w:val="clear" w:color="auto" w:fill="F7F7F7"/>
          </w:tcPr>
          <w:p>
            <w:pPr>
              <w:ind w:left="60"/>
              <w:spacing w:after="0" w:line="133" w:lineRule="exact"/>
              <w:rPr>
                <w:sz w:val="20"/>
                <w:szCs w:val="20"/>
                <w:color w:val="auto"/>
              </w:rPr>
            </w:pPr>
            <w:r>
              <w:rPr>
                <w:rFonts w:ascii="Arial" w:cs="Arial" w:eastAsia="Arial" w:hAnsi="Arial"/>
                <w:sz w:val="14"/>
                <w:szCs w:val="14"/>
                <w:color w:val="auto"/>
              </w:rPr>
              <w:t>​</w:t>
            </w:r>
          </w:p>
        </w:tc>
        <w:tc>
          <w:tcPr>
            <w:tcW w:w="920" w:type="dxa"/>
            <w:vAlign w:val="bottom"/>
            <w:shd w:val="clear" w:color="auto" w:fill="F7F7F7"/>
          </w:tcPr>
          <w:p>
            <w:pPr>
              <w:ind w:left="480"/>
              <w:spacing w:after="0" w:line="133" w:lineRule="exact"/>
              <w:rPr>
                <w:sz w:val="20"/>
                <w:szCs w:val="20"/>
                <w:color w:val="auto"/>
              </w:rPr>
            </w:pPr>
            <w:r>
              <w:rPr>
                <w:rFonts w:ascii="Arial" w:cs="Arial" w:eastAsia="Arial" w:hAnsi="Arial"/>
                <w:sz w:val="14"/>
                <w:szCs w:val="14"/>
                <w:color w:val="auto"/>
              </w:rPr>
              <w:t>​ ​</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52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500" w:type="dxa"/>
            <w:vAlign w:val="bottom"/>
            <w:shd w:val="clear" w:color="auto" w:fill="F7F7F7"/>
          </w:tcPr>
          <w:p>
            <w:pPr>
              <w:ind w:left="240"/>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spacing w:after="0"/>
              <w:rPr>
                <w:sz w:val="11"/>
                <w:szCs w:val="11"/>
                <w:color w:val="auto"/>
              </w:rPr>
            </w:pPr>
          </w:p>
        </w:tc>
        <w:tc>
          <w:tcPr>
            <w:tcW w:w="20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 ​</w:t>
            </w:r>
          </w:p>
        </w:tc>
        <w:tc>
          <w:tcPr>
            <w:tcW w:w="68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 ​</w:t>
            </w:r>
          </w:p>
        </w:tc>
        <w:tc>
          <w:tcPr>
            <w:tcW w:w="92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20"/>
              <w:spacing w:after="0" w:line="133" w:lineRule="exact"/>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 ​</w:t>
            </w:r>
          </w:p>
        </w:tc>
        <w:tc>
          <w:tcPr>
            <w:tcW w:w="720" w:type="dxa"/>
            <w:vAlign w:val="bottom"/>
            <w:shd w:val="clear" w:color="auto" w:fill="F7F7F7"/>
          </w:tcPr>
          <w:p>
            <w:pPr>
              <w:jc w:val="center"/>
              <w:spacing w:after="0" w:line="133" w:lineRule="exact"/>
              <w:rPr>
                <w:sz w:val="20"/>
                <w:szCs w:val="20"/>
                <w:color w:val="auto"/>
              </w:rPr>
            </w:pPr>
            <w:r>
              <w:rPr>
                <w:rFonts w:ascii="Arial" w:cs="Arial" w:eastAsia="Arial" w:hAnsi="Arial"/>
                <w:sz w:val="14"/>
                <w:szCs w:val="14"/>
                <w:color w:val="auto"/>
              </w:rPr>
              <w:t>​</w:t>
            </w:r>
          </w:p>
        </w:tc>
        <w:tc>
          <w:tcPr>
            <w:tcW w:w="160" w:type="dxa"/>
            <w:vAlign w:val="bottom"/>
            <w:shd w:val="clear" w:color="auto" w:fill="F7F7F7"/>
          </w:tcPr>
          <w:p>
            <w:pPr>
              <w:ind w:left="60"/>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140" w:type="dxa"/>
            <w:vAlign w:val="bottom"/>
            <w:shd w:val="clear" w:color="auto" w:fill="F7F7F7"/>
          </w:tcPr>
          <w:p>
            <w:pPr>
              <w:ind w:left="120"/>
              <w:spacing w:after="0"/>
              <w:rPr>
                <w:sz w:val="20"/>
                <w:szCs w:val="20"/>
                <w:color w:val="auto"/>
              </w:rPr>
            </w:pPr>
            <w:r>
              <w:rPr>
                <w:rFonts w:ascii="Arial" w:cs="Arial" w:eastAsia="Arial" w:hAnsi="Arial"/>
                <w:sz w:val="14"/>
                <w:szCs w:val="14"/>
                <w:color w:val="auto"/>
              </w:rPr>
              <w:t>Ori Winitzer**</w:t>
            </w:r>
          </w:p>
        </w:tc>
        <w:tc>
          <w:tcPr>
            <w:tcW w:w="920" w:type="dxa"/>
            <w:vAlign w:val="bottom"/>
            <w:shd w:val="clear" w:color="auto" w:fill="F7F7F7"/>
          </w:tcPr>
          <w:p>
            <w:pPr>
              <w:ind w:left="700"/>
              <w:spacing w:after="0"/>
              <w:rPr>
                <w:sz w:val="20"/>
                <w:szCs w:val="20"/>
                <w:color w:val="auto"/>
              </w:rPr>
            </w:pPr>
            <w:r>
              <w:rPr>
                <w:rFonts w:ascii="Arial" w:cs="Arial" w:eastAsia="Arial" w:hAnsi="Arial"/>
                <w:sz w:val="14"/>
                <w:szCs w:val="14"/>
                <w:color w:val="auto"/>
              </w:rPr>
              <w:t>47</w:t>
            </w:r>
          </w:p>
        </w:tc>
        <w:tc>
          <w:tcPr>
            <w:tcW w:w="180" w:type="dxa"/>
            <w:vAlign w:val="bottom"/>
            <w:shd w:val="clear" w:color="auto" w:fill="F7F7F7"/>
          </w:tcPr>
          <w:p>
            <w:pPr>
              <w:spacing w:after="0"/>
              <w:rPr>
                <w:sz w:val="16"/>
                <w:szCs w:val="16"/>
                <w:color w:val="auto"/>
              </w:rPr>
            </w:pPr>
          </w:p>
        </w:tc>
        <w:tc>
          <w:tcPr>
            <w:tcW w:w="52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50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780" w:type="dxa"/>
            <w:vAlign w:val="bottom"/>
            <w:shd w:val="clear" w:color="auto" w:fill="F7F7F7"/>
          </w:tcPr>
          <w:p>
            <w:pPr>
              <w:spacing w:after="0"/>
              <w:rPr>
                <w:sz w:val="16"/>
                <w:szCs w:val="16"/>
                <w:color w:val="auto"/>
              </w:rPr>
            </w:pPr>
          </w:p>
        </w:tc>
        <w:tc>
          <w:tcPr>
            <w:tcW w:w="200" w:type="dxa"/>
            <w:vAlign w:val="bottom"/>
            <w:shd w:val="clear" w:color="auto" w:fill="F7F7F7"/>
          </w:tcPr>
          <w:p>
            <w:pPr>
              <w:spacing w:after="0"/>
              <w:rPr>
                <w:sz w:val="16"/>
                <w:szCs w:val="16"/>
                <w:color w:val="auto"/>
              </w:rPr>
            </w:pPr>
          </w:p>
        </w:tc>
        <w:tc>
          <w:tcPr>
            <w:tcW w:w="68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92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76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720" w:type="dxa"/>
            <w:vAlign w:val="bottom"/>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4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50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80" w:type="dxa"/>
            <w:vAlign w:val="bottom"/>
            <w:tcBorders>
              <w:bottom w:val="single" w:sz="8" w:color="auto"/>
            </w:tcBorders>
            <w:shd w:val="clear" w:color="auto" w:fill="F7F7F7"/>
          </w:tcPr>
          <w:p>
            <w:pPr>
              <w:spacing w:after="0"/>
              <w:rPr>
                <w:sz w:val="11"/>
                <w:szCs w:val="11"/>
                <w:color w:val="auto"/>
              </w:rPr>
            </w:pPr>
          </w:p>
        </w:tc>
        <w:tc>
          <w:tcPr>
            <w:tcW w:w="200" w:type="dxa"/>
            <w:vAlign w:val="bottom"/>
            <w:tcBorders>
              <w:bottom w:val="single" w:sz="8" w:color="auto"/>
            </w:tcBorders>
            <w:shd w:val="clear" w:color="auto" w:fill="F7F7F7"/>
          </w:tcPr>
          <w:p>
            <w:pPr>
              <w:spacing w:after="0"/>
              <w:rPr>
                <w:sz w:val="11"/>
                <w:szCs w:val="11"/>
                <w:color w:val="auto"/>
              </w:rPr>
            </w:pPr>
          </w:p>
        </w:tc>
        <w:tc>
          <w:tcPr>
            <w:tcW w:w="68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92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60" w:type="dxa"/>
            <w:vAlign w:val="bottom"/>
            <w:tcBorders>
              <w:bottom w:val="single" w:sz="8" w:color="auto"/>
            </w:tcBorders>
            <w:shd w:val="clear" w:color="auto" w:fill="F7F7F7"/>
          </w:tcPr>
          <w:p>
            <w:pPr>
              <w:spacing w:after="0"/>
              <w:rPr>
                <w:sz w:val="11"/>
                <w:szCs w:val="11"/>
                <w:color w:val="auto"/>
              </w:rPr>
            </w:pPr>
          </w:p>
        </w:tc>
        <w:tc>
          <w:tcPr>
            <w:tcW w:w="180" w:type="dxa"/>
            <w:vAlign w:val="bottom"/>
            <w:tcBorders>
              <w:bottom w:val="single" w:sz="8" w:color="auto"/>
            </w:tcBorders>
            <w:shd w:val="clear" w:color="auto" w:fill="F7F7F7"/>
          </w:tcPr>
          <w:p>
            <w:pPr>
              <w:spacing w:after="0"/>
              <w:rPr>
                <w:sz w:val="11"/>
                <w:szCs w:val="11"/>
                <w:color w:val="auto"/>
              </w:rPr>
            </w:pPr>
          </w:p>
        </w:tc>
        <w:tc>
          <w:tcPr>
            <w:tcW w:w="720" w:type="dxa"/>
            <w:vAlign w:val="bottom"/>
            <w:tcBorders>
              <w:bottom w:val="single" w:sz="8" w:color="auto"/>
            </w:tcBorders>
            <w:shd w:val="clear" w:color="auto" w:fill="F7F7F7"/>
          </w:tcPr>
          <w:p>
            <w:pPr>
              <w:spacing w:after="0"/>
              <w:rPr>
                <w:sz w:val="11"/>
                <w:szCs w:val="11"/>
                <w:color w:val="auto"/>
              </w:rPr>
            </w:pPr>
          </w:p>
        </w:tc>
        <w:tc>
          <w:tcPr>
            <w:tcW w:w="160" w:type="dxa"/>
            <w:vAlign w:val="bottom"/>
            <w:tcBorders>
              <w:bottom w:val="single" w:sz="8" w:color="auto"/>
            </w:tcBorders>
            <w:shd w:val="clear" w:color="auto" w:fill="F7F7F7"/>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920" w:type="dxa"/>
            <w:vAlign w:val="bottom"/>
          </w:tcPr>
          <w:p>
            <w:pPr>
              <w:ind w:left="480"/>
              <w:spacing w:after="0" w:line="133" w:lineRule="exact"/>
              <w:rPr>
                <w:sz w:val="20"/>
                <w:szCs w:val="20"/>
                <w:color w:val="auto"/>
              </w:rPr>
            </w:pPr>
            <w:r>
              <w:rPr>
                <w:rFonts w:ascii="Arial" w:cs="Arial" w:eastAsia="Arial" w:hAnsi="Arial"/>
                <w:sz w:val="14"/>
                <w:szCs w:val="14"/>
                <w:color w:val="auto"/>
              </w:rPr>
              <w:t>​ ​</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52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50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780" w:type="dxa"/>
            <w:vAlign w:val="bottom"/>
          </w:tcPr>
          <w:p>
            <w:pPr>
              <w:spacing w:after="0"/>
              <w:rPr>
                <w:sz w:val="11"/>
                <w:szCs w:val="11"/>
                <w:color w:val="auto"/>
              </w:rPr>
            </w:pPr>
          </w:p>
        </w:tc>
        <w:tc>
          <w:tcPr>
            <w:tcW w:w="200" w:type="dxa"/>
            <w:vAlign w:val="bottom"/>
          </w:tcPr>
          <w:p>
            <w:pPr>
              <w:ind w:left="40"/>
              <w:spacing w:after="0" w:line="133" w:lineRule="exact"/>
              <w:rPr>
                <w:sz w:val="20"/>
                <w:szCs w:val="20"/>
                <w:color w:val="auto"/>
              </w:rPr>
            </w:pPr>
            <w:r>
              <w:rPr>
                <w:rFonts w:ascii="Arial" w:cs="Arial" w:eastAsia="Arial" w:hAnsi="Arial"/>
                <w:sz w:val="14"/>
                <w:szCs w:val="14"/>
                <w:color w:val="auto"/>
              </w:rPr>
              <w:t>​ ​</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Chair</w:t>
            </w:r>
          </w:p>
        </w:tc>
        <w:tc>
          <w:tcPr>
            <w:tcW w:w="180" w:type="dxa"/>
            <w:vAlign w:val="bottom"/>
          </w:tcPr>
          <w:p>
            <w:pPr>
              <w:ind w:left="40"/>
              <w:spacing w:after="0" w:line="133" w:lineRule="exact"/>
              <w:rPr>
                <w:sz w:val="20"/>
                <w:szCs w:val="20"/>
                <w:color w:val="auto"/>
              </w:rPr>
            </w:pPr>
            <w:r>
              <w:rPr>
                <w:rFonts w:ascii="Arial" w:cs="Arial" w:eastAsia="Arial" w:hAnsi="Arial"/>
                <w:sz w:val="14"/>
                <w:szCs w:val="14"/>
                <w:color w:val="auto"/>
              </w:rPr>
              <w:t>​ ​</w:t>
            </w:r>
          </w:p>
        </w:tc>
        <w:tc>
          <w:tcPr>
            <w:tcW w:w="920" w:type="dxa"/>
            <w:vAlign w:val="bottom"/>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ind w:left="20"/>
              <w:spacing w:after="0" w:line="133" w:lineRule="exact"/>
              <w:rPr>
                <w:sz w:val="20"/>
                <w:szCs w:val="20"/>
                <w:color w:val="auto"/>
              </w:rPr>
            </w:pPr>
            <w:r>
              <w:rPr>
                <w:rFonts w:ascii="Arial" w:cs="Arial" w:eastAsia="Arial" w:hAnsi="Arial"/>
                <w:sz w:val="14"/>
                <w:szCs w:val="14"/>
                <w:color w:val="auto"/>
              </w:rPr>
              <w:t>​ ​</w:t>
            </w:r>
          </w:p>
        </w:tc>
        <w:tc>
          <w:tcPr>
            <w:tcW w:w="760" w:type="dxa"/>
            <w:vAlign w:val="bottom"/>
          </w:tcPr>
          <w:p>
            <w:pPr>
              <w:jc w:val="center"/>
              <w:spacing w:after="0" w:line="133" w:lineRule="exact"/>
              <w:rPr>
                <w:sz w:val="20"/>
                <w:szCs w:val="20"/>
                <w:color w:val="auto"/>
              </w:rPr>
            </w:pPr>
            <w:r>
              <w:rPr>
                <w:rFonts w:ascii="Arial" w:cs="Arial" w:eastAsia="Arial" w:hAnsi="Arial"/>
                <w:sz w:val="14"/>
                <w:szCs w:val="14"/>
                <w:color w:val="auto"/>
              </w:rPr>
              <w:t>​</w:t>
            </w:r>
          </w:p>
        </w:tc>
        <w:tc>
          <w:tcPr>
            <w:tcW w:w="180" w:type="dxa"/>
            <w:vAlign w:val="bottom"/>
          </w:tcPr>
          <w:p>
            <w:pPr>
              <w:ind w:left="40"/>
              <w:spacing w:after="0" w:line="133" w:lineRule="exact"/>
              <w:rPr>
                <w:sz w:val="20"/>
                <w:szCs w:val="20"/>
                <w:color w:val="auto"/>
              </w:rPr>
            </w:pPr>
            <w:r>
              <w:rPr>
                <w:rFonts w:ascii="Arial" w:cs="Arial" w:eastAsia="Arial" w:hAnsi="Arial"/>
                <w:sz w:val="14"/>
                <w:szCs w:val="14"/>
                <w:color w:val="auto"/>
              </w:rPr>
              <w:t>​ ​</w:t>
            </w:r>
          </w:p>
        </w:tc>
        <w:tc>
          <w:tcPr>
            <w:tcW w:w="720" w:type="dxa"/>
            <w:vAlign w:val="bottom"/>
          </w:tcPr>
          <w:p>
            <w:pPr>
              <w:jc w:val="center"/>
              <w:spacing w:after="0" w:line="133" w:lineRule="exact"/>
              <w:rPr>
                <w:sz w:val="20"/>
                <w:szCs w:val="20"/>
                <w:color w:val="auto"/>
              </w:rPr>
            </w:pPr>
            <w:r>
              <w:rPr>
                <w:rFonts w:ascii="Arial" w:cs="Arial" w:eastAsia="Arial" w:hAnsi="Arial"/>
                <w:sz w:val="14"/>
                <w:szCs w:val="14"/>
                <w:color w:val="auto"/>
              </w:rPr>
              <w:t>​</w:t>
            </w:r>
          </w:p>
        </w:tc>
        <w:tc>
          <w:tcPr>
            <w:tcW w:w="160" w:type="dxa"/>
            <w:vAlign w:val="bottom"/>
          </w:tcPr>
          <w:p>
            <w:pPr>
              <w:ind w:left="60"/>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140" w:type="dxa"/>
            <w:vAlign w:val="bottom"/>
          </w:tcPr>
          <w:p>
            <w:pPr>
              <w:ind w:left="120"/>
              <w:spacing w:after="0"/>
              <w:rPr>
                <w:sz w:val="20"/>
                <w:szCs w:val="20"/>
                <w:color w:val="auto"/>
              </w:rPr>
            </w:pPr>
            <w:r>
              <w:rPr>
                <w:rFonts w:ascii="Arial" w:cs="Arial" w:eastAsia="Arial" w:hAnsi="Arial"/>
                <w:sz w:val="14"/>
                <w:szCs w:val="14"/>
                <w:color w:val="auto"/>
              </w:rPr>
              <w:t>Janet S. Wong</w:t>
            </w:r>
          </w:p>
        </w:tc>
        <w:tc>
          <w:tcPr>
            <w:tcW w:w="920" w:type="dxa"/>
            <w:vAlign w:val="bottom"/>
          </w:tcPr>
          <w:p>
            <w:pPr>
              <w:ind w:left="700"/>
              <w:spacing w:after="0"/>
              <w:rPr>
                <w:sz w:val="20"/>
                <w:szCs w:val="20"/>
                <w:color w:val="auto"/>
              </w:rPr>
            </w:pPr>
            <w:r>
              <w:rPr>
                <w:rFonts w:ascii="Arial" w:cs="Arial" w:eastAsia="Arial" w:hAnsi="Arial"/>
                <w:sz w:val="14"/>
                <w:szCs w:val="14"/>
                <w:color w:val="auto"/>
              </w:rPr>
              <w:t>64</w:t>
            </w:r>
          </w:p>
        </w:tc>
        <w:tc>
          <w:tcPr>
            <w:tcW w:w="1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-2614295</wp:posOffset>
            </wp:positionV>
            <wp:extent cx="76835"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-2614295</wp:posOffset>
            </wp:positionV>
            <wp:extent cx="77470" cy="93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-2305685</wp:posOffset>
            </wp:positionV>
            <wp:extent cx="76835"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-2305685</wp:posOffset>
            </wp:positionV>
            <wp:extent cx="76835"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-2305685</wp:posOffset>
            </wp:positionV>
            <wp:extent cx="76835" cy="93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-2005330</wp:posOffset>
            </wp:positionV>
            <wp:extent cx="76835" cy="93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-1705610</wp:posOffset>
            </wp:positionV>
            <wp:extent cx="76835"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-1405255</wp:posOffset>
            </wp:positionV>
            <wp:extent cx="76835" cy="939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5420360</wp:posOffset>
            </wp:positionH>
            <wp:positionV relativeFrom="paragraph">
              <wp:posOffset>-1405255</wp:posOffset>
            </wp:positionV>
            <wp:extent cx="76835"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-1105535</wp:posOffset>
            </wp:positionV>
            <wp:extent cx="76835"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-805180</wp:posOffset>
            </wp:positionV>
            <wp:extent cx="77470"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-505460</wp:posOffset>
            </wp:positionV>
            <wp:extent cx="76835" cy="93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3560445</wp:posOffset>
            </wp:positionH>
            <wp:positionV relativeFrom="paragraph">
              <wp:posOffset>-205105</wp:posOffset>
            </wp:positionV>
            <wp:extent cx="76835"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93980"/>
                    </a:xfrm>
                    <a:prstGeom prst="rect">
                      <a:avLst/>
                    </a:prstGeom>
                    <a:noFill/>
                  </pic:spPr>
                </pic:pic>
              </a:graphicData>
            </a:graphic>
          </wp:anchor>
        </w:drawing>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1"/>
          <w:szCs w:val="11"/>
          <w:color w:val="auto"/>
        </w:rPr>
        <w:t>* Chairman of the Board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1"/>
          <w:szCs w:val="11"/>
          <w:color w:val="auto"/>
        </w:rPr>
        <w:t>** Denotes director nominees that are not current directors</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5220" w:val="left"/>
          <w:tab w:leader="none" w:pos="99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680"/>
        <w:spacing w:after="0" w:line="284" w:lineRule="auto"/>
        <w:rPr>
          <w:sz w:val="20"/>
          <w:szCs w:val="20"/>
          <w:color w:val="auto"/>
        </w:rPr>
      </w:pPr>
      <w:r>
        <w:rPr>
          <w:rFonts w:ascii="Arial" w:cs="Arial" w:eastAsia="Arial" w:hAnsi="Arial"/>
          <w:sz w:val="16"/>
          <w:szCs w:val="16"/>
          <w:color w:val="auto"/>
        </w:rPr>
        <w:t>A brief biography of each nominee and each continuing director is also set forth below, which includes information, as of the date of this Proxy Statement, regarding specific and particular experience, qualifications, attributes or skills of each nominee that led the Nominating and Corporate Governance Committee and the Board to believe that the director should serve on the Board: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Director Nominees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2480" w:type="dxa"/>
            <w:vAlign w:val="bottom"/>
            <w:tcBorders>
              <w:top w:val="single" w:sz="8" w:color="auto"/>
            </w:tcBorders>
          </w:tcPr>
          <w:p>
            <w:pPr>
              <w:ind w:left="23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50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b w:val="1"/>
                <w:bCs w:val="1"/>
                <w:color w:val="auto"/>
              </w:rPr>
              <w:t xml:space="preserve">Turqi Alnowaiser </w:t>
            </w:r>
            <w:r>
              <w:rPr>
                <w:rFonts w:ascii="Arial" w:cs="Arial" w:eastAsia="Arial" w:hAnsi="Arial"/>
                <w:sz w:val="16"/>
                <w:szCs w:val="16"/>
                <w:color w:val="auto"/>
              </w:rPr>
              <w:t>has served as a member of our board of directors since</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April 2019. Mr. Alnowaiser has served as Deputy Governor and Head of the</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International Investments Division at the Public Investment Fund of the Kingdom</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of Saudi Arabia, one of the largest sovereign wealth funds in the world, since</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June 2021, and previously served as Head of International Investments at the</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Public Investment Fund from October 2016 to June 2021. Mr. Alnowaiser</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previously served as Senior Advisor at the Public Investment Fund from</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October 2015 to September 2016, prior to which he held several executive roles</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at Saudi Fransi Capital, a leading financial services firm based in Saudi Arabia,</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including as Head of Asset Management. Before his career at Saudi Fransi</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Capital, Mr. Alnowaiser specialized in developing, managing, and regulating</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various financial products across asset classes at Morgan Stanley, the Capital</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Turqi Alnowaiser</w:t>
            </w: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Market Authority of Saudi Arabia, and the Saudi Industrial Development Fund.</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020" w:type="dxa"/>
            <w:vAlign w:val="bottom"/>
            <w:gridSpan w:val="3"/>
            <w:vMerge w:val="restart"/>
          </w:tcPr>
          <w:p>
            <w:pPr>
              <w:ind w:left="140"/>
              <w:spacing w:after="0"/>
              <w:rPr>
                <w:sz w:val="20"/>
                <w:szCs w:val="20"/>
                <w:color w:val="auto"/>
              </w:rPr>
            </w:pPr>
            <w:r>
              <w:rPr>
                <w:rFonts w:ascii="Arial" w:cs="Arial" w:eastAsia="Arial" w:hAnsi="Arial"/>
                <w:sz w:val="16"/>
                <w:szCs w:val="16"/>
                <w:color w:val="auto"/>
              </w:rPr>
              <w:t>Mr. Alnowaiser has served on the board of directors of Hapag-Lloyd AG, an</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vMerge w:val="restart"/>
          </w:tcPr>
          <w:p>
            <w:pPr>
              <w:ind w:left="80"/>
              <w:spacing w:after="0"/>
              <w:rPr>
                <w:sz w:val="20"/>
                <w:szCs w:val="20"/>
                <w:color w:val="auto"/>
              </w:rPr>
            </w:pPr>
            <w:r>
              <w:rPr>
                <w:rFonts w:ascii="Arial" w:cs="Arial" w:eastAsia="Arial" w:hAnsi="Arial"/>
                <w:sz w:val="14"/>
                <w:szCs w:val="14"/>
                <w:color w:val="auto"/>
              </w:rPr>
              <w:t>Board Member</w:t>
            </w:r>
          </w:p>
        </w:tc>
        <w:tc>
          <w:tcPr>
            <w:tcW w:w="34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Arial" w:cs="Arial" w:eastAsia="Arial" w:hAnsi="Arial"/>
                <w:sz w:val="16"/>
                <w:szCs w:val="16"/>
                <w:color w:val="auto"/>
              </w:rPr>
              <w:t>international shipping and container transportation company, since</w:t>
            </w: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020" w:type="dxa"/>
            <w:vAlign w:val="bottom"/>
            <w:gridSpan w:val="3"/>
            <w:vMerge w:val="restart"/>
          </w:tcPr>
          <w:p>
            <w:pPr>
              <w:ind w:left="140"/>
              <w:spacing w:after="0"/>
              <w:rPr>
                <w:sz w:val="20"/>
                <w:szCs w:val="20"/>
                <w:color w:val="auto"/>
              </w:rPr>
            </w:pPr>
            <w:r>
              <w:rPr>
                <w:rFonts w:ascii="Arial" w:cs="Arial" w:eastAsia="Arial" w:hAnsi="Arial"/>
                <w:sz w:val="16"/>
                <w:szCs w:val="16"/>
                <w:color w:val="auto"/>
              </w:rPr>
              <w:t>February 2018. Mr. Alnowaiser holds a B.A. in International Business from King</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Age: 46</w:t>
            </w:r>
          </w:p>
        </w:tc>
        <w:tc>
          <w:tcPr>
            <w:tcW w:w="340" w:type="dxa"/>
            <w:vAlign w:val="bottom"/>
          </w:tcPr>
          <w:p>
            <w:pPr>
              <w:spacing w:after="0"/>
              <w:rPr>
                <w:sz w:val="15"/>
                <w:szCs w:val="15"/>
                <w:color w:val="auto"/>
              </w:rPr>
            </w:pPr>
          </w:p>
        </w:tc>
        <w:tc>
          <w:tcPr>
            <w:tcW w:w="5080" w:type="dxa"/>
            <w:vAlign w:val="bottom"/>
          </w:tcPr>
          <w:p>
            <w:pPr>
              <w:ind w:left="140"/>
              <w:spacing w:after="0" w:line="181" w:lineRule="exact"/>
              <w:rPr>
                <w:sz w:val="20"/>
                <w:szCs w:val="20"/>
                <w:color w:val="auto"/>
              </w:rPr>
            </w:pPr>
            <w:r>
              <w:rPr>
                <w:rFonts w:ascii="Arial" w:cs="Arial" w:eastAsia="Arial" w:hAnsi="Arial"/>
                <w:sz w:val="16"/>
                <w:szCs w:val="16"/>
                <w:color w:val="auto"/>
              </w:rPr>
              <w:t>Saud University and an M.B.A. from the University of San Francisco.</w:t>
            </w: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ind w:left="80"/>
              <w:spacing w:after="0"/>
              <w:rPr>
                <w:sz w:val="20"/>
                <w:szCs w:val="20"/>
                <w:color w:val="auto"/>
              </w:rPr>
            </w:pPr>
            <w:r>
              <w:rPr>
                <w:rFonts w:ascii="Arial" w:cs="Arial" w:eastAsia="Arial" w:hAnsi="Arial"/>
                <w:sz w:val="14"/>
                <w:szCs w:val="14"/>
                <w:color w:val="auto"/>
              </w:rPr>
              <w:t>Director Since: 2019</w:t>
            </w:r>
          </w:p>
        </w:tc>
        <w:tc>
          <w:tcPr>
            <w:tcW w:w="340" w:type="dxa"/>
            <w:vAlign w:val="bottom"/>
          </w:tcPr>
          <w:p>
            <w:pPr>
              <w:spacing w:after="0"/>
              <w:rPr>
                <w:sz w:val="16"/>
                <w:szCs w:val="16"/>
                <w:color w:val="auto"/>
              </w:rPr>
            </w:pPr>
          </w:p>
        </w:tc>
        <w:tc>
          <w:tcPr>
            <w:tcW w:w="5080" w:type="dxa"/>
            <w:vAlign w:val="bottom"/>
            <w:vMerge w:val="restart"/>
          </w:tcPr>
          <w:p>
            <w:pPr>
              <w:ind w:left="140"/>
              <w:spacing w:after="0"/>
              <w:rPr>
                <w:sz w:val="20"/>
                <w:szCs w:val="20"/>
                <w:color w:val="auto"/>
              </w:rPr>
            </w:pPr>
            <w:r>
              <w:rPr>
                <w:rFonts w:ascii="Arial" w:cs="Arial" w:eastAsia="Arial" w:hAnsi="Arial"/>
                <w:sz w:val="16"/>
                <w:szCs w:val="16"/>
                <w:b w:val="1"/>
                <w:bCs w:val="1"/>
                <w:color w:val="8A6B24"/>
              </w:rPr>
              <w:t>Skills and Qualifications:</w:t>
            </w: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We believe Mr. Alnowaiser is qualified to serve as a director due to his extensive</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40"/>
              <w:spacing w:after="0"/>
              <w:rPr>
                <w:sz w:val="20"/>
                <w:szCs w:val="20"/>
                <w:color w:val="auto"/>
              </w:rPr>
            </w:pPr>
            <w:r>
              <w:rPr>
                <w:rFonts w:ascii="Arial" w:cs="Arial" w:eastAsia="Arial" w:hAnsi="Arial"/>
                <w:sz w:val="16"/>
                <w:szCs w:val="16"/>
                <w:color w:val="auto"/>
              </w:rPr>
              <w:t>investing experience, leading global enterprises, and his experience in overseeing</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6"/>
                <w:szCs w:val="16"/>
                <w:color w:val="auto"/>
              </w:rPr>
              <w:t>Lucid’s growth as a member of our board of directors since 2019.</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9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508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6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2480" w:type="dxa"/>
            <w:vAlign w:val="bottom"/>
          </w:tcPr>
          <w:p>
            <w:pPr>
              <w:ind w:left="2300"/>
              <w:spacing w:after="0"/>
              <w:rPr>
                <w:sz w:val="20"/>
                <w:szCs w:val="20"/>
                <w:color w:val="auto"/>
              </w:rPr>
            </w:pPr>
            <w:r>
              <w:rPr>
                <w:rFonts w:ascii="Arial" w:cs="Arial" w:eastAsia="Arial" w:hAnsi="Arial"/>
                <w:sz w:val="16"/>
                <w:szCs w:val="16"/>
                <w:color w:val="auto"/>
              </w:rPr>
              <w:t>​</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5080" w:type="dxa"/>
            <w:vAlign w:val="bottom"/>
          </w:tcPr>
          <w:p>
            <w:pPr>
              <w:spacing w:after="0"/>
              <w:rPr>
                <w:sz w:val="18"/>
                <w:szCs w:val="18"/>
                <w:color w:val="auto"/>
              </w:rPr>
            </w:pPr>
          </w:p>
        </w:tc>
        <w:tc>
          <w:tcPr>
            <w:tcW w:w="1260" w:type="dxa"/>
            <w:vAlign w:val="bottom"/>
          </w:tcPr>
          <w:p>
            <w:pPr>
              <w:ind w:left="940"/>
              <w:spacing w:after="0"/>
              <w:rPr>
                <w:sz w:val="20"/>
                <w:szCs w:val="20"/>
                <w:color w:val="auto"/>
              </w:rPr>
            </w:pPr>
            <w:r>
              <w:rPr>
                <w:rFonts w:ascii="Arial" w:cs="Arial" w:eastAsia="Arial" w:hAnsi="Arial"/>
                <w:sz w:val="16"/>
                <w:szCs w:val="16"/>
                <w:color w:val="auto"/>
              </w:rPr>
              <w:t>​</w:t>
            </w: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b w:val="1"/>
                <w:bCs w:val="1"/>
                <w:color w:val="auto"/>
              </w:rPr>
              <w:t xml:space="preserve">Glenn R. August </w:t>
            </w:r>
            <w:r>
              <w:rPr>
                <w:rFonts w:ascii="Arial" w:cs="Arial" w:eastAsia="Arial" w:hAnsi="Arial"/>
                <w:sz w:val="16"/>
                <w:szCs w:val="16"/>
                <w:color w:val="auto"/>
              </w:rPr>
              <w:t>has been a member of our board of directors since July 2021</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and was previously a member of Churchill’s board of directors. He has served as</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a vice president and director of T. Rowe Price Group, Inc., an investment</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management company, since December 2021 when T. Rowe Price Group</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acquired Oak Hill Advisors, L.P. to operate as a standalone business within</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T. Rowe Price. Mr. August is the Founder &amp; Chief Executive Officer of Oak Hill</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Advisors, L.P. and has overall management responsibility for Oak Hill Advisors. In</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addition, he serves as global head of the firm’s distressed investment activities</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and chairs or serves on various firm committees, including the partnership,</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investment strategy and several fund investment committees. He co-founded the</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predecessor investment firm to Oak Hill Advisors in 1987 and took responsibility</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for the firm’s credit and distressed investment activities in 1990. Mr. August has</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Glenn R. August</w:t>
            </w:r>
          </w:p>
        </w:tc>
        <w:tc>
          <w:tcPr>
            <w:tcW w:w="340" w:type="dxa"/>
            <w:vAlign w:val="bottom"/>
          </w:tcPr>
          <w:p>
            <w:pPr>
              <w:spacing w:after="0"/>
              <w:rPr>
                <w:sz w:val="16"/>
                <w:szCs w:val="16"/>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played leadership roles in numerous restructurings and, since 1987, has served</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on more than eighteen corporate boards, including MultiPlan, Inc., a health care</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company, since October 2020. Mr. August also serves on the Board of Trustees of</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Board Member</w:t>
            </w: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Horace Mann School and The Mount Sinai Medical Center, and on the Board of</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vMerge w:val="restart"/>
          </w:tcPr>
          <w:p>
            <w:pPr>
              <w:ind w:left="100"/>
              <w:spacing w:after="0"/>
              <w:rPr>
                <w:sz w:val="20"/>
                <w:szCs w:val="20"/>
                <w:color w:val="auto"/>
              </w:rPr>
            </w:pPr>
            <w:r>
              <w:rPr>
                <w:rFonts w:ascii="Arial" w:cs="Arial" w:eastAsia="Arial" w:hAnsi="Arial"/>
                <w:sz w:val="14"/>
                <w:szCs w:val="14"/>
                <w:color w:val="auto"/>
              </w:rPr>
              <w:t>Age: 61</w:t>
            </w: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Directors of the Partnership for New York City and the 92nd St. Y. He earned an</w:t>
            </w:r>
          </w:p>
        </w:tc>
        <w:tc>
          <w:tcPr>
            <w:tcW w:w="0" w:type="dxa"/>
            <w:vAlign w:val="bottom"/>
          </w:tcPr>
          <w:p>
            <w:pPr>
              <w:spacing w:after="0"/>
              <w:rPr>
                <w:sz w:val="1"/>
                <w:szCs w:val="1"/>
                <w:color w:val="auto"/>
              </w:rPr>
            </w:pPr>
          </w:p>
        </w:tc>
      </w:tr>
      <w:tr>
        <w:trPr>
          <w:trHeight w:val="86"/>
        </w:trPr>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020" w:type="dxa"/>
            <w:vAlign w:val="bottom"/>
            <w:gridSpan w:val="3"/>
            <w:vMerge w:val="restart"/>
          </w:tcPr>
          <w:p>
            <w:pPr>
              <w:ind w:left="120"/>
              <w:spacing w:after="0"/>
              <w:rPr>
                <w:sz w:val="20"/>
                <w:szCs w:val="20"/>
                <w:color w:val="auto"/>
              </w:rPr>
            </w:pPr>
            <w:r>
              <w:rPr>
                <w:rFonts w:ascii="Arial" w:cs="Arial" w:eastAsia="Arial" w:hAnsi="Arial"/>
                <w:sz w:val="16"/>
                <w:szCs w:val="16"/>
                <w:color w:val="auto"/>
              </w:rPr>
              <w:t>M.B.A. from Harvard Business School, where he was a Baker Scholar, and a B.S.</w:t>
            </w:r>
          </w:p>
        </w:tc>
        <w:tc>
          <w:tcPr>
            <w:tcW w:w="0" w:type="dxa"/>
            <w:vAlign w:val="bottom"/>
          </w:tcPr>
          <w:p>
            <w:pPr>
              <w:spacing w:after="0"/>
              <w:rPr>
                <w:sz w:val="1"/>
                <w:szCs w:val="1"/>
                <w:color w:val="auto"/>
              </w:rPr>
            </w:pPr>
          </w:p>
        </w:tc>
      </w:tr>
      <w:tr>
        <w:trPr>
          <w:trHeight w:val="103"/>
        </w:trPr>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80" w:type="dxa"/>
            <w:vAlign w:val="bottom"/>
            <w:vMerge w:val="restart"/>
          </w:tcPr>
          <w:p>
            <w:pPr>
              <w:ind w:left="100"/>
              <w:spacing w:after="0"/>
              <w:rPr>
                <w:sz w:val="20"/>
                <w:szCs w:val="20"/>
                <w:color w:val="auto"/>
              </w:rPr>
            </w:pPr>
            <w:r>
              <w:rPr>
                <w:rFonts w:ascii="Arial" w:cs="Arial" w:eastAsia="Arial" w:hAnsi="Arial"/>
                <w:sz w:val="14"/>
                <w:szCs w:val="14"/>
                <w:color w:val="auto"/>
              </w:rPr>
              <w:t>Director Since: 2021</w:t>
            </w:r>
          </w:p>
        </w:tc>
        <w:tc>
          <w:tcPr>
            <w:tcW w:w="340" w:type="dxa"/>
            <w:vAlign w:val="bottom"/>
          </w:tcPr>
          <w:p>
            <w:pPr>
              <w:spacing w:after="0"/>
              <w:rPr>
                <w:sz w:val="8"/>
                <w:szCs w:val="8"/>
                <w:color w:val="auto"/>
              </w:rPr>
            </w:pPr>
          </w:p>
        </w:tc>
        <w:tc>
          <w:tcPr>
            <w:tcW w:w="70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080" w:type="dxa"/>
            <w:vAlign w:val="bottom"/>
            <w:vMerge w:val="restart"/>
          </w:tcPr>
          <w:p>
            <w:pPr>
              <w:ind w:left="120"/>
              <w:spacing w:after="0"/>
              <w:rPr>
                <w:sz w:val="20"/>
                <w:szCs w:val="20"/>
                <w:color w:val="auto"/>
              </w:rPr>
            </w:pPr>
            <w:r>
              <w:rPr>
                <w:rFonts w:ascii="Arial" w:cs="Arial" w:eastAsia="Arial" w:hAnsi="Arial"/>
                <w:sz w:val="16"/>
                <w:szCs w:val="16"/>
                <w:color w:val="auto"/>
              </w:rPr>
              <w:t>from Cornell University.</w:t>
            </w:r>
          </w:p>
        </w:tc>
        <w:tc>
          <w:tcPr>
            <w:tcW w:w="1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8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2"/>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80" w:type="dxa"/>
            <w:vAlign w:val="bottom"/>
          </w:tcPr>
          <w:p>
            <w:pPr>
              <w:ind w:left="120"/>
              <w:spacing w:after="0"/>
              <w:rPr>
                <w:sz w:val="20"/>
                <w:szCs w:val="20"/>
                <w:color w:val="auto"/>
              </w:rPr>
            </w:pPr>
            <w:r>
              <w:rPr>
                <w:rFonts w:ascii="Arial" w:cs="Arial" w:eastAsia="Arial" w:hAnsi="Arial"/>
                <w:sz w:val="16"/>
                <w:szCs w:val="16"/>
                <w:b w:val="1"/>
                <w:bCs w:val="1"/>
                <w:color w:val="8A6B24"/>
              </w:rPr>
              <w:t>Skills and Qualifications</w:t>
            </w: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We believe Mr. August is qualified to serve as a director due to his extensive</w:t>
            </w: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20" w:type="dxa"/>
            <w:vAlign w:val="bottom"/>
            <w:gridSpan w:val="3"/>
          </w:tcPr>
          <w:p>
            <w:pPr>
              <w:ind w:left="120"/>
              <w:spacing w:after="0"/>
              <w:rPr>
                <w:sz w:val="20"/>
                <w:szCs w:val="20"/>
                <w:color w:val="auto"/>
              </w:rPr>
            </w:pPr>
            <w:r>
              <w:rPr>
                <w:rFonts w:ascii="Arial" w:cs="Arial" w:eastAsia="Arial" w:hAnsi="Arial"/>
                <w:sz w:val="16"/>
                <w:szCs w:val="16"/>
                <w:color w:val="auto"/>
              </w:rPr>
              <w:t>experience overseeing a wide range of public companies and his deep financial</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tcPr>
          <w:p>
            <w:pPr>
              <w:ind w:left="120"/>
              <w:spacing w:after="0"/>
              <w:rPr>
                <w:sz w:val="20"/>
                <w:szCs w:val="20"/>
                <w:color w:val="auto"/>
              </w:rPr>
            </w:pPr>
            <w:r>
              <w:rPr>
                <w:rFonts w:ascii="Arial" w:cs="Arial" w:eastAsia="Arial" w:hAnsi="Arial"/>
                <w:sz w:val="16"/>
                <w:szCs w:val="16"/>
                <w:color w:val="auto"/>
              </w:rPr>
              <w:t>knowledge.</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5"/>
        </w:trPr>
        <w:tc>
          <w:tcPr>
            <w:tcW w:w="6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3"/>
                <w:szCs w:val="13"/>
                <w:b w:val="1"/>
                <w:bCs w:val="1"/>
                <w:color w:val="auto"/>
              </w:rPr>
              <w:t>10​</w:t>
            </w:r>
          </w:p>
        </w:tc>
        <w:tc>
          <w:tcPr>
            <w:tcW w:w="2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80" w:type="dxa"/>
            <w:vAlign w:val="bottom"/>
          </w:tcPr>
          <w:p>
            <w:pPr>
              <w:ind w:left="1540"/>
              <w:spacing w:after="0"/>
              <w:rPr>
                <w:sz w:val="20"/>
                <w:szCs w:val="20"/>
                <w:color w:val="auto"/>
              </w:rPr>
            </w:pPr>
            <w:r>
              <w:rPr>
                <w:rFonts w:ascii="Arial" w:cs="Arial" w:eastAsia="Arial" w:hAnsi="Arial"/>
                <w:sz w:val="13"/>
                <w:szCs w:val="13"/>
                <w:b w:val="1"/>
                <w:bCs w:val="1"/>
                <w:color w:val="auto"/>
              </w:rPr>
              <w:t>​ ​</w:t>
            </w:r>
          </w:p>
        </w:tc>
        <w:tc>
          <w:tcPr>
            <w:tcW w:w="1260" w:type="dxa"/>
            <w:vAlign w:val="bottom"/>
          </w:tcPr>
          <w:p>
            <w:pPr>
              <w:ind w:left="20"/>
              <w:spacing w:after="0"/>
              <w:rPr>
                <w:sz w:val="20"/>
                <w:szCs w:val="20"/>
                <w:color w:val="auto"/>
              </w:rPr>
            </w:pPr>
            <w:r>
              <w:rPr>
                <w:rFonts w:ascii="Arial" w:cs="Arial" w:eastAsia="Arial" w:hAnsi="Arial"/>
                <w:sz w:val="13"/>
                <w:szCs w:val="13"/>
                <w:color w:val="auto"/>
                <w:w w:val="94"/>
              </w:rPr>
              <w:t>2023 Proxy Statement</w:t>
            </w: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24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508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-6925945</wp:posOffset>
            </wp:positionV>
            <wp:extent cx="1414145" cy="1414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-3479800</wp:posOffset>
            </wp:positionV>
            <wp:extent cx="1397000" cy="1397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tabs>
          <w:tab w:leader="none" w:pos="3160" w:val="left"/>
          <w:tab w:leader="none" w:pos="3480" w:val="left"/>
          <w:tab w:leader="none" w:pos="9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-115570</wp:posOffset>
            </wp:positionV>
            <wp:extent cx="5966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20" w:lineRule="exact"/>
        <w:rPr>
          <w:sz w:val="20"/>
          <w:szCs w:val="20"/>
          <w:color w:val="auto"/>
        </w:rPr>
      </w:pPr>
    </w:p>
    <w:p>
      <w:pPr>
        <w:ind w:left="3820" w:right="380"/>
        <w:spacing w:after="0" w:line="261" w:lineRule="auto"/>
        <w:rPr>
          <w:sz w:val="20"/>
          <w:szCs w:val="20"/>
          <w:color w:val="auto"/>
        </w:rPr>
      </w:pPr>
      <w:r>
        <w:rPr>
          <w:rFonts w:ascii="Arial" w:cs="Arial" w:eastAsia="Arial" w:hAnsi="Arial"/>
          <w:sz w:val="16"/>
          <w:szCs w:val="16"/>
          <w:b w:val="1"/>
          <w:bCs w:val="1"/>
          <w:color w:val="auto"/>
        </w:rPr>
        <w:t xml:space="preserve">Andrew Liveris </w:t>
      </w:r>
      <w:r>
        <w:rPr>
          <w:rFonts w:ascii="Arial" w:cs="Arial" w:eastAsia="Arial" w:hAnsi="Arial"/>
          <w:sz w:val="16"/>
          <w:szCs w:val="16"/>
          <w:color w:val="auto"/>
        </w:rPr>
        <w:t>has served as chairman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2019. Previously Mr. Liveris served as the Chairman and CEO the Dow Chemical Company, a chemical corporation from November 2004 to July 2018 and as the Executive Chairman of Dow DuPont Inc., a chemical corporation from September 2017 to July 2018. Mr. Liveris also serves on the boards of directors of International Business Machines Corp., a technology company, Saudi Aramco, an integrated energy and chemicals company, NOVONIX Limited, a battery materials and technology company, and WorleyParsons Limited, an engineering company. Furthermore, Mr. Liveris was appointed as the President of the 2032 Brisbane Olympics Organizing Committee. Mr. Liveris holds a B.S. in Chemical Engineering from the University of Queensland and received an honorary Ph.D. in Science from his alma mater in 2005. Mr. Liveris was appointed as a special advisor to the Public Investment Fund and to NEOM.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-1642110</wp:posOffset>
            </wp:positionV>
            <wp:extent cx="1397000" cy="1397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p>
      <w:pPr>
        <w:spacing w:after="0" w:line="44"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Andrew Liveris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8A6B24"/>
        </w:rPr>
        <w:t>Skills and Qualifications</w:t>
      </w:r>
    </w:p>
    <w:p>
      <w:pPr>
        <w:spacing w:after="0" w:line="127" w:lineRule="exact"/>
        <w:rPr>
          <w:sz w:val="20"/>
          <w:szCs w:val="20"/>
          <w:color w:val="auto"/>
        </w:rPr>
      </w:pPr>
    </w:p>
    <w:p>
      <w:pPr>
        <w:sectPr>
          <w:pgSz w:w="11900" w:h="16838" w:orient="portrait"/>
          <w:cols w:equalWidth="0" w:num="2">
            <w:col w:w="3100" w:space="720"/>
            <w:col w:w="6260"/>
          </w:cols>
          <w:pgMar w:left="580" w:top="97" w:right="1239" w:bottom="1440" w:gutter="0" w:footer="0" w:header="0"/>
          <w:type w:val="continuous"/>
        </w:sectPr>
      </w:pPr>
    </w:p>
    <w:p>
      <w:pPr>
        <w:spacing w:after="0" w:line="3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Chairman of the Lucid</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of Directors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68</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2019</w:t>
      </w:r>
    </w:p>
    <w:p>
      <w:pPr>
        <w:spacing w:after="0" w:line="20" w:lineRule="exact"/>
        <w:rPr>
          <w:sz w:val="20"/>
          <w:szCs w:val="20"/>
          <w:color w:val="auto"/>
        </w:rPr>
      </w:pPr>
      <w:r>
        <w:rPr>
          <w:sz w:val="20"/>
          <w:szCs w:val="20"/>
          <w:color w:val="auto"/>
        </w:rPr>
        <w:br w:type="column"/>
      </w:r>
    </w:p>
    <w:p>
      <w:pPr>
        <w:ind w:right="520"/>
        <w:spacing w:after="0" w:line="265" w:lineRule="auto"/>
        <w:rPr>
          <w:sz w:val="20"/>
          <w:szCs w:val="20"/>
          <w:color w:val="auto"/>
        </w:rPr>
      </w:pPr>
      <w:r>
        <w:rPr>
          <w:rFonts w:ascii="Arial" w:cs="Arial" w:eastAsia="Arial" w:hAnsi="Arial"/>
          <w:sz w:val="16"/>
          <w:szCs w:val="16"/>
          <w:color w:val="auto"/>
        </w:rPr>
        <w:t>We believe Mr. Liveris is qualified to serve as a director due to his decades of experience leading and overseeing large, complex global industrial enterprises, his knowledge of the technology, energy and chemical sectors, his extensive public policy expertise in the business/government interface, and his experience overseeing our growth as chairman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195580</wp:posOffset>
            </wp:positionV>
            <wp:extent cx="5966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6260"/>
          </w:cols>
          <w:pgMar w:left="580" w:top="97" w:right="12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2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6360" w:type="dxa"/>
            <w:vAlign w:val="bottom"/>
            <w:tcBorders>
              <w:top w:val="single" w:sz="8" w:color="auto"/>
            </w:tcBorders>
          </w:tcPr>
          <w:p>
            <w:pPr>
              <w:ind w:left="6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 xml:space="preserve">Sherif Marakby </w:t>
            </w:r>
            <w:r>
              <w:rPr>
                <w:rFonts w:ascii="Arial" w:cs="Arial" w:eastAsia="Arial" w:hAnsi="Arial"/>
                <w:sz w:val="16"/>
                <w:szCs w:val="16"/>
                <w:color w:val="auto"/>
              </w:rPr>
              <w:t>has served as an advisor to MemryX Inc., an automotive and</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consumer products company, since July 2022. Previously, Mr. Marakby served as</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Executive Vice President, corporate research and development of Magna</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International, one of the largest tier 1 suppliers to the automotive industry in the</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world, from July 2020 to October 2021. Mr. Marakby also served in various</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leadership positions at Ford Motor Company over a nearly 30-year career at Ford,</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including most recently as President and CEO, Ford Autonomous Vehicles LLC,</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from July 2018 to October 2019, and Vice President, Autonomous Vehicles and</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Electrification, from 2017 to 2018. In addition, Mr. Marakby served as Vice</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President of Global Vehicle Programs at Uber Technologies, a ride-sharing</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company, from April 2016 to April 2017. Mr. Marakby has served on the board of</w:t>
            </w: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directors of American Battery Technology Company, a critical minerals and</w:t>
            </w:r>
          </w:p>
        </w:tc>
        <w:tc>
          <w:tcPr>
            <w:tcW w:w="0" w:type="dxa"/>
            <w:vAlign w:val="bottom"/>
          </w:tcPr>
          <w:p>
            <w:pPr>
              <w:spacing w:after="0"/>
              <w:rPr>
                <w:sz w:val="1"/>
                <w:szCs w:val="1"/>
                <w:color w:val="auto"/>
              </w:rPr>
            </w:pPr>
          </w:p>
        </w:tc>
      </w:tr>
      <w:tr>
        <w:trPr>
          <w:trHeight w:val="189"/>
        </w:trPr>
        <w:tc>
          <w:tcPr>
            <w:tcW w:w="2200" w:type="dxa"/>
            <w:vAlign w:val="bottom"/>
            <w:vMerge w:val="restart"/>
          </w:tcPr>
          <w:p>
            <w:pPr>
              <w:ind w:left="320"/>
              <w:spacing w:after="0"/>
              <w:rPr>
                <w:sz w:val="20"/>
                <w:szCs w:val="20"/>
                <w:color w:val="auto"/>
              </w:rPr>
            </w:pPr>
            <w:r>
              <w:rPr>
                <w:rFonts w:ascii="Arial" w:cs="Arial" w:eastAsia="Arial" w:hAnsi="Arial"/>
                <w:sz w:val="22"/>
                <w:szCs w:val="22"/>
                <w:b w:val="1"/>
                <w:bCs w:val="1"/>
                <w:color w:val="auto"/>
              </w:rPr>
              <w:t>Sherif Marakby</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lithium-ion battery recycling company, since February 2022. Mr. Marakby holds a</w:t>
            </w:r>
          </w:p>
        </w:tc>
        <w:tc>
          <w:tcPr>
            <w:tcW w:w="0" w:type="dxa"/>
            <w:vAlign w:val="bottom"/>
          </w:tcPr>
          <w:p>
            <w:pPr>
              <w:spacing w:after="0"/>
              <w:rPr>
                <w:sz w:val="1"/>
                <w:szCs w:val="1"/>
                <w:color w:val="auto"/>
              </w:rPr>
            </w:pPr>
          </w:p>
        </w:tc>
      </w:tr>
      <w:tr>
        <w:trPr>
          <w:trHeight w:val="203"/>
        </w:trPr>
        <w:tc>
          <w:tcPr>
            <w:tcW w:w="22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B.S. in Electrical Engineering from the University of Petroleum &amp; Minerals (or King</w:t>
            </w:r>
          </w:p>
        </w:tc>
        <w:tc>
          <w:tcPr>
            <w:tcW w:w="0" w:type="dxa"/>
            <w:vAlign w:val="bottom"/>
          </w:tcPr>
          <w:p>
            <w:pPr>
              <w:spacing w:after="0"/>
              <w:rPr>
                <w:sz w:val="1"/>
                <w:szCs w:val="1"/>
                <w:color w:val="auto"/>
              </w:rPr>
            </w:pPr>
          </w:p>
        </w:tc>
      </w:tr>
      <w:tr>
        <w:trPr>
          <w:trHeight w:val="208"/>
        </w:trPr>
        <w:tc>
          <w:tcPr>
            <w:tcW w:w="2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Fahd University of Petroleum &amp; Minerals) in Dhahran, Saudi Arabia, an M.S. 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-1879600</wp:posOffset>
            </wp:positionV>
            <wp:extent cx="1397000" cy="1397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p>
      <w:pPr>
        <w:ind w:left="980"/>
        <w:spacing w:after="0"/>
        <w:rPr>
          <w:sz w:val="20"/>
          <w:szCs w:val="20"/>
          <w:color w:val="auto"/>
        </w:rPr>
      </w:pPr>
      <w:r>
        <w:rPr>
          <w:rFonts w:ascii="Arial" w:cs="Arial" w:eastAsia="Arial" w:hAnsi="Arial"/>
          <w:sz w:val="14"/>
          <w:szCs w:val="14"/>
          <w:color w:val="auto"/>
        </w:rPr>
        <w:t>Director Nominee</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Electrical Engineering from the University of Maryland College Park, and a M.B.A.</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from the University of Michigan.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8A6B24"/>
        </w:rPr>
        <w:t>Skills and Qualifications</w:t>
      </w:r>
    </w:p>
    <w:p>
      <w:pPr>
        <w:spacing w:after="0" w:line="113" w:lineRule="exact"/>
        <w:rPr>
          <w:sz w:val="20"/>
          <w:szCs w:val="20"/>
          <w:color w:val="auto"/>
        </w:rPr>
      </w:pPr>
    </w:p>
    <w:p>
      <w:pPr>
        <w:ind w:right="640"/>
        <w:spacing w:after="0" w:line="284" w:lineRule="auto"/>
        <w:rPr>
          <w:sz w:val="20"/>
          <w:szCs w:val="20"/>
          <w:color w:val="auto"/>
        </w:rPr>
      </w:pPr>
      <w:r>
        <w:rPr>
          <w:rFonts w:ascii="Arial" w:cs="Arial" w:eastAsia="Arial" w:hAnsi="Arial"/>
          <w:sz w:val="16"/>
          <w:szCs w:val="16"/>
          <w:color w:val="auto"/>
        </w:rPr>
        <w:t>We believe Mr. Marakby is qualified to serve as a director due to his significant experience in the automotive, OEM, electrification and technology innovation fields.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185420</wp:posOffset>
            </wp:positionV>
            <wp:extent cx="59664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6260"/>
          </w:cols>
          <w:pgMar w:left="580" w:top="97"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11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tabs>
          <w:tab w:leader="none" w:pos="3160" w:val="left"/>
          <w:tab w:leader="none" w:pos="3480" w:val="left"/>
          <w:tab w:leader="none" w:pos="9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-115570</wp:posOffset>
            </wp:positionV>
            <wp:extent cx="59664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20" w:lineRule="exact"/>
        <w:rPr>
          <w:sz w:val="20"/>
          <w:szCs w:val="20"/>
          <w:color w:val="auto"/>
        </w:rPr>
      </w:pPr>
    </w:p>
    <w:p>
      <w:pPr>
        <w:ind w:left="3820" w:right="360"/>
        <w:spacing w:after="0" w:line="260" w:lineRule="auto"/>
        <w:rPr>
          <w:sz w:val="20"/>
          <w:szCs w:val="20"/>
          <w:color w:val="auto"/>
        </w:rPr>
      </w:pPr>
      <w:r>
        <w:rPr>
          <w:rFonts w:ascii="Arial" w:cs="Arial" w:eastAsia="Arial" w:hAnsi="Arial"/>
          <w:sz w:val="16"/>
          <w:szCs w:val="16"/>
          <w:b w:val="1"/>
          <w:bCs w:val="1"/>
          <w:color w:val="auto"/>
        </w:rPr>
        <w:t xml:space="preserve">Nichelle Maynard-Elliott </w:t>
      </w:r>
      <w:r>
        <w:rPr>
          <w:rFonts w:ascii="Arial" w:cs="Arial" w:eastAsia="Arial" w:hAnsi="Arial"/>
          <w:sz w:val="16"/>
          <w:szCs w:val="16"/>
          <w:color w:val="auto"/>
        </w:rPr>
        <w:t>has been a member of our board of directors since</w:t>
      </w:r>
      <w:r>
        <w:rPr>
          <w:rFonts w:ascii="Arial" w:cs="Arial" w:eastAsia="Arial" w:hAnsi="Arial"/>
          <w:sz w:val="16"/>
          <w:szCs w:val="16"/>
          <w:b w:val="1"/>
          <w:bCs w:val="1"/>
          <w:color w:val="auto"/>
        </w:rPr>
        <w:t xml:space="preserve"> </w:t>
      </w:r>
      <w:r>
        <w:rPr>
          <w:rFonts w:ascii="Arial" w:cs="Arial" w:eastAsia="Arial" w:hAnsi="Arial"/>
          <w:sz w:val="16"/>
          <w:szCs w:val="16"/>
          <w:color w:val="auto"/>
        </w:rPr>
        <w:t>July 2021. Ms. Maynard-Elliott has served as a director of Xerox Holdings Corporation since May 2021 and Element Solutions Inc., a specialty chemicals company since August 2018. She previously served as the Executive Director, M&amp;A, for Praxair, Inc., a leading industrial gas and engineering company, from July 2011 to May 2019, and as Assistant General Counsel and Senior Counsel at Praxair from July 2007 to 2011 and 2003 to 2007, respectively. Ms. Maynard-Elliott has served as trustee of The Advisors’ Inner Circle Fund III, including four of its affiliated funds and director of Chiron Capital Allocation Fund Ltd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-1129665</wp:posOffset>
            </wp:positionV>
            <wp:extent cx="1397000" cy="13970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ind w:left="3820" w:right="400"/>
        <w:spacing w:after="0" w:line="270" w:lineRule="auto"/>
        <w:rPr>
          <w:sz w:val="20"/>
          <w:szCs w:val="20"/>
          <w:color w:val="auto"/>
        </w:rPr>
      </w:pPr>
      <w:r>
        <w:rPr>
          <w:rFonts w:ascii="Arial" w:cs="Arial" w:eastAsia="Arial" w:hAnsi="Arial"/>
          <w:sz w:val="16"/>
          <w:szCs w:val="16"/>
          <w:color w:val="auto"/>
        </w:rPr>
        <w:t>June 2021. She holds a B.A. in Economics from Brown University and a J.D. from Columbia University School of Law.</w:t>
      </w:r>
    </w:p>
    <w:p>
      <w:pPr>
        <w:sectPr>
          <w:pgSz w:w="11900" w:h="16838" w:orient="portrait"/>
          <w:cols w:equalWidth="0" w:num="1">
            <w:col w:w="10080"/>
          </w:cols>
          <w:pgMar w:left="580" w:top="97" w:right="1239" w:bottom="1440" w:gutter="0" w:footer="0" w:header="0"/>
        </w:sectPr>
      </w:pPr>
    </w:p>
    <w:p>
      <w:pPr>
        <w:spacing w:after="0" w:line="302"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Nichelle Maynard-</w:t>
      </w:r>
    </w:p>
    <w:p>
      <w:pPr>
        <w:spacing w:after="0" w:line="3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Elliott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Member</w:t>
      </w:r>
    </w:p>
    <w:p>
      <w:pPr>
        <w:spacing w:after="0" w:line="136"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54</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2021</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8A6B24"/>
        </w:rPr>
        <w:t>Skills and Qualifications</w:t>
      </w:r>
    </w:p>
    <w:p>
      <w:pPr>
        <w:spacing w:after="0" w:line="127" w:lineRule="exact"/>
        <w:rPr>
          <w:sz w:val="20"/>
          <w:szCs w:val="20"/>
          <w:color w:val="auto"/>
        </w:rPr>
      </w:pPr>
    </w:p>
    <w:p>
      <w:pPr>
        <w:ind w:right="500"/>
        <w:spacing w:after="0" w:line="271" w:lineRule="auto"/>
        <w:rPr>
          <w:sz w:val="20"/>
          <w:szCs w:val="20"/>
          <w:color w:val="auto"/>
        </w:rPr>
      </w:pPr>
      <w:r>
        <w:rPr>
          <w:rFonts w:ascii="Arial" w:cs="Arial" w:eastAsia="Arial" w:hAnsi="Arial"/>
          <w:sz w:val="16"/>
          <w:szCs w:val="16"/>
          <w:color w:val="auto"/>
        </w:rPr>
        <w:t>We believe Ms. Maynard-Elliott is qualified to serve as a director because of her experience overseeing complex enterprises as a public company director, her experience evaluating business strategies and investment opportunities, and her extensive legal and financial management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415925</wp:posOffset>
            </wp:positionV>
            <wp:extent cx="59664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534" w:lineRule="exact"/>
        <w:rPr>
          <w:sz w:val="20"/>
          <w:szCs w:val="20"/>
          <w:color w:val="auto"/>
        </w:rPr>
      </w:pPr>
    </w:p>
    <w:p>
      <w:pPr>
        <w:sectPr>
          <w:pgSz w:w="11900" w:h="16838" w:orient="portrait"/>
          <w:cols w:equalWidth="0" w:num="2">
            <w:col w:w="3100" w:space="720"/>
            <w:col w:w="6260"/>
          </w:cols>
          <w:pgMar w:left="580" w:top="97" w:right="1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2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6360" w:type="dxa"/>
            <w:vAlign w:val="bottom"/>
            <w:tcBorders>
              <w:top w:val="single" w:sz="8" w:color="auto"/>
            </w:tcBorders>
          </w:tcPr>
          <w:p>
            <w:pPr>
              <w:ind w:left="6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 xml:space="preserve">Chabi Nouri </w:t>
            </w:r>
            <w:r>
              <w:rPr>
                <w:rFonts w:ascii="Arial" w:cs="Arial" w:eastAsia="Arial" w:hAnsi="Arial"/>
                <w:sz w:val="16"/>
                <w:szCs w:val="16"/>
                <w:color w:val="auto"/>
              </w:rPr>
              <w:t>has served as co-manager of a private equity fund focused on</w:t>
            </w: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Lifestyle, Impact, Innovation franchise within Mirabaud Asset Management since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March 2022. She previously served as the global Chief Executive Officer at</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Piaget, a luxury watch and jewelry brand, a branch of Richemont Group, from</w:t>
            </w: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April 2017 to June 2021 and as Piaget’s Chief Marketing Officer from October</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2014 to March 2017. Prior to Piaget, Ms. Nouri served in various leadership</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positions at British American Tobacco Plc where she led globally the Vogue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Cigarettes brand, and at Cartier International in merchandising, retail and product</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development, where she led globally High Jewellery and the Creative Jewellery.</w:t>
            </w: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Ms. Nouri has also served as a non-executive director and a member of the ESG</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committee of Watches of Switzerland Group PLC, a luxury watch retailer, since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May 2022. She holds a M.A. in Marketing and Economics from the University of</w:t>
            </w:r>
          </w:p>
        </w:tc>
        <w:tc>
          <w:tcPr>
            <w:tcW w:w="0" w:type="dxa"/>
            <w:vAlign w:val="bottom"/>
          </w:tcPr>
          <w:p>
            <w:pPr>
              <w:spacing w:after="0"/>
              <w:rPr>
                <w:sz w:val="1"/>
                <w:szCs w:val="1"/>
                <w:color w:val="auto"/>
              </w:rPr>
            </w:pPr>
          </w:p>
        </w:tc>
      </w:tr>
      <w:tr>
        <w:trPr>
          <w:trHeight w:val="189"/>
        </w:trPr>
        <w:tc>
          <w:tcPr>
            <w:tcW w:w="2040" w:type="dxa"/>
            <w:vAlign w:val="bottom"/>
            <w:vMerge w:val="restart"/>
          </w:tcPr>
          <w:p>
            <w:pPr>
              <w:ind w:left="320"/>
              <w:spacing w:after="0"/>
              <w:rPr>
                <w:sz w:val="20"/>
                <w:szCs w:val="20"/>
                <w:color w:val="auto"/>
              </w:rPr>
            </w:pPr>
            <w:r>
              <w:rPr>
                <w:rFonts w:ascii="Arial" w:cs="Arial" w:eastAsia="Arial" w:hAnsi="Arial"/>
                <w:sz w:val="22"/>
                <w:szCs w:val="22"/>
                <w:b w:val="1"/>
                <w:bCs w:val="1"/>
                <w:color w:val="auto"/>
              </w:rPr>
              <w:t>Chabi Nouri</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Fribourg and has earned certificates from MIT and IMD on the Digital future and</w:t>
            </w:r>
          </w:p>
        </w:tc>
        <w:tc>
          <w:tcPr>
            <w:tcW w:w="0" w:type="dxa"/>
            <w:vAlign w:val="bottom"/>
          </w:tcPr>
          <w:p>
            <w:pPr>
              <w:spacing w:after="0"/>
              <w:rPr>
                <w:sz w:val="1"/>
                <w:szCs w:val="1"/>
                <w:color w:val="auto"/>
              </w:rPr>
            </w:pPr>
          </w:p>
        </w:tc>
      </w:tr>
      <w:tr>
        <w:trPr>
          <w:trHeight w:val="270"/>
        </w:trPr>
        <w:tc>
          <w:tcPr>
            <w:tcW w:w="204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ESG.</w:t>
            </w:r>
          </w:p>
        </w:tc>
        <w:tc>
          <w:tcPr>
            <w:tcW w:w="0" w:type="dxa"/>
            <w:vAlign w:val="bottom"/>
          </w:tcPr>
          <w:p>
            <w:pPr>
              <w:spacing w:after="0"/>
              <w:rPr>
                <w:sz w:val="1"/>
                <w:szCs w:val="1"/>
                <w:color w:val="auto"/>
              </w:rPr>
            </w:pPr>
          </w:p>
        </w:tc>
      </w:tr>
      <w:tr>
        <w:trPr>
          <w:trHeight w:val="318"/>
        </w:trPr>
        <w:tc>
          <w:tcPr>
            <w:tcW w:w="2040" w:type="dxa"/>
            <w:vAlign w:val="bottom"/>
          </w:tcPr>
          <w:p>
            <w:pPr>
              <w:ind w:left="320"/>
              <w:spacing w:after="0"/>
              <w:rPr>
                <w:sz w:val="20"/>
                <w:szCs w:val="20"/>
                <w:color w:val="auto"/>
              </w:rPr>
            </w:pPr>
            <w:r>
              <w:rPr>
                <w:rFonts w:ascii="Arial" w:cs="Arial" w:eastAsia="Arial" w:hAnsi="Arial"/>
                <w:sz w:val="14"/>
                <w:szCs w:val="14"/>
                <w:color w:val="auto"/>
              </w:rPr>
              <w:t>Director Nominee</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8A6B24"/>
              </w:rPr>
              <w:t>Skills and Qualifications</w:t>
            </w:r>
          </w:p>
        </w:tc>
        <w:tc>
          <w:tcPr>
            <w:tcW w:w="0" w:type="dxa"/>
            <w:vAlign w:val="bottom"/>
          </w:tcPr>
          <w:p>
            <w:pPr>
              <w:spacing w:after="0"/>
              <w:rPr>
                <w:sz w:val="1"/>
                <w:szCs w:val="1"/>
                <w:color w:val="auto"/>
              </w:rPr>
            </w:pPr>
          </w:p>
        </w:tc>
      </w:tr>
      <w:tr>
        <w:trPr>
          <w:trHeight w:val="277"/>
        </w:trPr>
        <w:tc>
          <w:tcPr>
            <w:tcW w:w="2040" w:type="dxa"/>
            <w:vAlign w:val="bottom"/>
          </w:tcPr>
          <w:p>
            <w:pPr>
              <w:ind w:left="320"/>
              <w:spacing w:after="0"/>
              <w:rPr>
                <w:sz w:val="20"/>
                <w:szCs w:val="20"/>
                <w:color w:val="auto"/>
              </w:rPr>
            </w:pPr>
            <w:r>
              <w:rPr>
                <w:rFonts w:ascii="Arial" w:cs="Arial" w:eastAsia="Arial" w:hAnsi="Arial"/>
                <w:sz w:val="14"/>
                <w:szCs w:val="14"/>
                <w:color w:val="auto"/>
              </w:rPr>
              <w:t>Age: 49</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We believe Ms. Nouri is qualified to serve as a director because of her extensive</w:t>
            </w: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experience in the luxury and consumer goods industries through her various roles</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at leading international luxury brands.</w:t>
            </w:r>
          </w:p>
        </w:tc>
        <w:tc>
          <w:tcPr>
            <w:tcW w:w="0" w:type="dxa"/>
            <w:vAlign w:val="bottom"/>
          </w:tcPr>
          <w:p>
            <w:pPr>
              <w:spacing w:after="0"/>
              <w:rPr>
                <w:sz w:val="1"/>
                <w:szCs w:val="1"/>
                <w:color w:val="auto"/>
              </w:rPr>
            </w:pPr>
          </w:p>
        </w:tc>
      </w:tr>
      <w:tr>
        <w:trPr>
          <w:trHeight w:val="326"/>
        </w:trPr>
        <w:tc>
          <w:tcPr>
            <w:tcW w:w="2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-2647950</wp:posOffset>
            </wp:positionV>
            <wp:extent cx="1397000" cy="1397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​12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tabs>
          <w:tab w:leader="none" w:pos="3160" w:val="left"/>
          <w:tab w:leader="none" w:pos="3480" w:val="left"/>
          <w:tab w:leader="none" w:pos="9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-115570</wp:posOffset>
            </wp:positionV>
            <wp:extent cx="59664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20" w:lineRule="exact"/>
        <w:rPr>
          <w:sz w:val="20"/>
          <w:szCs w:val="20"/>
          <w:color w:val="auto"/>
        </w:rPr>
      </w:pPr>
    </w:p>
    <w:p>
      <w:pPr>
        <w:ind w:left="3820" w:right="360"/>
        <w:spacing w:after="0" w:line="261" w:lineRule="auto"/>
        <w:rPr>
          <w:sz w:val="20"/>
          <w:szCs w:val="20"/>
          <w:color w:val="auto"/>
        </w:rPr>
      </w:pPr>
      <w:r>
        <w:rPr>
          <w:rFonts w:ascii="Arial" w:cs="Arial" w:eastAsia="Arial" w:hAnsi="Arial"/>
          <w:sz w:val="16"/>
          <w:szCs w:val="16"/>
          <w:b w:val="1"/>
          <w:bCs w:val="1"/>
          <w:color w:val="auto"/>
        </w:rPr>
        <w:t xml:space="preserve">Peter Rawlinson </w:t>
      </w:r>
      <w:r>
        <w:rPr>
          <w:rFonts w:ascii="Arial" w:cs="Arial" w:eastAsia="Arial" w:hAnsi="Arial"/>
          <w:sz w:val="16"/>
          <w:szCs w:val="16"/>
          <w:color w:val="auto"/>
        </w:rPr>
        <w:t>has served as our Chief Executive Officer and Chief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as a member of our board of directors since April 2019. He previously served as our Chief Technology Officer from 2013 to April 2019. Prior to joining our company, Mr. Rawlinson was Vice President of Vehicle Engineering and Chief Engineer of the Model S at Tesla, Inc., an electric vehicle company, where he led the engineering of the Model S from a clean sheet to production readiness while building the engineering team. Mr. Rawlinson was formerly Head of Vehicle Engineering at Corus Automotive, an advanced engineering consulting firm, Chief Engineer of Advanced Engineering at Lotus Cars and Principal Engineer of Advanced Body Structures at Jaguar Cars. Mr. Rawlinson holds a BSc from Imperial College, University of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-1388110</wp:posOffset>
            </wp:positionV>
            <wp:extent cx="1397000" cy="13970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115"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8A6B24"/>
        </w:rPr>
        <w:t>Skills and Qualifications</w:t>
      </w:r>
    </w:p>
    <w:p>
      <w:pPr>
        <w:sectPr>
          <w:pgSz w:w="11900" w:h="16838" w:orient="portrait"/>
          <w:cols w:equalWidth="0" w:num="1">
            <w:col w:w="10080"/>
          </w:cols>
          <w:pgMar w:left="580" w:top="97" w:right="1239" w:bottom="1440" w:gutter="0" w:footer="0" w:header="0"/>
        </w:sectPr>
      </w:pPr>
    </w:p>
    <w:p>
      <w:pPr>
        <w:spacing w:after="0" w:line="39"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Peter Rawlinson</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Chief Executive Officer</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and Chief Technology</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Officer</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65</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2019</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440"/>
        <w:spacing w:after="0" w:line="271" w:lineRule="auto"/>
        <w:rPr>
          <w:sz w:val="20"/>
          <w:szCs w:val="20"/>
          <w:color w:val="auto"/>
        </w:rPr>
      </w:pPr>
      <w:r>
        <w:rPr>
          <w:rFonts w:ascii="Arial" w:cs="Arial" w:eastAsia="Arial" w:hAnsi="Arial"/>
          <w:sz w:val="16"/>
          <w:szCs w:val="16"/>
          <w:color w:val="auto"/>
        </w:rPr>
        <w:t>We believe Mr. Rawlinson is qualified to serve as a director due to his experience as our Chief Executive Officer and Chief Technology Officer, as well as his extensive technical and operational expertise and experience in the automotive industry and the electric vehicle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501650</wp:posOffset>
            </wp:positionV>
            <wp:extent cx="59664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669" w:lineRule="exact"/>
        <w:rPr>
          <w:sz w:val="20"/>
          <w:szCs w:val="20"/>
          <w:color w:val="auto"/>
        </w:rPr>
      </w:pPr>
    </w:p>
    <w:p>
      <w:pPr>
        <w:sectPr>
          <w:pgSz w:w="11900" w:h="16838" w:orient="portrait"/>
          <w:cols w:equalWidth="0" w:num="2">
            <w:col w:w="3100" w:space="720"/>
            <w:col w:w="6260"/>
          </w:cols>
          <w:pgMar w:left="580" w:top="97" w:right="1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6360" w:type="dxa"/>
            <w:vAlign w:val="bottom"/>
            <w:tcBorders>
              <w:top w:val="single" w:sz="8" w:color="auto"/>
            </w:tcBorders>
          </w:tcPr>
          <w:p>
            <w:pPr>
              <w:ind w:left="6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 xml:space="preserve">Ori Winitzer </w:t>
            </w:r>
            <w:r>
              <w:rPr>
                <w:rFonts w:ascii="Arial" w:cs="Arial" w:eastAsia="Arial" w:hAnsi="Arial"/>
                <w:sz w:val="16"/>
                <w:szCs w:val="16"/>
                <w:color w:val="auto"/>
              </w:rPr>
              <w:t>is a founding member and has served as Partner of Integrated Media</w:t>
            </w:r>
          </w:p>
        </w:tc>
        <w:tc>
          <w:tcPr>
            <w:tcW w:w="0" w:type="dxa"/>
            <w:vAlign w:val="bottom"/>
          </w:tcPr>
          <w:p>
            <w:pPr>
              <w:spacing w:after="0"/>
              <w:rPr>
                <w:sz w:val="1"/>
                <w:szCs w:val="1"/>
                <w:color w:val="auto"/>
              </w:rPr>
            </w:pPr>
          </w:p>
        </w:tc>
      </w:tr>
      <w:tr>
        <w:trPr>
          <w:trHeight w:val="202"/>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Company, a TPG Inc. platform dedicated to the digital media ecosystem, since</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October 2018. He previously served as Senior Managing Director at Guggenheim</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Partners, a global investment and advisory firm, from July 2017 to September</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2018, where he led the digital media practice. Prior to Guggenheim Partners, Mr.</w:t>
            </w:r>
          </w:p>
        </w:tc>
        <w:tc>
          <w:tcPr>
            <w:tcW w:w="0" w:type="dxa"/>
            <w:vAlign w:val="bottom"/>
          </w:tcPr>
          <w:p>
            <w:pPr>
              <w:spacing w:after="0"/>
              <w:rPr>
                <w:sz w:val="1"/>
                <w:szCs w:val="1"/>
                <w:color w:val="auto"/>
              </w:rPr>
            </w:pPr>
          </w:p>
        </w:tc>
      </w:tr>
      <w:tr>
        <w:trPr>
          <w:trHeight w:val="202"/>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Winitzer served in various investment banking positions at LionTree LLC and</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Rothschild &amp; Co. Mr. Winitzer has been serving as a director of Savvy Games</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Fund, a games and esports company, since July 2022. He has also been serving</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as a director of FootballCo, a family of media properties dedicated to football</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(soccer), since October 2020, and as Co-Chairman since September 2021.</w:t>
            </w:r>
          </w:p>
        </w:tc>
        <w:tc>
          <w:tcPr>
            <w:tcW w:w="0" w:type="dxa"/>
            <w:vAlign w:val="bottom"/>
          </w:tcPr>
          <w:p>
            <w:pPr>
              <w:spacing w:after="0"/>
              <w:rPr>
                <w:sz w:val="1"/>
                <w:szCs w:val="1"/>
                <w:color w:val="auto"/>
              </w:rPr>
            </w:pPr>
          </w:p>
        </w:tc>
      </w:tr>
      <w:tr>
        <w:trPr>
          <w:trHeight w:val="202"/>
        </w:trPr>
        <w:tc>
          <w:tcPr>
            <w:tcW w:w="2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Mr. Winitzer holds a B.A. in History and French from the University of</w:t>
            </w:r>
          </w:p>
        </w:tc>
        <w:tc>
          <w:tcPr>
            <w:tcW w:w="0" w:type="dxa"/>
            <w:vAlign w:val="bottom"/>
          </w:tcPr>
          <w:p>
            <w:pPr>
              <w:spacing w:after="0"/>
              <w:rPr>
                <w:sz w:val="1"/>
                <w:szCs w:val="1"/>
                <w:color w:val="auto"/>
              </w:rPr>
            </w:pPr>
          </w:p>
        </w:tc>
      </w:tr>
      <w:tr>
        <w:trPr>
          <w:trHeight w:val="215"/>
        </w:trPr>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Wisconsin — Madison and a M.B.A. from Columbia University.</w:t>
            </w:r>
          </w:p>
        </w:tc>
        <w:tc>
          <w:tcPr>
            <w:tcW w:w="0" w:type="dxa"/>
            <w:vAlign w:val="bottom"/>
          </w:tcPr>
          <w:p>
            <w:pPr>
              <w:spacing w:after="0"/>
              <w:rPr>
                <w:sz w:val="1"/>
                <w:szCs w:val="1"/>
                <w:color w:val="auto"/>
              </w:rPr>
            </w:pPr>
          </w:p>
        </w:tc>
      </w:tr>
      <w:tr>
        <w:trPr>
          <w:trHeight w:val="447"/>
        </w:trPr>
        <w:tc>
          <w:tcPr>
            <w:tcW w:w="2020" w:type="dxa"/>
            <w:vAlign w:val="bottom"/>
          </w:tcPr>
          <w:p>
            <w:pPr>
              <w:ind w:left="320"/>
              <w:spacing w:after="0"/>
              <w:rPr>
                <w:sz w:val="20"/>
                <w:szCs w:val="20"/>
                <w:color w:val="auto"/>
              </w:rPr>
            </w:pPr>
            <w:r>
              <w:rPr>
                <w:rFonts w:ascii="Arial" w:cs="Arial" w:eastAsia="Arial" w:hAnsi="Arial"/>
                <w:sz w:val="22"/>
                <w:szCs w:val="22"/>
                <w:b w:val="1"/>
                <w:bCs w:val="1"/>
                <w:color w:val="auto"/>
              </w:rPr>
              <w:t>Ori Winitzer</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8A6B24"/>
              </w:rPr>
              <w:t>Skills and Qualifications</w:t>
            </w:r>
          </w:p>
        </w:tc>
        <w:tc>
          <w:tcPr>
            <w:tcW w:w="0" w:type="dxa"/>
            <w:vAlign w:val="bottom"/>
          </w:tcPr>
          <w:p>
            <w:pPr>
              <w:spacing w:after="0"/>
              <w:rPr>
                <w:sz w:val="1"/>
                <w:szCs w:val="1"/>
                <w:color w:val="auto"/>
              </w:rPr>
            </w:pPr>
          </w:p>
        </w:tc>
      </w:tr>
      <w:tr>
        <w:trPr>
          <w:trHeight w:val="203"/>
        </w:trPr>
        <w:tc>
          <w:tcPr>
            <w:tcW w:w="2020" w:type="dxa"/>
            <w:vAlign w:val="bottom"/>
            <w:vMerge w:val="restart"/>
          </w:tcPr>
          <w:p>
            <w:pPr>
              <w:ind w:left="320"/>
              <w:spacing w:after="0"/>
              <w:rPr>
                <w:sz w:val="20"/>
                <w:szCs w:val="20"/>
                <w:color w:val="auto"/>
              </w:rPr>
            </w:pPr>
            <w:r>
              <w:rPr>
                <w:rFonts w:ascii="Arial" w:cs="Arial" w:eastAsia="Arial" w:hAnsi="Arial"/>
                <w:sz w:val="14"/>
                <w:szCs w:val="14"/>
                <w:color w:val="auto"/>
              </w:rPr>
              <w:t>Director Nominee</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We believe Mr. Winitzer is qualified to serve as a director due to his extensive</w:t>
            </w:r>
          </w:p>
        </w:tc>
        <w:tc>
          <w:tcPr>
            <w:tcW w:w="0" w:type="dxa"/>
            <w:vAlign w:val="bottom"/>
          </w:tcPr>
          <w:p>
            <w:pPr>
              <w:spacing w:after="0"/>
              <w:rPr>
                <w:sz w:val="1"/>
                <w:szCs w:val="1"/>
                <w:color w:val="auto"/>
              </w:rPr>
            </w:pPr>
          </w:p>
        </w:tc>
      </w:tr>
      <w:tr>
        <w:trPr>
          <w:trHeight w:val="114"/>
        </w:trPr>
        <w:tc>
          <w:tcPr>
            <w:tcW w:w="202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360" w:type="dxa"/>
            <w:vAlign w:val="bottom"/>
            <w:vMerge w:val="restart"/>
          </w:tcPr>
          <w:p>
            <w:pPr>
              <w:ind w:left="140"/>
              <w:spacing w:after="0"/>
              <w:rPr>
                <w:sz w:val="20"/>
                <w:szCs w:val="20"/>
                <w:color w:val="auto"/>
              </w:rPr>
            </w:pPr>
            <w:r>
              <w:rPr>
                <w:rFonts w:ascii="Arial" w:cs="Arial" w:eastAsia="Arial" w:hAnsi="Arial"/>
                <w:sz w:val="16"/>
                <w:szCs w:val="16"/>
                <w:color w:val="auto"/>
              </w:rPr>
              <w:t>experience in investment and advisory roles as well as his deep financial</w:t>
            </w:r>
          </w:p>
        </w:tc>
        <w:tc>
          <w:tcPr>
            <w:tcW w:w="0" w:type="dxa"/>
            <w:vAlign w:val="bottom"/>
          </w:tcPr>
          <w:p>
            <w:pPr>
              <w:spacing w:after="0"/>
              <w:rPr>
                <w:sz w:val="1"/>
                <w:szCs w:val="1"/>
                <w:color w:val="auto"/>
              </w:rPr>
            </w:pPr>
          </w:p>
        </w:tc>
      </w:tr>
      <w:tr>
        <w:trPr>
          <w:trHeight w:val="88"/>
        </w:trPr>
        <w:tc>
          <w:tcPr>
            <w:tcW w:w="20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20" w:type="dxa"/>
            <w:vAlign w:val="bottom"/>
          </w:tcPr>
          <w:p>
            <w:pPr>
              <w:ind w:left="320"/>
              <w:spacing w:after="0"/>
              <w:rPr>
                <w:sz w:val="20"/>
                <w:szCs w:val="20"/>
                <w:color w:val="auto"/>
              </w:rPr>
            </w:pPr>
            <w:r>
              <w:rPr>
                <w:rFonts w:ascii="Arial" w:cs="Arial" w:eastAsia="Arial" w:hAnsi="Arial"/>
                <w:sz w:val="14"/>
                <w:szCs w:val="14"/>
                <w:color w:val="auto"/>
              </w:rPr>
              <w:t>Age: 47</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knowledge.</w:t>
            </w:r>
          </w:p>
        </w:tc>
        <w:tc>
          <w:tcPr>
            <w:tcW w:w="0" w:type="dxa"/>
            <w:vAlign w:val="bottom"/>
          </w:tcPr>
          <w:p>
            <w:pPr>
              <w:spacing w:after="0"/>
              <w:rPr>
                <w:sz w:val="1"/>
                <w:szCs w:val="1"/>
                <w:color w:val="auto"/>
              </w:rPr>
            </w:pPr>
          </w:p>
        </w:tc>
      </w:tr>
      <w:tr>
        <w:trPr>
          <w:trHeight w:val="305"/>
        </w:trPr>
        <w:tc>
          <w:tcPr>
            <w:tcW w:w="2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-2399665</wp:posOffset>
            </wp:positionV>
            <wp:extent cx="1397000" cy="13970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13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21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ind w:left="34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6360" w:type="dxa"/>
            <w:vAlign w:val="bottom"/>
            <w:tcBorders>
              <w:top w:val="single" w:sz="8" w:color="auto"/>
            </w:tcBorders>
          </w:tcPr>
          <w:p>
            <w:pPr>
              <w:ind w:left="6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 xml:space="preserve">Janet S. Wong </w:t>
            </w:r>
            <w:r>
              <w:rPr>
                <w:rFonts w:ascii="Arial" w:cs="Arial" w:eastAsia="Arial" w:hAnsi="Arial"/>
                <w:sz w:val="16"/>
                <w:szCs w:val="16"/>
                <w:color w:val="auto"/>
              </w:rPr>
              <w:t>has been a member of our board of directors since July 2021.</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Ms. Wong is a licensed Certified Public Accountant with more than 30 years of</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public accounting experience. She is a partner (retired) with KPMG LLP, an</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international professional services firm, where she served as a National Industry</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Practice Lead Partner. Ms. Wong has served as a director of Enviva Inc., a global</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energy company, since May 2015 and a director of Lumentum Holdings Inc., a</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manufacturer of innovative optical and photonic products since September 2020.</w:t>
            </w: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She previously served as a director of Allegiance Bancshares, Inc., a commercial</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banking organization, from April 2020 to October 2022, and also served on the</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advisory board of Big Controls Inc., a business intelligence and analytics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company, from May 2016 to May 2020. Ms. Wong is on the Board of Directors of</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Shine Technologies, a private company focusing on nuclear technology and clean</w:t>
            </w:r>
          </w:p>
        </w:tc>
        <w:tc>
          <w:tcPr>
            <w:tcW w:w="0" w:type="dxa"/>
            <w:vAlign w:val="bottom"/>
          </w:tcPr>
          <w:p>
            <w:pPr>
              <w:spacing w:after="0"/>
              <w:rPr>
                <w:sz w:val="1"/>
                <w:szCs w:val="1"/>
                <w:color w:val="auto"/>
              </w:rPr>
            </w:pPr>
          </w:p>
        </w:tc>
      </w:tr>
      <w:tr>
        <w:trPr>
          <w:trHeight w:val="189"/>
        </w:trPr>
        <w:tc>
          <w:tcPr>
            <w:tcW w:w="2180" w:type="dxa"/>
            <w:vAlign w:val="bottom"/>
            <w:vMerge w:val="restart"/>
          </w:tcPr>
          <w:p>
            <w:pPr>
              <w:ind w:left="320"/>
              <w:spacing w:after="0"/>
              <w:rPr>
                <w:sz w:val="20"/>
                <w:szCs w:val="20"/>
                <w:color w:val="auto"/>
              </w:rPr>
            </w:pPr>
            <w:r>
              <w:rPr>
                <w:rFonts w:ascii="Arial" w:cs="Arial" w:eastAsia="Arial" w:hAnsi="Arial"/>
                <w:sz w:val="22"/>
                <w:szCs w:val="22"/>
                <w:b w:val="1"/>
                <w:bCs w:val="1"/>
                <w:color w:val="auto"/>
              </w:rPr>
              <w:t>Janet S. Wong</w:t>
            </w: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energy. She also serves on the non-profit boards of the Computer History</w:t>
            </w:r>
          </w:p>
        </w:tc>
        <w:tc>
          <w:tcPr>
            <w:tcW w:w="0" w:type="dxa"/>
            <w:vAlign w:val="bottom"/>
          </w:tcPr>
          <w:p>
            <w:pPr>
              <w:spacing w:after="0"/>
              <w:rPr>
                <w:sz w:val="1"/>
                <w:szCs w:val="1"/>
                <w:color w:val="auto"/>
              </w:rPr>
            </w:pPr>
          </w:p>
        </w:tc>
      </w:tr>
      <w:tr>
        <w:trPr>
          <w:trHeight w:val="203"/>
        </w:trPr>
        <w:tc>
          <w:tcPr>
            <w:tcW w:w="21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Museum, the Louisiana Tech University Foundation, and of the Tri-Cities Chapter</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of the National Association of Corporate Directors. She holds a Master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-1884045</wp:posOffset>
            </wp:positionV>
            <wp:extent cx="1397000" cy="13976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97000" cy="139763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p>
      <w:pPr>
        <w:spacing w:after="0" w:line="6" w:lineRule="exact"/>
        <w:rPr>
          <w:sz w:val="20"/>
          <w:szCs w:val="20"/>
          <w:color w:val="auto"/>
        </w:rPr>
      </w:pPr>
    </w:p>
    <w:p>
      <w:pPr>
        <w:ind w:left="980"/>
        <w:spacing w:after="0"/>
        <w:rPr>
          <w:sz w:val="20"/>
          <w:szCs w:val="20"/>
          <w:color w:val="auto"/>
        </w:rPr>
      </w:pPr>
      <w:r>
        <w:rPr>
          <w:rFonts w:ascii="Arial" w:cs="Arial" w:eastAsia="Arial" w:hAnsi="Arial"/>
          <w:sz w:val="14"/>
          <w:szCs w:val="14"/>
          <w:color w:val="auto"/>
        </w:rPr>
        <w:t>Board Member</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64</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Director Since: 2021</w:t>
      </w:r>
    </w:p>
    <w:p>
      <w:pPr>
        <w:spacing w:after="0" w:line="20" w:lineRule="exact"/>
        <w:rPr>
          <w:sz w:val="20"/>
          <w:szCs w:val="20"/>
          <w:color w:val="auto"/>
        </w:rPr>
      </w:pPr>
      <w:r>
        <w:rPr>
          <w:sz w:val="20"/>
          <w:szCs w:val="20"/>
          <w:color w:val="auto"/>
        </w:rPr>
        <w:br w:type="column"/>
      </w:r>
    </w:p>
    <w:p>
      <w:pPr>
        <w:ind w:right="540"/>
        <w:spacing w:after="0" w:line="257" w:lineRule="auto"/>
        <w:rPr>
          <w:sz w:val="20"/>
          <w:szCs w:val="20"/>
          <w:color w:val="auto"/>
        </w:rPr>
      </w:pPr>
      <w:r>
        <w:rPr>
          <w:rFonts w:ascii="Arial" w:cs="Arial" w:eastAsia="Arial" w:hAnsi="Arial"/>
          <w:sz w:val="16"/>
          <w:szCs w:val="16"/>
          <w:color w:val="auto"/>
        </w:rPr>
        <w:t>Professional Accountancy from Louisiana Tech University and a Master of Taxation from Golden Gate University. She is a NACD (National Association of Corporate Directors) Certified</w:t>
      </w:r>
      <w:r>
        <w:rPr>
          <w:rFonts w:ascii="Arial" w:cs="Arial" w:eastAsia="Arial" w:hAnsi="Arial"/>
          <w:sz w:val="19"/>
          <w:szCs w:val="19"/>
          <w:color w:val="auto"/>
          <w:vertAlign w:val="superscript"/>
        </w:rPr>
        <w:t>®</w:t>
      </w:r>
      <w:r>
        <w:rPr>
          <w:rFonts w:ascii="Arial" w:cs="Arial" w:eastAsia="Arial" w:hAnsi="Arial"/>
          <w:sz w:val="16"/>
          <w:szCs w:val="16"/>
          <w:color w:val="auto"/>
        </w:rPr>
        <w:t xml:space="preserve"> Director, a professional credential supporting her qualifications and experience as a corporate board director.</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8A6B24"/>
        </w:rPr>
        <w:t>Skills and Qualifications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believe Ms. Wong is qualified to serve as a director because of her</w:t>
      </w:r>
    </w:p>
    <w:p>
      <w:pPr>
        <w:spacing w:after="0" w:line="21" w:lineRule="exact"/>
        <w:rPr>
          <w:sz w:val="20"/>
          <w:szCs w:val="20"/>
          <w:color w:val="auto"/>
        </w:rPr>
      </w:pPr>
    </w:p>
    <w:p>
      <w:pPr>
        <w:ind w:right="500"/>
        <w:spacing w:after="0" w:line="264" w:lineRule="auto"/>
        <w:rPr>
          <w:sz w:val="20"/>
          <w:szCs w:val="20"/>
          <w:color w:val="auto"/>
        </w:rPr>
      </w:pPr>
      <w:r>
        <w:rPr>
          <w:rFonts w:ascii="Arial" w:cs="Arial" w:eastAsia="Arial" w:hAnsi="Arial"/>
          <w:sz w:val="16"/>
          <w:szCs w:val="16"/>
          <w:color w:val="auto"/>
        </w:rPr>
        <w:t>many years of public accounting experience serving global companies, her deep financial and risk management expertise, and her experience advising sophisticated enterprises in the consumer markets, energy, manufacturing, and technology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196215</wp:posOffset>
            </wp:positionV>
            <wp:extent cx="59664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720"/>
            <w:col w:w="6260"/>
          </w:cols>
          <w:pgMar w:left="580" w:top="97" w:right="1239" w:bottom="1440" w:gutter="0" w:footer="0" w:header="0"/>
          <w:type w:val="continuous"/>
        </w:sectPr>
      </w:pPr>
    </w:p>
    <w:p>
      <w:pPr>
        <w:spacing w:after="0" w:line="3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Vote Required</w:t>
      </w:r>
    </w:p>
    <w:p>
      <w:pPr>
        <w:spacing w:after="0" w:line="199" w:lineRule="exact"/>
        <w:rPr>
          <w:sz w:val="20"/>
          <w:szCs w:val="20"/>
          <w:color w:val="auto"/>
        </w:rPr>
      </w:pPr>
    </w:p>
    <w:p>
      <w:pPr>
        <w:ind w:left="660" w:right="260"/>
        <w:spacing w:after="0" w:line="295" w:lineRule="auto"/>
        <w:rPr>
          <w:sz w:val="20"/>
          <w:szCs w:val="20"/>
          <w:color w:val="auto"/>
        </w:rPr>
      </w:pPr>
      <w:r>
        <w:rPr>
          <w:rFonts w:ascii="Arial" w:cs="Arial" w:eastAsia="Arial" w:hAnsi="Arial"/>
          <w:sz w:val="16"/>
          <w:szCs w:val="16"/>
          <w:color w:val="auto"/>
        </w:rPr>
        <w:t>For the election of directors, the nines nominees receiving the most “For” votes from the holders of shares present at the Annual Meeting or represented by proxy and entitled to vote on Proposal No. 1 will be elected as directors to hold office until the 2024 Annual Meeting and until their respective successors are duly elected and qualified, or, if sooner, until the director’s death, resignation or removal. Only votes “For” or “Withheld” will affect the outcome. Broker non-votes will have no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90"/>
        </w:trPr>
        <w:tc>
          <w:tcPr>
            <w:tcW w:w="820" w:type="dxa"/>
            <w:vAlign w:val="bottom"/>
            <w:shd w:val="clear" w:color="auto" w:fill="000000"/>
          </w:tcPr>
          <w:p>
            <w:pPr>
              <w:ind w:left="80"/>
              <w:spacing w:after="0"/>
              <w:rPr>
                <w:sz w:val="20"/>
                <w:szCs w:val="20"/>
                <w:color w:val="auto"/>
              </w:rPr>
            </w:pPr>
            <w:r>
              <w:rPr>
                <w:rFonts w:ascii="Arial" w:cs="Arial" w:eastAsia="Arial" w:hAnsi="Arial"/>
                <w:sz w:val="22"/>
                <w:szCs w:val="22"/>
                <w:color w:val="FEFEFE"/>
              </w:rPr>
              <w:t>​</w:t>
            </w:r>
          </w:p>
        </w:tc>
        <w:tc>
          <w:tcPr>
            <w:tcW w:w="7780" w:type="dxa"/>
            <w:vAlign w:val="bottom"/>
            <w:vMerge w:val="restart"/>
            <w:shd w:val="clear" w:color="auto" w:fill="000000"/>
          </w:tcPr>
          <w:p>
            <w:pPr>
              <w:jc w:val="center"/>
              <w:spacing w:after="0"/>
              <w:rPr>
                <w:sz w:val="20"/>
                <w:szCs w:val="20"/>
                <w:color w:val="auto"/>
              </w:rPr>
            </w:pPr>
            <w:r>
              <w:rPr>
                <w:rFonts w:ascii="Arial" w:cs="Arial" w:eastAsia="Arial" w:hAnsi="Arial"/>
                <w:sz w:val="22"/>
                <w:szCs w:val="22"/>
                <w:color w:val="FEFEFE"/>
                <w:w w:val="98"/>
              </w:rPr>
              <w:t>THE BOARD OF DIRECTORS RECOMMENDS A VOTE</w:t>
            </w:r>
          </w:p>
        </w:tc>
        <w:tc>
          <w:tcPr>
            <w:tcW w:w="780" w:type="dxa"/>
            <w:vAlign w:val="bottom"/>
            <w:shd w:val="clear" w:color="auto" w:fill="000000"/>
          </w:tcPr>
          <w:p>
            <w:pPr>
              <w:ind w:left="700"/>
              <w:spacing w:after="0"/>
              <w:rPr>
                <w:sz w:val="20"/>
                <w:szCs w:val="20"/>
                <w:color w:val="auto"/>
              </w:rPr>
            </w:pPr>
            <w:r>
              <w:rPr>
                <w:rFonts w:ascii="Arial" w:cs="Arial" w:eastAsia="Arial" w:hAnsi="Arial"/>
                <w:sz w:val="22"/>
                <w:szCs w:val="22"/>
                <w:color w:val="FEFEFE"/>
              </w:rPr>
              <w:t>​</w:t>
            </w:r>
          </w:p>
        </w:tc>
        <w:tc>
          <w:tcPr>
            <w:tcW w:w="0" w:type="dxa"/>
            <w:vAlign w:val="bottom"/>
          </w:tcPr>
          <w:p>
            <w:pPr>
              <w:spacing w:after="0"/>
              <w:rPr>
                <w:sz w:val="1"/>
                <w:szCs w:val="1"/>
                <w:color w:val="auto"/>
              </w:rPr>
            </w:pPr>
          </w:p>
        </w:tc>
      </w:tr>
      <w:tr>
        <w:trPr>
          <w:trHeight w:val="55"/>
        </w:trPr>
        <w:tc>
          <w:tcPr>
            <w:tcW w:w="820" w:type="dxa"/>
            <w:vAlign w:val="bottom"/>
            <w:shd w:val="clear" w:color="auto" w:fill="000000"/>
          </w:tcPr>
          <w:p>
            <w:pPr>
              <w:spacing w:after="0"/>
              <w:rPr>
                <w:sz w:val="4"/>
                <w:szCs w:val="4"/>
                <w:color w:val="auto"/>
              </w:rPr>
            </w:pPr>
          </w:p>
        </w:tc>
        <w:tc>
          <w:tcPr>
            <w:tcW w:w="7780" w:type="dxa"/>
            <w:vAlign w:val="bottom"/>
            <w:vMerge w:val="continue"/>
            <w:shd w:val="clear" w:color="auto" w:fill="000000"/>
          </w:tcPr>
          <w:p>
            <w:pPr>
              <w:spacing w:after="0"/>
              <w:rPr>
                <w:sz w:val="4"/>
                <w:szCs w:val="4"/>
                <w:color w:val="auto"/>
              </w:rPr>
            </w:pPr>
          </w:p>
        </w:tc>
        <w:tc>
          <w:tcPr>
            <w:tcW w:w="78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820" w:type="dxa"/>
            <w:vAlign w:val="bottom"/>
            <w:shd w:val="clear" w:color="auto" w:fill="000000"/>
          </w:tcPr>
          <w:p>
            <w:pPr>
              <w:spacing w:after="0"/>
              <w:rPr>
                <w:sz w:val="24"/>
                <w:szCs w:val="24"/>
                <w:color w:val="auto"/>
              </w:rPr>
            </w:pPr>
          </w:p>
        </w:tc>
        <w:tc>
          <w:tcPr>
            <w:tcW w:w="7780" w:type="dxa"/>
            <w:vAlign w:val="bottom"/>
            <w:shd w:val="clear" w:color="auto" w:fill="000000"/>
          </w:tcPr>
          <w:p>
            <w:pPr>
              <w:jc w:val="center"/>
              <w:spacing w:after="0"/>
              <w:rPr>
                <w:sz w:val="20"/>
                <w:szCs w:val="20"/>
                <w:color w:val="auto"/>
              </w:rPr>
            </w:pPr>
            <w:r>
              <w:rPr>
                <w:rFonts w:ascii="Arial" w:cs="Arial" w:eastAsia="Arial" w:hAnsi="Arial"/>
                <w:sz w:val="22"/>
                <w:szCs w:val="22"/>
                <w:color w:val="FEFEFE"/>
                <w:w w:val="98"/>
              </w:rPr>
              <w:t>“FOR” EACH NAMED DIRECTOR NOMINEE (PROPOSAL NO. 1)</w:t>
            </w:r>
          </w:p>
        </w:tc>
        <w:tc>
          <w:tcPr>
            <w:tcW w:w="78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820" w:type="dxa"/>
            <w:vAlign w:val="bottom"/>
            <w:shd w:val="clear" w:color="auto" w:fill="000000"/>
          </w:tcPr>
          <w:p>
            <w:pPr>
              <w:spacing w:after="0"/>
              <w:rPr>
                <w:sz w:val="8"/>
                <w:szCs w:val="8"/>
                <w:color w:val="auto"/>
              </w:rPr>
            </w:pPr>
          </w:p>
        </w:tc>
        <w:tc>
          <w:tcPr>
            <w:tcW w:w="7780" w:type="dxa"/>
            <w:vAlign w:val="bottom"/>
            <w:shd w:val="clear" w:color="auto" w:fill="000000"/>
          </w:tcPr>
          <w:p>
            <w:pPr>
              <w:spacing w:after="0"/>
              <w:rPr>
                <w:sz w:val="8"/>
                <w:szCs w:val="8"/>
                <w:color w:val="auto"/>
              </w:rPr>
            </w:pPr>
          </w:p>
        </w:tc>
        <w:tc>
          <w:tcPr>
            <w:tcW w:w="78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97"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​14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right="1640"/>
        <w:spacing w:after="0" w:line="256" w:lineRule="auto"/>
        <w:rPr>
          <w:sz w:val="20"/>
          <w:szCs w:val="20"/>
          <w:color w:val="auto"/>
        </w:rPr>
      </w:pPr>
      <w:r>
        <w:rPr>
          <w:rFonts w:ascii="Times New Roman" w:cs="Times New Roman" w:eastAsia="Times New Roman" w:hAnsi="Times New Roman"/>
          <w:sz w:val="36"/>
          <w:szCs w:val="36"/>
          <w:b w:val="1"/>
          <w:bCs w:val="1"/>
          <w:color w:val="auto"/>
        </w:rPr>
        <w:t>Information Regarding the Board of Directors and Corporate Governance</w:t>
      </w:r>
    </w:p>
    <w:p>
      <w:pPr>
        <w:spacing w:after="0" w:line="295" w:lineRule="exact"/>
        <w:rPr>
          <w:sz w:val="20"/>
          <w:szCs w:val="20"/>
          <w:color w:val="auto"/>
        </w:rPr>
      </w:pPr>
    </w:p>
    <w:p>
      <w:pPr>
        <w:ind w:left="660" w:right="100"/>
        <w:spacing w:after="0" w:line="275" w:lineRule="auto"/>
        <w:rPr>
          <w:sz w:val="20"/>
          <w:szCs w:val="20"/>
          <w:color w:val="auto"/>
        </w:rPr>
      </w:pPr>
      <w:r>
        <w:rPr>
          <w:rFonts w:ascii="Arial" w:cs="Arial" w:eastAsia="Arial" w:hAnsi="Arial"/>
          <w:sz w:val="16"/>
          <w:szCs w:val="16"/>
          <w:color w:val="auto"/>
        </w:rPr>
        <w:t>This section describes key corporate governance guidelines and practices that we have adopted. Complete copies of our Corporate Governance Guidelines, the charters of the committees of the Board and our Code of Business Conduct and Ethics, described below, can be found in the Governance section of the Investors section of our website at https://ir.lucidmotors.com/​ governance/documents-and-charters. Alternatively, you can request a copy of any of these documents free of charge by writing to: Secretary at Lucid Group, Inc., 7373 Gateway Boulevard, Newark, CA 94560. Information on or accessible through our website is not incorporated by reference in this Proxy Statement.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Controlled Company</w:t>
      </w:r>
    </w:p>
    <w:p>
      <w:pPr>
        <w:spacing w:after="0" w:line="172" w:lineRule="exact"/>
        <w:rPr>
          <w:sz w:val="20"/>
          <w:szCs w:val="20"/>
          <w:color w:val="auto"/>
        </w:rPr>
      </w:pPr>
    </w:p>
    <w:p>
      <w:pPr>
        <w:ind w:left="660" w:right="40"/>
        <w:spacing w:after="0" w:line="279" w:lineRule="auto"/>
        <w:rPr>
          <w:sz w:val="20"/>
          <w:szCs w:val="20"/>
          <w:color w:val="auto"/>
        </w:rPr>
      </w:pPr>
      <w:r>
        <w:rPr>
          <w:rFonts w:ascii="Arial" w:cs="Arial" w:eastAsia="Arial" w:hAnsi="Arial"/>
          <w:sz w:val="16"/>
          <w:szCs w:val="16"/>
          <w:color w:val="auto"/>
        </w:rPr>
        <w:t>Our Common Stock is listed on Nasdaq. As Ayar controls more than 50% of our combined voting power, we are a “controlled company” for purposes of Nasdaq’s rules and corporate governance standards and, as a result, qualify for exemptions from certain corporate governance requirements. Although as of the date of this Proxy Statement, we do not utilize any of these exemptions, we may elect to utilize one or more of these exemptions for so long as we remain a “controlled company.” In the event that we cease to be a “controlled company” and our shares continue to be listed on Nasdaq, we will be required to comply with these provisions within the applicable transition periods.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Board Composition</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consists of nine members. Andrew Liveris is the Chairman of our Board. Turqi Alnowaiser will replace</w:t>
      </w:r>
    </w:p>
    <w:p>
      <w:pPr>
        <w:spacing w:after="0" w:line="31" w:lineRule="exact"/>
        <w:rPr>
          <w:sz w:val="20"/>
          <w:szCs w:val="20"/>
          <w:color w:val="auto"/>
        </w:rPr>
      </w:pPr>
    </w:p>
    <w:p>
      <w:pPr>
        <w:ind w:left="660" w:right="40"/>
        <w:spacing w:after="0" w:line="278" w:lineRule="auto"/>
        <w:rPr>
          <w:sz w:val="20"/>
          <w:szCs w:val="20"/>
          <w:color w:val="auto"/>
        </w:rPr>
      </w:pPr>
      <w:r>
        <w:rPr>
          <w:rFonts w:ascii="Arial" w:cs="Arial" w:eastAsia="Arial" w:hAnsi="Arial"/>
          <w:sz w:val="16"/>
          <w:szCs w:val="16"/>
          <w:color w:val="auto"/>
        </w:rPr>
        <w:t>Mr. Liveris as Chairman of our Board effective immediately after the Annual Meeting, assuming Mr. Alnowaiser is re-elected to the Board. The primary responsibilities of our Board are to provide oversight, strategic guidance, counseling and direction to management. Our Board meets on a regular basis and additionally, as required. In accordance with the Investor Rights Agreement, Turqi Alnowaiser, Andrew Liveris, Sherif Marakby, Nichelle Maynard-Elliott and Ori Winitzer were designated for nomination by Ayar to the Board of Directors and nominated by the Nominating and Corporate Governance Committee and the Board.</w:t>
      </w:r>
    </w:p>
    <w:p>
      <w:pPr>
        <w:spacing w:after="0" w:line="178" w:lineRule="exact"/>
        <w:rPr>
          <w:sz w:val="20"/>
          <w:szCs w:val="20"/>
          <w:color w:val="auto"/>
        </w:rPr>
      </w:pPr>
    </w:p>
    <w:p>
      <w:pPr>
        <w:ind w:left="660" w:right="580"/>
        <w:spacing w:after="0" w:line="304" w:lineRule="auto"/>
        <w:rPr>
          <w:sz w:val="20"/>
          <w:szCs w:val="20"/>
          <w:color w:val="auto"/>
        </w:rPr>
      </w:pPr>
      <w:r>
        <w:rPr>
          <w:rFonts w:ascii="Arial" w:cs="Arial" w:eastAsia="Arial" w:hAnsi="Arial"/>
          <w:sz w:val="16"/>
          <w:szCs w:val="16"/>
          <w:color w:val="auto"/>
        </w:rPr>
        <w:t>All directors will be elected at each annual meeting of our stockholders. Each director’s term continues until the election and qualification of their successor, or such director’s earlier death, resignation or removal.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Director Independence</w:t>
      </w:r>
    </w:p>
    <w:p>
      <w:pPr>
        <w:spacing w:after="0" w:line="172" w:lineRule="exact"/>
        <w:rPr>
          <w:sz w:val="20"/>
          <w:szCs w:val="20"/>
          <w:color w:val="auto"/>
        </w:rPr>
      </w:pPr>
    </w:p>
    <w:p>
      <w:pPr>
        <w:ind w:left="660" w:right="60"/>
        <w:spacing w:after="0" w:line="274" w:lineRule="auto"/>
        <w:rPr>
          <w:sz w:val="20"/>
          <w:szCs w:val="20"/>
          <w:color w:val="auto"/>
        </w:rPr>
      </w:pPr>
      <w:r>
        <w:rPr>
          <w:rFonts w:ascii="Arial" w:cs="Arial" w:eastAsia="Arial" w:hAnsi="Arial"/>
          <w:sz w:val="16"/>
          <w:szCs w:val="16"/>
          <w:color w:val="auto"/>
        </w:rPr>
        <w:t>The Board has affirmatively determined that all of the nominees, other than Peter Rawlinson, are independent directors within the meaning of the applicable Nasdaq listing standards and that each such nominee is free of any relationship that would impair his or her individual exercise of independent judgment with regard to our Company (the “Independent Directors”). In making these determinations, our Board of Directors considered the current and prior relationships that each Independent Director has with our company and all other facts and circumstances our Board of Directors deemed relevant in determining their independence, including the beneficial ownership of our capital stock by each Independent Director, and the transactions involving them described in the section entitled “Certain Relationships and Related Party Transactions.” There are no family relationships among any current director, director nominee and/or any of our executive officers.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Board Leadership Structure</w:t>
      </w:r>
    </w:p>
    <w:p>
      <w:pPr>
        <w:spacing w:after="0" w:line="172" w:lineRule="exact"/>
        <w:rPr>
          <w:sz w:val="20"/>
          <w:szCs w:val="20"/>
          <w:color w:val="auto"/>
        </w:rPr>
      </w:pPr>
    </w:p>
    <w:p>
      <w:pPr>
        <w:ind w:left="660" w:right="620"/>
        <w:spacing w:after="0" w:line="321" w:lineRule="auto"/>
        <w:rPr>
          <w:sz w:val="20"/>
          <w:szCs w:val="20"/>
          <w:color w:val="auto"/>
        </w:rPr>
      </w:pPr>
      <w:r>
        <w:rPr>
          <w:rFonts w:ascii="Arial" w:cs="Arial" w:eastAsia="Arial" w:hAnsi="Arial"/>
          <w:sz w:val="16"/>
          <w:szCs w:val="16"/>
          <w:color w:val="auto"/>
        </w:rPr>
        <w:t>The Board reviews its leadership structure periodically as part of its annual self-assessment process. In addition, the Board continues to monitor developments in corporate governance as well as the approaches our peers undertake.</w:t>
      </w:r>
    </w:p>
    <w:p>
      <w:pPr>
        <w:spacing w:after="0" w:line="142" w:lineRule="exact"/>
        <w:rPr>
          <w:sz w:val="20"/>
          <w:szCs w:val="20"/>
          <w:color w:val="auto"/>
        </w:rPr>
      </w:pPr>
    </w:p>
    <w:p>
      <w:pPr>
        <w:ind w:left="660" w:right="40"/>
        <w:spacing w:after="0" w:line="275" w:lineRule="auto"/>
        <w:rPr>
          <w:sz w:val="20"/>
          <w:szCs w:val="20"/>
          <w:color w:val="auto"/>
        </w:rPr>
      </w:pPr>
      <w:r>
        <w:rPr>
          <w:rFonts w:ascii="Arial" w:cs="Arial" w:eastAsia="Arial" w:hAnsi="Arial"/>
          <w:sz w:val="16"/>
          <w:szCs w:val="16"/>
          <w:color w:val="auto"/>
        </w:rPr>
        <w:t>The Board believes that it is important to retain the flexibility to allocate the responsibilities of the offices of Chairman of the Board (“Chair”) and Chief Executive Officer in any manner that it determines to be in the best interests of the Company at any point in time. Our Chair is currently Andrew Liveris and will be replaced by Turqi Alnowaiser effective immediately after the Annual Meeting, assuming Mr. Alnowaiser is re-elected to the Board. The Chair and our Chief Executive Officer are currently separate. Our Board of Directors does not currently have a policy as to whether the role of Chair and the Chief Executive Officer should be separate. Our Board of Directors believes that the Company and its stockholders are best served by maintaining the flexibility to determine whether the Chair and Chief Executive Officer positions should be separated or combined at a given point in time in order to provide appropriate leadership for us at that time. At any time the Company is not availing itself of the “controlled company” exceptions under Nasdaq rules, in order to maintain the independent integrity of the Board, if the Chair is not an</w:t>
      </w:r>
    </w:p>
    <w:p>
      <w:pPr>
        <w:sectPr>
          <w:pgSz w:w="11900" w:h="16838" w:orient="portrait"/>
          <w:cols w:equalWidth="0" w:num="1">
            <w:col w:w="10080"/>
          </w:cols>
          <w:pgMar w:left="580" w:top="97" w:right="1239" w:bottom="1440" w:gutter="0" w:footer="0" w:header="0"/>
        </w:sectPr>
      </w:pPr>
    </w:p>
    <w:p>
      <w:pPr>
        <w:spacing w:after="0" w:line="380"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15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280"/>
        <w:spacing w:after="0" w:line="283" w:lineRule="auto"/>
        <w:rPr>
          <w:sz w:val="20"/>
          <w:szCs w:val="20"/>
          <w:color w:val="auto"/>
        </w:rPr>
      </w:pPr>
      <w:r>
        <w:rPr>
          <w:rFonts w:ascii="Arial" w:cs="Arial" w:eastAsia="Arial" w:hAnsi="Arial"/>
          <w:sz w:val="16"/>
          <w:szCs w:val="16"/>
          <w:color w:val="auto"/>
        </w:rPr>
        <w:t>independent director, the Board shall appoint a lead director who must be independent. Our Corporate Governance Guidelines note that all directors are elected by the stockholders and all have an equal voice. The Chair and the Chief Executive Officer are free, as is the Board of Directors as a whole, to call upon any one or more directors to provide leadership in a given situation should a special need arise.</w:t>
      </w:r>
    </w:p>
    <w:p>
      <w:pPr>
        <w:spacing w:after="0" w:line="172" w:lineRule="exact"/>
        <w:rPr>
          <w:sz w:val="20"/>
          <w:szCs w:val="20"/>
          <w:color w:val="auto"/>
        </w:rPr>
      </w:pPr>
    </w:p>
    <w:p>
      <w:pPr>
        <w:ind w:left="660" w:right="140"/>
        <w:spacing w:after="0" w:line="304" w:lineRule="auto"/>
        <w:rPr>
          <w:sz w:val="20"/>
          <w:szCs w:val="20"/>
          <w:color w:val="auto"/>
        </w:rPr>
      </w:pPr>
      <w:r>
        <w:rPr>
          <w:rFonts w:ascii="Arial" w:cs="Arial" w:eastAsia="Arial" w:hAnsi="Arial"/>
          <w:sz w:val="16"/>
          <w:szCs w:val="16"/>
          <w:color w:val="auto"/>
        </w:rPr>
        <w:t>Additionally, pursuant to the Investor Rights Agreement and subject to Ayar’s continued beneficial ownership of specified amounts of our Common Stock (as described above), Ayar is entitled to select the Chair.</w:t>
      </w:r>
    </w:p>
    <w:p>
      <w:pPr>
        <w:spacing w:after="0" w:line="168" w:lineRule="exact"/>
        <w:rPr>
          <w:sz w:val="20"/>
          <w:szCs w:val="20"/>
          <w:color w:val="auto"/>
        </w:rPr>
      </w:pPr>
    </w:p>
    <w:p>
      <w:pPr>
        <w:ind w:left="660" w:right="200"/>
        <w:spacing w:after="0" w:line="278" w:lineRule="auto"/>
        <w:rPr>
          <w:sz w:val="20"/>
          <w:szCs w:val="20"/>
          <w:color w:val="auto"/>
        </w:rPr>
      </w:pPr>
      <w:r>
        <w:rPr>
          <w:rFonts w:ascii="Arial" w:cs="Arial" w:eastAsia="Arial" w:hAnsi="Arial"/>
          <w:sz w:val="16"/>
          <w:szCs w:val="16"/>
          <w:color w:val="auto"/>
        </w:rPr>
        <w:t>The Board of Directors, including each of its committees, also has complete and open access to any member of the Company’s management and the authority to retain independent advisors as the Board or such committee deems appropriate. In addition, all members of the Audit Committee, the Nominating and Corporate Governance Committee and the Compensation Committee are Independent Directors, and the committee chairs have authority to hold executive sessions without management and non-Independent Directors present.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Board Diversity</w:t>
      </w:r>
    </w:p>
    <w:p>
      <w:pPr>
        <w:spacing w:after="0" w:line="185" w:lineRule="exact"/>
        <w:rPr>
          <w:sz w:val="20"/>
          <w:szCs w:val="20"/>
          <w:color w:val="auto"/>
        </w:rPr>
      </w:pPr>
    </w:p>
    <w:p>
      <w:pPr>
        <w:ind w:left="660" w:right="40"/>
        <w:spacing w:after="0" w:line="321" w:lineRule="auto"/>
        <w:rPr>
          <w:sz w:val="20"/>
          <w:szCs w:val="20"/>
          <w:color w:val="auto"/>
        </w:rPr>
      </w:pPr>
      <w:r>
        <w:rPr>
          <w:rFonts w:ascii="Arial" w:cs="Arial" w:eastAsia="Arial" w:hAnsi="Arial"/>
          <w:sz w:val="16"/>
          <w:szCs w:val="16"/>
          <w:color w:val="auto"/>
        </w:rPr>
        <w:t>We are committed to diversity and inclusion, and the highly diverse nature of our Board reflects that commitment. We believe that a variety of experiences and points of view contributes to a more effective decision-making process.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below Board Diversity Matrix reports self-identified diversity statistics for the Board in the format required by Nasdaq’s rules.</w:t>
      </w:r>
    </w:p>
    <w:p>
      <w:pPr>
        <w:spacing w:after="0" w:line="283"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6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940" w:type="dxa"/>
            <w:vAlign w:val="bottom"/>
            <w:shd w:val="clear" w:color="auto" w:fill="000000"/>
          </w:tcPr>
          <w:p>
            <w:pPr>
              <w:spacing w:after="0"/>
              <w:rPr>
                <w:sz w:val="16"/>
                <w:szCs w:val="16"/>
                <w:color w:val="auto"/>
              </w:rPr>
            </w:pPr>
          </w:p>
        </w:tc>
        <w:tc>
          <w:tcPr>
            <w:tcW w:w="3380" w:type="dxa"/>
            <w:vAlign w:val="bottom"/>
            <w:vMerge w:val="restart"/>
            <w:shd w:val="clear" w:color="auto" w:fill="000000"/>
          </w:tcPr>
          <w:p>
            <w:pPr>
              <w:ind w:left="160"/>
              <w:spacing w:after="0"/>
              <w:rPr>
                <w:sz w:val="20"/>
                <w:szCs w:val="20"/>
                <w:color w:val="auto"/>
              </w:rPr>
            </w:pPr>
            <w:r>
              <w:rPr>
                <w:rFonts w:ascii="Arial" w:cs="Arial" w:eastAsia="Arial" w:hAnsi="Arial"/>
                <w:sz w:val="13"/>
                <w:szCs w:val="13"/>
                <w:b w:val="1"/>
                <w:bCs w:val="1"/>
                <w:color w:val="FEFEFE"/>
              </w:rPr>
              <w:t>Board Diversity Matrix (as of February 15, 2023)</w:t>
            </w:r>
          </w:p>
        </w:tc>
        <w:tc>
          <w:tcPr>
            <w:tcW w:w="40" w:type="dxa"/>
            <w:vAlign w:val="bottom"/>
            <w:shd w:val="clear" w:color="auto" w:fill="000000"/>
          </w:tcPr>
          <w:p>
            <w:pPr>
              <w:spacing w:after="0"/>
              <w:rPr>
                <w:sz w:val="16"/>
                <w:szCs w:val="16"/>
                <w:color w:val="auto"/>
              </w:rPr>
            </w:pPr>
          </w:p>
        </w:tc>
        <w:tc>
          <w:tcPr>
            <w:tcW w:w="42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300" w:type="dxa"/>
            <w:vAlign w:val="bottom"/>
            <w:shd w:val="clear" w:color="auto" w:fill="000000"/>
          </w:tcPr>
          <w:p>
            <w:pPr>
              <w:spacing w:after="0"/>
              <w:rPr>
                <w:sz w:val="16"/>
                <w:szCs w:val="16"/>
                <w:color w:val="auto"/>
              </w:rPr>
            </w:pPr>
          </w:p>
        </w:tc>
        <w:tc>
          <w:tcPr>
            <w:tcW w:w="160" w:type="dxa"/>
            <w:vAlign w:val="bottom"/>
            <w:shd w:val="clear" w:color="auto" w:fill="000000"/>
          </w:tcPr>
          <w:p>
            <w:pPr>
              <w:spacing w:after="0"/>
              <w:rPr>
                <w:sz w:val="16"/>
                <w:szCs w:val="16"/>
                <w:color w:val="auto"/>
              </w:rPr>
            </w:pPr>
          </w:p>
        </w:tc>
        <w:tc>
          <w:tcPr>
            <w:tcW w:w="60" w:type="dxa"/>
            <w:vAlign w:val="bottom"/>
            <w:shd w:val="clear" w:color="auto" w:fill="000000"/>
          </w:tcPr>
          <w:p>
            <w:pPr>
              <w:spacing w:after="0"/>
              <w:rPr>
                <w:sz w:val="16"/>
                <w:szCs w:val="16"/>
                <w:color w:val="auto"/>
              </w:rPr>
            </w:pPr>
          </w:p>
        </w:tc>
        <w:tc>
          <w:tcPr>
            <w:tcW w:w="600" w:type="dxa"/>
            <w:vAlign w:val="bottom"/>
            <w:shd w:val="clear" w:color="auto" w:fill="000000"/>
          </w:tcPr>
          <w:p>
            <w:pPr>
              <w:spacing w:after="0"/>
              <w:rPr>
                <w:sz w:val="16"/>
                <w:szCs w:val="16"/>
                <w:color w:val="auto"/>
              </w:rPr>
            </w:pPr>
          </w:p>
        </w:tc>
        <w:tc>
          <w:tcPr>
            <w:tcW w:w="26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560" w:type="dxa"/>
            <w:vAlign w:val="bottom"/>
            <w:shd w:val="clear" w:color="auto" w:fill="000000"/>
          </w:tcPr>
          <w:p>
            <w:pPr>
              <w:spacing w:after="0"/>
              <w:rPr>
                <w:sz w:val="16"/>
                <w:szCs w:val="16"/>
                <w:color w:val="auto"/>
              </w:rPr>
            </w:pPr>
          </w:p>
        </w:tc>
        <w:tc>
          <w:tcPr>
            <w:tcW w:w="2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17"/>
        </w:trPr>
        <w:tc>
          <w:tcPr>
            <w:tcW w:w="6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2940" w:type="dxa"/>
            <w:vAlign w:val="bottom"/>
            <w:shd w:val="clear" w:color="auto" w:fill="000000"/>
          </w:tcPr>
          <w:p>
            <w:pPr>
              <w:spacing w:after="0"/>
              <w:rPr>
                <w:sz w:val="10"/>
                <w:szCs w:val="10"/>
                <w:color w:val="auto"/>
              </w:rPr>
            </w:pPr>
          </w:p>
        </w:tc>
        <w:tc>
          <w:tcPr>
            <w:tcW w:w="3380" w:type="dxa"/>
            <w:vAlign w:val="bottom"/>
            <w:vMerge w:val="continue"/>
            <w:shd w:val="clear" w:color="auto" w:fill="000000"/>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42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30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600" w:type="dxa"/>
            <w:vAlign w:val="bottom"/>
            <w:shd w:val="clear" w:color="auto" w:fill="000000"/>
          </w:tcPr>
          <w:p>
            <w:pPr>
              <w:spacing w:after="0"/>
              <w:rPr>
                <w:sz w:val="10"/>
                <w:szCs w:val="10"/>
                <w:color w:val="auto"/>
              </w:rPr>
            </w:pPr>
          </w:p>
        </w:tc>
        <w:tc>
          <w:tcPr>
            <w:tcW w:w="260" w:type="dxa"/>
            <w:vAlign w:val="bottom"/>
            <w:shd w:val="clear" w:color="auto" w:fill="000000"/>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560" w:type="dxa"/>
            <w:vAlign w:val="bottom"/>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c>
          <w:tcPr>
            <w:tcW w:w="33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60" w:type="dxa"/>
            <w:vAlign w:val="bottom"/>
            <w:vMerge w:val="continue"/>
            <w:shd w:val="clear" w:color="auto" w:fill="000000"/>
          </w:tcPr>
          <w:p>
            <w:pPr>
              <w:spacing w:after="0"/>
              <w:rPr>
                <w:sz w:val="21"/>
                <w:szCs w:val="21"/>
                <w:color w:val="auto"/>
              </w:rPr>
            </w:pPr>
          </w:p>
        </w:tc>
        <w:tc>
          <w:tcPr>
            <w:tcW w:w="80" w:type="dxa"/>
            <w:vAlign w:val="bottom"/>
            <w:shd w:val="clear" w:color="auto" w:fill="000000"/>
          </w:tcPr>
          <w:p>
            <w:pPr>
              <w:spacing w:after="0"/>
              <w:rPr>
                <w:sz w:val="21"/>
                <w:szCs w:val="21"/>
                <w:color w:val="auto"/>
              </w:rPr>
            </w:pPr>
          </w:p>
        </w:tc>
        <w:tc>
          <w:tcPr>
            <w:tcW w:w="294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Total Number of Directors</w:t>
            </w:r>
          </w:p>
        </w:tc>
        <w:tc>
          <w:tcPr>
            <w:tcW w:w="3380" w:type="dxa"/>
            <w:vAlign w:val="bottom"/>
            <w:shd w:val="clear" w:color="auto" w:fill="000000"/>
          </w:tcPr>
          <w:p>
            <w:pPr>
              <w:ind w:left="3280"/>
              <w:spacing w:after="0"/>
              <w:rPr>
                <w:sz w:val="20"/>
                <w:szCs w:val="20"/>
                <w:color w:val="auto"/>
              </w:rPr>
            </w:pPr>
            <w:r>
              <w:rPr>
                <w:rFonts w:ascii="Arial" w:cs="Arial" w:eastAsia="Arial" w:hAnsi="Arial"/>
                <w:sz w:val="13"/>
                <w:szCs w:val="13"/>
                <w:b w:val="1"/>
                <w:bCs w:val="1"/>
                <w:color w:val="FEFEFE"/>
              </w:rPr>
              <w:t>​</w:t>
            </w:r>
          </w:p>
        </w:tc>
        <w:tc>
          <w:tcPr>
            <w:tcW w:w="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420" w:type="dxa"/>
            <w:vAlign w:val="bottom"/>
            <w:shd w:val="clear" w:color="auto" w:fill="000000"/>
          </w:tcPr>
          <w:p>
            <w:pPr>
              <w:spacing w:after="0"/>
              <w:rPr>
                <w:sz w:val="21"/>
                <w:szCs w:val="21"/>
                <w:color w:val="auto"/>
              </w:rPr>
            </w:pPr>
          </w:p>
        </w:tc>
        <w:tc>
          <w:tcPr>
            <w:tcW w:w="200" w:type="dxa"/>
            <w:vAlign w:val="bottom"/>
            <w:shd w:val="clear" w:color="auto" w:fill="000000"/>
          </w:tcPr>
          <w:p>
            <w:pPr>
              <w:spacing w:after="0"/>
              <w:rPr>
                <w:sz w:val="21"/>
                <w:szCs w:val="21"/>
                <w:color w:val="auto"/>
              </w:rPr>
            </w:pPr>
          </w:p>
        </w:tc>
        <w:tc>
          <w:tcPr>
            <w:tcW w:w="40" w:type="dxa"/>
            <w:vAlign w:val="bottom"/>
            <w:shd w:val="clear" w:color="auto" w:fill="000000"/>
          </w:tcPr>
          <w:p>
            <w:pPr>
              <w:spacing w:after="0"/>
              <w:rPr>
                <w:sz w:val="21"/>
                <w:szCs w:val="21"/>
                <w:color w:val="auto"/>
              </w:rPr>
            </w:pPr>
          </w:p>
        </w:tc>
        <w:tc>
          <w:tcPr>
            <w:tcW w:w="300" w:type="dxa"/>
            <w:vAlign w:val="bottom"/>
            <w:shd w:val="clear" w:color="auto" w:fill="000000"/>
          </w:tcPr>
          <w:p>
            <w:pPr>
              <w:spacing w:after="0"/>
              <w:rPr>
                <w:sz w:val="21"/>
                <w:szCs w:val="21"/>
                <w:color w:val="auto"/>
              </w:rPr>
            </w:pPr>
          </w:p>
        </w:tc>
        <w:tc>
          <w:tcPr>
            <w:tcW w:w="160" w:type="dxa"/>
            <w:vAlign w:val="bottom"/>
            <w:shd w:val="clear" w:color="auto" w:fill="000000"/>
          </w:tcPr>
          <w:p>
            <w:pPr>
              <w:spacing w:after="0"/>
              <w:rPr>
                <w:sz w:val="21"/>
                <w:szCs w:val="21"/>
                <w:color w:val="auto"/>
              </w:rPr>
            </w:pPr>
          </w:p>
        </w:tc>
        <w:tc>
          <w:tcPr>
            <w:tcW w:w="60" w:type="dxa"/>
            <w:vAlign w:val="bottom"/>
            <w:shd w:val="clear" w:color="auto" w:fill="000000"/>
          </w:tcPr>
          <w:p>
            <w:pPr>
              <w:spacing w:after="0"/>
              <w:rPr>
                <w:sz w:val="21"/>
                <w:szCs w:val="21"/>
                <w:color w:val="auto"/>
              </w:rPr>
            </w:pPr>
          </w:p>
        </w:tc>
        <w:tc>
          <w:tcPr>
            <w:tcW w:w="60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9</w:t>
            </w:r>
          </w:p>
        </w:tc>
        <w:tc>
          <w:tcPr>
            <w:tcW w:w="260" w:type="dxa"/>
            <w:vAlign w:val="bottom"/>
            <w:shd w:val="clear" w:color="auto" w:fill="000000"/>
          </w:tcPr>
          <w:p>
            <w:pPr>
              <w:spacing w:after="0"/>
              <w:rPr>
                <w:sz w:val="21"/>
                <w:szCs w:val="21"/>
                <w:color w:val="auto"/>
              </w:rPr>
            </w:pPr>
          </w:p>
        </w:tc>
        <w:tc>
          <w:tcPr>
            <w:tcW w:w="40" w:type="dxa"/>
            <w:vAlign w:val="bottom"/>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240" w:type="dxa"/>
            <w:vAlign w:val="bottom"/>
            <w:shd w:val="clear" w:color="auto" w:fill="000000"/>
          </w:tcPr>
          <w:p>
            <w:pPr>
              <w:jc w:val="right"/>
              <w:ind w:right="109"/>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69"/>
        </w:trPr>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c>
          <w:tcPr>
            <w:tcW w:w="338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2940" w:type="dxa"/>
            <w:vAlign w:val="bottom"/>
            <w:shd w:val="clear" w:color="auto" w:fill="000000"/>
          </w:tcPr>
          <w:p>
            <w:pPr>
              <w:spacing w:after="0" w:line="138" w:lineRule="exact"/>
              <w:rPr>
                <w:sz w:val="20"/>
                <w:szCs w:val="20"/>
                <w:color w:val="auto"/>
              </w:rPr>
            </w:pPr>
            <w:r>
              <w:rPr>
                <w:rFonts w:ascii="Arial" w:cs="Arial" w:eastAsia="Arial" w:hAnsi="Arial"/>
                <w:sz w:val="13"/>
                <w:szCs w:val="13"/>
                <w:b w:val="1"/>
                <w:bCs w:val="1"/>
                <w:color w:val="FEFEFE"/>
              </w:rPr>
              <w:t>​</w:t>
            </w:r>
          </w:p>
        </w:tc>
        <w:tc>
          <w:tcPr>
            <w:tcW w:w="338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560" w:type="dxa"/>
            <w:vAlign w:val="bottom"/>
            <w:shd w:val="clear" w:color="auto" w:fill="000000"/>
          </w:tcPr>
          <w:p>
            <w:pPr>
              <w:ind w:left="100"/>
              <w:spacing w:after="0" w:line="138" w:lineRule="exact"/>
              <w:rPr>
                <w:sz w:val="20"/>
                <w:szCs w:val="20"/>
                <w:color w:val="auto"/>
              </w:rPr>
            </w:pPr>
            <w:r>
              <w:rPr>
                <w:rFonts w:ascii="Arial" w:cs="Arial" w:eastAsia="Arial" w:hAnsi="Arial"/>
                <w:sz w:val="13"/>
                <w:szCs w:val="13"/>
                <w:b w:val="1"/>
                <w:bCs w:val="1"/>
                <w:color w:val="FEFEFE"/>
                <w:w w:val="95"/>
              </w:rPr>
              <w:t>Did Not</w:t>
            </w:r>
          </w:p>
        </w:tc>
        <w:tc>
          <w:tcPr>
            <w:tcW w:w="24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940" w:type="dxa"/>
            <w:vAlign w:val="bottom"/>
            <w:shd w:val="clear" w:color="auto" w:fill="000000"/>
          </w:tcPr>
          <w:p>
            <w:pPr>
              <w:spacing w:after="0"/>
              <w:rPr>
                <w:sz w:val="12"/>
                <w:szCs w:val="12"/>
                <w:color w:val="auto"/>
              </w:rPr>
            </w:pPr>
          </w:p>
        </w:tc>
        <w:tc>
          <w:tcPr>
            <w:tcW w:w="3380" w:type="dxa"/>
            <w:vAlign w:val="bottom"/>
            <w:shd w:val="clear" w:color="auto" w:fill="000000"/>
          </w:tcPr>
          <w:p>
            <w:pPr>
              <w:ind w:left="3320"/>
              <w:spacing w:after="0"/>
              <w:rPr>
                <w:sz w:val="20"/>
                <w:szCs w:val="20"/>
                <w:color w:val="auto"/>
              </w:rPr>
            </w:pPr>
            <w:r>
              <w:rPr>
                <w:rFonts w:ascii="Arial" w:cs="Arial" w:eastAsia="Arial" w:hAnsi="Arial"/>
                <w:sz w:val="13"/>
                <w:szCs w:val="13"/>
                <w:b w:val="1"/>
                <w:bCs w:val="1"/>
                <w:color w:val="FEFEFE"/>
              </w:rPr>
              <w:t>​</w:t>
            </w:r>
          </w:p>
        </w:tc>
        <w:tc>
          <w:tcPr>
            <w:tcW w:w="40" w:type="dxa"/>
            <w:vAlign w:val="bottom"/>
            <w:shd w:val="clear" w:color="auto" w:fill="000000"/>
          </w:tcPr>
          <w:p>
            <w:pPr>
              <w:spacing w:after="0"/>
              <w:rPr>
                <w:sz w:val="12"/>
                <w:szCs w:val="12"/>
                <w:color w:val="auto"/>
              </w:rPr>
            </w:pPr>
          </w:p>
        </w:tc>
        <w:tc>
          <w:tcPr>
            <w:tcW w:w="620" w:type="dxa"/>
            <w:vAlign w:val="bottom"/>
            <w:gridSpan w:val="2"/>
            <w:shd w:val="clear" w:color="auto" w:fill="000000"/>
          </w:tcPr>
          <w:p>
            <w:pPr>
              <w:ind w:left="20"/>
              <w:spacing w:after="0"/>
              <w:rPr>
                <w:sz w:val="20"/>
                <w:szCs w:val="20"/>
                <w:color w:val="auto"/>
              </w:rPr>
            </w:pPr>
            <w:r>
              <w:rPr>
                <w:rFonts w:ascii="Arial" w:cs="Arial" w:eastAsia="Arial" w:hAnsi="Arial"/>
                <w:sz w:val="13"/>
                <w:szCs w:val="13"/>
                <w:b w:val="1"/>
                <w:bCs w:val="1"/>
                <w:color w:val="FEFEFE"/>
              </w:rPr>
              <w:t>​ Female ​</w:t>
            </w:r>
          </w:p>
        </w:tc>
        <w:tc>
          <w:tcPr>
            <w:tcW w:w="40" w:type="dxa"/>
            <w:vAlign w:val="bottom"/>
            <w:shd w:val="clear" w:color="auto" w:fill="000000"/>
          </w:tcPr>
          <w:p>
            <w:pPr>
              <w:spacing w:after="0"/>
              <w:rPr>
                <w:sz w:val="12"/>
                <w:szCs w:val="12"/>
                <w:color w:val="auto"/>
              </w:rPr>
            </w:pPr>
          </w:p>
        </w:tc>
        <w:tc>
          <w:tcPr>
            <w:tcW w:w="460" w:type="dxa"/>
            <w:vAlign w:val="bottom"/>
            <w:gridSpan w:val="2"/>
            <w:shd w:val="clear" w:color="auto" w:fill="000000"/>
          </w:tcPr>
          <w:p>
            <w:pPr>
              <w:jc w:val="right"/>
              <w:spacing w:after="0"/>
              <w:rPr>
                <w:sz w:val="20"/>
                <w:szCs w:val="20"/>
                <w:color w:val="auto"/>
              </w:rPr>
            </w:pPr>
            <w:r>
              <w:rPr>
                <w:rFonts w:ascii="Arial" w:cs="Arial" w:eastAsia="Arial" w:hAnsi="Arial"/>
                <w:sz w:val="13"/>
                <w:szCs w:val="13"/>
                <w:b w:val="1"/>
                <w:bCs w:val="1"/>
                <w:color w:val="FEFEFE"/>
              </w:rPr>
              <w:t>​ Male ​</w:t>
            </w:r>
          </w:p>
        </w:tc>
        <w:tc>
          <w:tcPr>
            <w:tcW w:w="60" w:type="dxa"/>
            <w:vAlign w:val="bottom"/>
            <w:shd w:val="clear" w:color="auto" w:fill="000000"/>
          </w:tcPr>
          <w:p>
            <w:pPr>
              <w:spacing w:after="0"/>
              <w:rPr>
                <w:sz w:val="12"/>
                <w:szCs w:val="12"/>
                <w:color w:val="auto"/>
              </w:rPr>
            </w:pPr>
          </w:p>
        </w:tc>
        <w:tc>
          <w:tcPr>
            <w:tcW w:w="860" w:type="dxa"/>
            <w:vAlign w:val="bottom"/>
            <w:gridSpan w:val="2"/>
            <w:shd w:val="clear" w:color="auto" w:fill="000000"/>
          </w:tcPr>
          <w:p>
            <w:pPr>
              <w:spacing w:after="0"/>
              <w:rPr>
                <w:sz w:val="20"/>
                <w:szCs w:val="20"/>
                <w:color w:val="auto"/>
              </w:rPr>
            </w:pPr>
            <w:r>
              <w:rPr>
                <w:rFonts w:ascii="Arial" w:cs="Arial" w:eastAsia="Arial" w:hAnsi="Arial"/>
                <w:sz w:val="13"/>
                <w:szCs w:val="13"/>
                <w:b w:val="1"/>
                <w:bCs w:val="1"/>
                <w:color w:val="FEFEFE"/>
              </w:rPr>
              <w:t>​ Non-Binary ​</w:t>
            </w:r>
          </w:p>
        </w:tc>
        <w:tc>
          <w:tcPr>
            <w:tcW w:w="40" w:type="dxa"/>
            <w:vAlign w:val="bottom"/>
            <w:shd w:val="clear" w:color="auto" w:fill="000000"/>
          </w:tcPr>
          <w:p>
            <w:pPr>
              <w:spacing w:after="0"/>
              <w:rPr>
                <w:sz w:val="12"/>
                <w:szCs w:val="12"/>
                <w:color w:val="auto"/>
              </w:rPr>
            </w:pPr>
          </w:p>
        </w:tc>
        <w:tc>
          <w:tcPr>
            <w:tcW w:w="800" w:type="dxa"/>
            <w:vAlign w:val="bottom"/>
            <w:gridSpan w:val="2"/>
            <w:shd w:val="clear" w:color="auto" w:fill="000000"/>
          </w:tcPr>
          <w:p>
            <w:pPr>
              <w:jc w:val="right"/>
              <w:spacing w:after="0"/>
              <w:rPr>
                <w:sz w:val="20"/>
                <w:szCs w:val="20"/>
                <w:color w:val="auto"/>
              </w:rPr>
            </w:pPr>
            <w:r>
              <w:rPr>
                <w:rFonts w:ascii="Arial" w:cs="Arial" w:eastAsia="Arial" w:hAnsi="Arial"/>
                <w:sz w:val="13"/>
                <w:szCs w:val="13"/>
                <w:b w:val="1"/>
                <w:bCs w:val="1"/>
                <w:color w:val="FEFEFE"/>
              </w:rPr>
              <w:t>​ Disclose  ​</w:t>
            </w:r>
          </w:p>
        </w:tc>
        <w:tc>
          <w:tcPr>
            <w:tcW w:w="0" w:type="dxa"/>
            <w:vAlign w:val="bottom"/>
          </w:tcPr>
          <w:p>
            <w:pPr>
              <w:spacing w:after="0"/>
              <w:rPr>
                <w:sz w:val="1"/>
                <w:szCs w:val="1"/>
                <w:color w:val="auto"/>
              </w:rPr>
            </w:pPr>
          </w:p>
        </w:tc>
      </w:tr>
      <w:tr>
        <w:trPr>
          <w:trHeight w:val="180"/>
        </w:trPr>
        <w:tc>
          <w:tcPr>
            <w:tcW w:w="60" w:type="dxa"/>
            <w:vAlign w:val="bottom"/>
            <w:shd w:val="clear" w:color="auto" w:fill="000000"/>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2940" w:type="dxa"/>
            <w:vAlign w:val="bottom"/>
            <w:shd w:val="clear" w:color="auto" w:fill="000000"/>
          </w:tcPr>
          <w:p>
            <w:pPr>
              <w:spacing w:after="0"/>
              <w:rPr>
                <w:sz w:val="15"/>
                <w:szCs w:val="15"/>
                <w:color w:val="auto"/>
              </w:rPr>
            </w:pPr>
          </w:p>
        </w:tc>
        <w:tc>
          <w:tcPr>
            <w:tcW w:w="3380" w:type="dxa"/>
            <w:vAlign w:val="bottom"/>
            <w:shd w:val="clear" w:color="auto" w:fill="000000"/>
          </w:tcPr>
          <w:p>
            <w:pPr>
              <w:spacing w:after="0"/>
              <w:rPr>
                <w:sz w:val="15"/>
                <w:szCs w:val="15"/>
                <w:color w:val="auto"/>
              </w:rPr>
            </w:pPr>
          </w:p>
        </w:tc>
        <w:tc>
          <w:tcPr>
            <w:tcW w:w="40" w:type="dxa"/>
            <w:vAlign w:val="bottom"/>
            <w:shd w:val="clear" w:color="auto" w:fill="000000"/>
          </w:tcPr>
          <w:p>
            <w:pPr>
              <w:spacing w:after="0"/>
              <w:rPr>
                <w:sz w:val="15"/>
                <w:szCs w:val="15"/>
                <w:color w:val="auto"/>
              </w:rPr>
            </w:pPr>
          </w:p>
        </w:tc>
        <w:tc>
          <w:tcPr>
            <w:tcW w:w="420" w:type="dxa"/>
            <w:vAlign w:val="bottom"/>
            <w:shd w:val="clear" w:color="auto" w:fill="000000"/>
          </w:tcPr>
          <w:p>
            <w:pPr>
              <w:spacing w:after="0"/>
              <w:rPr>
                <w:sz w:val="15"/>
                <w:szCs w:val="15"/>
                <w:color w:val="auto"/>
              </w:rPr>
            </w:pPr>
          </w:p>
        </w:tc>
        <w:tc>
          <w:tcPr>
            <w:tcW w:w="200" w:type="dxa"/>
            <w:vAlign w:val="bottom"/>
            <w:shd w:val="clear" w:color="auto" w:fill="000000"/>
          </w:tcPr>
          <w:p>
            <w:pPr>
              <w:spacing w:after="0"/>
              <w:rPr>
                <w:sz w:val="15"/>
                <w:szCs w:val="15"/>
                <w:color w:val="auto"/>
              </w:rPr>
            </w:pPr>
          </w:p>
        </w:tc>
        <w:tc>
          <w:tcPr>
            <w:tcW w:w="4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60" w:type="dxa"/>
            <w:vAlign w:val="bottom"/>
            <w:shd w:val="clear" w:color="auto" w:fill="000000"/>
          </w:tcPr>
          <w:p>
            <w:pPr>
              <w:spacing w:after="0"/>
              <w:rPr>
                <w:sz w:val="15"/>
                <w:szCs w:val="15"/>
                <w:color w:val="auto"/>
              </w:rPr>
            </w:pPr>
          </w:p>
        </w:tc>
        <w:tc>
          <w:tcPr>
            <w:tcW w:w="600" w:type="dxa"/>
            <w:vAlign w:val="bottom"/>
            <w:shd w:val="clear" w:color="auto" w:fill="000000"/>
          </w:tcPr>
          <w:p>
            <w:pPr>
              <w:spacing w:after="0"/>
              <w:rPr>
                <w:sz w:val="15"/>
                <w:szCs w:val="15"/>
                <w:color w:val="auto"/>
              </w:rPr>
            </w:pPr>
          </w:p>
        </w:tc>
        <w:tc>
          <w:tcPr>
            <w:tcW w:w="260" w:type="dxa"/>
            <w:vAlign w:val="bottom"/>
            <w:shd w:val="clear" w:color="auto" w:fill="000000"/>
          </w:tcPr>
          <w:p>
            <w:pPr>
              <w:spacing w:after="0"/>
              <w:rPr>
                <w:sz w:val="15"/>
                <w:szCs w:val="15"/>
                <w:color w:val="auto"/>
              </w:rPr>
            </w:pPr>
          </w:p>
        </w:tc>
        <w:tc>
          <w:tcPr>
            <w:tcW w:w="40" w:type="dxa"/>
            <w:vAlign w:val="bottom"/>
            <w:shd w:val="clear" w:color="auto" w:fill="000000"/>
          </w:tcPr>
          <w:p>
            <w:pPr>
              <w:spacing w:after="0"/>
              <w:rPr>
                <w:sz w:val="15"/>
                <w:szCs w:val="15"/>
                <w:color w:val="auto"/>
              </w:rPr>
            </w:pPr>
          </w:p>
        </w:tc>
        <w:tc>
          <w:tcPr>
            <w:tcW w:w="56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w w:val="92"/>
              </w:rPr>
              <w:t>Gender</w:t>
            </w:r>
          </w:p>
        </w:tc>
        <w:tc>
          <w:tcPr>
            <w:tcW w:w="24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Part I: Gender Identity</w:t>
            </w:r>
          </w:p>
        </w:tc>
        <w:tc>
          <w:tcPr>
            <w:tcW w:w="338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 ​</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29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Directors</w:t>
            </w:r>
          </w:p>
        </w:tc>
        <w:tc>
          <w:tcPr>
            <w:tcW w:w="3380" w:type="dxa"/>
            <w:vAlign w:val="bottom"/>
            <w:tcBorders>
              <w:bottom w:val="single" w:sz="8" w:color="auto"/>
            </w:tcBorders>
            <w:shd w:val="clear" w:color="auto" w:fill="F7F7F7"/>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ind w:left="2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w:t>
            </w:r>
          </w:p>
        </w:tc>
        <w:tc>
          <w:tcPr>
            <w:tcW w:w="20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F7F7F7"/>
          </w:tcPr>
          <w:p>
            <w:pPr>
              <w:ind w:left="1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​6</w:t>
            </w:r>
          </w:p>
        </w:tc>
        <w:tc>
          <w:tcPr>
            <w:tcW w:w="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3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F7F7F7"/>
          </w:tcPr>
          <w:p>
            <w:pPr>
              <w:ind w:left="2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shd w:val="clear" w:color="auto" w:fill="F7F7F7"/>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Part II: Demographic Background</w:t>
            </w:r>
          </w:p>
        </w:tc>
        <w:tc>
          <w:tcPr>
            <w:tcW w:w="3380" w:type="dxa"/>
            <w:vAlign w:val="bottom"/>
            <w:tcBorders>
              <w:bottom w:val="single" w:sz="8" w:color="auto"/>
            </w:tcBorders>
          </w:tcPr>
          <w:p>
            <w:pPr>
              <w:ind w:left="328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 ​</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29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African American or Black</w:t>
            </w:r>
          </w:p>
        </w:tc>
        <w:tc>
          <w:tcPr>
            <w:tcW w:w="3380" w:type="dxa"/>
            <w:vAlign w:val="bottom"/>
            <w:tcBorders>
              <w:bottom w:val="single" w:sz="8" w:color="auto"/>
            </w:tcBorders>
            <w:shd w:val="clear" w:color="auto" w:fill="F7F7F7"/>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ind w:left="2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w:t>
            </w:r>
          </w:p>
        </w:tc>
        <w:tc>
          <w:tcPr>
            <w:tcW w:w="20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F7F7F7"/>
          </w:tcPr>
          <w:p>
            <w:pPr>
              <w:ind w:left="1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3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F7F7F7"/>
          </w:tcPr>
          <w:p>
            <w:pPr>
              <w:ind w:left="2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shd w:val="clear" w:color="auto" w:fill="F7F7F7"/>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Alaskan Native or Native American</w:t>
            </w:r>
          </w:p>
        </w:tc>
        <w:tc>
          <w:tcPr>
            <w:tcW w:w="3380" w:type="dxa"/>
            <w:vAlign w:val="bottom"/>
            <w:tcBorders>
              <w:bottom w:val="single" w:sz="8" w:color="auto"/>
            </w:tcBorders>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ind w:left="2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1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ind w:left="2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29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Asian</w:t>
            </w:r>
          </w:p>
        </w:tc>
        <w:tc>
          <w:tcPr>
            <w:tcW w:w="3380" w:type="dxa"/>
            <w:vAlign w:val="bottom"/>
            <w:tcBorders>
              <w:bottom w:val="single" w:sz="8" w:color="auto"/>
            </w:tcBorders>
            <w:shd w:val="clear" w:color="auto" w:fill="F7F7F7"/>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ind w:left="2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w:t>
            </w:r>
          </w:p>
        </w:tc>
        <w:tc>
          <w:tcPr>
            <w:tcW w:w="20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F7F7F7"/>
          </w:tcPr>
          <w:p>
            <w:pPr>
              <w:ind w:left="1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w:t>
            </w:r>
          </w:p>
        </w:tc>
        <w:tc>
          <w:tcPr>
            <w:tcW w:w="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3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F7F7F7"/>
          </w:tcPr>
          <w:p>
            <w:pPr>
              <w:ind w:left="2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shd w:val="clear" w:color="auto" w:fill="F7F7F7"/>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0"/>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Hispanic or Latinx</w:t>
            </w:r>
          </w:p>
        </w:tc>
        <w:tc>
          <w:tcPr>
            <w:tcW w:w="3380" w:type="dxa"/>
            <w:vAlign w:val="bottom"/>
            <w:tcBorders>
              <w:bottom w:val="single" w:sz="8" w:color="auto"/>
            </w:tcBorders>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ind w:left="24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1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6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ind w:left="280"/>
              <w:spacing w:after="0" w:line="29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29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Native Hawaiian or Pacific Islander</w:t>
            </w:r>
          </w:p>
        </w:tc>
        <w:tc>
          <w:tcPr>
            <w:tcW w:w="3380" w:type="dxa"/>
            <w:vAlign w:val="bottom"/>
            <w:tcBorders>
              <w:bottom w:val="single" w:sz="8" w:color="auto"/>
            </w:tcBorders>
            <w:shd w:val="clear" w:color="auto" w:fill="F7F7F7"/>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ind w:left="24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0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F7F7F7"/>
          </w:tcPr>
          <w:p>
            <w:pPr>
              <w:ind w:left="16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36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F7F7F7"/>
          </w:tcPr>
          <w:p>
            <w:pPr>
              <w:ind w:left="28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shd w:val="clear" w:color="auto" w:fill="F7F7F7"/>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White</w:t>
            </w:r>
          </w:p>
        </w:tc>
        <w:tc>
          <w:tcPr>
            <w:tcW w:w="3380" w:type="dxa"/>
            <w:vAlign w:val="bottom"/>
            <w:tcBorders>
              <w:bottom w:val="single" w:sz="8" w:color="auto"/>
            </w:tcBorders>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ind w:left="24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16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36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ind w:left="28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29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Two or More Races or Ethnicities</w:t>
            </w:r>
          </w:p>
        </w:tc>
        <w:tc>
          <w:tcPr>
            <w:tcW w:w="3380" w:type="dxa"/>
            <w:vAlign w:val="bottom"/>
            <w:tcBorders>
              <w:bottom w:val="single" w:sz="8" w:color="auto"/>
            </w:tcBorders>
            <w:shd w:val="clear" w:color="auto" w:fill="F7F7F7"/>
          </w:tcPr>
          <w:p>
            <w:pPr>
              <w:ind w:left="3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ind w:left="24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0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F7F7F7"/>
          </w:tcPr>
          <w:p>
            <w:pPr>
              <w:ind w:left="16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1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36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F7F7F7"/>
          </w:tcPr>
          <w:p>
            <w:pPr>
              <w:ind w:left="280"/>
              <w:spacing w:after="0" w:line="30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w:t>
            </w:r>
          </w:p>
        </w:tc>
        <w:tc>
          <w:tcPr>
            <w:tcW w:w="240" w:type="dxa"/>
            <w:vAlign w:val="bottom"/>
            <w:tcBorders>
              <w:bottom w:val="single" w:sz="8" w:color="auto"/>
            </w:tcBorders>
            <w:shd w:val="clear" w:color="auto" w:fill="F7F7F7"/>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LGBTQ+</w:t>
            </w:r>
          </w:p>
        </w:tc>
        <w:tc>
          <w:tcPr>
            <w:tcW w:w="3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0</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4"/>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29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Did Not Disclose Demographic Background</w:t>
            </w:r>
          </w:p>
        </w:tc>
        <w:tc>
          <w:tcPr>
            <w:tcW w:w="342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auto"/>
            </w:tcBorders>
            <w:shd w:val="clear" w:color="auto" w:fill="F7F7F7"/>
          </w:tcPr>
          <w:p>
            <w:pPr>
              <w:spacing w:after="0"/>
              <w:rPr>
                <w:sz w:val="24"/>
                <w:szCs w:val="24"/>
                <w:color w:val="auto"/>
              </w:rPr>
            </w:pPr>
          </w:p>
        </w:tc>
        <w:tc>
          <w:tcPr>
            <w:tcW w:w="200" w:type="dxa"/>
            <w:vAlign w:val="bottom"/>
            <w:tcBorders>
              <w:bottom w:val="single" w:sz="8" w:color="auto"/>
            </w:tcBorders>
            <w:shd w:val="clear" w:color="auto" w:fill="F7F7F7"/>
          </w:tcPr>
          <w:p>
            <w:pPr>
              <w:spacing w:after="0"/>
              <w:rPr>
                <w:sz w:val="24"/>
                <w:szCs w:val="24"/>
                <w:color w:val="auto"/>
              </w:rPr>
            </w:pPr>
          </w:p>
        </w:tc>
        <w:tc>
          <w:tcPr>
            <w:tcW w:w="40" w:type="dxa"/>
            <w:vAlign w:val="bottom"/>
            <w:tcBorders>
              <w:bottom w:val="single" w:sz="8" w:color="auto"/>
            </w:tcBorders>
            <w:shd w:val="clear" w:color="auto" w:fill="F7F7F7"/>
          </w:tcPr>
          <w:p>
            <w:pPr>
              <w:spacing w:after="0"/>
              <w:rPr>
                <w:sz w:val="24"/>
                <w:szCs w:val="24"/>
                <w:color w:val="auto"/>
              </w:rPr>
            </w:pPr>
          </w:p>
        </w:tc>
        <w:tc>
          <w:tcPr>
            <w:tcW w:w="300" w:type="dxa"/>
            <w:vAlign w:val="bottom"/>
            <w:tcBorders>
              <w:bottom w:val="single" w:sz="8" w:color="auto"/>
            </w:tcBorders>
            <w:shd w:val="clear" w:color="auto" w:fill="F7F7F7"/>
          </w:tcPr>
          <w:p>
            <w:pPr>
              <w:spacing w:after="0"/>
              <w:rPr>
                <w:sz w:val="24"/>
                <w:szCs w:val="24"/>
                <w:color w:val="auto"/>
              </w:rPr>
            </w:pPr>
          </w:p>
        </w:tc>
        <w:tc>
          <w:tcPr>
            <w:tcW w:w="160" w:type="dxa"/>
            <w:vAlign w:val="bottom"/>
            <w:tcBorders>
              <w:bottom w:val="single" w:sz="8" w:color="auto"/>
            </w:tcBorders>
            <w:shd w:val="clear" w:color="auto" w:fill="F7F7F7"/>
          </w:tcPr>
          <w:p>
            <w:pPr>
              <w:spacing w:after="0"/>
              <w:rPr>
                <w:sz w:val="24"/>
                <w:szCs w:val="24"/>
                <w:color w:val="auto"/>
              </w:rPr>
            </w:pPr>
          </w:p>
        </w:tc>
        <w:tc>
          <w:tcPr>
            <w:tcW w:w="60" w:type="dxa"/>
            <w:vAlign w:val="bottom"/>
            <w:tcBorders>
              <w:bottom w:val="single" w:sz="8" w:color="auto"/>
            </w:tcBorders>
            <w:shd w:val="clear" w:color="auto" w:fill="F7F7F7"/>
          </w:tcPr>
          <w:p>
            <w:pPr>
              <w:spacing w:after="0"/>
              <w:rPr>
                <w:sz w:val="24"/>
                <w:szCs w:val="24"/>
                <w:color w:val="auto"/>
              </w:rPr>
            </w:pPr>
          </w:p>
        </w:tc>
        <w:tc>
          <w:tcPr>
            <w:tcW w:w="600" w:type="dxa"/>
            <w:vAlign w:val="bottom"/>
            <w:tcBorders>
              <w:bottom w:val="single" w:sz="8" w:color="auto"/>
            </w:tcBorders>
            <w:shd w:val="clear" w:color="auto" w:fill="F7F7F7"/>
          </w:tcPr>
          <w:p>
            <w:pPr>
              <w:ind w:left="160"/>
              <w:spacing w:after="0"/>
              <w:rPr>
                <w:sz w:val="20"/>
                <w:szCs w:val="20"/>
                <w:color w:val="auto"/>
              </w:rPr>
            </w:pPr>
            <w:r>
              <w:rPr>
                <w:rFonts w:ascii="Arial" w:cs="Arial" w:eastAsia="Arial" w:hAnsi="Arial"/>
                <w:sz w:val="14"/>
                <w:szCs w:val="14"/>
                <w:color w:val="auto"/>
              </w:rPr>
              <w:t>0</w:t>
            </w:r>
          </w:p>
        </w:tc>
        <w:tc>
          <w:tcPr>
            <w:tcW w:w="260" w:type="dxa"/>
            <w:vAlign w:val="bottom"/>
            <w:tcBorders>
              <w:bottom w:val="single" w:sz="8" w:color="auto"/>
            </w:tcBorders>
            <w:shd w:val="clear" w:color="auto" w:fill="F7F7F7"/>
          </w:tcPr>
          <w:p>
            <w:pPr>
              <w:spacing w:after="0"/>
              <w:rPr>
                <w:sz w:val="24"/>
                <w:szCs w:val="24"/>
                <w:color w:val="auto"/>
              </w:rPr>
            </w:pPr>
          </w:p>
        </w:tc>
        <w:tc>
          <w:tcPr>
            <w:tcW w:w="40" w:type="dxa"/>
            <w:vAlign w:val="bottom"/>
            <w:tcBorders>
              <w:bottom w:val="single" w:sz="8" w:color="auto"/>
            </w:tcBorders>
            <w:shd w:val="clear" w:color="auto" w:fill="F7F7F7"/>
          </w:tcPr>
          <w:p>
            <w:pPr>
              <w:spacing w:after="0"/>
              <w:rPr>
                <w:sz w:val="24"/>
                <w:szCs w:val="24"/>
                <w:color w:val="auto"/>
              </w:rPr>
            </w:pPr>
          </w:p>
        </w:tc>
        <w:tc>
          <w:tcPr>
            <w:tcW w:w="560" w:type="dxa"/>
            <w:vAlign w:val="bottom"/>
            <w:tcBorders>
              <w:bottom w:val="single" w:sz="8" w:color="auto"/>
            </w:tcBorders>
            <w:shd w:val="clear" w:color="auto" w:fill="F7F7F7"/>
          </w:tcPr>
          <w:p>
            <w:pPr>
              <w:spacing w:after="0"/>
              <w:rPr>
                <w:sz w:val="24"/>
                <w:szCs w:val="24"/>
                <w:color w:val="auto"/>
              </w:rPr>
            </w:pPr>
          </w:p>
        </w:tc>
        <w:tc>
          <w:tcPr>
            <w:tcW w:w="240" w:type="dxa"/>
            <w:vAlign w:val="bottom"/>
            <w:tcBorders>
              <w:bottom w:val="single" w:sz="8" w:color="auto"/>
            </w:tcBorders>
            <w:shd w:val="clear" w:color="auto" w:fill="F7F7F7"/>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Role of the Board in Risk Oversight</w:t>
      </w:r>
    </w:p>
    <w:p>
      <w:pPr>
        <w:spacing w:after="0" w:line="185"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One of the Board’s key functions is informed oversight of our risk management process. The Board believes that its current leadership structure facilitates its risk oversight responsibilities. In particular, the Board believes the majority-independent Board and independent Board committees provide a well-functioning and effective balance to an experienced Chief Executive Officer. The Board does not have a standing risk management committee, but rather administers this oversight function directly through the Board as a whole, as well as through various Board standing committees that address risks inherent in their respective areas of oversight. For example, the Board acts as the ultimate decision-making body of the Company and advises and oversees management, who is responsible for the day-to-day operations and management of the Company. The Audit Committee monitors compliance with legal and regulatory requirements, monitors cybersecurity and privacy risks and reviews our policies and practices with respect to risk assessment and risk management, including discussing with management our major financial risk exposures and the steps that have been taken to monitor and control such exposures. The Nominating and Corporate Governance</w:t>
      </w:r>
    </w:p>
    <w:p>
      <w:pPr>
        <w:sectPr>
          <w:pgSz w:w="11900" w:h="16838" w:orient="portrait"/>
          <w:cols w:equalWidth="0" w:num="1">
            <w:col w:w="10080"/>
          </w:cols>
          <w:pgMar w:left="580" w:top="97" w:right="1239" w:bottom="1440" w:gutter="0" w:footer="0" w:header="0"/>
        </w:sectPr>
      </w:pPr>
    </w:p>
    <w:p>
      <w:pPr>
        <w:spacing w:after="0" w:line="369"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​16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360"/>
        <w:spacing w:after="0" w:line="284" w:lineRule="auto"/>
        <w:rPr>
          <w:sz w:val="20"/>
          <w:szCs w:val="20"/>
          <w:color w:val="auto"/>
        </w:rPr>
      </w:pPr>
      <w:r>
        <w:rPr>
          <w:rFonts w:ascii="Arial" w:cs="Arial" w:eastAsia="Arial" w:hAnsi="Arial"/>
          <w:sz w:val="16"/>
          <w:szCs w:val="16"/>
          <w:color w:val="auto"/>
        </w:rPr>
        <w:t>Committee monitors the effectiveness of our Corporate Governance Guidelines and policies. The Compensation Committee assesses and monitors whether any of our compensation policies and programs has the potential to encourage excessive risk-taking.</w:t>
      </w:r>
    </w:p>
    <w:p>
      <w:pPr>
        <w:spacing w:after="0" w:line="184" w:lineRule="exact"/>
        <w:rPr>
          <w:sz w:val="20"/>
          <w:szCs w:val="20"/>
          <w:color w:val="auto"/>
        </w:rPr>
      </w:pPr>
    </w:p>
    <w:p>
      <w:pPr>
        <w:ind w:left="660" w:right="220"/>
        <w:spacing w:after="0" w:line="283" w:lineRule="auto"/>
        <w:rPr>
          <w:sz w:val="20"/>
          <w:szCs w:val="20"/>
          <w:color w:val="auto"/>
        </w:rPr>
      </w:pPr>
      <w:r>
        <w:rPr>
          <w:rFonts w:ascii="Arial" w:cs="Arial" w:eastAsia="Arial" w:hAnsi="Arial"/>
          <w:sz w:val="16"/>
          <w:szCs w:val="16"/>
          <w:color w:val="auto"/>
        </w:rPr>
        <w:t>It is the responsibility of the committee chairs to report findings regarding material risk exposures to the Board as quickly as possible. Our Chief Executive Officer, Chief Financial Officer and General Counsel coordinate between the Board and management with regard to the determination and implementation of responses to any problematic risk management issues. It is the responsibility of the committee chairs to report findings regarding material risk exposures to the Board as quickly as possible.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Meetings of the Board of Directors</w:t>
      </w:r>
    </w:p>
    <w:p>
      <w:pPr>
        <w:spacing w:after="0" w:line="185" w:lineRule="exact"/>
        <w:rPr>
          <w:sz w:val="20"/>
          <w:szCs w:val="20"/>
          <w:color w:val="auto"/>
        </w:rPr>
      </w:pPr>
    </w:p>
    <w:p>
      <w:pPr>
        <w:ind w:left="660" w:right="80"/>
        <w:spacing w:after="0" w:line="275" w:lineRule="auto"/>
        <w:rPr>
          <w:sz w:val="20"/>
          <w:szCs w:val="20"/>
          <w:color w:val="auto"/>
        </w:rPr>
      </w:pPr>
      <w:r>
        <w:rPr>
          <w:rFonts w:ascii="Arial" w:cs="Arial" w:eastAsia="Arial" w:hAnsi="Arial"/>
          <w:sz w:val="16"/>
          <w:szCs w:val="16"/>
          <w:color w:val="auto"/>
        </w:rPr>
        <w:t>The Board oversees our business. It establishes overall policies and standards and reviews the performance of management. During the fiscal year ended December 31, 2022, the Board held 11 meetings. Each Board member attended 75% or more of the aggregate meetings of the Board and of the committees on which they served held during the period for which they were a director or committee member. Eight directors attended the Annual Meeting of Stockholders held on June 9, 2022 (the “2022 Annual Meeting of Stockholders”). Our directors are encouraged to attend our annual meetings of stockholders, but we do not currently have a policy relating to director attendance.</w:t>
      </w:r>
    </w:p>
    <w:p>
      <w:pPr>
        <w:spacing w:after="0" w:line="193"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Our Independent Directors meet from time to time in executive session. The Board and each of our standing independent committees typically holds an executive session of non-management directors (all of whom are Independent Directors) as a part of every regularly scheduled quarterly meeting.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Information Regarding Committees of the Board of Directors</w:t>
      </w:r>
    </w:p>
    <w:p>
      <w:pPr>
        <w:spacing w:after="0" w:line="172" w:lineRule="exact"/>
        <w:rPr>
          <w:sz w:val="20"/>
          <w:szCs w:val="20"/>
          <w:color w:val="auto"/>
        </w:rPr>
      </w:pPr>
    </w:p>
    <w:p>
      <w:pPr>
        <w:ind w:left="660" w:right="140"/>
        <w:spacing w:after="0" w:line="276" w:lineRule="auto"/>
        <w:rPr>
          <w:sz w:val="20"/>
          <w:szCs w:val="20"/>
          <w:color w:val="auto"/>
        </w:rPr>
      </w:pPr>
      <w:r>
        <w:rPr>
          <w:rFonts w:ascii="Arial" w:cs="Arial" w:eastAsia="Arial" w:hAnsi="Arial"/>
          <w:sz w:val="16"/>
          <w:szCs w:val="16"/>
          <w:color w:val="auto"/>
        </w:rPr>
        <w:t>The Board has a number of committees that perform certain functions for the Board. The current committees of the Board are the Audit Committee, the Compensation Committee, the Nominating and Corporate Governance Committee and the Executive Committee. Below is a description of each committee of the Board. Each of the committees has authority to engage legal counsel or other experts or consultants, as it deems appropriate to carry out its responsibilities. The Board has determined that each member of the Audit Committee, the Compensation Committee and the Nominating and Corporate Governance Committee meets the applicable Nasdaq listing standards and that each member is free of any relationship that would impair his or her individual exercise of independent judgment with regard to our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Audit Committee</w:t>
      </w:r>
    </w:p>
    <w:p>
      <w:pPr>
        <w:spacing w:after="0" w:line="172" w:lineRule="exact"/>
        <w:rPr>
          <w:sz w:val="20"/>
          <w:szCs w:val="20"/>
          <w:color w:val="auto"/>
        </w:rPr>
      </w:pPr>
    </w:p>
    <w:p>
      <w:pPr>
        <w:ind w:left="660" w:right="40"/>
        <w:spacing w:after="0" w:line="278" w:lineRule="auto"/>
        <w:rPr>
          <w:sz w:val="20"/>
          <w:szCs w:val="20"/>
          <w:color w:val="auto"/>
        </w:rPr>
      </w:pPr>
      <w:r>
        <w:rPr>
          <w:rFonts w:ascii="Arial" w:cs="Arial" w:eastAsia="Arial" w:hAnsi="Arial"/>
          <w:sz w:val="16"/>
          <w:szCs w:val="16"/>
          <w:color w:val="auto"/>
        </w:rPr>
        <w:t>The Board has a separately designated standing Audit Committee established in accordance with Section 3(a)(58) of the Exchange Act. The Audit Committee was established by the Board to assist the Board in its oversight of the integrity of our financial statements and internal controls, and our compliance with legal and regulatory requirements. In addition, the Audit Committee is responsible for the oversight of the qualification, independence and performance of our independent registered public accounting firm as well as the appointment of our independent registered public accounting firm.</w:t>
      </w:r>
    </w:p>
    <w:p>
      <w:pPr>
        <w:spacing w:after="0" w:line="190" w:lineRule="exact"/>
        <w:rPr>
          <w:sz w:val="20"/>
          <w:szCs w:val="20"/>
          <w:color w:val="auto"/>
        </w:rPr>
      </w:pPr>
    </w:p>
    <w:p>
      <w:pPr>
        <w:ind w:left="660" w:right="120"/>
        <w:spacing w:after="0" w:line="274" w:lineRule="auto"/>
        <w:rPr>
          <w:sz w:val="20"/>
          <w:szCs w:val="20"/>
          <w:color w:val="auto"/>
        </w:rPr>
      </w:pPr>
      <w:r>
        <w:rPr>
          <w:rFonts w:ascii="Arial" w:cs="Arial" w:eastAsia="Arial" w:hAnsi="Arial"/>
          <w:sz w:val="16"/>
          <w:szCs w:val="16"/>
          <w:color w:val="auto"/>
        </w:rPr>
        <w:t>The Audit Committee consists of Janet S. Wong, Glenn R. August and Frank Lindenberg, with Janet S. Wong serving as chairperson. Our Board has determined (i) that each of Janet S. Wong, Glenn R. August and Frank Lindenberg satisfies the requirements for independence and financial literacy under the rules and regulations of Nasdaq and the SEC and (ii) that Janet S. Wong qualifies as an “audit committee financial expert” as defined in the SEC rules and regulations and satisfies the financial sophistication requirements of Nasdaq. In making that determination, the Board relied on the past business experience of Janet S. Wong. Please see the description of the business experience for Janet S. Wong under the heading “Nominees for Director.” This designation does not impose any duties, obligations or liabilities that are greater than are generally imposed on members of our Audit Committee and our Board of Directors. Our Audit Committee is directly responsible for, among other things:</w:t>
      </w:r>
    </w:p>
    <w:p>
      <w:pPr>
        <w:spacing w:after="0" w:line="115" w:lineRule="exact"/>
        <w:rPr>
          <w:sz w:val="20"/>
          <w:szCs w:val="20"/>
          <w:color w:val="auto"/>
        </w:rPr>
      </w:pPr>
    </w:p>
    <w:p>
      <w:pPr>
        <w:ind w:left="820" w:hanging="166"/>
        <w:spacing w:after="0"/>
        <w:tabs>
          <w:tab w:leader="none" w:pos="820" w:val="left"/>
        </w:tabs>
        <w:numPr>
          <w:ilvl w:val="0"/>
          <w:numId w:val="12"/>
        </w:numPr>
        <w:rPr>
          <w:rFonts w:ascii="Arial" w:cs="Arial" w:eastAsia="Arial" w:hAnsi="Arial"/>
          <w:sz w:val="16"/>
          <w:szCs w:val="16"/>
          <w:color w:val="8A6B24"/>
        </w:rPr>
      </w:pPr>
      <w:r>
        <w:rPr>
          <w:rFonts w:ascii="Arial" w:cs="Arial" w:eastAsia="Arial" w:hAnsi="Arial"/>
          <w:sz w:val="16"/>
          <w:szCs w:val="16"/>
          <w:color w:val="auto"/>
        </w:rPr>
        <w:t>selecting and hiring our independent registered public accounting firm;</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12"/>
        </w:numPr>
        <w:rPr>
          <w:rFonts w:ascii="Arial" w:cs="Arial" w:eastAsia="Arial" w:hAnsi="Arial"/>
          <w:sz w:val="16"/>
          <w:szCs w:val="16"/>
          <w:color w:val="8A6B24"/>
        </w:rPr>
      </w:pPr>
      <w:r>
        <w:rPr>
          <w:rFonts w:ascii="Arial" w:cs="Arial" w:eastAsia="Arial" w:hAnsi="Arial"/>
          <w:sz w:val="16"/>
          <w:szCs w:val="16"/>
          <w:color w:val="auto"/>
        </w:rPr>
        <w:t>evaluating the performance and independence of our registered public accounting firm;</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12"/>
        </w:numPr>
        <w:rPr>
          <w:rFonts w:ascii="Arial" w:cs="Arial" w:eastAsia="Arial" w:hAnsi="Arial"/>
          <w:sz w:val="16"/>
          <w:szCs w:val="16"/>
          <w:color w:val="8A6B24"/>
        </w:rPr>
      </w:pPr>
      <w:r>
        <w:rPr>
          <w:rFonts w:ascii="Arial" w:cs="Arial" w:eastAsia="Arial" w:hAnsi="Arial"/>
          <w:sz w:val="16"/>
          <w:szCs w:val="16"/>
          <w:color w:val="auto"/>
        </w:rPr>
        <w:t>approving the audit and pre-approving any non-audit services to be performed by our registered public accounting firm;</w:t>
      </w:r>
    </w:p>
    <w:p>
      <w:pPr>
        <w:spacing w:after="0" w:line="153" w:lineRule="exact"/>
        <w:rPr>
          <w:rFonts w:ascii="Arial" w:cs="Arial" w:eastAsia="Arial" w:hAnsi="Arial"/>
          <w:sz w:val="16"/>
          <w:szCs w:val="16"/>
          <w:color w:val="8A6B24"/>
        </w:rPr>
      </w:pPr>
    </w:p>
    <w:p>
      <w:pPr>
        <w:ind w:left="820" w:right="500" w:hanging="166"/>
        <w:spacing w:after="0" w:line="321" w:lineRule="auto"/>
        <w:tabs>
          <w:tab w:leader="none" w:pos="820" w:val="left"/>
        </w:tabs>
        <w:numPr>
          <w:ilvl w:val="0"/>
          <w:numId w:val="12"/>
        </w:numPr>
        <w:rPr>
          <w:rFonts w:ascii="Arial" w:cs="Arial" w:eastAsia="Arial" w:hAnsi="Arial"/>
          <w:sz w:val="16"/>
          <w:szCs w:val="16"/>
          <w:color w:val="8A6B24"/>
        </w:rPr>
      </w:pPr>
      <w:r>
        <w:rPr>
          <w:rFonts w:ascii="Arial" w:cs="Arial" w:eastAsia="Arial" w:hAnsi="Arial"/>
          <w:sz w:val="16"/>
          <w:szCs w:val="16"/>
          <w:color w:val="auto"/>
        </w:rPr>
        <w:t>reviewing the integrity of our financial statements and related disclosures and reviewing our critical accounting policies and practices;</w:t>
      </w:r>
    </w:p>
    <w:p>
      <w:pPr>
        <w:spacing w:after="0" w:line="74" w:lineRule="exact"/>
        <w:rPr>
          <w:rFonts w:ascii="Arial" w:cs="Arial" w:eastAsia="Arial" w:hAnsi="Arial"/>
          <w:sz w:val="16"/>
          <w:szCs w:val="16"/>
          <w:color w:val="8A6B24"/>
        </w:rPr>
      </w:pPr>
    </w:p>
    <w:p>
      <w:pPr>
        <w:ind w:left="820" w:right="640" w:hanging="166"/>
        <w:spacing w:after="0" w:line="321" w:lineRule="auto"/>
        <w:tabs>
          <w:tab w:leader="none" w:pos="820" w:val="left"/>
        </w:tabs>
        <w:numPr>
          <w:ilvl w:val="0"/>
          <w:numId w:val="12"/>
        </w:numPr>
        <w:rPr>
          <w:rFonts w:ascii="Arial" w:cs="Arial" w:eastAsia="Arial" w:hAnsi="Arial"/>
          <w:sz w:val="16"/>
          <w:szCs w:val="16"/>
          <w:color w:val="8A6B24"/>
        </w:rPr>
      </w:pPr>
      <w:r>
        <w:rPr>
          <w:rFonts w:ascii="Arial" w:cs="Arial" w:eastAsia="Arial" w:hAnsi="Arial"/>
          <w:sz w:val="16"/>
          <w:szCs w:val="16"/>
          <w:color w:val="auto"/>
        </w:rPr>
        <w:t>reviewing the adequacy and effectiveness of our internal control policies and procedures and our disclosure controls and procedures;</w:t>
      </w:r>
    </w:p>
    <w:p>
      <w:pPr>
        <w:sectPr>
          <w:pgSz w:w="11900" w:h="16838" w:orient="portrait"/>
          <w:cols w:equalWidth="0" w:num="1">
            <w:col w:w="10080"/>
          </w:cols>
          <w:pgMar w:left="580" w:top="97" w:right="1239" w:bottom="1440" w:gutter="0" w:footer="0" w:header="0"/>
        </w:sectPr>
      </w:pPr>
    </w:p>
    <w:p>
      <w:pPr>
        <w:spacing w:after="0" w:line="34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17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20" w:hanging="166"/>
        <w:spacing w:after="0"/>
        <w:tabs>
          <w:tab w:leader="none" w:pos="820" w:val="left"/>
        </w:tabs>
        <w:numPr>
          <w:ilvl w:val="0"/>
          <w:numId w:val="13"/>
        </w:numPr>
        <w:rPr>
          <w:rFonts w:ascii="Arial" w:cs="Arial" w:eastAsia="Arial" w:hAnsi="Arial"/>
          <w:sz w:val="16"/>
          <w:szCs w:val="16"/>
          <w:color w:val="8A6B24"/>
        </w:rPr>
      </w:pPr>
      <w:r>
        <w:rPr>
          <w:rFonts w:ascii="Arial" w:cs="Arial" w:eastAsia="Arial" w:hAnsi="Arial"/>
          <w:sz w:val="16"/>
          <w:szCs w:val="16"/>
          <w:color w:val="auto"/>
        </w:rPr>
        <w:t>overseeing procedures for the treatment of complaints relating to accounting, internal accounting controls or audit matters;</w:t>
      </w:r>
    </w:p>
    <w:p>
      <w:pPr>
        <w:spacing w:after="0" w:line="153" w:lineRule="exact"/>
        <w:rPr>
          <w:rFonts w:ascii="Arial" w:cs="Arial" w:eastAsia="Arial" w:hAnsi="Arial"/>
          <w:sz w:val="16"/>
          <w:szCs w:val="16"/>
          <w:color w:val="8A6B24"/>
        </w:rPr>
      </w:pPr>
    </w:p>
    <w:p>
      <w:pPr>
        <w:ind w:left="820" w:right="680" w:hanging="166"/>
        <w:spacing w:after="0" w:line="321" w:lineRule="auto"/>
        <w:tabs>
          <w:tab w:leader="none" w:pos="820" w:val="left"/>
        </w:tabs>
        <w:numPr>
          <w:ilvl w:val="0"/>
          <w:numId w:val="13"/>
        </w:numPr>
        <w:rPr>
          <w:rFonts w:ascii="Arial" w:cs="Arial" w:eastAsia="Arial" w:hAnsi="Arial"/>
          <w:sz w:val="16"/>
          <w:szCs w:val="16"/>
          <w:color w:val="8A6B24"/>
        </w:rPr>
      </w:pPr>
      <w:r>
        <w:rPr>
          <w:rFonts w:ascii="Arial" w:cs="Arial" w:eastAsia="Arial" w:hAnsi="Arial"/>
          <w:sz w:val="16"/>
          <w:szCs w:val="16"/>
          <w:color w:val="auto"/>
        </w:rPr>
        <w:t>reviewing and discussing with management and the registered public accounting firm the results of the annual audit, our quarterly financial statements and our publicly filed reports;</w:t>
      </w:r>
    </w:p>
    <w:p>
      <w:pPr>
        <w:spacing w:after="0" w:line="61" w:lineRule="exact"/>
        <w:rPr>
          <w:rFonts w:ascii="Arial" w:cs="Arial" w:eastAsia="Arial" w:hAnsi="Arial"/>
          <w:sz w:val="16"/>
          <w:szCs w:val="16"/>
          <w:color w:val="8A6B24"/>
        </w:rPr>
      </w:pPr>
    </w:p>
    <w:p>
      <w:pPr>
        <w:ind w:left="820" w:hanging="166"/>
        <w:spacing w:after="0"/>
        <w:tabs>
          <w:tab w:leader="none" w:pos="820" w:val="left"/>
        </w:tabs>
        <w:numPr>
          <w:ilvl w:val="0"/>
          <w:numId w:val="13"/>
        </w:numPr>
        <w:rPr>
          <w:rFonts w:ascii="Arial" w:cs="Arial" w:eastAsia="Arial" w:hAnsi="Arial"/>
          <w:sz w:val="16"/>
          <w:szCs w:val="16"/>
          <w:color w:val="8A6B24"/>
        </w:rPr>
      </w:pPr>
      <w:r>
        <w:rPr>
          <w:rFonts w:ascii="Arial" w:cs="Arial" w:eastAsia="Arial" w:hAnsi="Arial"/>
          <w:sz w:val="16"/>
          <w:szCs w:val="16"/>
          <w:color w:val="auto"/>
        </w:rPr>
        <w:t>establishing procedures for employees to anonymously submit concerns about questionable accounting or audit matters;</w:t>
      </w:r>
    </w:p>
    <w:p>
      <w:pPr>
        <w:spacing w:after="0" w:line="153" w:lineRule="exact"/>
        <w:rPr>
          <w:rFonts w:ascii="Arial" w:cs="Arial" w:eastAsia="Arial" w:hAnsi="Arial"/>
          <w:sz w:val="16"/>
          <w:szCs w:val="16"/>
          <w:color w:val="8A6B24"/>
        </w:rPr>
      </w:pPr>
    </w:p>
    <w:p>
      <w:pPr>
        <w:ind w:left="820" w:right="440" w:hanging="166"/>
        <w:spacing w:after="0" w:line="321" w:lineRule="auto"/>
        <w:tabs>
          <w:tab w:leader="none" w:pos="820" w:val="left"/>
        </w:tabs>
        <w:numPr>
          <w:ilvl w:val="0"/>
          <w:numId w:val="13"/>
        </w:numPr>
        <w:rPr>
          <w:rFonts w:ascii="Arial" w:cs="Arial" w:eastAsia="Arial" w:hAnsi="Arial"/>
          <w:sz w:val="16"/>
          <w:szCs w:val="16"/>
          <w:color w:val="8A6B24"/>
        </w:rPr>
      </w:pPr>
      <w:r>
        <w:rPr>
          <w:rFonts w:ascii="Arial" w:cs="Arial" w:eastAsia="Arial" w:hAnsi="Arial"/>
          <w:sz w:val="16"/>
          <w:szCs w:val="16"/>
          <w:color w:val="auto"/>
        </w:rPr>
        <w:t>reviewing our policies and practices with respect to risk assessment and risk management, including discussing with management our major financial risk exposures and the steps that have been taken to monitor and control such exposures;</w:t>
      </w:r>
    </w:p>
    <w:p>
      <w:pPr>
        <w:spacing w:after="0" w:line="61" w:lineRule="exact"/>
        <w:rPr>
          <w:rFonts w:ascii="Arial" w:cs="Arial" w:eastAsia="Arial" w:hAnsi="Arial"/>
          <w:sz w:val="16"/>
          <w:szCs w:val="16"/>
          <w:color w:val="8A6B24"/>
        </w:rPr>
      </w:pPr>
    </w:p>
    <w:p>
      <w:pPr>
        <w:ind w:left="820" w:hanging="166"/>
        <w:spacing w:after="0"/>
        <w:tabs>
          <w:tab w:leader="none" w:pos="820" w:val="left"/>
        </w:tabs>
        <w:numPr>
          <w:ilvl w:val="0"/>
          <w:numId w:val="13"/>
        </w:numPr>
        <w:rPr>
          <w:rFonts w:ascii="Arial" w:cs="Arial" w:eastAsia="Arial" w:hAnsi="Arial"/>
          <w:sz w:val="16"/>
          <w:szCs w:val="16"/>
          <w:color w:val="8A6B24"/>
        </w:rPr>
      </w:pPr>
      <w:r>
        <w:rPr>
          <w:rFonts w:ascii="Arial" w:cs="Arial" w:eastAsia="Arial" w:hAnsi="Arial"/>
          <w:sz w:val="16"/>
          <w:szCs w:val="16"/>
          <w:color w:val="auto"/>
        </w:rPr>
        <w:t>reviewing and approving in advance any proposed related-person transactions; and</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13"/>
        </w:numPr>
        <w:rPr>
          <w:rFonts w:ascii="Arial" w:cs="Arial" w:eastAsia="Arial" w:hAnsi="Arial"/>
          <w:sz w:val="16"/>
          <w:szCs w:val="16"/>
          <w:color w:val="8A6B24"/>
        </w:rPr>
      </w:pPr>
      <w:r>
        <w:rPr>
          <w:rFonts w:ascii="Arial" w:cs="Arial" w:eastAsia="Arial" w:hAnsi="Arial"/>
          <w:sz w:val="16"/>
          <w:szCs w:val="16"/>
          <w:color w:val="auto"/>
        </w:rPr>
        <w:t>preparing the audit committee report that the SEC requires in our annual proxy statement.</w:t>
      </w:r>
    </w:p>
    <w:p>
      <w:pPr>
        <w:spacing w:after="0" w:line="235" w:lineRule="exact"/>
        <w:rPr>
          <w:sz w:val="20"/>
          <w:szCs w:val="20"/>
          <w:color w:val="auto"/>
        </w:rPr>
      </w:pPr>
    </w:p>
    <w:p>
      <w:pPr>
        <w:ind w:left="660" w:right="80"/>
        <w:spacing w:after="0" w:line="276" w:lineRule="auto"/>
        <w:rPr>
          <w:sz w:val="20"/>
          <w:szCs w:val="20"/>
          <w:color w:val="auto"/>
        </w:rPr>
      </w:pPr>
      <w:r>
        <w:rPr>
          <w:rFonts w:ascii="Arial" w:cs="Arial" w:eastAsia="Arial" w:hAnsi="Arial"/>
          <w:sz w:val="16"/>
          <w:szCs w:val="16"/>
          <w:color w:val="auto"/>
        </w:rPr>
        <w:t>Our Audit Committee operates under a written charter that satisfies the applicable rules of the SEC and the listing standards of Nasdaq. In 2022, the Audit Committee met 12 times. The Audit Committee charter can be found in the Governance section of the Investors section of our website at https://ir.lucidmotors.com/governance/documents-and-charters. Information on or accessible through our website is not incorporated by reference in this Proxy Statement. The Audit Committee charter grants the Audit Committee authority to obtain, at our expense, advice and assistance from internal and external legal, accounting or other advisors and consultants and other external resources that the Audit Committee considers necessary or appropriate in the performance of its duties.</w:t>
      </w:r>
    </w:p>
    <w:p>
      <w:pPr>
        <w:spacing w:after="0" w:line="179" w:lineRule="exact"/>
        <w:rPr>
          <w:sz w:val="20"/>
          <w:szCs w:val="20"/>
          <w:color w:val="auto"/>
        </w:rPr>
      </w:pPr>
    </w:p>
    <w:p>
      <w:pPr>
        <w:ind w:left="660" w:right="100"/>
        <w:spacing w:after="0" w:line="304" w:lineRule="auto"/>
        <w:rPr>
          <w:sz w:val="20"/>
          <w:szCs w:val="20"/>
          <w:color w:val="auto"/>
        </w:rPr>
      </w:pPr>
      <w:r>
        <w:rPr>
          <w:rFonts w:ascii="Arial" w:cs="Arial" w:eastAsia="Arial" w:hAnsi="Arial"/>
          <w:sz w:val="16"/>
          <w:szCs w:val="16"/>
          <w:color w:val="auto"/>
        </w:rPr>
        <w:t>As required by its charter, the Audit Committee conducts a self-evaluation at least annually. The Audit Committee also reviews and assesses the adequacy of its charter at least annually and recommends any proposed changes to the Board for its consideration.</w:t>
      </w:r>
    </w:p>
    <w:p>
      <w:pPr>
        <w:spacing w:after="0" w:line="168" w:lineRule="exact"/>
        <w:rPr>
          <w:sz w:val="20"/>
          <w:szCs w:val="20"/>
          <w:color w:val="auto"/>
        </w:rPr>
      </w:pPr>
    </w:p>
    <w:p>
      <w:pPr>
        <w:ind w:left="660" w:right="40"/>
        <w:spacing w:after="0" w:line="284" w:lineRule="auto"/>
        <w:rPr>
          <w:sz w:val="20"/>
          <w:szCs w:val="20"/>
          <w:color w:val="auto"/>
        </w:rPr>
      </w:pPr>
      <w:r>
        <w:rPr>
          <w:rFonts w:ascii="Arial" w:cs="Arial" w:eastAsia="Arial" w:hAnsi="Arial"/>
          <w:sz w:val="16"/>
          <w:szCs w:val="16"/>
          <w:color w:val="auto"/>
        </w:rPr>
        <w:t>The Board annually reviews the Nasdaq listing standards’ definition of independence for Audit Committee members and has determined that all members of our Audit Committee are “independent” and “financially literate” under Nasdaq listing standards and that members of the Audit Committee received no compensation from the Company other than for service as a director.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Compensation Committee</w:t>
      </w:r>
    </w:p>
    <w:p>
      <w:pPr>
        <w:spacing w:after="0" w:line="172" w:lineRule="exact"/>
        <w:rPr>
          <w:sz w:val="20"/>
          <w:szCs w:val="20"/>
          <w:color w:val="auto"/>
        </w:rPr>
      </w:pPr>
    </w:p>
    <w:p>
      <w:pPr>
        <w:ind w:left="660" w:right="240"/>
        <w:spacing w:after="0" w:line="283" w:lineRule="auto"/>
        <w:rPr>
          <w:sz w:val="20"/>
          <w:szCs w:val="20"/>
          <w:color w:val="auto"/>
        </w:rPr>
      </w:pPr>
      <w:r>
        <w:rPr>
          <w:rFonts w:ascii="Arial" w:cs="Arial" w:eastAsia="Arial" w:hAnsi="Arial"/>
          <w:sz w:val="16"/>
          <w:szCs w:val="16"/>
          <w:color w:val="auto"/>
        </w:rPr>
        <w:t>The Compensation Committee consists of Andrew Liveris, Frank Lindenberg and Tony Posawatz, with Andrew Liveris serving as chairperson. Our Board has determined that each of Andrew Liveris, Frank Lindenberg and Tony Posawatz satisfies the requirements for independence under the applicable Nasdaq listing standards. Our Compensation Committee is responsible for, among other things:</w:t>
      </w:r>
    </w:p>
    <w:p>
      <w:pPr>
        <w:spacing w:after="0" w:line="104" w:lineRule="exact"/>
        <w:rPr>
          <w:sz w:val="20"/>
          <w:szCs w:val="20"/>
          <w:color w:val="auto"/>
        </w:rPr>
      </w:pPr>
    </w:p>
    <w:p>
      <w:pPr>
        <w:ind w:left="820" w:right="360" w:hanging="166"/>
        <w:spacing w:after="0" w:line="321" w:lineRule="auto"/>
        <w:tabs>
          <w:tab w:leader="none" w:pos="820" w:val="left"/>
        </w:tabs>
        <w:numPr>
          <w:ilvl w:val="0"/>
          <w:numId w:val="14"/>
        </w:numPr>
        <w:rPr>
          <w:rFonts w:ascii="Arial" w:cs="Arial" w:eastAsia="Arial" w:hAnsi="Arial"/>
          <w:sz w:val="16"/>
          <w:szCs w:val="16"/>
          <w:color w:val="8A6B24"/>
        </w:rPr>
      </w:pPr>
      <w:r>
        <w:rPr>
          <w:rFonts w:ascii="Arial" w:cs="Arial" w:eastAsia="Arial" w:hAnsi="Arial"/>
          <w:sz w:val="16"/>
          <w:szCs w:val="16"/>
          <w:color w:val="auto"/>
        </w:rPr>
        <w:t>determining, or recommending to the Board for determination, the compensation of our executive officers, including our chief executive officer;</w:t>
      </w:r>
    </w:p>
    <w:p>
      <w:pPr>
        <w:spacing w:after="0" w:line="61" w:lineRule="exact"/>
        <w:rPr>
          <w:rFonts w:ascii="Arial" w:cs="Arial" w:eastAsia="Arial" w:hAnsi="Arial"/>
          <w:sz w:val="16"/>
          <w:szCs w:val="16"/>
          <w:color w:val="8A6B24"/>
        </w:rPr>
      </w:pPr>
    </w:p>
    <w:p>
      <w:pPr>
        <w:ind w:left="820" w:hanging="166"/>
        <w:spacing w:after="0"/>
        <w:tabs>
          <w:tab w:leader="none" w:pos="820" w:val="left"/>
        </w:tabs>
        <w:numPr>
          <w:ilvl w:val="0"/>
          <w:numId w:val="14"/>
        </w:numPr>
        <w:rPr>
          <w:rFonts w:ascii="Arial" w:cs="Arial" w:eastAsia="Arial" w:hAnsi="Arial"/>
          <w:sz w:val="16"/>
          <w:szCs w:val="16"/>
          <w:color w:val="8A6B24"/>
        </w:rPr>
      </w:pPr>
      <w:r>
        <w:rPr>
          <w:rFonts w:ascii="Arial" w:cs="Arial" w:eastAsia="Arial" w:hAnsi="Arial"/>
          <w:sz w:val="16"/>
          <w:szCs w:val="16"/>
          <w:color w:val="auto"/>
        </w:rPr>
        <w:t>administering our equity compensation plans;</w:t>
      </w:r>
    </w:p>
    <w:p>
      <w:pPr>
        <w:spacing w:after="0" w:line="153" w:lineRule="exact"/>
        <w:rPr>
          <w:rFonts w:ascii="Arial" w:cs="Arial" w:eastAsia="Arial" w:hAnsi="Arial"/>
          <w:sz w:val="16"/>
          <w:szCs w:val="16"/>
          <w:color w:val="8A6B24"/>
        </w:rPr>
      </w:pPr>
    </w:p>
    <w:p>
      <w:pPr>
        <w:ind w:left="820" w:hanging="166"/>
        <w:spacing w:after="0"/>
        <w:tabs>
          <w:tab w:leader="none" w:pos="820" w:val="left"/>
        </w:tabs>
        <w:numPr>
          <w:ilvl w:val="0"/>
          <w:numId w:val="14"/>
        </w:numPr>
        <w:rPr>
          <w:rFonts w:ascii="Arial" w:cs="Arial" w:eastAsia="Arial" w:hAnsi="Arial"/>
          <w:sz w:val="16"/>
          <w:szCs w:val="16"/>
          <w:color w:val="8A6B24"/>
        </w:rPr>
      </w:pPr>
      <w:r>
        <w:rPr>
          <w:rFonts w:ascii="Arial" w:cs="Arial" w:eastAsia="Arial" w:hAnsi="Arial"/>
          <w:sz w:val="16"/>
          <w:szCs w:val="16"/>
          <w:color w:val="auto"/>
        </w:rPr>
        <w:t>overseeing our overall compensation policies and practices, compensation plans, and benefits programs; and</w:t>
      </w:r>
    </w:p>
    <w:p>
      <w:pPr>
        <w:spacing w:after="0" w:line="153" w:lineRule="exact"/>
        <w:rPr>
          <w:rFonts w:ascii="Arial" w:cs="Arial" w:eastAsia="Arial" w:hAnsi="Arial"/>
          <w:sz w:val="16"/>
          <w:szCs w:val="16"/>
          <w:color w:val="8A6B24"/>
        </w:rPr>
      </w:pPr>
    </w:p>
    <w:p>
      <w:pPr>
        <w:ind w:left="820" w:hanging="166"/>
        <w:spacing w:after="0"/>
        <w:tabs>
          <w:tab w:leader="none" w:pos="820" w:val="left"/>
        </w:tabs>
        <w:numPr>
          <w:ilvl w:val="0"/>
          <w:numId w:val="14"/>
        </w:numPr>
        <w:rPr>
          <w:rFonts w:ascii="Arial" w:cs="Arial" w:eastAsia="Arial" w:hAnsi="Arial"/>
          <w:sz w:val="16"/>
          <w:szCs w:val="16"/>
          <w:color w:val="8A6B24"/>
        </w:rPr>
      </w:pPr>
      <w:r>
        <w:rPr>
          <w:rFonts w:ascii="Arial" w:cs="Arial" w:eastAsia="Arial" w:hAnsi="Arial"/>
          <w:sz w:val="16"/>
          <w:szCs w:val="16"/>
          <w:color w:val="auto"/>
        </w:rPr>
        <w:t>overseeing the preparation of the compensation committee report that the SEC requires in our annual proxy statement.</w:t>
      </w:r>
    </w:p>
    <w:p>
      <w:pPr>
        <w:spacing w:after="0" w:line="235" w:lineRule="exact"/>
        <w:rPr>
          <w:sz w:val="20"/>
          <w:szCs w:val="20"/>
          <w:color w:val="auto"/>
        </w:rPr>
      </w:pPr>
    </w:p>
    <w:p>
      <w:pPr>
        <w:ind w:left="660" w:right="80"/>
        <w:spacing w:after="0" w:line="275" w:lineRule="auto"/>
        <w:rPr>
          <w:sz w:val="20"/>
          <w:szCs w:val="20"/>
          <w:color w:val="auto"/>
        </w:rPr>
      </w:pPr>
      <w:r>
        <w:rPr>
          <w:rFonts w:ascii="Arial" w:cs="Arial" w:eastAsia="Arial" w:hAnsi="Arial"/>
          <w:sz w:val="16"/>
          <w:szCs w:val="16"/>
          <w:color w:val="auto"/>
        </w:rPr>
        <w:t>Our Compensation Committee operates under a written charter that satisfies the applicable rules of the SEC and the listing standards of Nasdaq. During 2022, the Compensation Committee met eight times. The Compensation Committee charter can be found in the Governance section of the Investors section of our website at https://ir.lucidmotors.com/governance/documents-and-charters. Information on or accessible through our website is not incorporated by reference in this Proxy Statement. The Compensation Committee charter grants the Compensation Committee sole authority to retain or obtain the advice of a compensation consultant, legal counsel or other advisor, including the authority to approve the consultant’s reasonable compensation. The Compensation Committee may select such advisors, or receive advice from any other advisor, only after taking into consideration all factors relevant to that person’s independence from management, including those independence factors enumerated by Nasdaq rules.</w:t>
      </w:r>
    </w:p>
    <w:p>
      <w:pPr>
        <w:spacing w:after="0" w:line="182" w:lineRule="exact"/>
        <w:rPr>
          <w:sz w:val="20"/>
          <w:szCs w:val="20"/>
          <w:color w:val="auto"/>
        </w:rPr>
      </w:pPr>
    </w:p>
    <w:p>
      <w:pPr>
        <w:ind w:left="660" w:right="820"/>
        <w:spacing w:after="0" w:line="321" w:lineRule="auto"/>
        <w:rPr>
          <w:sz w:val="20"/>
          <w:szCs w:val="20"/>
          <w:color w:val="auto"/>
        </w:rPr>
      </w:pPr>
      <w:r>
        <w:rPr>
          <w:rFonts w:ascii="Arial" w:cs="Arial" w:eastAsia="Arial" w:hAnsi="Arial"/>
          <w:sz w:val="16"/>
          <w:szCs w:val="16"/>
          <w:color w:val="auto"/>
        </w:rPr>
        <w:t>Under the Compensation Committee charter, the Compensation Committee may, in its discretion, delegate its duties to a subcommittee or to the Chair of the Compensation Committee.</w:t>
      </w:r>
    </w:p>
    <w:p>
      <w:pPr>
        <w:spacing w:after="0" w:line="142" w:lineRule="exact"/>
        <w:rPr>
          <w:sz w:val="20"/>
          <w:szCs w:val="20"/>
          <w:color w:val="auto"/>
        </w:rPr>
      </w:pPr>
    </w:p>
    <w:p>
      <w:pPr>
        <w:ind w:left="660" w:right="160"/>
        <w:spacing w:after="0" w:line="292" w:lineRule="auto"/>
        <w:rPr>
          <w:sz w:val="20"/>
          <w:szCs w:val="20"/>
          <w:color w:val="auto"/>
        </w:rPr>
      </w:pPr>
      <w:r>
        <w:rPr>
          <w:rFonts w:ascii="Arial" w:cs="Arial" w:eastAsia="Arial" w:hAnsi="Arial"/>
          <w:sz w:val="16"/>
          <w:szCs w:val="16"/>
          <w:color w:val="auto"/>
        </w:rPr>
        <w:t>As required by its charter, the Compensation Committee conducts a self-evaluation at least annually. The Compensation Committee also annually reviews and assesses the adequacy of its charter and recommends any proposed changes to the Board for its consideration.</w:t>
      </w:r>
    </w:p>
    <w:p>
      <w:pPr>
        <w:sectPr>
          <w:pgSz w:w="11900" w:h="16838" w:orient="portrait"/>
          <w:cols w:equalWidth="0" w:num="1">
            <w:col w:w="10080"/>
          </w:cols>
          <w:pgMar w:left="580" w:top="97" w:right="1239" w:bottom="1440" w:gutter="0" w:footer="0" w:header="0"/>
        </w:sectPr>
      </w:pPr>
    </w:p>
    <w:p>
      <w:pPr>
        <w:spacing w:after="0" w:line="36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​18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Compensation Committee Processes and Procedures</w:t>
      </w:r>
    </w:p>
    <w:p>
      <w:pPr>
        <w:spacing w:after="0" w:line="172" w:lineRule="exact"/>
        <w:rPr>
          <w:sz w:val="20"/>
          <w:szCs w:val="20"/>
          <w:color w:val="auto"/>
        </w:rPr>
      </w:pPr>
    </w:p>
    <w:p>
      <w:pPr>
        <w:ind w:left="660" w:right="40"/>
        <w:spacing w:after="0" w:line="274" w:lineRule="auto"/>
        <w:rPr>
          <w:sz w:val="20"/>
          <w:szCs w:val="20"/>
          <w:color w:val="auto"/>
        </w:rPr>
      </w:pPr>
      <w:r>
        <w:rPr>
          <w:rFonts w:ascii="Arial" w:cs="Arial" w:eastAsia="Arial" w:hAnsi="Arial"/>
          <w:sz w:val="16"/>
          <w:szCs w:val="16"/>
          <w:color w:val="auto"/>
        </w:rPr>
        <w:t>The implementation of our compensation philosophy is carried out under the supervision of the Compensation Committee. The Compensation Committee charter requires that the Compensation Committee meet as often as it determines is appropriate to carry out its responsibilities under the charter. The agenda for each meeting is usually developed by the Chair of the Compensation Committee, in consultation with other Compensation Committee members, management and the Compensation Committee’s independent advisors. The Compensation Committee also meets regularly in executive session. Meetings may, at the discretion of the Compensation Committee, include other directors or members of management in addition to the Compensation Committee’s independent advisors, for the purpose of providing analysis and information to assist management with their recommendations on various compensation matters. Management does not participate in the executive sessions of the Compensation Committee. For a description of the role of our management and any compensation consultants for executive compensation decisions for fiscal year 2022, please see the section entitled “Compensation Discussion and Analysis.”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Compensation Committee Interlocks and Insider Participation</w:t>
      </w:r>
    </w:p>
    <w:p>
      <w:pPr>
        <w:spacing w:after="0" w:line="172" w:lineRule="exact"/>
        <w:rPr>
          <w:sz w:val="20"/>
          <w:szCs w:val="20"/>
          <w:color w:val="auto"/>
        </w:rPr>
      </w:pPr>
    </w:p>
    <w:p>
      <w:pPr>
        <w:ind w:left="660" w:right="160"/>
        <w:spacing w:after="0" w:line="283" w:lineRule="auto"/>
        <w:rPr>
          <w:sz w:val="20"/>
          <w:szCs w:val="20"/>
          <w:color w:val="auto"/>
        </w:rPr>
      </w:pPr>
      <w:r>
        <w:rPr>
          <w:rFonts w:ascii="Arial" w:cs="Arial" w:eastAsia="Arial" w:hAnsi="Arial"/>
          <w:sz w:val="16"/>
          <w:szCs w:val="16"/>
          <w:color w:val="auto"/>
        </w:rPr>
        <w:t>Andrew Liveris, Frank Lindenberg and Tony Posawatz served as members of the Compensation Committee during 2022. None of such persons is or was formerly an officer or an employee of Lucid. Please see the section entitled “Certain Relationships and Related Party Transactions” for certain transactions involving Lucid in which members of the Compensation Committee may potentially be deemed to have an indirect interest.</w:t>
      </w:r>
    </w:p>
    <w:p>
      <w:pPr>
        <w:spacing w:after="0" w:line="172" w:lineRule="exact"/>
        <w:rPr>
          <w:sz w:val="20"/>
          <w:szCs w:val="20"/>
          <w:color w:val="auto"/>
        </w:rPr>
      </w:pPr>
    </w:p>
    <w:p>
      <w:pPr>
        <w:ind w:left="660" w:right="100"/>
        <w:spacing w:after="0" w:line="292" w:lineRule="auto"/>
        <w:rPr>
          <w:sz w:val="20"/>
          <w:szCs w:val="20"/>
          <w:color w:val="auto"/>
        </w:rPr>
      </w:pPr>
      <w:r>
        <w:rPr>
          <w:rFonts w:ascii="Arial" w:cs="Arial" w:eastAsia="Arial" w:hAnsi="Arial"/>
          <w:sz w:val="16"/>
          <w:szCs w:val="16"/>
          <w:color w:val="auto"/>
        </w:rPr>
        <w:t>None of our executive officers currently serves, or has served during the last year, as a member of the board of directors or compensation committee of any entity that has one or more executive officers serving as a member of our Board or Compensation Committee.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172" w:lineRule="exact"/>
        <w:rPr>
          <w:sz w:val="20"/>
          <w:szCs w:val="20"/>
          <w:color w:val="auto"/>
        </w:rPr>
      </w:pPr>
    </w:p>
    <w:p>
      <w:pPr>
        <w:ind w:left="660" w:right="120"/>
        <w:spacing w:after="0" w:line="279" w:lineRule="auto"/>
        <w:rPr>
          <w:sz w:val="20"/>
          <w:szCs w:val="20"/>
          <w:color w:val="auto"/>
        </w:rPr>
      </w:pPr>
      <w:r>
        <w:rPr>
          <w:rFonts w:ascii="Arial" w:cs="Arial" w:eastAsia="Arial" w:hAnsi="Arial"/>
          <w:sz w:val="16"/>
          <w:szCs w:val="16"/>
          <w:color w:val="auto"/>
        </w:rPr>
        <w:t>The Nominating and Corporate Governance Committee is generally responsible for identifying qualified Board candidates, recommending director nominees and appointments to Board committees, evaluating Board performance and overseeing our Corporate Governance Guidelines. The Nominating and Corporate Governance Committee consists of Turqi Alnowaiser, Glenn R. August and Nichelle Maynard-Elliott, with Turqi Alnowaiser serving as chairperson. Our Board has determined that each of Turqi Alnowaiser, Glenn R. August and Nichelle Maynard-Elliott satisfies the requirements for independence under the applicable Nasdaq listing standards. Our Nominating and Corporate Governance Committee is responsible for, among other things:</w:t>
      </w:r>
    </w:p>
    <w:p>
      <w:pPr>
        <w:spacing w:after="0" w:line="107" w:lineRule="exact"/>
        <w:rPr>
          <w:sz w:val="20"/>
          <w:szCs w:val="20"/>
          <w:color w:val="auto"/>
        </w:rPr>
      </w:pPr>
    </w:p>
    <w:p>
      <w:pPr>
        <w:ind w:left="820" w:right="220" w:hanging="166"/>
        <w:spacing w:after="0" w:line="321" w:lineRule="auto"/>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identifying and recommending candidates for membership on our Board, including the consideration of nominees submitted by stockholders, and to each of the Board’s committees;</w:t>
      </w:r>
    </w:p>
    <w:p>
      <w:pPr>
        <w:spacing w:after="0" w:line="61" w:lineRule="exact"/>
        <w:rPr>
          <w:rFonts w:ascii="Arial" w:cs="Arial" w:eastAsia="Arial" w:hAnsi="Arial"/>
          <w:sz w:val="16"/>
          <w:szCs w:val="16"/>
          <w:color w:val="8A6B24"/>
        </w:rPr>
      </w:pPr>
    </w:p>
    <w:p>
      <w:pPr>
        <w:ind w:left="820" w:hanging="166"/>
        <w:spacing w:after="0"/>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making recommendations to the Board as to determinations of director independence;</w:t>
      </w:r>
    </w:p>
    <w:p>
      <w:pPr>
        <w:spacing w:after="0" w:line="167" w:lineRule="exact"/>
        <w:rPr>
          <w:rFonts w:ascii="Arial" w:cs="Arial" w:eastAsia="Arial" w:hAnsi="Arial"/>
          <w:sz w:val="16"/>
          <w:szCs w:val="16"/>
          <w:color w:val="8A6B24"/>
        </w:rPr>
      </w:pPr>
    </w:p>
    <w:p>
      <w:pPr>
        <w:ind w:left="820" w:right="760" w:hanging="166"/>
        <w:spacing w:after="0" w:line="321" w:lineRule="auto"/>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evaluating and making recommendations regarding the composition, organization and governance of our Board and its committees;</w:t>
      </w:r>
    </w:p>
    <w:p>
      <w:pPr>
        <w:spacing w:after="0" w:line="74" w:lineRule="exact"/>
        <w:rPr>
          <w:rFonts w:ascii="Arial" w:cs="Arial" w:eastAsia="Arial" w:hAnsi="Arial"/>
          <w:sz w:val="16"/>
          <w:szCs w:val="16"/>
          <w:color w:val="8A6B24"/>
        </w:rPr>
      </w:pPr>
    </w:p>
    <w:p>
      <w:pPr>
        <w:ind w:left="820" w:right="360" w:hanging="166"/>
        <w:spacing w:after="0" w:line="321" w:lineRule="auto"/>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reviewing and making recommendations with regard to our Corporate Governance Guidelines and compliance with laws and regulations;</w:t>
      </w:r>
    </w:p>
    <w:p>
      <w:pPr>
        <w:spacing w:after="0" w:line="61" w:lineRule="exact"/>
        <w:rPr>
          <w:rFonts w:ascii="Arial" w:cs="Arial" w:eastAsia="Arial" w:hAnsi="Arial"/>
          <w:sz w:val="16"/>
          <w:szCs w:val="16"/>
          <w:color w:val="8A6B24"/>
        </w:rPr>
      </w:pPr>
    </w:p>
    <w:p>
      <w:pPr>
        <w:ind w:left="820" w:right="560" w:hanging="166"/>
        <w:spacing w:after="0" w:line="321" w:lineRule="auto"/>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overseeing and periodically reviewing our policies and programs concerning environmental sustainability, corporate social responsibility, and governance;</w:t>
      </w:r>
    </w:p>
    <w:p>
      <w:pPr>
        <w:spacing w:after="0" w:line="74" w:lineRule="exact"/>
        <w:rPr>
          <w:rFonts w:ascii="Arial" w:cs="Arial" w:eastAsia="Arial" w:hAnsi="Arial"/>
          <w:sz w:val="16"/>
          <w:szCs w:val="16"/>
          <w:color w:val="8A6B24"/>
        </w:rPr>
      </w:pPr>
    </w:p>
    <w:p>
      <w:pPr>
        <w:ind w:left="820" w:hanging="166"/>
        <w:spacing w:after="0"/>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making recommendations to the Board regarding non-employee director compensation;</w:t>
      </w:r>
    </w:p>
    <w:p>
      <w:pPr>
        <w:spacing w:after="0" w:line="167" w:lineRule="exact"/>
        <w:rPr>
          <w:rFonts w:ascii="Arial" w:cs="Arial" w:eastAsia="Arial" w:hAnsi="Arial"/>
          <w:sz w:val="16"/>
          <w:szCs w:val="16"/>
          <w:color w:val="8A6B24"/>
        </w:rPr>
      </w:pPr>
    </w:p>
    <w:p>
      <w:pPr>
        <w:ind w:left="820" w:right="280" w:hanging="166"/>
        <w:spacing w:after="0" w:line="321" w:lineRule="auto"/>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reviewing conflicts of interest of our directors and officers and proposed waivers of our Corporate Governance Guidelines and Code of Business Conduct and Ethics; and</w:t>
      </w:r>
    </w:p>
    <w:p>
      <w:pPr>
        <w:spacing w:after="0" w:line="74" w:lineRule="exact"/>
        <w:rPr>
          <w:rFonts w:ascii="Arial" w:cs="Arial" w:eastAsia="Arial" w:hAnsi="Arial"/>
          <w:sz w:val="16"/>
          <w:szCs w:val="16"/>
          <w:color w:val="8A6B24"/>
        </w:rPr>
      </w:pPr>
    </w:p>
    <w:p>
      <w:pPr>
        <w:ind w:left="820" w:hanging="166"/>
        <w:spacing w:after="0"/>
        <w:tabs>
          <w:tab w:leader="none" w:pos="820" w:val="left"/>
        </w:tabs>
        <w:numPr>
          <w:ilvl w:val="0"/>
          <w:numId w:val="15"/>
        </w:numPr>
        <w:rPr>
          <w:rFonts w:ascii="Arial" w:cs="Arial" w:eastAsia="Arial" w:hAnsi="Arial"/>
          <w:sz w:val="16"/>
          <w:szCs w:val="16"/>
          <w:color w:val="8A6B24"/>
        </w:rPr>
      </w:pPr>
      <w:r>
        <w:rPr>
          <w:rFonts w:ascii="Arial" w:cs="Arial" w:eastAsia="Arial" w:hAnsi="Arial"/>
          <w:sz w:val="16"/>
          <w:szCs w:val="16"/>
          <w:color w:val="auto"/>
        </w:rPr>
        <w:t>evaluating the performance of our Board and its committees.</w:t>
      </w:r>
    </w:p>
    <w:p>
      <w:pPr>
        <w:spacing w:after="0" w:line="235" w:lineRule="exact"/>
        <w:rPr>
          <w:sz w:val="20"/>
          <w:szCs w:val="20"/>
          <w:color w:val="auto"/>
        </w:rPr>
      </w:pPr>
    </w:p>
    <w:p>
      <w:pPr>
        <w:ind w:left="660" w:right="220"/>
        <w:spacing w:after="0" w:line="283" w:lineRule="auto"/>
        <w:rPr>
          <w:sz w:val="20"/>
          <w:szCs w:val="20"/>
          <w:color w:val="auto"/>
        </w:rPr>
      </w:pPr>
      <w:r>
        <w:rPr>
          <w:rFonts w:ascii="Arial" w:cs="Arial" w:eastAsia="Arial" w:hAnsi="Arial"/>
          <w:sz w:val="16"/>
          <w:szCs w:val="16"/>
          <w:color w:val="auto"/>
        </w:rPr>
        <w:t>During 2022, the Nominating and Corporate Governance Committee met four times. Our Nominating and Corporate Governance Committee operates under a written charter that satisfies the applicable rules of the SEC and the listing standards of Nasdaq. A detailed discussion of the Nominating and Corporate Governance Committee’s procedures for recommending candidates for election as a director appears below under the caption “Procedures of the Nominating and Corporate Governance Committee.”</w:t>
      </w:r>
    </w:p>
    <w:p>
      <w:pPr>
        <w:spacing w:after="0" w:line="172" w:lineRule="exact"/>
        <w:rPr>
          <w:sz w:val="20"/>
          <w:szCs w:val="20"/>
          <w:color w:val="auto"/>
        </w:rPr>
      </w:pPr>
    </w:p>
    <w:p>
      <w:pPr>
        <w:ind w:left="660" w:right="100"/>
        <w:spacing w:after="0" w:line="304" w:lineRule="auto"/>
        <w:rPr>
          <w:sz w:val="20"/>
          <w:szCs w:val="20"/>
          <w:color w:val="auto"/>
        </w:rPr>
      </w:pPr>
      <w:r>
        <w:rPr>
          <w:rFonts w:ascii="Arial" w:cs="Arial" w:eastAsia="Arial" w:hAnsi="Arial"/>
          <w:sz w:val="16"/>
          <w:szCs w:val="16"/>
          <w:color w:val="auto"/>
        </w:rPr>
        <w:t>The Nominating and Corporate Governance Committee charter can be found in the Governance section of the Investors section of our website at https://ir.lucidmotors.com/governance/documents-and-charters. The Nominating and Corporate Governance</w:t>
      </w:r>
    </w:p>
    <w:p>
      <w:pPr>
        <w:sectPr>
          <w:pgSz w:w="11900" w:h="16838" w:orient="portrait"/>
          <w:cols w:equalWidth="0" w:num="1">
            <w:col w:w="10080"/>
          </w:cols>
          <w:pgMar w:left="580" w:top="97" w:right="1239" w:bottom="1440" w:gutter="0" w:footer="0" w:header="0"/>
        </w:sectPr>
      </w:pPr>
    </w:p>
    <w:p>
      <w:pPr>
        <w:spacing w:after="0" w:line="367"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19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92075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Committee charter complies with the guidelines established by Nasdaq. Information on or accessible through our website is not incorporated by reference in this Proxy Statement. The charter of the Nominating and Corporate Governance Committee grants the Nominating and Corporate Governance Committee authority to retain and terminate any advisors, including search firms to identify director candidates, compensation consultants as to director compensation and legal counsel, including sole authority to approve all such advisors’ fees and other retention terms.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Procedures of the Nominating and Corporate Governance Committee</w:t>
      </w:r>
    </w:p>
    <w:p>
      <w:pPr>
        <w:spacing w:after="0" w:line="185" w:lineRule="exact"/>
        <w:rPr>
          <w:sz w:val="20"/>
          <w:szCs w:val="20"/>
          <w:color w:val="auto"/>
        </w:rPr>
      </w:pPr>
    </w:p>
    <w:p>
      <w:pPr>
        <w:ind w:left="660" w:right="60"/>
        <w:spacing w:after="0" w:line="289" w:lineRule="auto"/>
        <w:rPr>
          <w:sz w:val="20"/>
          <w:szCs w:val="20"/>
          <w:color w:val="auto"/>
        </w:rPr>
      </w:pPr>
      <w:r>
        <w:rPr>
          <w:rFonts w:ascii="Arial" w:cs="Arial" w:eastAsia="Arial" w:hAnsi="Arial"/>
          <w:sz w:val="16"/>
          <w:szCs w:val="16"/>
          <w:color w:val="auto"/>
        </w:rPr>
        <w:t>In connection with nominating directors for election at the Annual Meeting and periodically throughout the year, the Nominating and Corporate Governance Committee considers the composition of the Board and each committee of the Board to evaluate its effectiveness and whether changes should be considered to either the Board or any of the committees. In support of this process, the Board has determined that the Board as a whole must have the right diversity, mix of characteristics and skills for the optimal functioning of the Board in its oversight of our Company. The Board considers the following factors and qualifications, without limitation:</w:t>
      </w:r>
    </w:p>
    <w:p>
      <w:pPr>
        <w:spacing w:after="0" w:line="115" w:lineRule="exact"/>
        <w:rPr>
          <w:sz w:val="20"/>
          <w:szCs w:val="20"/>
          <w:color w:val="auto"/>
        </w:rPr>
      </w:pPr>
    </w:p>
    <w:p>
      <w:pPr>
        <w:ind w:left="820" w:hanging="166"/>
        <w:spacing w:after="0"/>
        <w:tabs>
          <w:tab w:leader="none" w:pos="820" w:val="left"/>
        </w:tabs>
        <w:numPr>
          <w:ilvl w:val="0"/>
          <w:numId w:val="16"/>
        </w:numPr>
        <w:rPr>
          <w:rFonts w:ascii="Arial" w:cs="Arial" w:eastAsia="Arial" w:hAnsi="Arial"/>
          <w:sz w:val="16"/>
          <w:szCs w:val="16"/>
          <w:color w:val="8A6B24"/>
        </w:rPr>
      </w:pPr>
      <w:r>
        <w:rPr>
          <w:rFonts w:ascii="Arial" w:cs="Arial" w:eastAsia="Arial" w:hAnsi="Arial"/>
          <w:sz w:val="16"/>
          <w:szCs w:val="16"/>
          <w:color w:val="auto"/>
        </w:rPr>
        <w:t>the appropriate size and the diversity of the Board;</w:t>
      </w:r>
    </w:p>
    <w:p>
      <w:pPr>
        <w:spacing w:after="0" w:line="180" w:lineRule="exact"/>
        <w:rPr>
          <w:rFonts w:ascii="Arial" w:cs="Arial" w:eastAsia="Arial" w:hAnsi="Arial"/>
          <w:sz w:val="16"/>
          <w:szCs w:val="16"/>
          <w:color w:val="8A6B24"/>
        </w:rPr>
      </w:pPr>
    </w:p>
    <w:p>
      <w:pPr>
        <w:ind w:left="820" w:hanging="166"/>
        <w:spacing w:after="0"/>
        <w:tabs>
          <w:tab w:leader="none" w:pos="820" w:val="left"/>
        </w:tabs>
        <w:numPr>
          <w:ilvl w:val="0"/>
          <w:numId w:val="16"/>
        </w:numPr>
        <w:rPr>
          <w:rFonts w:ascii="Arial" w:cs="Arial" w:eastAsia="Arial" w:hAnsi="Arial"/>
          <w:sz w:val="16"/>
          <w:szCs w:val="16"/>
          <w:color w:val="8A6B24"/>
        </w:rPr>
      </w:pPr>
      <w:r>
        <w:rPr>
          <w:rFonts w:ascii="Arial" w:cs="Arial" w:eastAsia="Arial" w:hAnsi="Arial"/>
          <w:sz w:val="16"/>
          <w:szCs w:val="16"/>
          <w:color w:val="auto"/>
        </w:rPr>
        <w:t>the needs of the Board with respect to the particular talents and experience of its directors;</w:t>
      </w:r>
    </w:p>
    <w:p>
      <w:pPr>
        <w:spacing w:after="0" w:line="180" w:lineRule="exact"/>
        <w:rPr>
          <w:rFonts w:ascii="Arial" w:cs="Arial" w:eastAsia="Arial" w:hAnsi="Arial"/>
          <w:sz w:val="16"/>
          <w:szCs w:val="16"/>
          <w:color w:val="8A6B24"/>
        </w:rPr>
      </w:pPr>
    </w:p>
    <w:p>
      <w:pPr>
        <w:ind w:left="820" w:right="220" w:hanging="166"/>
        <w:spacing w:after="0" w:line="301" w:lineRule="auto"/>
        <w:tabs>
          <w:tab w:leader="none" w:pos="820" w:val="left"/>
        </w:tabs>
        <w:numPr>
          <w:ilvl w:val="0"/>
          <w:numId w:val="16"/>
        </w:numPr>
        <w:rPr>
          <w:rFonts w:ascii="Arial" w:cs="Arial" w:eastAsia="Arial" w:hAnsi="Arial"/>
          <w:sz w:val="16"/>
          <w:szCs w:val="16"/>
          <w:color w:val="8A6B24"/>
        </w:rPr>
      </w:pPr>
      <w:r>
        <w:rPr>
          <w:rFonts w:ascii="Arial" w:cs="Arial" w:eastAsia="Arial" w:hAnsi="Arial"/>
          <w:sz w:val="16"/>
          <w:szCs w:val="16"/>
          <w:color w:val="auto"/>
        </w:rPr>
        <w:t>the knowledge, skills and experience of nominees, including experience in the industry in which we operate, business, finance, management or public service, in light of prevailing business conditions and the knowledge, skills and experience already possessed by other members of the Board;</w:t>
      </w:r>
    </w:p>
    <w:p>
      <w:pPr>
        <w:spacing w:after="0" w:line="104" w:lineRule="exact"/>
        <w:rPr>
          <w:rFonts w:ascii="Arial" w:cs="Arial" w:eastAsia="Arial" w:hAnsi="Arial"/>
          <w:sz w:val="16"/>
          <w:szCs w:val="16"/>
          <w:color w:val="8A6B24"/>
        </w:rPr>
      </w:pPr>
    </w:p>
    <w:p>
      <w:pPr>
        <w:ind w:left="820" w:hanging="166"/>
        <w:spacing w:after="0"/>
        <w:tabs>
          <w:tab w:leader="none" w:pos="820" w:val="left"/>
        </w:tabs>
        <w:numPr>
          <w:ilvl w:val="0"/>
          <w:numId w:val="16"/>
        </w:numPr>
        <w:rPr>
          <w:rFonts w:ascii="Arial" w:cs="Arial" w:eastAsia="Arial" w:hAnsi="Arial"/>
          <w:sz w:val="16"/>
          <w:szCs w:val="16"/>
          <w:color w:val="8A6B24"/>
        </w:rPr>
      </w:pPr>
      <w:r>
        <w:rPr>
          <w:rFonts w:ascii="Arial" w:cs="Arial" w:eastAsia="Arial" w:hAnsi="Arial"/>
          <w:sz w:val="16"/>
          <w:szCs w:val="16"/>
          <w:color w:val="auto"/>
        </w:rPr>
        <w:t>familiarity with domestic and international business matters;</w:t>
      </w:r>
    </w:p>
    <w:p>
      <w:pPr>
        <w:spacing w:after="0" w:line="180" w:lineRule="exact"/>
        <w:rPr>
          <w:rFonts w:ascii="Arial" w:cs="Arial" w:eastAsia="Arial" w:hAnsi="Arial"/>
          <w:sz w:val="16"/>
          <w:szCs w:val="16"/>
          <w:color w:val="8A6B24"/>
        </w:rPr>
      </w:pPr>
    </w:p>
    <w:p>
      <w:pPr>
        <w:ind w:left="820" w:hanging="166"/>
        <w:spacing w:after="0"/>
        <w:tabs>
          <w:tab w:leader="none" w:pos="820" w:val="left"/>
        </w:tabs>
        <w:numPr>
          <w:ilvl w:val="0"/>
          <w:numId w:val="16"/>
        </w:numPr>
        <w:rPr>
          <w:rFonts w:ascii="Arial" w:cs="Arial" w:eastAsia="Arial" w:hAnsi="Arial"/>
          <w:sz w:val="16"/>
          <w:szCs w:val="16"/>
          <w:color w:val="8A6B24"/>
        </w:rPr>
      </w:pPr>
      <w:r>
        <w:rPr>
          <w:rFonts w:ascii="Arial" w:cs="Arial" w:eastAsia="Arial" w:hAnsi="Arial"/>
          <w:sz w:val="16"/>
          <w:szCs w:val="16"/>
          <w:color w:val="auto"/>
        </w:rPr>
        <w:t>familiarity and experience with legal and regulatory requirements; and</w:t>
      </w:r>
    </w:p>
    <w:p>
      <w:pPr>
        <w:spacing w:after="0" w:line="194" w:lineRule="exact"/>
        <w:rPr>
          <w:rFonts w:ascii="Arial" w:cs="Arial" w:eastAsia="Arial" w:hAnsi="Arial"/>
          <w:sz w:val="16"/>
          <w:szCs w:val="16"/>
          <w:color w:val="8A6B24"/>
        </w:rPr>
      </w:pPr>
    </w:p>
    <w:p>
      <w:pPr>
        <w:ind w:left="820" w:hanging="166"/>
        <w:spacing w:after="0"/>
        <w:tabs>
          <w:tab w:leader="none" w:pos="820" w:val="left"/>
        </w:tabs>
        <w:numPr>
          <w:ilvl w:val="0"/>
          <w:numId w:val="16"/>
        </w:numPr>
        <w:rPr>
          <w:rFonts w:ascii="Arial" w:cs="Arial" w:eastAsia="Arial" w:hAnsi="Arial"/>
          <w:sz w:val="16"/>
          <w:szCs w:val="16"/>
          <w:color w:val="8A6B24"/>
        </w:rPr>
      </w:pPr>
      <w:r>
        <w:rPr>
          <w:rFonts w:ascii="Arial" w:cs="Arial" w:eastAsia="Arial" w:hAnsi="Arial"/>
          <w:sz w:val="16"/>
          <w:szCs w:val="16"/>
          <w:color w:val="auto"/>
        </w:rPr>
        <w:t>experience with accounting rules and practices.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Considerations in Evaluating Director Nominees</w:t>
      </w:r>
    </w:p>
    <w:p>
      <w:pPr>
        <w:spacing w:after="0" w:line="185" w:lineRule="exact"/>
        <w:rPr>
          <w:sz w:val="20"/>
          <w:szCs w:val="20"/>
          <w:color w:val="auto"/>
        </w:rPr>
      </w:pPr>
    </w:p>
    <w:p>
      <w:pPr>
        <w:ind w:left="660" w:right="120"/>
        <w:spacing w:after="0" w:line="287" w:lineRule="auto"/>
        <w:rPr>
          <w:sz w:val="20"/>
          <w:szCs w:val="20"/>
          <w:color w:val="auto"/>
        </w:rPr>
      </w:pPr>
      <w:r>
        <w:rPr>
          <w:rFonts w:ascii="Arial" w:cs="Arial" w:eastAsia="Arial" w:hAnsi="Arial"/>
          <w:sz w:val="16"/>
          <w:szCs w:val="16"/>
          <w:color w:val="auto"/>
        </w:rPr>
        <w:t>Pursuant to the Nominating and Corporate Governance Committee charter and subject to the Investor Rights Agreement, the Nominating and Corporate Governance Committee periodically reviews the composition of the Board in light of current challenges and needs of the Board and the Company, and determines whether it may be appropriate to add or remove individuals after considering issues of judgment, diversity, skills, background and experience. Although the Nominating and Corporate Governance Committee does not have a formal policy regarding diversity on the Board, the Nominating and Corporate Governance Committee is sensitive to the importance of nominating persons with different perspectives and experience to enhance the deliberation and decision-making processes of the Board. The Nominating and Corporate Governance Committee also considers applicable laws and regulations and stock exchange listing standards.</w:t>
      </w:r>
    </w:p>
    <w:p>
      <w:pPr>
        <w:spacing w:after="0" w:line="184"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Once the Nominating and Corporate Governance Committee and the Board determine that it is appropriate to add a new director, either as a replacement or as a new position, subject to the Investor Rights Agreement, the Nominating and Corporate Governance Committee uses a flexible set of procedures in selecting individual director candidates. This flexibility allows the Nominating and Corporate Governance Committee to adjust the process to best satisfy the objectives it is attempting to accomplish in any director search. The first step in the general process is to identify the type of candidate the Nominating and Corporate Governance Committee may desire for a particular opening, including establishing the specific target skill areas, experiences and backgrounds that are to be the focus of a director search. The Nominating and Corporate Governance Committee may consider candidates recommended by management, by members of the Nominating and Corporate Governance Committee, by the Board, by stockholders or by a third party it may engage to conduct a search for possible candidates. In considering candidates submitted by stockholders, the Nominating and Corporate Governance Committee will take into consideration the needs of the Board, the qualifications of the candidate and our obligations under the Investor Rights Agreement.</w:t>
      </w:r>
    </w:p>
    <w:p>
      <w:pPr>
        <w:spacing w:after="0" w:line="189" w:lineRule="exact"/>
        <w:rPr>
          <w:sz w:val="20"/>
          <w:szCs w:val="20"/>
          <w:color w:val="auto"/>
        </w:rPr>
      </w:pPr>
    </w:p>
    <w:p>
      <w:pPr>
        <w:ind w:left="660" w:right="120"/>
        <w:spacing w:after="0" w:line="289" w:lineRule="auto"/>
        <w:rPr>
          <w:sz w:val="20"/>
          <w:szCs w:val="20"/>
          <w:color w:val="auto"/>
        </w:rPr>
      </w:pPr>
      <w:r>
        <w:rPr>
          <w:rFonts w:ascii="Arial" w:cs="Arial" w:eastAsia="Arial" w:hAnsi="Arial"/>
          <w:sz w:val="16"/>
          <w:szCs w:val="16"/>
          <w:color w:val="auto"/>
        </w:rPr>
        <w:t>Once candidates are identified, the Nominating and Corporate Governance Committee conducts an evaluation of qualified candidates. The evaluation generally includes interviews and background and reference checks. There is no difference in the evaluation process of a candidate recommended by a stockholder as compared to the evaluation process of a candidate identified by any of the other means described above. In identifying and evaluating potential nominees to serve as directors, the Nominating and Corporate Governance Committee will examine each nominee on a case-by-case basis regardless of who recommended the nominee and take into account all factors it considers appropriate.</w:t>
      </w:r>
    </w:p>
    <w:p>
      <w:pPr>
        <w:sectPr>
          <w:pgSz w:w="11900" w:h="16838" w:orient="portrait"/>
          <w:cols w:equalWidth="0" w:num="1">
            <w:col w:w="10080"/>
          </w:cols>
          <w:pgMar w:left="580" w:top="97" w:right="1239" w:bottom="1440" w:gutter="0" w:footer="0" w:header="0"/>
        </w:sectPr>
      </w:pPr>
    </w:p>
    <w:p>
      <w:pPr>
        <w:spacing w:after="0" w:line="368"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​20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180"/>
        <w:spacing w:after="0" w:line="278" w:lineRule="auto"/>
        <w:rPr>
          <w:sz w:val="20"/>
          <w:szCs w:val="20"/>
          <w:color w:val="auto"/>
        </w:rPr>
      </w:pPr>
      <w:r>
        <w:rPr>
          <w:rFonts w:ascii="Arial" w:cs="Arial" w:eastAsia="Arial" w:hAnsi="Arial"/>
          <w:sz w:val="16"/>
          <w:szCs w:val="16"/>
          <w:color w:val="auto"/>
        </w:rPr>
        <w:t>If the Nominating and Corporate Governance Committee determines that a candidate should be nominated as a candidate for election to the Board, the candidate’s nomination is then recommended to the Board, and the directors may in turn conduct their own review to the extent they deem appropriate. When the Board has agreed upon a candidate, such candidate is recommended to the stockholders for election at an annual meeting of stockholders or appointed as a director by a vote of the Board as appropriate.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Stockholder Nominations to the Board of Directors</w:t>
      </w:r>
    </w:p>
    <w:p>
      <w:pPr>
        <w:spacing w:after="0" w:line="185" w:lineRule="exact"/>
        <w:rPr>
          <w:sz w:val="20"/>
          <w:szCs w:val="20"/>
          <w:color w:val="auto"/>
        </w:rPr>
      </w:pPr>
    </w:p>
    <w:p>
      <w:pPr>
        <w:ind w:left="660" w:right="60"/>
        <w:spacing w:after="0" w:line="272" w:lineRule="auto"/>
        <w:rPr>
          <w:sz w:val="20"/>
          <w:szCs w:val="20"/>
          <w:color w:val="auto"/>
        </w:rPr>
      </w:pPr>
      <w:r>
        <w:rPr>
          <w:rFonts w:ascii="Arial" w:cs="Arial" w:eastAsia="Arial" w:hAnsi="Arial"/>
          <w:sz w:val="16"/>
          <w:szCs w:val="16"/>
          <w:color w:val="auto"/>
        </w:rPr>
        <w:t>In order for a stockholder to have a candidate considered by the Nominating and Corporate Governance Committee, a stockholder should submit a written recommendation that includes (A) as to each person whom the stockholder proposes to nominate for election or reelection as a director: (1)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and form of proxy as a nominee and to serving as a director if elected, (2) a reasonably detailed description of any compensatory, payment or other financial agreement, arrangement or understanding that such person has with any other person or entity other than the Company including the amount of any payment or payments received or receivable thereunder, in each case in connection with candidacy or service as a director of the Company, and (3) the information required under Section 2.09(c) of the Bylaws,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and any material interest in such business of such stockholder and the beneficial owner, if any, on whose behalf the proposal is made and (C) as to the stockholder giving the notice and the beneficial owner, if any, on whose behalf the proposal is made:</w:t>
      </w:r>
    </w:p>
    <w:p>
      <w:pPr>
        <w:spacing w:after="0" w:line="118" w:lineRule="exact"/>
        <w:rPr>
          <w:sz w:val="20"/>
          <w:szCs w:val="20"/>
          <w:color w:val="auto"/>
        </w:rPr>
      </w:pPr>
    </w:p>
    <w:p>
      <w:pPr>
        <w:ind w:left="980" w:right="100" w:hanging="326"/>
        <w:spacing w:after="0" w:line="30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name and address of such stockholder (as they appear on the Company’s books), and the name and address of any such beneficial owner, and of any affiliates, associates, or others acting in concert with such stockholder or such beneficial owner (any such person other than the stockholder, a “Stockholder Associated Person”);</w:t>
      </w:r>
    </w:p>
    <w:p>
      <w:pPr>
        <w:spacing w:after="0" w:line="104" w:lineRule="exact"/>
        <w:rPr>
          <w:rFonts w:ascii="Arial" w:cs="Arial" w:eastAsia="Arial" w:hAnsi="Arial"/>
          <w:sz w:val="16"/>
          <w:szCs w:val="16"/>
          <w:color w:val="auto"/>
        </w:rPr>
      </w:pPr>
    </w:p>
    <w:p>
      <w:pPr>
        <w:ind w:left="980" w:right="40" w:hanging="326"/>
        <w:spacing w:after="0" w:line="32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each class or series, the number of shares of capital stock of the Company that are held of record or are beneficially owned by such stockholder and by any Stockholder Associated Person;</w:t>
      </w:r>
    </w:p>
    <w:p>
      <w:pPr>
        <w:spacing w:after="0" w:line="74" w:lineRule="exact"/>
        <w:rPr>
          <w:rFonts w:ascii="Arial" w:cs="Arial" w:eastAsia="Arial" w:hAnsi="Arial"/>
          <w:sz w:val="16"/>
          <w:szCs w:val="16"/>
          <w:color w:val="auto"/>
        </w:rPr>
      </w:pPr>
    </w:p>
    <w:p>
      <w:pPr>
        <w:ind w:left="980" w:right="160" w:hanging="326"/>
        <w:spacing w:after="0" w:line="30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description of any agreement, arrangement, relationship or understanding (whether written or oral) between or among such stockholder or Stockholder Associated Person and any other person in connection with the proposal of such nomination or other business;</w:t>
      </w:r>
    </w:p>
    <w:p>
      <w:pPr>
        <w:spacing w:after="0" w:line="90" w:lineRule="exact"/>
        <w:rPr>
          <w:rFonts w:ascii="Arial" w:cs="Arial" w:eastAsia="Arial" w:hAnsi="Arial"/>
          <w:sz w:val="16"/>
          <w:szCs w:val="16"/>
          <w:color w:val="auto"/>
        </w:rPr>
      </w:pPr>
    </w:p>
    <w:p>
      <w:pPr>
        <w:ind w:left="980" w:right="60" w:hanging="326"/>
        <w:spacing w:after="0" w:line="289"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or any Stockholder Associated Person, or any other agreement, arrangement or understanding, the effect or intent of which is to mitigate loss to, manage risk or benefit of share price changes for, or increase or decrease the voting power of, such stockholder or Stockholder Associated Person with respect to the Company’s securities;</w:t>
      </w:r>
    </w:p>
    <w:p>
      <w:pPr>
        <w:spacing w:after="0" w:line="101" w:lineRule="exact"/>
        <w:rPr>
          <w:rFonts w:ascii="Arial" w:cs="Arial" w:eastAsia="Arial" w:hAnsi="Arial"/>
          <w:sz w:val="16"/>
          <w:szCs w:val="16"/>
          <w:color w:val="auto"/>
        </w:rPr>
      </w:pPr>
    </w:p>
    <w:p>
      <w:pPr>
        <w:ind w:left="980" w:right="40" w:hanging="326"/>
        <w:spacing w:after="0" w:line="32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representation that the stockholder is a holder of record of stock of the Company entitled to vote at such meeting and intends to appear in person or by proxy at the meeting to bring such nomination or other business before the meeting;</w:t>
      </w:r>
    </w:p>
    <w:p>
      <w:pPr>
        <w:spacing w:after="0" w:line="74" w:lineRule="exact"/>
        <w:rPr>
          <w:rFonts w:ascii="Arial" w:cs="Arial" w:eastAsia="Arial" w:hAnsi="Arial"/>
          <w:sz w:val="16"/>
          <w:szCs w:val="16"/>
          <w:color w:val="auto"/>
        </w:rPr>
      </w:pPr>
    </w:p>
    <w:p>
      <w:pPr>
        <w:ind w:left="980" w:hanging="32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representation as to whether such stockholder or Stockholder Associated Person intends or is part of a group that intends to</w:t>
      </w:r>
    </w:p>
    <w:p>
      <w:pPr>
        <w:spacing w:after="0" w:line="32" w:lineRule="exact"/>
        <w:rPr>
          <w:rFonts w:ascii="Arial" w:cs="Arial" w:eastAsia="Arial" w:hAnsi="Arial"/>
          <w:sz w:val="16"/>
          <w:szCs w:val="16"/>
          <w:color w:val="auto"/>
        </w:rPr>
      </w:pPr>
    </w:p>
    <w:p>
      <w:pPr>
        <w:ind w:left="980" w:right="60"/>
        <w:spacing w:after="0" w:line="291" w:lineRule="auto"/>
        <w:rPr>
          <w:rFonts w:ascii="Arial" w:cs="Arial" w:eastAsia="Arial" w:hAnsi="Arial"/>
          <w:sz w:val="16"/>
          <w:szCs w:val="16"/>
          <w:color w:val="auto"/>
        </w:rPr>
      </w:pPr>
      <w:r>
        <w:rPr>
          <w:rFonts w:ascii="Arial" w:cs="Arial" w:eastAsia="Arial" w:hAnsi="Arial"/>
          <w:sz w:val="16"/>
          <w:szCs w:val="16"/>
          <w:color w:val="auto"/>
        </w:rPr>
        <w:t>(i) deliver a proxy statement and/or form of proxy to holders of at least the percentage of the voting power of the Company’s outstanding capital stock required to approve or adopt the proposal or to elect each such nominee, (ii) otherwise solicit proxies from stockholders in support of such proposal or nomination and/or (iii) solicit holders of shares representing at least 67% of the outstanding securities of the Company generally entitled to vote on the election of directors in support of director nominees other than the Company’s nominees in accordance with Rule 14a-19 promulgated under the Exchange Act;</w:t>
      </w:r>
    </w:p>
    <w:p>
      <w:pPr>
        <w:spacing w:after="0" w:line="99" w:lineRule="exact"/>
        <w:rPr>
          <w:rFonts w:ascii="Arial" w:cs="Arial" w:eastAsia="Arial" w:hAnsi="Arial"/>
          <w:sz w:val="16"/>
          <w:szCs w:val="16"/>
          <w:color w:val="auto"/>
        </w:rPr>
      </w:pPr>
    </w:p>
    <w:p>
      <w:pPr>
        <w:ind w:left="980" w:right="440" w:hanging="326"/>
        <w:spacing w:after="0" w:line="295"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representation as to whether such stockholder or Stockholder Associated Person has complied with all applicable legal requirements in connection with its acquisition of shares or other securities of the Company, and any other information reasonably requested by the Company, including with respect to determining whether such person has complied with this Section 2.09(a) of the Bylaws;</w:t>
      </w:r>
    </w:p>
    <w:p>
      <w:pPr>
        <w:spacing w:after="0" w:line="107" w:lineRule="exact"/>
        <w:rPr>
          <w:rFonts w:ascii="Arial" w:cs="Arial" w:eastAsia="Arial" w:hAnsi="Arial"/>
          <w:sz w:val="16"/>
          <w:szCs w:val="16"/>
          <w:color w:val="auto"/>
        </w:rPr>
      </w:pPr>
    </w:p>
    <w:p>
      <w:pPr>
        <w:ind w:left="980" w:right="100" w:hanging="326"/>
        <w:spacing w:after="0" w:line="30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Stockholder Associated Person, if any, or director nominee or proposed business that would be required to be disclosed in a proxy statement or other filing required to be made in connection with the solicitation of proxies in support of such nominee or proposal pursuant to Section 14 of the Exchange Act; and</w:t>
      </w:r>
    </w:p>
    <w:p>
      <w:pPr>
        <w:spacing w:after="0" w:line="90" w:lineRule="exact"/>
        <w:rPr>
          <w:rFonts w:ascii="Arial" w:cs="Arial" w:eastAsia="Arial" w:hAnsi="Arial"/>
          <w:sz w:val="16"/>
          <w:szCs w:val="16"/>
          <w:color w:val="auto"/>
        </w:rPr>
      </w:pPr>
    </w:p>
    <w:p>
      <w:pPr>
        <w:ind w:left="980" w:right="600" w:hanging="326"/>
        <w:spacing w:after="0" w:line="321"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such other information relating to any proposed item of business as the Company may reasonably require to determine whether such proposed item of business is a proper matter for stockholder action.</w:t>
      </w:r>
    </w:p>
    <w:p>
      <w:pPr>
        <w:sectPr>
          <w:pgSz w:w="11900" w:h="16838" w:orient="portrait"/>
          <w:cols w:equalWidth="0" w:num="1">
            <w:col w:w="10080"/>
          </w:cols>
          <w:pgMar w:left="580" w:top="97" w:right="1239" w:bottom="1440" w:gutter="0" w:footer="0" w:header="0"/>
        </w:sectPr>
      </w:pPr>
    </w:p>
    <w:p>
      <w:pPr>
        <w:spacing w:after="0" w:line="34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21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540"/>
        <w:spacing w:after="0" w:line="321" w:lineRule="auto"/>
        <w:rPr>
          <w:sz w:val="20"/>
          <w:szCs w:val="20"/>
          <w:color w:val="auto"/>
        </w:rPr>
      </w:pPr>
      <w:r>
        <w:rPr>
          <w:rFonts w:ascii="Arial" w:cs="Arial" w:eastAsia="Arial" w:hAnsi="Arial"/>
          <w:sz w:val="16"/>
          <w:szCs w:val="16"/>
          <w:color w:val="auto"/>
        </w:rPr>
        <w:t>Stockholder recommendations should be addressed to the Nominating and Corporate Governance Committee in care of our Secretary at Lucid Group, Inc., 7373 Gateway Boulevard, Newark, CA 94560.</w:t>
      </w:r>
    </w:p>
    <w:p>
      <w:pPr>
        <w:spacing w:after="0" w:line="156" w:lineRule="exact"/>
        <w:rPr>
          <w:sz w:val="20"/>
          <w:szCs w:val="20"/>
          <w:color w:val="auto"/>
        </w:rPr>
      </w:pPr>
    </w:p>
    <w:p>
      <w:pPr>
        <w:ind w:left="660" w:right="140"/>
        <w:spacing w:after="0" w:line="321" w:lineRule="auto"/>
        <w:rPr>
          <w:sz w:val="20"/>
          <w:szCs w:val="20"/>
          <w:color w:val="auto"/>
        </w:rPr>
      </w:pPr>
      <w:r>
        <w:rPr>
          <w:rFonts w:ascii="Arial" w:cs="Arial" w:eastAsia="Arial" w:hAnsi="Arial"/>
          <w:sz w:val="16"/>
          <w:szCs w:val="16"/>
          <w:color w:val="auto"/>
        </w:rPr>
        <w:t>Each of the director nominees has been recommended by the Nominating and Corporate Governance Committee to the Board for election as our directors at the Annual Meeting, and the Board has approved such recommendations.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Executive Committee</w:t>
      </w:r>
    </w:p>
    <w:p>
      <w:pPr>
        <w:spacing w:after="0" w:line="185" w:lineRule="exact"/>
        <w:rPr>
          <w:sz w:val="20"/>
          <w:szCs w:val="20"/>
          <w:color w:val="auto"/>
        </w:rPr>
      </w:pPr>
    </w:p>
    <w:p>
      <w:pPr>
        <w:ind w:left="660" w:right="340"/>
        <w:spacing w:after="0" w:line="295" w:lineRule="auto"/>
        <w:rPr>
          <w:sz w:val="20"/>
          <w:szCs w:val="20"/>
          <w:color w:val="auto"/>
        </w:rPr>
      </w:pPr>
      <w:r>
        <w:rPr>
          <w:rFonts w:ascii="Arial" w:cs="Arial" w:eastAsia="Arial" w:hAnsi="Arial"/>
          <w:sz w:val="16"/>
          <w:szCs w:val="16"/>
          <w:color w:val="auto"/>
        </w:rPr>
        <w:t>The executive committee consists of Andrew Liveris, Turqi Alnowaiser, Nancy Gioia, Tony Posawatz and Peter Rawlinson, with Andrew Liveris serving as chairperson. The executive committee reviews, discusses with management and makes recommendations regarding the implementation and execution of our business plan, operational performance and certain other matters and approves transactions below certain thresholds set by our Board. In 2022, the Executive Committee met 11 times.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Stockholder Communications with the Board of Directors</w:t>
      </w:r>
    </w:p>
    <w:p>
      <w:pPr>
        <w:spacing w:after="0" w:line="185" w:lineRule="exact"/>
        <w:rPr>
          <w:sz w:val="20"/>
          <w:szCs w:val="20"/>
          <w:color w:val="auto"/>
        </w:rPr>
      </w:pPr>
    </w:p>
    <w:p>
      <w:pPr>
        <w:ind w:left="660" w:right="180"/>
        <w:spacing w:after="0" w:line="288" w:lineRule="auto"/>
        <w:rPr>
          <w:sz w:val="20"/>
          <w:szCs w:val="20"/>
          <w:color w:val="auto"/>
        </w:rPr>
      </w:pPr>
      <w:r>
        <w:rPr>
          <w:rFonts w:ascii="Arial" w:cs="Arial" w:eastAsia="Arial" w:hAnsi="Arial"/>
          <w:sz w:val="16"/>
          <w:szCs w:val="16"/>
          <w:color w:val="auto"/>
        </w:rPr>
        <w:t>Our relationship with our stockholders is an important part of our corporate governance program. Engaging with our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 investor road shows, analyst meetings, and investor conferences and meetings. We also communicate with stockholders and other stakeholders through various media, including our annual report and SEC filings, proxy statement, news releases and our website. Our conference calls for quarterly earnings releases are open to all. These calls are available in real time and as archived webcasts on our website for a period of time.</w:t>
      </w:r>
    </w:p>
    <w:p>
      <w:pPr>
        <w:spacing w:after="0" w:line="183" w:lineRule="exact"/>
        <w:rPr>
          <w:sz w:val="20"/>
          <w:szCs w:val="20"/>
          <w:color w:val="auto"/>
        </w:rPr>
      </w:pPr>
    </w:p>
    <w:p>
      <w:pPr>
        <w:ind w:left="660" w:right="480"/>
        <w:spacing w:after="0" w:line="295" w:lineRule="auto"/>
        <w:rPr>
          <w:sz w:val="20"/>
          <w:szCs w:val="20"/>
          <w:color w:val="auto"/>
        </w:rPr>
      </w:pPr>
      <w:r>
        <w:rPr>
          <w:rFonts w:ascii="Arial" w:cs="Arial" w:eastAsia="Arial" w:hAnsi="Arial"/>
          <w:sz w:val="16"/>
          <w:szCs w:val="16"/>
          <w:color w:val="auto"/>
        </w:rPr>
        <w:t>The Board has adopted a process for stockholders and others to send communications to the Board or any director. All such communications should be sent by mail addressed to the Board or any particular director at Lucid Group, Inc., 7373 Gateway Boulevard, Newark, CA 94560, c/o General Counsel &amp; Secretary. All communications received by our General Counsel &amp; Secretary will be sent directly to the Board or any particular director.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Code of Business Conduct and Ethics</w:t>
      </w:r>
    </w:p>
    <w:p>
      <w:pPr>
        <w:spacing w:after="0" w:line="199" w:lineRule="exact"/>
        <w:rPr>
          <w:sz w:val="20"/>
          <w:szCs w:val="20"/>
          <w:color w:val="auto"/>
        </w:rPr>
      </w:pPr>
    </w:p>
    <w:p>
      <w:pPr>
        <w:ind w:left="660" w:right="60"/>
        <w:spacing w:after="0" w:line="289" w:lineRule="auto"/>
        <w:rPr>
          <w:sz w:val="20"/>
          <w:szCs w:val="20"/>
          <w:color w:val="auto"/>
        </w:rPr>
      </w:pPr>
      <w:r>
        <w:rPr>
          <w:rFonts w:ascii="Arial" w:cs="Arial" w:eastAsia="Arial" w:hAnsi="Arial"/>
          <w:sz w:val="16"/>
          <w:szCs w:val="16"/>
          <w:color w:val="auto"/>
        </w:rPr>
        <w:t>Our Board of Directors has adopted a code of ethics that applies to all of our employees, officers and directors, including our Chief Executive Officer, Chief Financial Officer and other executive and senior financial officers. The full text of our Code of Business Conduct and Ethics is available in the Governance section of the Investors section of our website at https://ir.lucidmotors.com/governance/documents-and-charters. Information on or accessible through our website is not incorporated by reference in this Proxy Statement. We intend to disclose future amendments to our Code of Business Conduct and Ethics, or any waivers of such code, on our website or in public filings.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Involvement in Certain Legal Proceedings</w:t>
      </w:r>
    </w:p>
    <w:p>
      <w:pPr>
        <w:spacing w:after="0" w:line="185" w:lineRule="exact"/>
        <w:rPr>
          <w:sz w:val="20"/>
          <w:szCs w:val="20"/>
          <w:color w:val="auto"/>
        </w:rPr>
      </w:pPr>
    </w:p>
    <w:p>
      <w:pPr>
        <w:ind w:left="660" w:right="360"/>
        <w:spacing w:after="0" w:line="321" w:lineRule="auto"/>
        <w:rPr>
          <w:sz w:val="20"/>
          <w:szCs w:val="20"/>
          <w:color w:val="auto"/>
        </w:rPr>
      </w:pPr>
      <w:r>
        <w:rPr>
          <w:rFonts w:ascii="Arial" w:cs="Arial" w:eastAsia="Arial" w:hAnsi="Arial"/>
          <w:sz w:val="16"/>
          <w:szCs w:val="16"/>
          <w:color w:val="auto"/>
        </w:rPr>
        <w:t>Tony Posawatz, one of our non-employee directors, served as President and Chief Executive Officer of Fisker Automotive from 2012 to 2013. In late 2013, after Mr. Posawatz had left his position, Fisker Automotive filed for bankruptcy protection.</w:t>
      </w:r>
    </w:p>
    <w:p>
      <w:pPr>
        <w:spacing w:after="0" w:line="156" w:lineRule="exact"/>
        <w:rPr>
          <w:sz w:val="20"/>
          <w:szCs w:val="20"/>
          <w:color w:val="auto"/>
        </w:rPr>
      </w:pPr>
    </w:p>
    <w:p>
      <w:pPr>
        <w:ind w:left="660" w:right="60"/>
        <w:spacing w:after="0" w:line="295" w:lineRule="auto"/>
        <w:rPr>
          <w:sz w:val="20"/>
          <w:szCs w:val="20"/>
          <w:color w:val="auto"/>
        </w:rPr>
      </w:pPr>
      <w:r>
        <w:rPr>
          <w:rFonts w:ascii="Arial" w:cs="Arial" w:eastAsia="Arial" w:hAnsi="Arial"/>
          <w:sz w:val="16"/>
          <w:szCs w:val="16"/>
          <w:color w:val="auto"/>
        </w:rPr>
        <w:t>There are no material proceedings to which any director, officer or affiliate of the Company, any owner of record or beneficially of more than 5% of any class of voting securities of the Company, any associate of any such director, officer, affiliate of the Company, or security holder is a party adverse to the Company or any of its subsidiaries or has a material interest adverse to the Company or any of its subsidiaries.</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​22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6"/>
          <w:szCs w:val="36"/>
          <w:b w:val="1"/>
          <w:bCs w:val="1"/>
          <w:color w:val="auto"/>
        </w:rPr>
        <w:t>Report of the Audit Committee of the Board of Directors</w:t>
      </w:r>
    </w:p>
    <w:p>
      <w:pPr>
        <w:spacing w:after="0" w:line="400" w:lineRule="exact"/>
        <w:rPr>
          <w:sz w:val="20"/>
          <w:szCs w:val="20"/>
          <w:color w:val="auto"/>
        </w:rPr>
      </w:pPr>
    </w:p>
    <w:p>
      <w:pPr>
        <w:ind w:left="660" w:right="80"/>
        <w:spacing w:after="0" w:line="284" w:lineRule="auto"/>
        <w:rPr>
          <w:sz w:val="20"/>
          <w:szCs w:val="20"/>
          <w:color w:val="auto"/>
        </w:rPr>
      </w:pPr>
      <w:r>
        <w:rPr>
          <w:rFonts w:ascii="Arial" w:cs="Arial" w:eastAsia="Arial" w:hAnsi="Arial"/>
          <w:sz w:val="16"/>
          <w:szCs w:val="16"/>
          <w:color w:val="auto"/>
        </w:rPr>
        <w:t>The Audit Committee reviews the Company’s financial reporting process on behalf of the Board. Management has the primary responsibility for the preparation and integrity of the consolidated financial statements and the reporting process, including establishing and monitoring the system of internal financial controls. In this context, during fiscal year 2022, the Audit Committee met and held discussions with management and Grant Thornton LLP (“GT”), the Company’s independent registered public accounting firm. Management has represented to the Audit Committee that the Company’s consolidated financial statements for the fiscal year ended December 31, 2022, were prepared in accordance with U.S. generally accepted accounting principles, and the Audit Committee has reviewed and discussed the audited financial statements of the Company with management of the Company and with GT. In addition, the Audit Committee has discussed with GT the matters required to be discussed by the applicable requirements of the Public Company Accounting Oversight Board (the “PCAOB”) AS 1301, Communications with Audit Committees, and the SEC. The Audit Committee has received from GT the written disclosures regarding the auditor’s independence required by applicable requirements of PCAOB Ethics and Independence Rule 3526, Communication with Audit Committees Concerning Independence, and has discussed with GT the independence of GT from the Company and its management. Based on the foregoing, the Audit Committee has recommended to the Board, and the Board has approved, that the audited consolidated financial statements be included in the Company’s Annual Report on Form 10-K for the fiscal year ended December 31, 2022, for filing with the SEC. The Audit Committee and the Board have also recommended the selection of GT as the Company’s independent registered public accounting firm for the fiscal year ending December 31, 2023.</w:t>
      </w:r>
    </w:p>
    <w:p>
      <w:pPr>
        <w:spacing w:after="0" w:line="189" w:lineRule="exact"/>
        <w:rPr>
          <w:sz w:val="20"/>
          <w:szCs w:val="20"/>
          <w:color w:val="auto"/>
        </w:rPr>
      </w:pPr>
    </w:p>
    <w:p>
      <w:pPr>
        <w:ind w:left="660" w:right="40"/>
        <w:spacing w:after="0" w:line="295" w:lineRule="auto"/>
        <w:rPr>
          <w:sz w:val="20"/>
          <w:szCs w:val="20"/>
          <w:color w:val="auto"/>
        </w:rPr>
      </w:pPr>
      <w:r>
        <w:rPr>
          <w:rFonts w:ascii="Arial" w:cs="Arial" w:eastAsia="Arial" w:hAnsi="Arial"/>
          <w:sz w:val="16"/>
          <w:szCs w:val="16"/>
          <w:color w:val="auto"/>
        </w:rPr>
        <w:t>The material in this report is not deemed “soliciting material,” is not deemed “filed” with the SEC, is not subject to Regulation 14A or 14C or to the liabilities of Section 18 of the Securities Exchange Act of 1934, as amended, and is not to be incorporated by reference into any filing of the Company under the Securities Act of 1933, as amended, whether made before or after the date hereof and irrespective of any general incorporation language in any such filing.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Janet S. Wong, Chair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Glenn R. August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Frank Lindenberg</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23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-80645</wp:posOffset>
            </wp:positionV>
            <wp:extent cx="6489065" cy="254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7"/>
          <w:szCs w:val="27"/>
          <w:b w:val="1"/>
          <w:bCs w:val="1"/>
          <w:color w:val="auto"/>
        </w:rPr>
        <w:t>Proposal No. 2:</w:t>
      </w:r>
      <w:r>
        <w:rPr>
          <w:rFonts w:ascii="Times New Roman" w:cs="Times New Roman" w:eastAsia="Times New Roman" w:hAnsi="Times New Roman"/>
          <w:sz w:val="35"/>
          <w:szCs w:val="35"/>
          <w:b w:val="1"/>
          <w:bCs w:val="1"/>
          <w:color w:val="auto"/>
        </w:rPr>
        <w:t>​</w:t>
      </w:r>
    </w:p>
    <w:p>
      <w:pPr>
        <w:spacing w:after="0" w:line="51" w:lineRule="exact"/>
        <w:rPr>
          <w:sz w:val="20"/>
          <w:szCs w:val="20"/>
          <w:color w:val="auto"/>
        </w:rPr>
      </w:pPr>
    </w:p>
    <w:p>
      <w:pPr>
        <w:ind w:left="660" w:right="460"/>
        <w:spacing w:after="0" w:line="238" w:lineRule="auto"/>
        <w:rPr>
          <w:sz w:val="20"/>
          <w:szCs w:val="20"/>
          <w:color w:val="auto"/>
        </w:rPr>
      </w:pPr>
      <w:r>
        <w:rPr>
          <w:rFonts w:ascii="Times New Roman" w:cs="Times New Roman" w:eastAsia="Times New Roman" w:hAnsi="Times New Roman"/>
          <w:sz w:val="36"/>
          <w:szCs w:val="36"/>
          <w:b w:val="1"/>
          <w:bCs w:val="1"/>
          <w:color w:val="auto"/>
        </w:rPr>
        <w:t>Ratification of the Selection of the Independent Registered Public Accounting Firm</w:t>
      </w:r>
    </w:p>
    <w:p>
      <w:pPr>
        <w:spacing w:after="0" w:line="336" w:lineRule="exact"/>
        <w:rPr>
          <w:sz w:val="20"/>
          <w:szCs w:val="20"/>
          <w:color w:val="auto"/>
        </w:rPr>
      </w:pPr>
    </w:p>
    <w:p>
      <w:pPr>
        <w:ind w:left="660" w:right="120"/>
        <w:spacing w:after="0" w:line="289" w:lineRule="auto"/>
        <w:rPr>
          <w:sz w:val="20"/>
          <w:szCs w:val="20"/>
          <w:color w:val="auto"/>
        </w:rPr>
      </w:pPr>
      <w:r>
        <w:rPr>
          <w:rFonts w:ascii="Arial" w:cs="Arial" w:eastAsia="Arial" w:hAnsi="Arial"/>
          <w:sz w:val="16"/>
          <w:szCs w:val="16"/>
          <w:color w:val="auto"/>
        </w:rPr>
        <w:t>On March 1, 2023, our Audit Committee selected Grant Thornton LLP (“GT”) as our independent registered public accounting firm for the fiscal year ending December 31, 2023. GT has served as our independent registered public accounting firm since the close of our merger with Churchill Capital Corp IV (“Churchill”) on July 23, 2021 (the “Closing”) and as the independent registered public accounting firm of our predecessor, Atieva, Inc. (“Atieva”), since October 13, 2020. Representatives of GT plan to attend the Annual Meeting and will be available to answer appropriate questions from stockholders. They will have the opportunity to make a statement if they desire to do so.</w:t>
      </w:r>
    </w:p>
    <w:p>
      <w:pPr>
        <w:spacing w:after="0" w:line="183" w:lineRule="exact"/>
        <w:rPr>
          <w:sz w:val="20"/>
          <w:szCs w:val="20"/>
          <w:color w:val="auto"/>
        </w:rPr>
      </w:pPr>
    </w:p>
    <w:p>
      <w:pPr>
        <w:ind w:left="660" w:right="80"/>
        <w:spacing w:after="0" w:line="289" w:lineRule="auto"/>
        <w:rPr>
          <w:sz w:val="20"/>
          <w:szCs w:val="20"/>
          <w:color w:val="auto"/>
        </w:rPr>
      </w:pPr>
      <w:r>
        <w:rPr>
          <w:rFonts w:ascii="Arial" w:cs="Arial" w:eastAsia="Arial" w:hAnsi="Arial"/>
          <w:sz w:val="16"/>
          <w:szCs w:val="16"/>
          <w:color w:val="auto"/>
        </w:rPr>
        <w:t>Neither our Bylaws nor other governing documents or law require stockholder ratification of the selection of GT as our independent registered public accounting firm. However, the Board is submitting the selection of GT to the stockholders for ratification as a matter of good corporate practice. If the stockholders fail to ratify the selection, the Audit Committee will reconsider whether to retain GT. Even if the selection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​24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Independent Registered Public Accounting Firm</w:t>
      </w:r>
    </w:p>
    <w:p>
      <w:pPr>
        <w:spacing w:after="0" w:line="172" w:lineRule="exact"/>
        <w:rPr>
          <w:sz w:val="20"/>
          <w:szCs w:val="20"/>
          <w:color w:val="auto"/>
        </w:rPr>
      </w:pPr>
    </w:p>
    <w:p>
      <w:pPr>
        <w:ind w:left="660" w:right="100"/>
        <w:spacing w:after="0" w:line="304" w:lineRule="auto"/>
        <w:rPr>
          <w:sz w:val="20"/>
          <w:szCs w:val="20"/>
          <w:color w:val="auto"/>
        </w:rPr>
      </w:pPr>
      <w:r>
        <w:rPr>
          <w:rFonts w:ascii="Arial" w:cs="Arial" w:eastAsia="Arial" w:hAnsi="Arial"/>
          <w:sz w:val="16"/>
          <w:szCs w:val="16"/>
          <w:color w:val="auto"/>
        </w:rPr>
        <w:t>The following is a summary of the fees and services provided by GT to Lucid and its predecessor, Atieva, for fiscal years 2021 and 2022:</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6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spacing w:after="0"/>
              <w:rPr>
                <w:sz w:val="15"/>
                <w:szCs w:val="15"/>
                <w:color w:val="auto"/>
              </w:rPr>
            </w:pPr>
          </w:p>
        </w:tc>
        <w:tc>
          <w:tcPr>
            <w:tcW w:w="59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440" w:type="dxa"/>
            <w:vAlign w:val="bottom"/>
            <w:shd w:val="clear" w:color="auto" w:fill="000000"/>
          </w:tcPr>
          <w:p>
            <w:pPr>
              <w:spacing w:after="0"/>
              <w:rPr>
                <w:sz w:val="15"/>
                <w:szCs w:val="15"/>
                <w:color w:val="auto"/>
              </w:rPr>
            </w:pPr>
          </w:p>
        </w:tc>
        <w:tc>
          <w:tcPr>
            <w:tcW w:w="1540" w:type="dxa"/>
            <w:vAlign w:val="bottom"/>
            <w:gridSpan w:val="4"/>
            <w:vMerge w:val="restart"/>
            <w:shd w:val="clear" w:color="auto" w:fill="000000"/>
          </w:tcPr>
          <w:p>
            <w:pPr>
              <w:jc w:val="center"/>
              <w:ind w:left="333"/>
              <w:spacing w:after="0"/>
              <w:rPr>
                <w:sz w:val="20"/>
                <w:szCs w:val="20"/>
                <w:color w:val="auto"/>
              </w:rPr>
            </w:pPr>
            <w:r>
              <w:rPr>
                <w:rFonts w:ascii="Arial" w:cs="Arial" w:eastAsia="Arial" w:hAnsi="Arial"/>
                <w:sz w:val="13"/>
                <w:szCs w:val="13"/>
                <w:b w:val="1"/>
                <w:bCs w:val="1"/>
                <w:color w:val="FEFEFE"/>
                <w:w w:val="94"/>
              </w:rPr>
              <w:t>Fiscal Year Ended</w:t>
            </w:r>
          </w:p>
        </w:tc>
        <w:tc>
          <w:tcPr>
            <w:tcW w:w="680" w:type="dxa"/>
            <w:vAlign w:val="bottom"/>
            <w:shd w:val="clear" w:color="auto" w:fill="000000"/>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200" w:type="dxa"/>
            <w:vAlign w:val="bottom"/>
            <w:shd w:val="clear" w:color="auto" w:fill="000000"/>
          </w:tcPr>
          <w:p>
            <w:pPr>
              <w:jc w:val="right"/>
              <w:ind w:right="146"/>
              <w:spacing w:after="0"/>
              <w:rPr>
                <w:sz w:val="20"/>
                <w:szCs w:val="20"/>
                <w:color w:val="auto"/>
              </w:rPr>
            </w:pPr>
            <w:r>
              <w:rPr>
                <w:rFonts w:ascii="Arial" w:cs="Arial" w:eastAsia="Arial" w:hAnsi="Arial"/>
                <w:sz w:val="1"/>
                <w:szCs w:val="1"/>
                <w:b w:val="1"/>
                <w:bCs w:val="1"/>
                <w:color w:val="FEFEFE"/>
                <w:w w:val="4294942296"/>
              </w:rPr>
              <w:t>​</w:t>
            </w:r>
          </w:p>
        </w:tc>
        <w:tc>
          <w:tcPr>
            <w:tcW w:w="0" w:type="dxa"/>
            <w:vAlign w:val="bottom"/>
          </w:tcPr>
          <w:p>
            <w:pPr>
              <w:spacing w:after="0"/>
              <w:rPr>
                <w:sz w:val="1"/>
                <w:szCs w:val="1"/>
                <w:color w:val="auto"/>
              </w:rPr>
            </w:pPr>
          </w:p>
        </w:tc>
      </w:tr>
      <w:tr>
        <w:trPr>
          <w:trHeight w:val="80"/>
        </w:trPr>
        <w:tc>
          <w:tcPr>
            <w:tcW w:w="6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59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440" w:type="dxa"/>
            <w:vAlign w:val="bottom"/>
            <w:shd w:val="clear" w:color="auto" w:fill="000000"/>
          </w:tcPr>
          <w:p>
            <w:pPr>
              <w:spacing w:after="0"/>
              <w:rPr>
                <w:sz w:val="6"/>
                <w:szCs w:val="6"/>
                <w:color w:val="auto"/>
              </w:rPr>
            </w:pPr>
          </w:p>
        </w:tc>
        <w:tc>
          <w:tcPr>
            <w:tcW w:w="1540" w:type="dxa"/>
            <w:vAlign w:val="bottom"/>
            <w:gridSpan w:val="4"/>
            <w:vMerge w:val="continue"/>
            <w:shd w:val="clear" w:color="auto" w:fill="000000"/>
          </w:tcPr>
          <w:p>
            <w:pPr>
              <w:spacing w:after="0"/>
              <w:rPr>
                <w:sz w:val="6"/>
                <w:szCs w:val="6"/>
                <w:color w:val="auto"/>
              </w:rPr>
            </w:pPr>
          </w:p>
        </w:tc>
        <w:tc>
          <w:tcPr>
            <w:tcW w:w="68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598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440" w:type="dxa"/>
            <w:vAlign w:val="bottom"/>
            <w:shd w:val="clear" w:color="auto" w:fill="000000"/>
          </w:tcPr>
          <w:p>
            <w:pPr>
              <w:spacing w:after="0"/>
              <w:rPr>
                <w:sz w:val="14"/>
                <w:szCs w:val="14"/>
                <w:color w:val="auto"/>
              </w:rPr>
            </w:pPr>
          </w:p>
        </w:tc>
        <w:tc>
          <w:tcPr>
            <w:tcW w:w="1540" w:type="dxa"/>
            <w:vAlign w:val="bottom"/>
            <w:gridSpan w:val="4"/>
            <w:shd w:val="clear" w:color="auto" w:fill="000000"/>
          </w:tcPr>
          <w:p>
            <w:pPr>
              <w:jc w:val="center"/>
              <w:ind w:left="333"/>
              <w:spacing w:after="0"/>
              <w:rPr>
                <w:sz w:val="20"/>
                <w:szCs w:val="20"/>
                <w:color w:val="auto"/>
              </w:rPr>
            </w:pPr>
            <w:r>
              <w:rPr>
                <w:rFonts w:ascii="Arial" w:cs="Arial" w:eastAsia="Arial" w:hAnsi="Arial"/>
                <w:sz w:val="13"/>
                <w:szCs w:val="13"/>
                <w:b w:val="1"/>
                <w:bCs w:val="1"/>
                <w:color w:val="FEFEFE"/>
                <w:w w:val="96"/>
              </w:rPr>
              <w:t>December 31,</w:t>
            </w:r>
          </w:p>
        </w:tc>
        <w:tc>
          <w:tcPr>
            <w:tcW w:w="6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0" w:type="dxa"/>
            <w:vAlign w:val="bottom"/>
            <w:shd w:val="clear" w:color="auto" w:fill="000000"/>
          </w:tcPr>
          <w:p>
            <w:pPr>
              <w:spacing w:after="0"/>
              <w:rPr>
                <w:sz w:val="11"/>
                <w:szCs w:val="11"/>
                <w:color w:val="auto"/>
              </w:rPr>
            </w:pPr>
          </w:p>
        </w:tc>
        <w:tc>
          <w:tcPr>
            <w:tcW w:w="10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5980" w:type="dxa"/>
            <w:vAlign w:val="bottom"/>
            <w:shd w:val="clear" w:color="auto" w:fill="000000"/>
          </w:tcPr>
          <w:p>
            <w:pPr>
              <w:spacing w:after="0"/>
              <w:rPr>
                <w:sz w:val="11"/>
                <w:szCs w:val="11"/>
                <w:color w:val="auto"/>
              </w:rPr>
            </w:pPr>
          </w:p>
        </w:tc>
        <w:tc>
          <w:tcPr>
            <w:tcW w:w="10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2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44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200" w:type="dxa"/>
            <w:vAlign w:val="bottom"/>
            <w:vMerge w:val="restart"/>
            <w:shd w:val="clear" w:color="auto" w:fill="000000"/>
          </w:tcPr>
          <w:p>
            <w:pPr>
              <w:jc w:val="right"/>
              <w:ind w:right="26"/>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79"/>
        </w:trPr>
        <w:tc>
          <w:tcPr>
            <w:tcW w:w="60" w:type="dxa"/>
            <w:vAlign w:val="bottom"/>
            <w:shd w:val="clear" w:color="auto" w:fill="000000"/>
          </w:tcPr>
          <w:p>
            <w:pPr>
              <w:spacing w:after="0"/>
              <w:rPr>
                <w:sz w:val="15"/>
                <w:szCs w:val="15"/>
                <w:color w:val="auto"/>
              </w:rPr>
            </w:pPr>
          </w:p>
        </w:tc>
        <w:tc>
          <w:tcPr>
            <w:tcW w:w="100" w:type="dxa"/>
            <w:vAlign w:val="bottom"/>
            <w:vMerge w:val="continue"/>
            <w:shd w:val="clear" w:color="auto" w:fill="000000"/>
          </w:tcPr>
          <w:p>
            <w:pPr>
              <w:spacing w:after="0"/>
              <w:rPr>
                <w:sz w:val="15"/>
                <w:szCs w:val="15"/>
                <w:color w:val="auto"/>
              </w:rPr>
            </w:pPr>
          </w:p>
        </w:tc>
        <w:tc>
          <w:tcPr>
            <w:tcW w:w="598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Description of Services Provided by GT</w:t>
            </w:r>
          </w:p>
        </w:tc>
        <w:tc>
          <w:tcPr>
            <w:tcW w:w="100" w:type="dxa"/>
            <w:vAlign w:val="bottom"/>
            <w:vMerge w:val="continue"/>
            <w:shd w:val="clear" w:color="auto" w:fill="000000"/>
          </w:tcPr>
          <w:p>
            <w:pPr>
              <w:spacing w:after="0"/>
              <w:rPr>
                <w:sz w:val="15"/>
                <w:szCs w:val="15"/>
                <w:color w:val="auto"/>
              </w:rPr>
            </w:pPr>
          </w:p>
        </w:tc>
        <w:tc>
          <w:tcPr>
            <w:tcW w:w="120" w:type="dxa"/>
            <w:vAlign w:val="bottom"/>
            <w:vMerge w:val="continue"/>
            <w:shd w:val="clear" w:color="auto" w:fill="000000"/>
          </w:tcPr>
          <w:p>
            <w:pPr>
              <w:spacing w:after="0"/>
              <w:rPr>
                <w:sz w:val="15"/>
                <w:szCs w:val="15"/>
                <w:color w:val="auto"/>
              </w:rPr>
            </w:pPr>
          </w:p>
        </w:tc>
        <w:tc>
          <w:tcPr>
            <w:tcW w:w="440" w:type="dxa"/>
            <w:vAlign w:val="bottom"/>
            <w:shd w:val="clear" w:color="auto" w:fill="000000"/>
          </w:tcPr>
          <w:p>
            <w:pPr>
              <w:spacing w:after="0"/>
              <w:rPr>
                <w:sz w:val="15"/>
                <w:szCs w:val="15"/>
                <w:color w:val="auto"/>
              </w:rPr>
            </w:pPr>
          </w:p>
        </w:tc>
        <w:tc>
          <w:tcPr>
            <w:tcW w:w="700" w:type="dxa"/>
            <w:vAlign w:val="bottom"/>
            <w:vMerge w:val="restart"/>
            <w:shd w:val="clear" w:color="auto" w:fill="000000"/>
          </w:tcPr>
          <w:p>
            <w:pPr>
              <w:jc w:val="right"/>
              <w:ind w:right="293"/>
              <w:spacing w:after="0"/>
              <w:rPr>
                <w:sz w:val="20"/>
                <w:szCs w:val="20"/>
                <w:color w:val="auto"/>
              </w:rPr>
            </w:pPr>
            <w:r>
              <w:rPr>
                <w:rFonts w:ascii="Arial" w:cs="Arial" w:eastAsia="Arial" w:hAnsi="Arial"/>
                <w:sz w:val="13"/>
                <w:szCs w:val="13"/>
                <w:b w:val="1"/>
                <w:bCs w:val="1"/>
                <w:color w:val="FEFEFE"/>
              </w:rPr>
              <w:t>2021</w:t>
            </w:r>
          </w:p>
        </w:tc>
        <w:tc>
          <w:tcPr>
            <w:tcW w:w="240" w:type="dxa"/>
            <w:vAlign w:val="bottom"/>
            <w:shd w:val="clear" w:color="auto" w:fill="000000"/>
          </w:tcPr>
          <w:p>
            <w:pPr>
              <w:ind w:left="200"/>
              <w:spacing w:after="0"/>
              <w:rPr>
                <w:sz w:val="20"/>
                <w:szCs w:val="20"/>
                <w:color w:val="auto"/>
              </w:rPr>
            </w:pPr>
            <w:r>
              <w:rPr>
                <w:rFonts w:ascii="Arial" w:cs="Arial" w:eastAsia="Arial" w:hAnsi="Arial"/>
                <w:sz w:val="13"/>
                <w:szCs w:val="13"/>
                <w:b w:val="1"/>
                <w:bCs w:val="1"/>
                <w:color w:val="FEFEFE"/>
              </w:rPr>
              <w:t>​</w:t>
            </w:r>
          </w:p>
        </w:tc>
        <w:tc>
          <w:tcPr>
            <w:tcW w:w="240" w:type="dxa"/>
            <w:vAlign w:val="bottom"/>
            <w:shd w:val="clear" w:color="auto" w:fill="000000"/>
          </w:tcPr>
          <w:p>
            <w:pPr>
              <w:jc w:val="right"/>
              <w:ind w:right="70"/>
              <w:spacing w:after="0"/>
              <w:rPr>
                <w:sz w:val="20"/>
                <w:szCs w:val="20"/>
                <w:color w:val="auto"/>
              </w:rPr>
            </w:pPr>
            <w:r>
              <w:rPr>
                <w:rFonts w:ascii="Arial" w:cs="Arial" w:eastAsia="Arial" w:hAnsi="Arial"/>
                <w:sz w:val="13"/>
                <w:szCs w:val="13"/>
                <w:b w:val="1"/>
                <w:bCs w:val="1"/>
                <w:color w:val="FEFEFE"/>
              </w:rPr>
              <w:t>​</w:t>
            </w:r>
          </w:p>
        </w:tc>
        <w:tc>
          <w:tcPr>
            <w:tcW w:w="360" w:type="dxa"/>
            <w:vAlign w:val="bottom"/>
            <w:shd w:val="clear" w:color="auto" w:fill="000000"/>
          </w:tcPr>
          <w:p>
            <w:pPr>
              <w:spacing w:after="0"/>
              <w:rPr>
                <w:sz w:val="15"/>
                <w:szCs w:val="15"/>
                <w:color w:val="auto"/>
              </w:rPr>
            </w:pPr>
          </w:p>
        </w:tc>
        <w:tc>
          <w:tcPr>
            <w:tcW w:w="680" w:type="dxa"/>
            <w:vAlign w:val="bottom"/>
            <w:vMerge w:val="restart"/>
            <w:shd w:val="clear" w:color="auto" w:fill="000000"/>
          </w:tcPr>
          <w:p>
            <w:pPr>
              <w:jc w:val="right"/>
              <w:ind w:right="290"/>
              <w:spacing w:after="0"/>
              <w:rPr>
                <w:sz w:val="20"/>
                <w:szCs w:val="20"/>
                <w:color w:val="auto"/>
              </w:rPr>
            </w:pPr>
            <w:r>
              <w:rPr>
                <w:rFonts w:ascii="Arial" w:cs="Arial" w:eastAsia="Arial" w:hAnsi="Arial"/>
                <w:sz w:val="13"/>
                <w:szCs w:val="13"/>
                <w:b w:val="1"/>
                <w:bCs w:val="1"/>
                <w:color w:val="FEFEFE"/>
              </w:rPr>
              <w:t>2022</w:t>
            </w:r>
          </w:p>
        </w:tc>
        <w:tc>
          <w:tcPr>
            <w:tcW w:w="160" w:type="dxa"/>
            <w:vAlign w:val="bottom"/>
            <w:shd w:val="clear" w:color="auto" w:fill="000000"/>
          </w:tcPr>
          <w:p>
            <w:pPr>
              <w:spacing w:after="0"/>
              <w:rPr>
                <w:sz w:val="15"/>
                <w:szCs w:val="15"/>
                <w:color w:val="auto"/>
              </w:rPr>
            </w:pPr>
          </w:p>
        </w:tc>
        <w:tc>
          <w:tcPr>
            <w:tcW w:w="200" w:type="dxa"/>
            <w:vAlign w:val="bottom"/>
            <w:vMerge w:val="continue"/>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5980" w:type="dxa"/>
            <w:vAlign w:val="bottom"/>
            <w:vMerge w:val="continue"/>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700" w:type="dxa"/>
            <w:vAlign w:val="bottom"/>
            <w:vMerge w:val="continue"/>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360" w:type="dxa"/>
            <w:vAlign w:val="bottom"/>
            <w:shd w:val="clear" w:color="auto" w:fill="000000"/>
          </w:tcPr>
          <w:p>
            <w:pPr>
              <w:spacing w:after="0"/>
              <w:rPr>
                <w:sz w:val="10"/>
                <w:szCs w:val="10"/>
                <w:color w:val="auto"/>
              </w:rPr>
            </w:pPr>
          </w:p>
        </w:tc>
        <w:tc>
          <w:tcPr>
            <w:tcW w:w="680" w:type="dxa"/>
            <w:vAlign w:val="bottom"/>
            <w:vMerge w:val="continue"/>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598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360" w:type="dxa"/>
            <w:vAlign w:val="bottom"/>
            <w:shd w:val="clear" w:color="auto" w:fill="000000"/>
          </w:tcPr>
          <w:p>
            <w:pPr>
              <w:spacing w:after="0"/>
              <w:rPr>
                <w:sz w:val="10"/>
                <w:szCs w:val="10"/>
                <w:color w:val="auto"/>
              </w:rPr>
            </w:pPr>
          </w:p>
        </w:tc>
        <w:tc>
          <w:tcPr>
            <w:tcW w:w="68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353"/>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4"/>
                <w:szCs w:val="14"/>
                <w:color w:val="auto"/>
              </w:rPr>
              <w:t>Audit Fees</w:t>
            </w:r>
            <w:r>
              <w:rPr>
                <w:rFonts w:ascii="Arial" w:cs="Arial" w:eastAsia="Arial" w:hAnsi="Arial"/>
                <w:sz w:val="17"/>
                <w:szCs w:val="17"/>
                <w:color w:val="auto"/>
                <w:vertAlign w:val="superscript"/>
              </w:rPr>
              <w:t>(1)</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5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$ 2,043,000</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jc w:val="right"/>
              <w:ind w:right="5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$ 1,880,000</w:t>
            </w:r>
          </w:p>
        </w:tc>
        <w:tc>
          <w:tcPr>
            <w:tcW w:w="36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gridSpan w:val="2"/>
            <w:vMerge w:val="continue"/>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240" w:type="dxa"/>
            <w:vAlign w:val="bottom"/>
            <w:tcBorders>
              <w:bottom w:val="single" w:sz="8" w:color="auto"/>
            </w:tcBorders>
            <w:vMerge w:val="continue"/>
          </w:tcPr>
          <w:p>
            <w:pPr>
              <w:spacing w:after="0"/>
              <w:rPr>
                <w:sz w:val="8"/>
                <w:szCs w:val="8"/>
                <w:color w:val="auto"/>
              </w:rPr>
            </w:pPr>
          </w:p>
        </w:tc>
        <w:tc>
          <w:tcPr>
            <w:tcW w:w="1040" w:type="dxa"/>
            <w:vAlign w:val="bottom"/>
            <w:tcBorders>
              <w:bottom w:val="single" w:sz="8" w:color="auto"/>
            </w:tcBorders>
            <w:gridSpan w:val="2"/>
            <w:vMerge w:val="continue"/>
          </w:tcPr>
          <w:p>
            <w:pPr>
              <w:spacing w:after="0"/>
              <w:rPr>
                <w:sz w:val="8"/>
                <w:szCs w:val="8"/>
                <w:color w:val="auto"/>
              </w:rPr>
            </w:pPr>
          </w:p>
        </w:tc>
        <w:tc>
          <w:tcPr>
            <w:tcW w:w="36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7F7F7"/>
          </w:tcPr>
          <w:p>
            <w:pPr>
              <w:spacing w:after="0"/>
              <w:rPr>
                <w:sz w:val="24"/>
                <w:szCs w:val="24"/>
                <w:color w:val="auto"/>
              </w:rPr>
            </w:pPr>
          </w:p>
        </w:tc>
        <w:tc>
          <w:tcPr>
            <w:tcW w:w="598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Audit-Related Fees</w:t>
            </w:r>
          </w:p>
        </w:tc>
        <w:tc>
          <w:tcPr>
            <w:tcW w:w="10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F7F7F7"/>
          </w:tcPr>
          <w:p>
            <w:pPr>
              <w:ind w:left="2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700" w:type="dxa"/>
            <w:vAlign w:val="bottom"/>
            <w:tcBorders>
              <w:bottom w:val="single" w:sz="8" w:color="auto"/>
            </w:tcBorders>
            <w:shd w:val="clear" w:color="auto" w:fill="F7F7F7"/>
          </w:tcPr>
          <w:p>
            <w:pPr>
              <w:jc w:val="right"/>
              <w:ind w:right="5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jc w:val="right"/>
              <w:ind w:right="11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w:t>
            </w:r>
          </w:p>
        </w:tc>
        <w:tc>
          <w:tcPr>
            <w:tcW w:w="680" w:type="dxa"/>
            <w:vAlign w:val="bottom"/>
            <w:tcBorders>
              <w:bottom w:val="single" w:sz="8" w:color="auto"/>
            </w:tcBorders>
            <w:shd w:val="clear" w:color="auto" w:fill="F7F7F7"/>
          </w:tcPr>
          <w:p>
            <w:pPr>
              <w:jc w:val="right"/>
              <w:ind w:right="50"/>
              <w:spacing w:after="0"/>
              <w:rPr>
                <w:sz w:val="20"/>
                <w:szCs w:val="20"/>
                <w:color w:val="auto"/>
              </w:rPr>
            </w:pPr>
            <w:r>
              <w:rPr>
                <w:rFonts w:ascii="Arial" w:cs="Arial" w:eastAsia="Arial" w:hAnsi="Arial"/>
                <w:sz w:val="14"/>
                <w:szCs w:val="14"/>
                <w:color w:val="auto"/>
              </w:rPr>
              <w:t>25,000</w:t>
            </w:r>
          </w:p>
        </w:tc>
        <w:tc>
          <w:tcPr>
            <w:tcW w:w="360" w:type="dxa"/>
            <w:vAlign w:val="bottom"/>
            <w:tcBorders>
              <w:bottom w:val="single" w:sz="8" w:color="auto"/>
            </w:tcBorders>
            <w:gridSpan w:val="2"/>
            <w:shd w:val="clear" w:color="auto" w:fill="F7F7F7"/>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Tax Fees</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7F7F7"/>
          </w:tcPr>
          <w:p>
            <w:pPr>
              <w:spacing w:after="0"/>
              <w:rPr>
                <w:sz w:val="24"/>
                <w:szCs w:val="24"/>
                <w:color w:val="auto"/>
              </w:rPr>
            </w:pPr>
          </w:p>
        </w:tc>
        <w:tc>
          <w:tcPr>
            <w:tcW w:w="598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All Other Fees</w:t>
            </w:r>
          </w:p>
        </w:tc>
        <w:tc>
          <w:tcPr>
            <w:tcW w:w="10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F7F7F7"/>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700" w:type="dxa"/>
            <w:vAlign w:val="bottom"/>
            <w:tcBorders>
              <w:bottom w:val="single" w:sz="8" w:color="auto"/>
            </w:tcBorders>
            <w:shd w:val="clear" w:color="auto" w:fill="F7F7F7"/>
          </w:tcPr>
          <w:p>
            <w:pPr>
              <w:jc w:val="right"/>
              <w:ind w:right="5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jc w:val="right"/>
              <w:ind w:right="11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perscript"/>
              </w:rPr>
              <w:t>​</w:t>
            </w:r>
          </w:p>
        </w:tc>
        <w:tc>
          <w:tcPr>
            <w:tcW w:w="680" w:type="dxa"/>
            <w:vAlign w:val="bottom"/>
            <w:tcBorders>
              <w:bottom w:val="single" w:sz="8" w:color="auto"/>
            </w:tcBorders>
            <w:shd w:val="clear" w:color="auto" w:fill="F7F7F7"/>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gridSpan w:val="2"/>
            <w:shd w:val="clear" w:color="auto" w:fill="F7F7F7"/>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1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$ 2,043,000</w:t>
            </w:r>
          </w:p>
        </w:tc>
        <w:tc>
          <w:tcPr>
            <w:tcW w:w="4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 ​</w:t>
            </w:r>
          </w:p>
        </w:tc>
        <w:tc>
          <w:tcPr>
            <w:tcW w:w="10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$ 1,905,000</w:t>
            </w:r>
          </w:p>
        </w:tc>
        <w:tc>
          <w:tcPr>
            <w:tcW w:w="3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780" w:right="80" w:hanging="126"/>
        <w:spacing w:after="0" w:line="237" w:lineRule="auto"/>
        <w:tabs>
          <w:tab w:leader="none" w:pos="780" w:val="left"/>
        </w:tabs>
        <w:numPr>
          <w:ilvl w:val="0"/>
          <w:numId w:val="18"/>
        </w:numPr>
        <w:rPr>
          <w:rFonts w:ascii="Arial" w:cs="Arial" w:eastAsia="Arial" w:hAnsi="Arial"/>
          <w:sz w:val="15"/>
          <w:szCs w:val="15"/>
          <w:color w:val="auto"/>
          <w:vertAlign w:val="superscript"/>
        </w:rPr>
      </w:pPr>
      <w:r>
        <w:rPr>
          <w:rFonts w:ascii="Arial" w:cs="Arial" w:eastAsia="Arial" w:hAnsi="Arial"/>
          <w:sz w:val="10"/>
          <w:szCs w:val="10"/>
          <w:color w:val="auto"/>
        </w:rPr>
        <w:t>Audit Fees in 2021 and 2022 were for professional services rendered for the audits of our financial statements, review of interim financial statements, assistance with registration statements filed with the SEC and services that are normally provided by GT in connection with statutory and regulatory filings or engagements. Fees for the year ended December 31, 2021 included approximately $486,000 billed in connection with our business combination with Churchill Capital Corp IV, which closed on July 23, 2021.</w:t>
      </w:r>
    </w:p>
    <w:p>
      <w:pPr>
        <w:spacing w:after="0" w:line="44"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18"/>
        </w:numPr>
        <w:rPr>
          <w:rFonts w:ascii="Arial" w:cs="Arial" w:eastAsia="Arial" w:hAnsi="Arial"/>
          <w:sz w:val="15"/>
          <w:szCs w:val="15"/>
          <w:color w:val="auto"/>
          <w:vertAlign w:val="superscript"/>
        </w:rPr>
      </w:pPr>
      <w:r>
        <w:rPr>
          <w:rFonts w:ascii="Arial" w:cs="Arial" w:eastAsia="Arial" w:hAnsi="Arial"/>
          <w:sz w:val="10"/>
          <w:szCs w:val="10"/>
          <w:color w:val="auto"/>
        </w:rPr>
        <w:t>Audit-Related Fees in 2022 consisted of attest services related to environmental, social and governance (ESG) and sustainability metrics and disclosures.</w:t>
      </w:r>
    </w:p>
    <w:p>
      <w:pPr>
        <w:spacing w:after="0" w:line="222" w:lineRule="exact"/>
        <w:rPr>
          <w:sz w:val="20"/>
          <w:szCs w:val="20"/>
          <w:color w:val="auto"/>
        </w:rPr>
      </w:pPr>
    </w:p>
    <w:p>
      <w:pPr>
        <w:ind w:left="660" w:right="360"/>
        <w:spacing w:after="0" w:line="295" w:lineRule="auto"/>
        <w:rPr>
          <w:sz w:val="20"/>
          <w:szCs w:val="20"/>
          <w:color w:val="auto"/>
        </w:rPr>
      </w:pPr>
      <w:r>
        <w:rPr>
          <w:rFonts w:ascii="Arial" w:cs="Arial" w:eastAsia="Arial" w:hAnsi="Arial"/>
          <w:sz w:val="16"/>
          <w:szCs w:val="16"/>
          <w:color w:val="auto"/>
        </w:rPr>
        <w:t>The Audit Committee or a delegate thereof pre-approves the scope of the audit and non-audit services provided by our independent registered public accounting firm, as well as all associated fees and terms, pursuant to pre-approval policies and procedures established by the Audit Committee. The Audit Committee evaluates the independent registered public accounting firm’s qualifications, performance and independence, and presents its conclusions to the full Board on at least an annual basis.</w:t>
      </w:r>
    </w:p>
    <w:p>
      <w:pPr>
        <w:spacing w:after="0" w:line="175" w:lineRule="exact"/>
        <w:rPr>
          <w:sz w:val="20"/>
          <w:szCs w:val="20"/>
          <w:color w:val="auto"/>
        </w:rPr>
      </w:pPr>
    </w:p>
    <w:p>
      <w:pPr>
        <w:ind w:left="660" w:right="500"/>
        <w:spacing w:after="0" w:line="321" w:lineRule="auto"/>
        <w:rPr>
          <w:sz w:val="20"/>
          <w:szCs w:val="20"/>
          <w:color w:val="auto"/>
        </w:rPr>
      </w:pPr>
      <w:r>
        <w:rPr>
          <w:rFonts w:ascii="Arial" w:cs="Arial" w:eastAsia="Arial" w:hAnsi="Arial"/>
          <w:sz w:val="16"/>
          <w:szCs w:val="16"/>
          <w:color w:val="auto"/>
        </w:rPr>
        <w:t>All of the services provided by GT since the Closing in July 2021, and fees for such services, were pre-approved by the Audit Committee in accordance with these standards.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Change in Accountants</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Marcum LLP</w:t>
      </w:r>
    </w:p>
    <w:p>
      <w:pPr>
        <w:spacing w:after="0" w:line="185" w:lineRule="exact"/>
        <w:rPr>
          <w:sz w:val="20"/>
          <w:szCs w:val="20"/>
          <w:color w:val="auto"/>
        </w:rPr>
      </w:pPr>
    </w:p>
    <w:p>
      <w:pPr>
        <w:jc w:val="both"/>
        <w:ind w:left="660" w:right="140"/>
        <w:spacing w:after="0" w:line="301" w:lineRule="auto"/>
        <w:rPr>
          <w:sz w:val="20"/>
          <w:szCs w:val="20"/>
          <w:color w:val="auto"/>
        </w:rPr>
      </w:pPr>
      <w:r>
        <w:rPr>
          <w:rFonts w:ascii="Arial" w:cs="Arial" w:eastAsia="Arial" w:hAnsi="Arial"/>
          <w:sz w:val="16"/>
          <w:szCs w:val="16"/>
          <w:color w:val="auto"/>
        </w:rPr>
        <w:t>On July 23, 2021, the Board dismissed Marcum LLP (“Marcum”), Churchill’s independent registered public accounting firm prior to the Closing, as our independent registered public accounting firm effective following completion of our review of the quarter ended June 30, 2021, which consisted only of the accounts of Churchill prior to the Closing.</w:t>
      </w:r>
    </w:p>
    <w:p>
      <w:pPr>
        <w:spacing w:after="0" w:line="172" w:lineRule="exact"/>
        <w:rPr>
          <w:sz w:val="20"/>
          <w:szCs w:val="20"/>
          <w:color w:val="auto"/>
        </w:rPr>
      </w:pPr>
    </w:p>
    <w:p>
      <w:pPr>
        <w:ind w:left="660" w:right="40"/>
        <w:spacing w:after="0" w:line="295" w:lineRule="auto"/>
        <w:rPr>
          <w:sz w:val="20"/>
          <w:szCs w:val="20"/>
          <w:color w:val="auto"/>
        </w:rPr>
      </w:pPr>
      <w:r>
        <w:rPr>
          <w:rFonts w:ascii="Arial" w:cs="Arial" w:eastAsia="Arial" w:hAnsi="Arial"/>
          <w:sz w:val="16"/>
          <w:szCs w:val="16"/>
          <w:color w:val="auto"/>
        </w:rPr>
        <w:t>The audit report of Marcum on Churchill’s, our legal predecessor, balance sheet as of December 31, 2020 and the statements of operations, changes in stockholders’ equity and cash flows for the period from April 30, 2020 (inception) to December 31, 2020, did not contain an adverse opinion or a disclaimer of opinion and was not qualified or modified as to uncertainties, audit scope or accounting principles.</w:t>
      </w:r>
    </w:p>
    <w:p>
      <w:pPr>
        <w:spacing w:after="0" w:line="175" w:lineRule="exact"/>
        <w:rPr>
          <w:sz w:val="20"/>
          <w:szCs w:val="20"/>
          <w:color w:val="auto"/>
        </w:rPr>
      </w:pPr>
    </w:p>
    <w:p>
      <w:pPr>
        <w:ind w:left="660" w:right="40"/>
        <w:spacing w:after="0" w:line="295" w:lineRule="auto"/>
        <w:rPr>
          <w:sz w:val="20"/>
          <w:szCs w:val="20"/>
          <w:color w:val="auto"/>
        </w:rPr>
      </w:pPr>
      <w:r>
        <w:rPr>
          <w:rFonts w:ascii="Arial" w:cs="Arial" w:eastAsia="Arial" w:hAnsi="Arial"/>
          <w:sz w:val="16"/>
          <w:szCs w:val="16"/>
          <w:color w:val="auto"/>
        </w:rPr>
        <w:t>During the period from April 30, 2020 (inception) to December 31, 2020 and subsequent interim period through July 23, 2021, there were no disagreements between Churchill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Churchill’s financial statements for such period.</w:t>
      </w:r>
    </w:p>
    <w:p>
      <w:pPr>
        <w:spacing w:after="0" w:line="175" w:lineRule="exact"/>
        <w:rPr>
          <w:sz w:val="20"/>
          <w:szCs w:val="20"/>
          <w:color w:val="auto"/>
        </w:rPr>
      </w:pPr>
    </w:p>
    <w:p>
      <w:pPr>
        <w:ind w:left="660" w:right="220"/>
        <w:spacing w:after="0" w:line="291" w:lineRule="auto"/>
        <w:rPr>
          <w:sz w:val="20"/>
          <w:szCs w:val="20"/>
          <w:color w:val="auto"/>
        </w:rPr>
      </w:pPr>
      <w:r>
        <w:rPr>
          <w:rFonts w:ascii="Arial" w:cs="Arial" w:eastAsia="Arial" w:hAnsi="Arial"/>
          <w:sz w:val="16"/>
          <w:szCs w:val="16"/>
          <w:color w:val="auto"/>
        </w:rPr>
        <w:t>During the period from April 30, 2020 (inception) to December 31, 2020 and subsequent interim period through July 23, 2021, on May 14, 2021, following the issuance of the statement regarding the accounting and reporting considerations for warrants issued by special purpose acquisition companies entitled “Staff Statement on Accounting and Reporting Considerations for Warrants Issued by Special Purpose Acquisition Companies (“SPACs”)” by the SEC, Churchill’s management and the audit committee of Churchill’s board of directors, after consultation with management and a discussion with Marcum, concluded that</w:t>
      </w:r>
    </w:p>
    <w:p>
      <w:pPr>
        <w:sectPr>
          <w:pgSz w:w="11900" w:h="16838" w:orient="portrait"/>
          <w:cols w:equalWidth="0" w:num="1">
            <w:col w:w="10080"/>
          </w:cols>
          <w:pgMar w:left="580" w:top="97" w:right="1239" w:bottom="1440" w:gutter="0" w:footer="0" w:header="0"/>
        </w:sectPr>
      </w:pPr>
    </w:p>
    <w:p>
      <w:pPr>
        <w:spacing w:after="0" w:line="366"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25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80"/>
        <w:spacing w:after="0" w:line="295" w:lineRule="auto"/>
        <w:rPr>
          <w:sz w:val="20"/>
          <w:szCs w:val="20"/>
          <w:color w:val="auto"/>
        </w:rPr>
      </w:pPr>
      <w:r>
        <w:rPr>
          <w:rFonts w:ascii="Arial" w:cs="Arial" w:eastAsia="Arial" w:hAnsi="Arial"/>
          <w:sz w:val="16"/>
          <w:szCs w:val="16"/>
          <w:color w:val="auto"/>
        </w:rPr>
        <w:t>Churchill’s financial statements for the period ended December 31, 2020, and the financial statements as of August 3, 2020 and as of and for the period ended September 30, 2020 (the “Original Financial Statements”) should no longer be relied upon and were to be restated in order to correct a classification error. The Original Financial Statements were restated in the financial statements accompanying Churchill’s Annual Report on Form 10-K/A filed with the SEC on May 14, 2021.</w:t>
      </w:r>
    </w:p>
    <w:p>
      <w:pPr>
        <w:spacing w:after="0" w:line="175" w:lineRule="exact"/>
        <w:rPr>
          <w:sz w:val="20"/>
          <w:szCs w:val="20"/>
          <w:color w:val="auto"/>
        </w:rPr>
      </w:pPr>
    </w:p>
    <w:p>
      <w:pPr>
        <w:jc w:val="both"/>
        <w:ind w:left="660" w:right="320"/>
        <w:spacing w:after="0" w:line="301" w:lineRule="auto"/>
        <w:rPr>
          <w:sz w:val="20"/>
          <w:szCs w:val="20"/>
          <w:color w:val="auto"/>
        </w:rPr>
      </w:pPr>
      <w:r>
        <w:rPr>
          <w:rFonts w:ascii="Arial" w:cs="Arial" w:eastAsia="Arial" w:hAnsi="Arial"/>
          <w:sz w:val="16"/>
          <w:szCs w:val="16"/>
          <w:color w:val="auto"/>
        </w:rPr>
        <w:t>As part of such process, Churchill identified a material weakness in its internal controls over financial reporting, solely related to Churchill’s accounting for warrants. There were no other “reportable events” ​(as defined in Item 304(a)(1)(v) of Regulation S-K under the Exchange Act).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Vote Required</w:t>
      </w:r>
    </w:p>
    <w:p>
      <w:pPr>
        <w:spacing w:after="0" w:line="185" w:lineRule="exact"/>
        <w:rPr>
          <w:sz w:val="20"/>
          <w:szCs w:val="20"/>
          <w:color w:val="auto"/>
        </w:rPr>
      </w:pPr>
    </w:p>
    <w:p>
      <w:pPr>
        <w:ind w:left="660" w:right="280"/>
        <w:spacing w:after="0" w:line="295" w:lineRule="auto"/>
        <w:rPr>
          <w:sz w:val="20"/>
          <w:szCs w:val="20"/>
          <w:color w:val="auto"/>
        </w:rPr>
      </w:pPr>
      <w:r>
        <w:rPr>
          <w:rFonts w:ascii="Arial" w:cs="Arial" w:eastAsia="Arial" w:hAnsi="Arial"/>
          <w:sz w:val="16"/>
          <w:szCs w:val="16"/>
          <w:color w:val="auto"/>
        </w:rPr>
        <w:t>To be approved, a majority of the total votes cast on Proposal No. 2 must be voted “For” the ratification of the selection of GT as our independent registered public accounting firm for the fiscal year ending December 31, 2023. Broker non-votes are not applicable with respect to Proposal No. 2 as brokers generally have discretion to vote uninstructed shares on this proposal. Abstentions will have no effect.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1320"/>
        <w:spacing w:after="0" w:line="228" w:lineRule="auto"/>
        <w:rPr>
          <w:sz w:val="20"/>
          <w:szCs w:val="20"/>
          <w:color w:val="auto"/>
        </w:rPr>
      </w:pPr>
      <w:r>
        <w:rPr>
          <w:rFonts w:ascii="Arial" w:cs="Arial" w:eastAsia="Arial" w:hAnsi="Arial"/>
          <w:sz w:val="42"/>
          <w:szCs w:val="42"/>
          <w:color w:val="FEFEFE"/>
          <w:vertAlign w:val="superscript"/>
        </w:rPr>
        <w:t>​</w:t>
      </w:r>
      <w:r>
        <w:rPr>
          <w:rFonts w:ascii="Arial" w:cs="Arial" w:eastAsia="Arial" w:hAnsi="Arial"/>
          <w:sz w:val="21"/>
          <w:szCs w:val="21"/>
          <w:color w:val="FEFEFE"/>
        </w:rPr>
        <w:t xml:space="preserve"> THE BOARD OF DIRECTORS RECOMMENDS A VOTE “FOR” THE RATIFICATION OF THE </w:t>
      </w:r>
      <w:r>
        <w:rPr>
          <w:rFonts w:ascii="Arial" w:cs="Arial" w:eastAsia="Arial" w:hAnsi="Arial"/>
          <w:sz w:val="42"/>
          <w:szCs w:val="42"/>
          <w:color w:val="FEFEFE"/>
          <w:vertAlign w:val="superscript"/>
        </w:rPr>
        <w:t>​</w:t>
      </w:r>
      <w:r>
        <w:rPr>
          <w:rFonts w:ascii="Arial" w:cs="Arial" w:eastAsia="Arial" w:hAnsi="Arial"/>
          <w:sz w:val="21"/>
          <w:szCs w:val="21"/>
          <w:color w:val="FEFEFE"/>
        </w:rPr>
        <w:t xml:space="preserve"> SELECTION OF THE INDEPENDENT REGISTERED PUBLIC ACCOUNTING FIRM (PROPOSAL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-565150</wp:posOffset>
            </wp:positionV>
            <wp:extent cx="5966460" cy="6172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6460" cy="617220"/>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​26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-80645</wp:posOffset>
            </wp:positionV>
            <wp:extent cx="6489065" cy="254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7"/>
          <w:szCs w:val="27"/>
          <w:b w:val="1"/>
          <w:bCs w:val="1"/>
          <w:color w:val="auto"/>
        </w:rPr>
        <w:t>Proposal No. 3:</w:t>
      </w:r>
      <w:r>
        <w:rPr>
          <w:rFonts w:ascii="Times New Roman" w:cs="Times New Roman" w:eastAsia="Times New Roman" w:hAnsi="Times New Roman"/>
          <w:sz w:val="35"/>
          <w:szCs w:val="35"/>
          <w:b w:val="1"/>
          <w:bCs w:val="1"/>
          <w:color w:val="auto"/>
        </w:rPr>
        <w:t>​</w:t>
      </w:r>
    </w:p>
    <w:p>
      <w:pPr>
        <w:spacing w:after="0" w:line="64" w:lineRule="exact"/>
        <w:rPr>
          <w:sz w:val="20"/>
          <w:szCs w:val="20"/>
          <w:color w:val="auto"/>
        </w:rPr>
      </w:pPr>
    </w:p>
    <w:p>
      <w:pPr>
        <w:ind w:left="660" w:right="80"/>
        <w:spacing w:after="0" w:line="238" w:lineRule="auto"/>
        <w:rPr>
          <w:sz w:val="20"/>
          <w:szCs w:val="20"/>
          <w:color w:val="auto"/>
        </w:rPr>
      </w:pPr>
      <w:r>
        <w:rPr>
          <w:rFonts w:ascii="Times New Roman" w:cs="Times New Roman" w:eastAsia="Times New Roman" w:hAnsi="Times New Roman"/>
          <w:sz w:val="36"/>
          <w:szCs w:val="36"/>
          <w:b w:val="1"/>
          <w:bCs w:val="1"/>
          <w:color w:val="auto"/>
        </w:rPr>
        <w:t>Approval, on an Advisory Basis, of the Compensation of Our Named Executive Officers</w:t>
      </w:r>
    </w:p>
    <w:p>
      <w:pPr>
        <w:spacing w:after="0" w:line="336" w:lineRule="exact"/>
        <w:rPr>
          <w:sz w:val="20"/>
          <w:szCs w:val="20"/>
          <w:color w:val="auto"/>
        </w:rPr>
      </w:pPr>
    </w:p>
    <w:p>
      <w:pPr>
        <w:jc w:val="both"/>
        <w:ind w:left="660" w:right="40"/>
        <w:spacing w:after="0" w:line="293" w:lineRule="auto"/>
        <w:rPr>
          <w:sz w:val="20"/>
          <w:szCs w:val="20"/>
          <w:color w:val="auto"/>
        </w:rPr>
      </w:pPr>
      <w:r>
        <w:rPr>
          <w:rFonts w:ascii="Arial" w:cs="Arial" w:eastAsia="Arial" w:hAnsi="Arial"/>
          <w:sz w:val="16"/>
          <w:szCs w:val="16"/>
          <w:color w:val="auto"/>
        </w:rPr>
        <w:t>We are required by Section 14A of the Exchange Act to offer our stockholders an opportunity to cast an advisory, non-binding, vote on the compensation of our named executive officers, as disclosed in this Proxy Statement, pursuant to the Dodd-Frank Wall Street Reform and Consumer Protection Act enacted in July 2010 (the “Dodd-Frank Act”) (commonly referred to as a “say-on-pay” vote).</w:t>
      </w:r>
    </w:p>
    <w:p>
      <w:pPr>
        <w:spacing w:after="0" w:line="1" w:lineRule="exact"/>
        <w:rPr>
          <w:sz w:val="20"/>
          <w:szCs w:val="20"/>
          <w:color w:val="auto"/>
        </w:rPr>
      </w:pPr>
    </w:p>
    <w:p>
      <w:pPr>
        <w:ind w:left="660" w:right="40"/>
        <w:spacing w:after="0" w:line="306"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named executive officers and the philosophy, policies and practices described in this Proxy Statement. Although the vote is non-binding, we value constructive feedback from our stockholders on executive compensation and other important matters, and the Board and the Compensation Committee will consider the voting results when making future compensation decisions.</w:t>
      </w:r>
    </w:p>
    <w:p>
      <w:pPr>
        <w:spacing w:after="0" w:line="182" w:lineRule="exact"/>
        <w:rPr>
          <w:sz w:val="20"/>
          <w:szCs w:val="20"/>
          <w:color w:val="auto"/>
        </w:rPr>
      </w:pPr>
    </w:p>
    <w:p>
      <w:pPr>
        <w:ind w:left="660" w:right="240"/>
        <w:spacing w:after="0" w:line="300" w:lineRule="auto"/>
        <w:rPr>
          <w:sz w:val="20"/>
          <w:szCs w:val="20"/>
          <w:color w:val="auto"/>
        </w:rPr>
      </w:pPr>
      <w:r>
        <w:rPr>
          <w:rFonts w:ascii="Arial" w:cs="Arial" w:eastAsia="Arial" w:hAnsi="Arial"/>
          <w:sz w:val="16"/>
          <w:szCs w:val="16"/>
          <w:color w:val="auto"/>
        </w:rPr>
        <w:t>As described under the heading “Compensation Discussion and Analysis” in this Proxy Statement, our executive compensation program is designed to attract, retain and motivate top-level talent who possess the skills and leadership necessary to grow our business and enable long-term value creation. The Board encourages our stockholders to read the disclosures set forth in the “Compensation Discussion and Analysis” section of this Proxy Statement to review the compensation actions taken in fiscal year 2022. The Board believes that our executive compensation program effectively aligns executive pay with our performance and results in the attraction and retention of talented executives who are critical to our success.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Accordingly, the Board recommends that our stockholders vote “For” the following resolution:</w:t>
      </w:r>
    </w:p>
    <w:p>
      <w:pPr>
        <w:spacing w:after="0" w:line="248" w:lineRule="exact"/>
        <w:rPr>
          <w:sz w:val="20"/>
          <w:szCs w:val="20"/>
          <w:color w:val="auto"/>
        </w:rPr>
      </w:pPr>
    </w:p>
    <w:p>
      <w:pPr>
        <w:jc w:val="center"/>
        <w:ind w:left="1240" w:right="140"/>
        <w:spacing w:after="0" w:line="31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named executive officers, as disclosed in the proxy statement furnished for the 2023 Annual Meeting of Stockholders pursuant to Item 402 of Regulation S-K, including the Compensation Discussion and Analysis, compensation tables and related narrative discussion, is hereby APPROVED on an advisory basis.”</w:t>
      </w:r>
    </w:p>
    <w:p>
      <w:pPr>
        <w:spacing w:after="0" w:line="157" w:lineRule="exact"/>
        <w:rPr>
          <w:sz w:val="20"/>
          <w:szCs w:val="20"/>
          <w:color w:val="auto"/>
        </w:rPr>
      </w:pPr>
    </w:p>
    <w:p>
      <w:pPr>
        <w:ind w:left="660" w:right="80"/>
        <w:spacing w:after="0" w:line="303" w:lineRule="auto"/>
        <w:rPr>
          <w:sz w:val="20"/>
          <w:szCs w:val="20"/>
          <w:color w:val="auto"/>
        </w:rPr>
      </w:pPr>
      <w:r>
        <w:rPr>
          <w:rFonts w:ascii="Arial" w:cs="Arial" w:eastAsia="Arial" w:hAnsi="Arial"/>
          <w:sz w:val="16"/>
          <w:szCs w:val="16"/>
          <w:color w:val="auto"/>
        </w:rPr>
        <w:t>Because the vote is advisory, it is not binding on management or the Board. Nevertheless, the views expressed by our stockholders, whether through this vote or otherwise, are important to management and the Board and, accordingly, the Compensation Committee and the Board intend to consider the results of this vote in making determinations in the future regarding executive compensation arrangements. Your vote will serve as an additional tool to guide the Compensation Committee and the Board in continuing to improve the alignment of our executive compensation program with business objectives and performance and with the interests of our stockholders.</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27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Vote Required</w:t>
      </w:r>
    </w:p>
    <w:p>
      <w:pPr>
        <w:spacing w:after="0" w:line="185" w:lineRule="exact"/>
        <w:rPr>
          <w:sz w:val="20"/>
          <w:szCs w:val="20"/>
          <w:color w:val="auto"/>
        </w:rPr>
      </w:pPr>
    </w:p>
    <w:p>
      <w:pPr>
        <w:ind w:left="660" w:right="140"/>
        <w:spacing w:after="0" w:line="301" w:lineRule="auto"/>
        <w:rPr>
          <w:sz w:val="20"/>
          <w:szCs w:val="20"/>
          <w:color w:val="auto"/>
        </w:rPr>
      </w:pPr>
      <w:r>
        <w:rPr>
          <w:rFonts w:ascii="Arial" w:cs="Arial" w:eastAsia="Arial" w:hAnsi="Arial"/>
          <w:sz w:val="16"/>
          <w:szCs w:val="16"/>
          <w:color w:val="auto"/>
        </w:rPr>
        <w:t>To be approved, a majority of the total votes cast on Proposal No. 3 must be voted “For” the approval, on an advisory basis, of the compensation of our named executive officers. Only votes “For” or “Against” will affect the outcome. Broker non-votes and abstentions will have no effect.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660" w:type="dxa"/>
        <w:tblCellMar>
          <w:top w:w="0" w:type="dxa"/>
          <w:left w:w="0" w:type="dxa"/>
          <w:bottom w:w="0" w:type="dxa"/>
          <w:right w:w="0" w:type="dxa"/>
        </w:tblCellMar>
      </w:tblPr>
      <w:tr>
        <w:trPr>
          <w:trHeight w:val="290"/>
        </w:trPr>
        <w:tc>
          <w:tcPr>
            <w:tcW w:w="240" w:type="dxa"/>
            <w:vAlign w:val="bottom"/>
            <w:shd w:val="clear" w:color="auto" w:fill="000000"/>
          </w:tcPr>
          <w:p>
            <w:pPr>
              <w:ind w:left="80"/>
              <w:spacing w:after="0"/>
              <w:rPr>
                <w:sz w:val="20"/>
                <w:szCs w:val="20"/>
                <w:color w:val="auto"/>
              </w:rPr>
            </w:pPr>
            <w:r>
              <w:rPr>
                <w:rFonts w:ascii="Arial" w:cs="Arial" w:eastAsia="Arial" w:hAnsi="Arial"/>
                <w:sz w:val="22"/>
                <w:szCs w:val="22"/>
                <w:color w:val="FEFEFE"/>
              </w:rPr>
              <w:t>​</w:t>
            </w:r>
          </w:p>
        </w:tc>
        <w:tc>
          <w:tcPr>
            <w:tcW w:w="8940" w:type="dxa"/>
            <w:vAlign w:val="bottom"/>
            <w:vMerge w:val="restart"/>
            <w:shd w:val="clear" w:color="auto" w:fill="000000"/>
          </w:tcPr>
          <w:p>
            <w:pPr>
              <w:jc w:val="center"/>
              <w:spacing w:after="0"/>
              <w:rPr>
                <w:sz w:val="20"/>
                <w:szCs w:val="20"/>
                <w:color w:val="auto"/>
              </w:rPr>
            </w:pPr>
            <w:r>
              <w:rPr>
                <w:rFonts w:ascii="Arial" w:cs="Arial" w:eastAsia="Arial" w:hAnsi="Arial"/>
                <w:sz w:val="22"/>
                <w:szCs w:val="22"/>
                <w:color w:val="FEFEFE"/>
                <w:w w:val="98"/>
              </w:rPr>
              <w:t>THE BOARD OF DIRECTORS RECOMMENDS A VOTE “FOR” THE APPROVAL, ON AN</w:t>
            </w:r>
          </w:p>
        </w:tc>
        <w:tc>
          <w:tcPr>
            <w:tcW w:w="200" w:type="dxa"/>
            <w:vAlign w:val="bottom"/>
            <w:shd w:val="clear" w:color="auto" w:fill="000000"/>
          </w:tcPr>
          <w:p>
            <w:pPr>
              <w:ind w:left="120"/>
              <w:spacing w:after="0"/>
              <w:rPr>
                <w:sz w:val="20"/>
                <w:szCs w:val="20"/>
                <w:color w:val="auto"/>
              </w:rPr>
            </w:pPr>
            <w:r>
              <w:rPr>
                <w:rFonts w:ascii="Arial" w:cs="Arial" w:eastAsia="Arial" w:hAnsi="Arial"/>
                <w:sz w:val="22"/>
                <w:szCs w:val="22"/>
                <w:color w:val="FEFEFE"/>
              </w:rPr>
              <w:t>​</w:t>
            </w:r>
          </w:p>
        </w:tc>
        <w:tc>
          <w:tcPr>
            <w:tcW w:w="0" w:type="dxa"/>
            <w:vAlign w:val="bottom"/>
          </w:tcPr>
          <w:p>
            <w:pPr>
              <w:spacing w:after="0"/>
              <w:rPr>
                <w:sz w:val="1"/>
                <w:szCs w:val="1"/>
                <w:color w:val="auto"/>
              </w:rPr>
            </w:pPr>
          </w:p>
        </w:tc>
      </w:tr>
      <w:tr>
        <w:trPr>
          <w:trHeight w:val="68"/>
        </w:trPr>
        <w:tc>
          <w:tcPr>
            <w:tcW w:w="240" w:type="dxa"/>
            <w:vAlign w:val="bottom"/>
            <w:shd w:val="clear" w:color="auto" w:fill="000000"/>
          </w:tcPr>
          <w:p>
            <w:pPr>
              <w:spacing w:after="0"/>
              <w:rPr>
                <w:sz w:val="5"/>
                <w:szCs w:val="5"/>
                <w:color w:val="auto"/>
              </w:rPr>
            </w:pPr>
          </w:p>
        </w:tc>
        <w:tc>
          <w:tcPr>
            <w:tcW w:w="8940" w:type="dxa"/>
            <w:vAlign w:val="bottom"/>
            <w:vMerge w:val="continue"/>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40" w:type="dxa"/>
            <w:vAlign w:val="bottom"/>
            <w:shd w:val="clear" w:color="auto" w:fill="000000"/>
          </w:tcPr>
          <w:p>
            <w:pPr>
              <w:spacing w:after="0"/>
              <w:rPr>
                <w:sz w:val="21"/>
                <w:szCs w:val="21"/>
                <w:color w:val="auto"/>
              </w:rPr>
            </w:pPr>
          </w:p>
        </w:tc>
        <w:tc>
          <w:tcPr>
            <w:tcW w:w="8940" w:type="dxa"/>
            <w:vAlign w:val="bottom"/>
            <w:shd w:val="clear" w:color="auto" w:fill="000000"/>
          </w:tcPr>
          <w:p>
            <w:pPr>
              <w:jc w:val="center"/>
              <w:spacing w:after="0" w:line="243" w:lineRule="exact"/>
              <w:rPr>
                <w:sz w:val="20"/>
                <w:szCs w:val="20"/>
                <w:color w:val="auto"/>
              </w:rPr>
            </w:pPr>
            <w:r>
              <w:rPr>
                <w:rFonts w:ascii="Arial" w:cs="Arial" w:eastAsia="Arial" w:hAnsi="Arial"/>
                <w:sz w:val="22"/>
                <w:szCs w:val="22"/>
                <w:color w:val="FEFEFE"/>
                <w:w w:val="98"/>
              </w:rPr>
              <w:t>ADVISORY BASIS, OF THE COMPENSATION OF OUR NAMED EXECUTIVE OFFICERS</w:t>
            </w:r>
          </w:p>
        </w:tc>
        <w:tc>
          <w:tcPr>
            <w:tcW w:w="20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40" w:type="dxa"/>
            <w:vAlign w:val="bottom"/>
            <w:shd w:val="clear" w:color="auto" w:fill="000000"/>
          </w:tcPr>
          <w:p>
            <w:pPr>
              <w:spacing w:after="0"/>
              <w:rPr>
                <w:sz w:val="24"/>
                <w:szCs w:val="24"/>
                <w:color w:val="auto"/>
              </w:rPr>
            </w:pPr>
          </w:p>
        </w:tc>
        <w:tc>
          <w:tcPr>
            <w:tcW w:w="8940" w:type="dxa"/>
            <w:vAlign w:val="bottom"/>
            <w:shd w:val="clear" w:color="auto" w:fill="000000"/>
          </w:tcPr>
          <w:p>
            <w:pPr>
              <w:jc w:val="center"/>
              <w:spacing w:after="0"/>
              <w:rPr>
                <w:sz w:val="20"/>
                <w:szCs w:val="20"/>
                <w:color w:val="auto"/>
              </w:rPr>
            </w:pPr>
            <w:r>
              <w:rPr>
                <w:rFonts w:ascii="Arial" w:cs="Arial" w:eastAsia="Arial" w:hAnsi="Arial"/>
                <w:sz w:val="22"/>
                <w:szCs w:val="22"/>
                <w:color w:val="FEFEFE"/>
                <w:w w:val="98"/>
              </w:rPr>
              <w:t>(PROPOSAL NO. 3)</w:t>
            </w:r>
          </w:p>
        </w:tc>
        <w:tc>
          <w:tcPr>
            <w:tcW w:w="20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40" w:type="dxa"/>
            <w:vAlign w:val="bottom"/>
            <w:shd w:val="clear" w:color="auto" w:fill="000000"/>
          </w:tcPr>
          <w:p>
            <w:pPr>
              <w:spacing w:after="0"/>
              <w:rPr>
                <w:sz w:val="8"/>
                <w:szCs w:val="8"/>
                <w:color w:val="auto"/>
              </w:rPr>
            </w:pPr>
          </w:p>
        </w:tc>
        <w:tc>
          <w:tcPr>
            <w:tcW w:w="8940" w:type="dxa"/>
            <w:vAlign w:val="bottom"/>
            <w:shd w:val="clear" w:color="auto" w:fill="000000"/>
          </w:tcPr>
          <w:p>
            <w:pPr>
              <w:spacing w:after="0"/>
              <w:rPr>
                <w:sz w:val="8"/>
                <w:szCs w:val="8"/>
                <w:color w:val="auto"/>
              </w:rPr>
            </w:pPr>
          </w:p>
        </w:tc>
        <w:tc>
          <w:tcPr>
            <w:tcW w:w="2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​28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-80645</wp:posOffset>
            </wp:positionV>
            <wp:extent cx="6489065" cy="254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7"/>
          <w:szCs w:val="27"/>
          <w:b w:val="1"/>
          <w:bCs w:val="1"/>
          <w:color w:val="auto"/>
        </w:rPr>
        <w:t>Proposal No. 4:</w:t>
      </w:r>
      <w:r>
        <w:rPr>
          <w:rFonts w:ascii="Times New Roman" w:cs="Times New Roman" w:eastAsia="Times New Roman" w:hAnsi="Times New Roman"/>
          <w:sz w:val="35"/>
          <w:szCs w:val="35"/>
          <w:b w:val="1"/>
          <w:bCs w:val="1"/>
          <w:color w:val="auto"/>
        </w:rPr>
        <w:t>​</w:t>
      </w:r>
    </w:p>
    <w:p>
      <w:pPr>
        <w:spacing w:after="0" w:line="37" w:lineRule="exact"/>
        <w:rPr>
          <w:sz w:val="20"/>
          <w:szCs w:val="20"/>
          <w:color w:val="auto"/>
        </w:rPr>
      </w:pPr>
    </w:p>
    <w:p>
      <w:pPr>
        <w:ind w:left="660" w:right="1200"/>
        <w:spacing w:after="0" w:line="242" w:lineRule="auto"/>
        <w:rPr>
          <w:sz w:val="20"/>
          <w:szCs w:val="20"/>
          <w:color w:val="auto"/>
        </w:rPr>
      </w:pPr>
      <w:r>
        <w:rPr>
          <w:rFonts w:ascii="Times New Roman" w:cs="Times New Roman" w:eastAsia="Times New Roman" w:hAnsi="Times New Roman"/>
          <w:sz w:val="35"/>
          <w:szCs w:val="35"/>
          <w:b w:val="1"/>
          <w:bCs w:val="1"/>
          <w:color w:val="auto"/>
        </w:rPr>
        <w:t>Approval of the Amendment of the Lucid Group, Inc. Amended and Restated 2021 Stock Incentive Plan</w:t>
      </w:r>
    </w:p>
    <w:p>
      <w:pPr>
        <w:spacing w:after="0" w:line="305" w:lineRule="exact"/>
        <w:rPr>
          <w:sz w:val="20"/>
          <w:szCs w:val="20"/>
          <w:color w:val="auto"/>
        </w:rPr>
      </w:pPr>
    </w:p>
    <w:p>
      <w:pPr>
        <w:ind w:left="660" w:right="220"/>
        <w:spacing w:after="0" w:line="265" w:lineRule="auto"/>
        <w:rPr>
          <w:sz w:val="20"/>
          <w:szCs w:val="20"/>
          <w:color w:val="auto"/>
        </w:rPr>
      </w:pPr>
      <w:r>
        <w:rPr>
          <w:rFonts w:ascii="Arial" w:cs="Arial" w:eastAsia="Arial" w:hAnsi="Arial"/>
          <w:sz w:val="16"/>
          <w:szCs w:val="16"/>
          <w:color w:val="auto"/>
        </w:rPr>
        <w:t>We are asking our stockholders to approve the Lucid Group, Inc. Second Amended and Restated 2021 Stock Incentive Plan (the “Amended Plan”). The Amended Plan is an amendment and restatement of the Lucid Group, Inc. Amended and Restated 2021 Stock Incentive Plan (the “Plan”), which was approved by the Board on April 27, 2022, and approved by our stockholders on June 9, 2022. The Plan initially was approved by the Board on February 22, 2021, and approved by our stockholders on July 22, 2021 and became effective on July 23, 2021 (the “Effective Date”).</w:t>
      </w:r>
    </w:p>
    <w:p>
      <w:pPr>
        <w:spacing w:after="0" w:line="186" w:lineRule="exact"/>
        <w:rPr>
          <w:sz w:val="20"/>
          <w:szCs w:val="20"/>
          <w:color w:val="auto"/>
        </w:rPr>
      </w:pPr>
    </w:p>
    <w:p>
      <w:pPr>
        <w:ind w:left="660" w:right="80"/>
        <w:spacing w:after="0" w:line="271" w:lineRule="auto"/>
        <w:rPr>
          <w:sz w:val="20"/>
          <w:szCs w:val="20"/>
          <w:color w:val="auto"/>
        </w:rPr>
      </w:pPr>
      <w:r>
        <w:rPr>
          <w:rFonts w:ascii="Arial" w:cs="Arial" w:eastAsia="Arial" w:hAnsi="Arial"/>
          <w:sz w:val="16"/>
          <w:szCs w:val="16"/>
          <w:color w:val="auto"/>
        </w:rPr>
        <w:t>The Amended Plan would increase the maximum aggregate number of shares authorized for issuance pursuant to awards under the Plan by 39,166,575 shares. The proposed amendment is intended to enhance flexibility to continue to grant equity to our employees. Competitive equity awards are critical in allowing us to attract, retain, and motivate talented and qualified employees in the highly competitive markets in which we operate.</w:t>
      </w:r>
    </w:p>
    <w:p>
      <w:pPr>
        <w:spacing w:after="0" w:line="181" w:lineRule="exact"/>
        <w:rPr>
          <w:sz w:val="20"/>
          <w:szCs w:val="20"/>
          <w:color w:val="auto"/>
        </w:rPr>
      </w:pPr>
    </w:p>
    <w:p>
      <w:pPr>
        <w:ind w:left="660" w:right="80"/>
        <w:spacing w:after="0" w:line="275" w:lineRule="auto"/>
        <w:rPr>
          <w:sz w:val="20"/>
          <w:szCs w:val="20"/>
          <w:color w:val="auto"/>
        </w:rPr>
      </w:pPr>
      <w:r>
        <w:rPr>
          <w:rFonts w:ascii="Arial" w:cs="Arial" w:eastAsia="Arial" w:hAnsi="Arial"/>
          <w:sz w:val="16"/>
          <w:szCs w:val="16"/>
          <w:color w:val="auto"/>
        </w:rPr>
        <w:t>Further, the Amended Plan would generally prohibit (i) the repricing and buyout of underwater stock options and stock appreciation rights without prior stockholder approval, and (ii) grants of options and stock appreciation rights that provide for dividend equivalents.</w:t>
      </w:r>
    </w:p>
    <w:p>
      <w:pPr>
        <w:spacing w:after="0" w:line="178" w:lineRule="exact"/>
        <w:rPr>
          <w:sz w:val="20"/>
          <w:szCs w:val="20"/>
          <w:color w:val="auto"/>
        </w:rPr>
      </w:pPr>
    </w:p>
    <w:p>
      <w:pPr>
        <w:ind w:left="660" w:right="100"/>
        <w:spacing w:after="0" w:line="273" w:lineRule="auto"/>
        <w:rPr>
          <w:sz w:val="20"/>
          <w:szCs w:val="20"/>
          <w:color w:val="auto"/>
        </w:rPr>
      </w:pPr>
      <w:r>
        <w:rPr>
          <w:rFonts w:ascii="Arial" w:cs="Arial" w:eastAsia="Arial" w:hAnsi="Arial"/>
          <w:sz w:val="16"/>
          <w:szCs w:val="16"/>
          <w:color w:val="auto"/>
        </w:rPr>
        <w:t>The shares reserved for issuance through the Amended Plan (and the prior statements of the Plan) cover our annual equity program awards as well as shares purchased under our Employee Stock Purchase Plan, which is included as an addendum to the Amended Plan (and the prior statements of the Plan) (the “ESPP Addendum”). We do not have a separate number of shares authorized for issuances pursuant to a standalone Employee Stock Purchase Plan. On March 2, 2023, the Board approved the Amended Plan, subject to the approval of our stockholders. If this Proposal No. 4 is not approved by our stockholders, we will continue to operate the Plan pursuant to its current provisions until there are no longer shares remaining available for issuance under the Plan and the Board will need to consider alternative arrangements to delivering competitive long-term compensation, including cash-based awards, in the absence of equity award availability. If we are unable to grant equity awards, our ability to hire and retain necessary talent will be significantly limited and have a negative impact on our ability to grow and operate our business.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Reason for the Proposal</w:t>
      </w:r>
    </w:p>
    <w:p>
      <w:pPr>
        <w:spacing w:after="0" w:line="172" w:lineRule="exact"/>
        <w:rPr>
          <w:sz w:val="20"/>
          <w:szCs w:val="20"/>
          <w:color w:val="auto"/>
        </w:rPr>
      </w:pPr>
    </w:p>
    <w:p>
      <w:pPr>
        <w:ind w:left="660" w:right="40"/>
        <w:spacing w:after="0" w:line="279" w:lineRule="auto"/>
        <w:rPr>
          <w:sz w:val="20"/>
          <w:szCs w:val="20"/>
          <w:color w:val="auto"/>
        </w:rPr>
      </w:pPr>
      <w:r>
        <w:rPr>
          <w:rFonts w:ascii="Arial" w:cs="Arial" w:eastAsia="Arial" w:hAnsi="Arial"/>
          <w:sz w:val="16"/>
          <w:szCs w:val="16"/>
          <w:color w:val="auto"/>
        </w:rPr>
        <w:t>Our number of employees and other service providers has grown substantially since we became a public company and competition for highly skilled personnel is frequently intense, especially in the San Francisco Bay Area and in the metropolitan Phoenix area, where we have a substantial presence and need for highly skilled personnel. Our use of equity compensation and the alignment with stockholders it provides has helped us achieve the success, growth, and value creation experience by us and our stockholders. The Board believes that an increase in the shares available for issuance under the Plan will enable us to attract and retain the best available talent to grow our business, and to ensure a sufficient number of shares will be available moving forward.</w:t>
      </w:r>
    </w:p>
    <w:p>
      <w:pPr>
        <w:spacing w:after="0" w:line="373"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29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700"/>
        <w:spacing w:after="0" w:line="304" w:lineRule="auto"/>
        <w:rPr>
          <w:sz w:val="20"/>
          <w:szCs w:val="20"/>
          <w:color w:val="auto"/>
        </w:rPr>
      </w:pPr>
      <w:r>
        <w:rPr>
          <w:rFonts w:ascii="Arial" w:cs="Arial" w:eastAsia="Arial" w:hAnsi="Arial"/>
          <w:sz w:val="16"/>
          <w:szCs w:val="16"/>
          <w:color w:val="auto"/>
        </w:rPr>
        <w:t>Further, the Plan currently permits repricing and buyouts of underwater stock options and stock appreciation rights without stockholder approval. The Amended Plan would require prior stockholder approval for such actions.</w:t>
      </w:r>
    </w:p>
    <w:p>
      <w:pPr>
        <w:spacing w:after="0" w:line="155" w:lineRule="exact"/>
        <w:rPr>
          <w:sz w:val="20"/>
          <w:szCs w:val="20"/>
          <w:color w:val="auto"/>
        </w:rPr>
      </w:pPr>
    </w:p>
    <w:p>
      <w:pPr>
        <w:ind w:left="660" w:right="140"/>
        <w:spacing w:after="0" w:line="292" w:lineRule="auto"/>
        <w:rPr>
          <w:sz w:val="20"/>
          <w:szCs w:val="20"/>
          <w:color w:val="auto"/>
        </w:rPr>
      </w:pPr>
      <w:r>
        <w:rPr>
          <w:rFonts w:ascii="Arial" w:cs="Arial" w:eastAsia="Arial" w:hAnsi="Arial"/>
          <w:sz w:val="16"/>
          <w:szCs w:val="16"/>
          <w:color w:val="auto"/>
        </w:rPr>
        <w:t>As noted above, if this Proposal No. 4 is not approved by our stockholders, the Amended Plan will not become effective, and we will continue to operate the Plan pursuant to its current provisions until there are no shares remaining available for issuance under the Plan.</w:t>
      </w:r>
    </w:p>
    <w:p>
      <w:pPr>
        <w:spacing w:after="0" w:line="165" w:lineRule="exact"/>
        <w:rPr>
          <w:sz w:val="20"/>
          <w:szCs w:val="20"/>
          <w:color w:val="auto"/>
        </w:rPr>
      </w:pPr>
    </w:p>
    <w:p>
      <w:pPr>
        <w:jc w:val="both"/>
        <w:ind w:left="660" w:right="140"/>
        <w:spacing w:after="0" w:line="292" w:lineRule="auto"/>
        <w:rPr>
          <w:sz w:val="20"/>
          <w:szCs w:val="20"/>
          <w:color w:val="auto"/>
        </w:rPr>
      </w:pPr>
      <w:r>
        <w:rPr>
          <w:rFonts w:ascii="Arial" w:cs="Arial" w:eastAsia="Arial" w:hAnsi="Arial"/>
          <w:sz w:val="16"/>
          <w:szCs w:val="16"/>
          <w:color w:val="auto"/>
        </w:rPr>
        <w:t>The purpose of the Plan, including as restated in the Amended Plan, is to enhance our ability to attract, retain, incent, reward, and motivate persons who make (or are expected to make) important contributions to the Company by providing these individuals with equity ownership and other incentive opportunities. The Plan includes the ESPP Addendum.</w:t>
      </w:r>
    </w:p>
    <w:p>
      <w:pPr>
        <w:spacing w:after="0" w:line="165" w:lineRule="exact"/>
        <w:rPr>
          <w:sz w:val="20"/>
          <w:szCs w:val="20"/>
          <w:color w:val="auto"/>
        </w:rPr>
      </w:pPr>
    </w:p>
    <w:p>
      <w:pPr>
        <w:ind w:left="660" w:right="220"/>
        <w:spacing w:after="0" w:line="282" w:lineRule="auto"/>
        <w:rPr>
          <w:sz w:val="20"/>
          <w:szCs w:val="20"/>
          <w:color w:val="auto"/>
        </w:rPr>
      </w:pPr>
      <w:r>
        <w:rPr>
          <w:rFonts w:ascii="Arial" w:cs="Arial" w:eastAsia="Arial" w:hAnsi="Arial"/>
          <w:sz w:val="16"/>
          <w:szCs w:val="16"/>
          <w:color w:val="auto"/>
        </w:rPr>
        <w:t>As of February 15, 2023, the number of persons eligible to participate in the Plan was approximately 7,246 employees, 101 consultants or independent contractors, and eight non-employee directors. The basis for participation in the Amended Plan is the Compensation Committee’s decision, in its sole discretion, that an award to an eligible person will further the Amended Plan’s purposes, as described above. In exercising its discretion, the Compensation Committee will consider the recommendations of management and the purposes of the Amended Plan.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Description of the Material Features of the Amended Plan</w:t>
      </w:r>
    </w:p>
    <w:p>
      <w:pPr>
        <w:spacing w:after="0" w:line="185" w:lineRule="exact"/>
        <w:rPr>
          <w:sz w:val="20"/>
          <w:szCs w:val="20"/>
          <w:color w:val="auto"/>
        </w:rPr>
      </w:pPr>
    </w:p>
    <w:p>
      <w:pPr>
        <w:ind w:left="660" w:right="380"/>
        <w:spacing w:after="0" w:line="284" w:lineRule="auto"/>
        <w:rPr>
          <w:sz w:val="20"/>
          <w:szCs w:val="20"/>
          <w:color w:val="auto"/>
        </w:rPr>
      </w:pPr>
      <w:r>
        <w:rPr>
          <w:rFonts w:ascii="Arial" w:cs="Arial" w:eastAsia="Arial" w:hAnsi="Arial"/>
          <w:sz w:val="16"/>
          <w:szCs w:val="16"/>
          <w:color w:val="auto"/>
        </w:rPr>
        <w:t xml:space="preserve">The following is a summary of the Amended Plan and is qualified in its entirety by the full text of the Amended Plan, a copy of which is included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to this Proxy Statement. Except for the changes to the Plan as noted above (e.g., the increase in shares available under the Plan), the Amended Plan contains substantially the same terms as the Plan.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Size of Share Pool; Shares Available and Limitations on Awards</w:t>
      </w:r>
    </w:p>
    <w:p>
      <w:pPr>
        <w:spacing w:after="0" w:line="172" w:lineRule="exact"/>
        <w:rPr>
          <w:sz w:val="20"/>
          <w:szCs w:val="20"/>
          <w:color w:val="auto"/>
        </w:rPr>
      </w:pPr>
    </w:p>
    <w:p>
      <w:pPr>
        <w:ind w:left="660" w:right="180"/>
        <w:spacing w:after="0" w:line="292" w:lineRule="auto"/>
        <w:rPr>
          <w:sz w:val="20"/>
          <w:szCs w:val="20"/>
          <w:color w:val="auto"/>
        </w:rPr>
      </w:pPr>
      <w:r>
        <w:rPr>
          <w:rFonts w:ascii="Arial" w:cs="Arial" w:eastAsia="Arial" w:hAnsi="Arial"/>
          <w:sz w:val="16"/>
          <w:szCs w:val="16"/>
          <w:color w:val="auto"/>
        </w:rPr>
        <w:t>As of February 15, 2023, there were 24,582,833 shares remaining for issuance under the Plan. If our stockholders approve the Amended Plan, the number of shares available for issuance will be increased by 39,166,575 shares effective as of the date of the Annual Meeting (the “Second Restatement Date”).</w:t>
      </w:r>
    </w:p>
    <w:p>
      <w:pPr>
        <w:spacing w:after="0" w:line="179" w:lineRule="exact"/>
        <w:rPr>
          <w:sz w:val="20"/>
          <w:szCs w:val="20"/>
          <w:color w:val="auto"/>
        </w:rPr>
      </w:pPr>
    </w:p>
    <w:p>
      <w:pPr>
        <w:ind w:left="660" w:right="300"/>
        <w:spacing w:after="0" w:line="281" w:lineRule="auto"/>
        <w:rPr>
          <w:sz w:val="20"/>
          <w:szCs w:val="20"/>
          <w:color w:val="auto"/>
        </w:rPr>
      </w:pPr>
      <w:r>
        <w:rPr>
          <w:rFonts w:ascii="Arial" w:cs="Arial" w:eastAsia="Arial" w:hAnsi="Arial"/>
          <w:sz w:val="16"/>
          <w:szCs w:val="16"/>
          <w:color w:val="auto"/>
        </w:rPr>
        <w:t>More specifically, as of the Second Restatement Date (assuming our stockholders approve the Amended Plan), the maximum aggregate number of shares authorized for issuance as awards under the Amended Plan on or after the Effective Date shall not exceed the sum of  (i) 75,669,244 shares (consisting of  (w) 39,166,575 shares approved by the Board on March 2, 2023;</w:t>
      </w:r>
    </w:p>
    <w:p>
      <w:pPr>
        <w:spacing w:after="0" w:line="2" w:lineRule="exact"/>
        <w:rPr>
          <w:sz w:val="20"/>
          <w:szCs w:val="20"/>
          <w:color w:val="auto"/>
        </w:rPr>
      </w:pPr>
    </w:p>
    <w:p>
      <w:pPr>
        <w:ind w:left="660" w:right="40" w:hanging="6"/>
        <w:spacing w:after="0" w:line="281" w:lineRule="auto"/>
        <w:tabs>
          <w:tab w:leader="none" w:pos="894" w:val="left"/>
        </w:tabs>
        <w:numPr>
          <w:ilvl w:val="0"/>
          <w:numId w:val="19"/>
        </w:numPr>
        <w:rPr>
          <w:rFonts w:ascii="Arial" w:cs="Arial" w:eastAsia="Arial" w:hAnsi="Arial"/>
          <w:sz w:val="16"/>
          <w:szCs w:val="16"/>
          <w:color w:val="auto"/>
        </w:rPr>
      </w:pPr>
      <w:r>
        <w:rPr>
          <w:rFonts w:ascii="Arial" w:cs="Arial" w:eastAsia="Arial" w:hAnsi="Arial"/>
          <w:sz w:val="16"/>
          <w:szCs w:val="16"/>
          <w:color w:val="auto"/>
        </w:rPr>
        <w:t>15,000,000 shares approved by the Board on April 27, 2022 under the prior restatement of the Plan; (y) 12,500,000 shares initially authorized for issuance under Plan as of the Effective Date; and (z) an additional 9,002,669 shares initially authorized under the Plan as of the Effective Date which represents the number of shares equal to the number of unallocated shares of stock of Atieva, Inc. remaining available for issuance under the 2021 Stock Incentive Plan, as amended, the 2014 Share Plan of Atieva, Inc., as amended and the 2009 Share Plan of Atieva, Inc. as amended (collectively, the “Prior Plans”) as of the Effective Date), plus</w:t>
      </w:r>
    </w:p>
    <w:p>
      <w:pPr>
        <w:spacing w:after="0" w:line="2" w:lineRule="exact"/>
        <w:rPr>
          <w:rFonts w:ascii="Arial" w:cs="Arial" w:eastAsia="Arial" w:hAnsi="Arial"/>
          <w:sz w:val="16"/>
          <w:szCs w:val="16"/>
          <w:color w:val="auto"/>
        </w:rPr>
      </w:pPr>
    </w:p>
    <w:p>
      <w:pPr>
        <w:ind w:left="660" w:right="100" w:hanging="6"/>
        <w:spacing w:after="0" w:line="288" w:lineRule="auto"/>
        <w:tabs>
          <w:tab w:leader="none" w:pos="88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shares subject to stock awards granted under the Prior Plans outstanding as of the Effective Date that (x) expire or terminate for any reason prior to exercise or settlement; (y) are forfeited, cancelled or otherwise returned to Lucid because of the failure to meet a contingency or condition required to vest such shares; or (z) are reacquired or withheld (or not issued) to satisfy a tax withholding obligation in connection with an award or to satisfy the purchase price or exercise price of a stock award. The number of shares available for issuance under the Plan as of February 15, 2023, as reflected in the preceding paragraph is inclusive of shares referenced in item (ii) immediately above (i.e., shares subject to stock awards granted under Prior Plans that became available for issuance under the Plan from the Effective Date to February 15, 2023).</w:t>
      </w:r>
    </w:p>
    <w:p>
      <w:pPr>
        <w:spacing w:after="0" w:line="183" w:lineRule="exact"/>
        <w:rPr>
          <w:sz w:val="20"/>
          <w:szCs w:val="20"/>
          <w:color w:val="auto"/>
        </w:rPr>
      </w:pPr>
    </w:p>
    <w:p>
      <w:pPr>
        <w:ind w:left="660" w:right="120"/>
        <w:spacing w:after="0" w:line="285" w:lineRule="auto"/>
        <w:rPr>
          <w:sz w:val="20"/>
          <w:szCs w:val="20"/>
          <w:color w:val="auto"/>
        </w:rPr>
      </w:pPr>
      <w:r>
        <w:rPr>
          <w:rFonts w:ascii="Arial" w:cs="Arial" w:eastAsia="Arial" w:hAnsi="Arial"/>
          <w:sz w:val="16"/>
          <w:szCs w:val="16"/>
          <w:color w:val="auto"/>
        </w:rPr>
        <w:t>In addition, (i) if restricted shares or shares issued upon the exercise of options are forfeited then such shares shall again become available for awards under the Amended Plan; (ii) if restricted stock units, options, SARs (as defined below) or stock purchase rights are forfeited or terminate for any reason before being exercised or settled, or an award is settled in cash without the delivery of shares to the holder, then the corresponding shares shall again become available for awards under the Amended Plan; (iii) if restricted stock units or SARs are settled, then only the number of shares (if any) actually issued in settlement of such restricted stock units or SARs shall reduce the number of shares available under the Amended Plan and the balance (including any shares withheld to satisfy tax withholding obligations) shall again become available for awards under the Amended Plan; and (iv) any shares withheld to satisfy the exercise price or tax withholding obligation pursuant to any award of options or SARs shall be added back to the shares available for awards under the Amended Plan. The number of shares authorized for grant under the Amended Plan is subject to adjustment (as described below). Notwithstanding the foregoing, of the maximum aggregate shares issuable under the Amended Plan, up to 75,669,244 shares may be issued in the form of ISOs (as defined below), or under the ESPP Addendum.</w:t>
      </w:r>
    </w:p>
    <w:p>
      <w:pPr>
        <w:sectPr>
          <w:pgSz w:w="11900" w:h="16838" w:orient="portrait"/>
          <w:cols w:equalWidth="0" w:num="1">
            <w:col w:w="10080"/>
          </w:cols>
          <w:pgMar w:left="580" w:top="97" w:right="1239" w:bottom="1440" w:gutter="0" w:footer="0" w:header="0"/>
        </w:sectPr>
      </w:pPr>
    </w:p>
    <w:p>
      <w:pPr>
        <w:spacing w:after="0" w:line="371"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​30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160"/>
        <w:spacing w:after="0" w:line="295" w:lineRule="auto"/>
        <w:rPr>
          <w:sz w:val="20"/>
          <w:szCs w:val="20"/>
          <w:color w:val="auto"/>
        </w:rPr>
      </w:pPr>
      <w:r>
        <w:rPr>
          <w:rFonts w:ascii="Arial" w:cs="Arial" w:eastAsia="Arial" w:hAnsi="Arial"/>
          <w:sz w:val="16"/>
          <w:szCs w:val="16"/>
          <w:color w:val="auto"/>
        </w:rPr>
        <w:t>The maximum number of shares subject to awards granted under the Amended Plan during any calendar year to any outside director (defined as a member of the Board who is not an employee or consultant of Lucid), plus any cash fees paid to the outside director in a calendar year for service on the Board, will not exceed $1 million in total value for the first year of service and $750,000 in total value per year thereafter.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Administration of the Amended Plan</w:t>
      </w:r>
    </w:p>
    <w:p>
      <w:pPr>
        <w:spacing w:after="0" w:line="185"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The Amended Plan will be administered by the Compensation Committee or other committee (of two or more of our directors) appointed by the Board, or by the Board acting as the committee. The Compensation Committee generally has the authority, among other things, to interpret the Amended Plan, adopt rules relating to the Amended Plan, adopt, amend or terminate the ESPP Addendum or any sub-plan, determine participants and awards to be granted under the Amended Plan, prescribe the terms and conditions of awards, administer the ESPP Addendum, or take any other actions necessary or advisable for the administration of the Amended Plan.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Types of Awards</w:t>
      </w:r>
    </w:p>
    <w:p>
      <w:pPr>
        <w:spacing w:after="0" w:line="185"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The following types of awards may be made under the Amended Plan. All of the awards described below are subject to the conditions, limitations, restrictions, exercise price, vesting and forfeiture provisions determined by the Compensation Committee, in its sole discretion, subject to such limitations as are provided in the Amended Plan. In addition, subject to the limitations provided in the Amended Plan and in accordance with applicable law, the Compensation Committee may accelerate or defer the vesting or payment of awards, cancel or modify outstanding awards, and waive any conditions or restrictions imposed with respect to awards.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Restricted Shares</w:t>
      </w:r>
    </w:p>
    <w:p>
      <w:pPr>
        <w:spacing w:after="0" w:line="197"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A restricted share award is an award of outstanding shares that does not vest until after a specified period of time, or satisfaction of other vesting conditions as determined by the Compensation Committee, and which may be forfeited if conditions to vesting are not met. At the Compensation Committee’s discretion, participants may be credited with dividends and other distributions that will be paid to the holder only when unvested restricted shares vest. Participants are also generally entitled to the same voting rights as our other stockholders.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Non-qualified Stock Options</w:t>
      </w:r>
    </w:p>
    <w:p>
      <w:pPr>
        <w:spacing w:after="0" w:line="183" w:lineRule="exact"/>
        <w:rPr>
          <w:sz w:val="20"/>
          <w:szCs w:val="20"/>
          <w:color w:val="auto"/>
        </w:rPr>
      </w:pPr>
    </w:p>
    <w:p>
      <w:pPr>
        <w:jc w:val="both"/>
        <w:ind w:left="660" w:right="280"/>
        <w:spacing w:after="0" w:line="301" w:lineRule="auto"/>
        <w:rPr>
          <w:sz w:val="20"/>
          <w:szCs w:val="20"/>
          <w:color w:val="auto"/>
        </w:rPr>
      </w:pPr>
      <w:r>
        <w:rPr>
          <w:rFonts w:ascii="Arial" w:cs="Arial" w:eastAsia="Arial" w:hAnsi="Arial"/>
          <w:sz w:val="16"/>
          <w:szCs w:val="16"/>
          <w:color w:val="auto"/>
        </w:rPr>
        <w:t>An award of a non-qualified stock option grants a participant the right to purchase a certain number of shares during a specified term in the future, after a vesting period, at an exercise price equal to at least 100% of the fair market value of our shares on the grant date.</w:t>
      </w:r>
    </w:p>
    <w:p>
      <w:pPr>
        <w:spacing w:after="0" w:line="172" w:lineRule="exact"/>
        <w:rPr>
          <w:sz w:val="20"/>
          <w:szCs w:val="20"/>
          <w:color w:val="auto"/>
        </w:rPr>
      </w:pPr>
    </w:p>
    <w:p>
      <w:pPr>
        <w:ind w:left="660" w:right="260"/>
        <w:spacing w:after="0" w:line="289" w:lineRule="auto"/>
        <w:rPr>
          <w:sz w:val="20"/>
          <w:szCs w:val="20"/>
          <w:color w:val="auto"/>
        </w:rPr>
      </w:pPr>
      <w:r>
        <w:rPr>
          <w:rFonts w:ascii="Arial" w:cs="Arial" w:eastAsia="Arial" w:hAnsi="Arial"/>
          <w:sz w:val="16"/>
          <w:szCs w:val="16"/>
          <w:color w:val="auto"/>
        </w:rPr>
        <w:t>The term of a non-qualified stock option may not exceed ten years from the date of grant. Subject to the section entitled “No Repricing” below, Lucid may (i) modify, extend, or renew outstanding stock options or accept the cancellation of options in return for the grant of new options or a different award or cash or (ii) offer to buy out for a payment in cash or cash equivalents a non-qualified stock option previously granted. Options may be awarded in combination with SARs, and the award may provide that options will not be exercisable unless the related SARs are forfeited. An award of nonqualified stock options generally may not include dividend equivalents.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Incentive Stock Options</w:t>
      </w:r>
    </w:p>
    <w:p>
      <w:pPr>
        <w:spacing w:after="0" w:line="183"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An incentive stock option (“ISO”) is a stock option that meets the requirements of Section 422 of the Internal Revenue Code of 1986, as amended (the “Code”), which include an exercise price of no less than 100% of fair market value on the grant date, a term of no more than ten years, and that the option be granted from a plan that has been approved by stockholders of Lucid. Notwithstanding the foregoing, if granted to a participant who owns shares representing more than 10% of the voting power of all classes of shares of Lucid, its parent or one of its subsidiaries, an ISO must have a term of not more than five years. An award of ISOs generally may not include dividend equivalents.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Unrestricted Shares</w:t>
      </w:r>
    </w:p>
    <w:p>
      <w:pPr>
        <w:spacing w:after="0" w:line="197" w:lineRule="exact"/>
        <w:rPr>
          <w:sz w:val="20"/>
          <w:szCs w:val="20"/>
          <w:color w:val="auto"/>
        </w:rPr>
      </w:pPr>
    </w:p>
    <w:p>
      <w:pPr>
        <w:ind w:left="660" w:right="160"/>
        <w:spacing w:after="0" w:line="321" w:lineRule="auto"/>
        <w:rPr>
          <w:sz w:val="20"/>
          <w:szCs w:val="20"/>
          <w:color w:val="auto"/>
        </w:rPr>
      </w:pPr>
      <w:r>
        <w:rPr>
          <w:rFonts w:ascii="Arial" w:cs="Arial" w:eastAsia="Arial" w:hAnsi="Arial"/>
          <w:sz w:val="16"/>
          <w:szCs w:val="16"/>
          <w:color w:val="auto"/>
        </w:rPr>
        <w:t>Subject to limits in the Amended Plan, the Compensation Committee may issue unrestricted shares, in such amounts and subject to such terms and conditions as the Compensation Committee determines.</w:t>
      </w:r>
    </w:p>
    <w:p>
      <w:pPr>
        <w:spacing w:after="0" w:line="34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31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Stock Appreciation Rights</w:t>
      </w:r>
    </w:p>
    <w:p>
      <w:pPr>
        <w:spacing w:after="0" w:line="183" w:lineRule="exact"/>
        <w:rPr>
          <w:sz w:val="20"/>
          <w:szCs w:val="20"/>
          <w:color w:val="auto"/>
        </w:rPr>
      </w:pPr>
    </w:p>
    <w:p>
      <w:pPr>
        <w:ind w:left="660" w:right="160"/>
        <w:spacing w:after="0" w:line="295" w:lineRule="auto"/>
        <w:rPr>
          <w:sz w:val="20"/>
          <w:szCs w:val="20"/>
          <w:color w:val="auto"/>
        </w:rPr>
      </w:pPr>
      <w:r>
        <w:rPr>
          <w:rFonts w:ascii="Arial" w:cs="Arial" w:eastAsia="Arial" w:hAnsi="Arial"/>
          <w:sz w:val="16"/>
          <w:szCs w:val="16"/>
          <w:color w:val="auto"/>
        </w:rPr>
        <w:t>A stock appreciation right (“SAR”) entitles the participant to receive an amount equal to the difference between the fair market value of Lucid shares on the exercise date and the exercise price of the SAR (which may not be less than 100% of the fair market value of a share on the grant date (except with respect to substitute awards)), multiplied by the number of shares subject to the SAR. An award of SARs generally may not include dividend equivalents.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197" w:lineRule="exact"/>
        <w:rPr>
          <w:sz w:val="20"/>
          <w:szCs w:val="20"/>
          <w:color w:val="auto"/>
        </w:rPr>
      </w:pPr>
    </w:p>
    <w:p>
      <w:pPr>
        <w:ind w:left="660" w:right="80"/>
        <w:spacing w:after="0" w:line="301" w:lineRule="auto"/>
        <w:rPr>
          <w:sz w:val="20"/>
          <w:szCs w:val="20"/>
          <w:color w:val="auto"/>
        </w:rPr>
      </w:pPr>
      <w:r>
        <w:rPr>
          <w:rFonts w:ascii="Arial" w:cs="Arial" w:eastAsia="Arial" w:hAnsi="Arial"/>
          <w:sz w:val="16"/>
          <w:szCs w:val="16"/>
          <w:color w:val="auto"/>
        </w:rPr>
        <w:t>A restricted stock unit is an award denominated in shares that may be settled either in shares or cash, or a combination of both, subject to terms and conditions determined by the Compensation Committee. An award of restricted stock units may carry the right to dividend equivalents, in the Compensation Committee’s discretion.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Cash Awards</w:t>
      </w:r>
    </w:p>
    <w:p>
      <w:pPr>
        <w:spacing w:after="0" w:line="183" w:lineRule="exact"/>
        <w:rPr>
          <w:sz w:val="20"/>
          <w:szCs w:val="20"/>
          <w:color w:val="auto"/>
        </w:rPr>
      </w:pPr>
    </w:p>
    <w:p>
      <w:pPr>
        <w:ind w:left="660" w:right="320"/>
        <w:spacing w:after="0" w:line="321" w:lineRule="auto"/>
        <w:rPr>
          <w:sz w:val="20"/>
          <w:szCs w:val="20"/>
          <w:color w:val="auto"/>
        </w:rPr>
      </w:pPr>
      <w:r>
        <w:rPr>
          <w:rFonts w:ascii="Arial" w:cs="Arial" w:eastAsia="Arial" w:hAnsi="Arial"/>
          <w:sz w:val="16"/>
          <w:szCs w:val="16"/>
          <w:color w:val="auto"/>
        </w:rPr>
        <w:t>The Compensation Committee may grant cash-based awards to any participant in such number or amount, and subject to such conditions, that the Compensation Committee may determine.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4"/>
          <w:szCs w:val="14"/>
          <w:b w:val="1"/>
          <w:bCs w:val="1"/>
          <w:i w:val="1"/>
          <w:iCs w:val="1"/>
          <w:color w:val="auto"/>
        </w:rPr>
        <w:t>Stock Purchase Rights under the ESPP Addendum</w:t>
      </w:r>
    </w:p>
    <w:p>
      <w:pPr>
        <w:spacing w:after="0" w:line="183" w:lineRule="exact"/>
        <w:rPr>
          <w:sz w:val="20"/>
          <w:szCs w:val="20"/>
          <w:color w:val="auto"/>
        </w:rPr>
      </w:pPr>
    </w:p>
    <w:p>
      <w:pPr>
        <w:ind w:left="660" w:right="60"/>
        <w:spacing w:after="0" w:line="287" w:lineRule="auto"/>
        <w:rPr>
          <w:sz w:val="20"/>
          <w:szCs w:val="20"/>
          <w:color w:val="auto"/>
        </w:rPr>
      </w:pPr>
      <w:r>
        <w:rPr>
          <w:rFonts w:ascii="Arial" w:cs="Arial" w:eastAsia="Arial" w:hAnsi="Arial"/>
          <w:sz w:val="16"/>
          <w:szCs w:val="16"/>
          <w:color w:val="auto"/>
        </w:rPr>
        <w:t>The purpose of the ESPP Addendum is to provide a broad-based employee benefit to attract the services of new employees, to retain the services of existing employees and to provide incentives for such individuals to exert maximum efforts toward our success by purchasing stock from Lucid on favorable terms, paid for through payroll deductions. The ESPP Addendum is intended to qualify under Section 423 of the Code. The Compensation Committee may grant stock purchase rights under the ESPP Addendum to any participant who is an employee. The Compensation Committee may establish sub-plans (which need not qualify under Section 423 of the Code) to facilitate participation in the ESPP Addendum by non-U.S. employees in compliance with foreign laws. The maximum aggregate number of shares for purchase during any calendar year is 2,500,000 shares, or any other such annual limit as may be approved by the Compensation Committee.</w:t>
      </w:r>
    </w:p>
    <w:p>
      <w:pPr>
        <w:spacing w:after="0" w:line="184"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While the ESPP Addendum is in effect, the Compensation Committee may grant options to purchase shares of stock during a specified offering period in compliance with the requirements of Section 423 of the Code. Termination of employment for any reason will be treated as an automatic withdrawal from the ESPP Addendum. The purchase price for each share purchased during an offering period will be the lesser of 85% of the fair market value of the share on the purchase date or 85% of the fair market value of the share on the offering date. No participant may be granted a right to purchase stock under the ESPP Addendum if such a purchase would result in the participant owning 5% or more of the combined voting power or value of all classes of stock of Lucid or any parent or subsidiary of Lucid. No participant shall accrue the right to purchase stock which exceeds $25,000 of fair market value of such stock per calendar year. In the event of a corporate reorganization (defined as (i) the consummation of a merger, consolidation or any other corporate reorganization of Lucid or (ii) the sale, transfer or other disposition of all or substantially all of Lucid’s assets or the complete liquidation or dissolution of Lucid) in which the ESPP Addendum is not assumed by the surviving corporation, the offering period in progress will terminate and either 1) shares will be purchased in accordance with the terms of the ESPP Addendum or 2) all amounts in all participant accounts will be refunded without any purchase of shares.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Performance Criteria</w:t>
      </w:r>
    </w:p>
    <w:p>
      <w:pPr>
        <w:spacing w:after="0" w:line="199" w:lineRule="exact"/>
        <w:rPr>
          <w:sz w:val="20"/>
          <w:szCs w:val="20"/>
          <w:color w:val="auto"/>
        </w:rPr>
      </w:pPr>
    </w:p>
    <w:p>
      <w:pPr>
        <w:ind w:left="660" w:right="340"/>
        <w:spacing w:after="0" w:line="321" w:lineRule="auto"/>
        <w:rPr>
          <w:sz w:val="20"/>
          <w:szCs w:val="20"/>
          <w:color w:val="auto"/>
        </w:rPr>
      </w:pPr>
      <w:r>
        <w:rPr>
          <w:rFonts w:ascii="Arial" w:cs="Arial" w:eastAsia="Arial" w:hAnsi="Arial"/>
          <w:sz w:val="16"/>
          <w:szCs w:val="16"/>
          <w:color w:val="auto"/>
        </w:rPr>
        <w:t>Awards granted under the Amended Plan may be subject to specified performance criteria. The Compensation Committee may utilize any performance criteria selected by it in its sole discretion to establish performance goals.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Deferrals</w:t>
      </w:r>
    </w:p>
    <w:p>
      <w:pPr>
        <w:spacing w:after="0" w:line="185" w:lineRule="exact"/>
        <w:rPr>
          <w:sz w:val="20"/>
          <w:szCs w:val="20"/>
          <w:color w:val="auto"/>
        </w:rPr>
      </w:pPr>
    </w:p>
    <w:p>
      <w:pPr>
        <w:ind w:left="660" w:right="340"/>
        <w:spacing w:after="0" w:line="321" w:lineRule="auto"/>
        <w:rPr>
          <w:sz w:val="20"/>
          <w:szCs w:val="20"/>
          <w:color w:val="auto"/>
        </w:rPr>
      </w:pPr>
      <w:r>
        <w:rPr>
          <w:rFonts w:ascii="Arial" w:cs="Arial" w:eastAsia="Arial" w:hAnsi="Arial"/>
          <w:sz w:val="16"/>
          <w:szCs w:val="16"/>
          <w:color w:val="auto"/>
        </w:rPr>
        <w:t>Subject to compliance with Section 409A of the Code, the Compensation Committee in its sole discretion may permit or require participants to defer certain amounts or shares paid or issued in respect of awards.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Adjustments</w:t>
      </w:r>
    </w:p>
    <w:p>
      <w:pPr>
        <w:spacing w:after="0" w:line="185" w:lineRule="exact"/>
        <w:rPr>
          <w:sz w:val="20"/>
          <w:szCs w:val="20"/>
          <w:color w:val="auto"/>
        </w:rPr>
      </w:pPr>
    </w:p>
    <w:p>
      <w:pPr>
        <w:ind w:left="660" w:right="300"/>
        <w:spacing w:after="0" w:line="295" w:lineRule="auto"/>
        <w:rPr>
          <w:sz w:val="20"/>
          <w:szCs w:val="20"/>
          <w:color w:val="auto"/>
        </w:rPr>
      </w:pPr>
      <w:r>
        <w:rPr>
          <w:rFonts w:ascii="Arial" w:cs="Arial" w:eastAsia="Arial" w:hAnsi="Arial"/>
          <w:sz w:val="16"/>
          <w:szCs w:val="16"/>
          <w:color w:val="auto"/>
        </w:rPr>
        <w:t>In the event of a subdivision of the outstanding Common Stock, a declaration of a dividend payable in shares, a declaration of a dividend payable in a form other than shares in an amount that has a material effect on the price of shares, a combination or consolidation of the outstanding Common Stock into a lesser number of shares, a recapitalization, a spin-off or a similar occurrence, the Compensation Committee may make appropriate and equitable adjustments in: (i) the class(es) and number of</w:t>
      </w:r>
    </w:p>
    <w:p>
      <w:pPr>
        <w:sectPr>
          <w:pgSz w:w="11900" w:h="16838" w:orient="portrait"/>
          <w:cols w:equalWidth="0" w:num="1">
            <w:col w:w="10080"/>
          </w:cols>
          <w:pgMar w:left="580" w:top="97" w:right="1239" w:bottom="1440" w:gutter="0" w:footer="0" w:header="0"/>
        </w:sectPr>
      </w:pPr>
    </w:p>
    <w:p>
      <w:pPr>
        <w:spacing w:after="0" w:line="361"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​32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560"/>
        <w:spacing w:after="0" w:line="284" w:lineRule="auto"/>
        <w:rPr>
          <w:sz w:val="20"/>
          <w:szCs w:val="20"/>
          <w:color w:val="auto"/>
        </w:rPr>
      </w:pPr>
      <w:r>
        <w:rPr>
          <w:rFonts w:ascii="Arial" w:cs="Arial" w:eastAsia="Arial" w:hAnsi="Arial"/>
          <w:sz w:val="16"/>
          <w:szCs w:val="16"/>
          <w:color w:val="auto"/>
        </w:rPr>
        <w:t>securities available for future awards; (ii) the class(es) and number of securities covered by each outstanding award; (iii) the exercise price under each outstanding option and SAR; and (iv) options to purchase shares granted pursuant to the ESPP Addendum.</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Change in Control</w:t>
      </w:r>
    </w:p>
    <w:p>
      <w:pPr>
        <w:spacing w:after="0" w:line="172" w:lineRule="exact"/>
        <w:rPr>
          <w:sz w:val="20"/>
          <w:szCs w:val="20"/>
          <w:color w:val="auto"/>
        </w:rPr>
      </w:pPr>
    </w:p>
    <w:p>
      <w:pPr>
        <w:ind w:left="660" w:right="100"/>
        <w:spacing w:after="0" w:line="274" w:lineRule="auto"/>
        <w:rPr>
          <w:sz w:val="20"/>
          <w:szCs w:val="20"/>
          <w:color w:val="auto"/>
        </w:rPr>
      </w:pPr>
      <w:r>
        <w:rPr>
          <w:rFonts w:ascii="Arial" w:cs="Arial" w:eastAsia="Arial" w:hAnsi="Arial"/>
          <w:sz w:val="16"/>
          <w:szCs w:val="16"/>
          <w:color w:val="auto"/>
        </w:rPr>
        <w:t>In the event of a Change in Control (defined as (i) a change in the composition of the Board in which fewer than one half of the incumbent directors are the original directors or were elected with at least a majority of the original directors; (ii) any person who, by acquisition or aggregation of securities, is or becomes the beneficial owner of securities of Lucid representing 50% or more of the voting power of Lucid’s outstanding securities; (iii) the consummation of a merger or consolidation where 50% or more of the voting power is owned by persons who were not stockholders of Lucid prior to the merger or consolidation; or (iv) the sale, transfer or other disposition of all or substantially all of Lucid’s assets), if the surviving corporation does not continue, assume or settle (subject to vesting) outstanding awards (other than stock purchase rights under the ESPP Addendum), or substitute similar stock awards for outstanding awards (other than stock purchase rights under the ESPP Addendum), then the Compensation Committee may accelerate the vesting or deem any performance-based vesting to be satisfied at the target level or based on actual performance (or the greater thereof). The Compensation Committee may also determine at the time of granting of an award or thereafter that an award will vest and/or become exercisable in connection with a Change in Control. The Compensation Committee may treat awards differently.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No Repricing</w:t>
      </w:r>
    </w:p>
    <w:p>
      <w:pPr>
        <w:spacing w:after="0" w:line="172" w:lineRule="exact"/>
        <w:rPr>
          <w:sz w:val="20"/>
          <w:szCs w:val="20"/>
          <w:color w:val="auto"/>
        </w:rPr>
      </w:pPr>
    </w:p>
    <w:p>
      <w:pPr>
        <w:ind w:left="660" w:right="400"/>
        <w:spacing w:after="0" w:line="304" w:lineRule="auto"/>
        <w:rPr>
          <w:sz w:val="20"/>
          <w:szCs w:val="20"/>
          <w:color w:val="auto"/>
        </w:rPr>
      </w:pPr>
      <w:r>
        <w:rPr>
          <w:rFonts w:ascii="Arial" w:cs="Arial" w:eastAsia="Arial" w:hAnsi="Arial"/>
          <w:sz w:val="16"/>
          <w:szCs w:val="16"/>
          <w:color w:val="auto"/>
        </w:rPr>
        <w:t>Except in connection with corporate transactions, the Committee may not, without stockholder approval, effect any repricing or buyout of any “underwater” stock option, SAR or similar award</w:t>
      </w:r>
      <w:r>
        <w:rPr>
          <w:rFonts w:ascii="Arial" w:cs="Arial" w:eastAsia="Arial" w:hAnsi="Arial"/>
          <w:sz w:val="16"/>
          <w:szCs w:val="16"/>
          <w:i w:val="1"/>
          <w:iCs w:val="1"/>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Assignability</w:t>
      </w:r>
    </w:p>
    <w:p>
      <w:pPr>
        <w:spacing w:after="0" w:line="172" w:lineRule="exact"/>
        <w:rPr>
          <w:sz w:val="20"/>
          <w:szCs w:val="20"/>
          <w:color w:val="auto"/>
        </w:rPr>
      </w:pPr>
    </w:p>
    <w:p>
      <w:pPr>
        <w:ind w:left="660" w:right="340"/>
        <w:spacing w:after="0" w:line="321" w:lineRule="auto"/>
        <w:rPr>
          <w:sz w:val="20"/>
          <w:szCs w:val="20"/>
          <w:color w:val="auto"/>
        </w:rPr>
      </w:pPr>
      <w:r>
        <w:rPr>
          <w:rFonts w:ascii="Arial" w:cs="Arial" w:eastAsia="Arial" w:hAnsi="Arial"/>
          <w:sz w:val="16"/>
          <w:szCs w:val="16"/>
          <w:color w:val="auto"/>
        </w:rPr>
        <w:t>Unless an award agreement provides otherwise, no award granted under the Amended Plan may be sold, assigned, conveyed, gifted, pledged, hypothecated or otherwise transferred in any manner other than by will or the laws of descent and distribution.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Amendment and Termination</w:t>
      </w:r>
    </w:p>
    <w:p>
      <w:pPr>
        <w:spacing w:after="0" w:line="185" w:lineRule="exact"/>
        <w:rPr>
          <w:sz w:val="20"/>
          <w:szCs w:val="20"/>
          <w:color w:val="auto"/>
        </w:rPr>
      </w:pPr>
    </w:p>
    <w:p>
      <w:pPr>
        <w:ind w:left="660" w:right="180"/>
        <w:spacing w:after="0" w:line="284" w:lineRule="auto"/>
        <w:rPr>
          <w:sz w:val="20"/>
          <w:szCs w:val="20"/>
          <w:color w:val="auto"/>
        </w:rPr>
      </w:pPr>
      <w:r>
        <w:rPr>
          <w:rFonts w:ascii="Arial" w:cs="Arial" w:eastAsia="Arial" w:hAnsi="Arial"/>
          <w:sz w:val="16"/>
          <w:szCs w:val="16"/>
          <w:color w:val="auto"/>
        </w:rPr>
        <w:t>The Board may amend, suspend or terminate the Amended Plan or the ESPP Addendum at any time, provided that amendments to any outstanding award agreements are subject to applicable legal restrictions and the consent of the participant if the participant’s right or obligations would be materially impaired.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U.S. Federal Income Tax Consequences</w:t>
      </w:r>
    </w:p>
    <w:p>
      <w:pPr>
        <w:spacing w:after="0" w:line="172" w:lineRule="exact"/>
        <w:rPr>
          <w:sz w:val="20"/>
          <w:szCs w:val="20"/>
          <w:color w:val="auto"/>
        </w:rPr>
      </w:pPr>
    </w:p>
    <w:p>
      <w:pPr>
        <w:ind w:left="660" w:right="160"/>
        <w:spacing w:after="0" w:line="276" w:lineRule="auto"/>
        <w:rPr>
          <w:sz w:val="20"/>
          <w:szCs w:val="20"/>
          <w:color w:val="auto"/>
        </w:rPr>
      </w:pPr>
      <w:r>
        <w:rPr>
          <w:rFonts w:ascii="Arial" w:cs="Arial" w:eastAsia="Arial" w:hAnsi="Arial"/>
          <w:sz w:val="16"/>
          <w:szCs w:val="16"/>
          <w:color w:val="auto"/>
        </w:rPr>
        <w:t>The following is a general summary under current law of certain United States federal income tax consequences to the Company and participants who are citizens or individual residents of the United States relating to awards granted under the Amended Plan. This summary deals with the general tax principles that apply to such awards and is provided only for general information. Certain kinds of taxes, such as foreign taxes, state and local income taxes, payroll taxes and the alternative minimum tax, are not discussed. This summary is not tax advice and it does not discuss all aspects of federal taxation that may be relevant to the Company and participants. Accordingly, the Company urges each participant to consult their own tax advisor as to the specific tax consequences of participation in the Amended Plan under federal, state, local and other applicable laws.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Non-Qualified Stock Options</w:t>
      </w:r>
    </w:p>
    <w:p>
      <w:pPr>
        <w:spacing w:after="0" w:line="172" w:lineRule="exact"/>
        <w:rPr>
          <w:sz w:val="20"/>
          <w:szCs w:val="20"/>
          <w:color w:val="auto"/>
        </w:rPr>
      </w:pPr>
    </w:p>
    <w:p>
      <w:pPr>
        <w:ind w:left="660" w:right="40"/>
        <w:spacing w:after="0" w:line="275" w:lineRule="auto"/>
        <w:rPr>
          <w:sz w:val="20"/>
          <w:szCs w:val="20"/>
          <w:color w:val="auto"/>
        </w:rPr>
      </w:pPr>
      <w:r>
        <w:rPr>
          <w:rFonts w:ascii="Arial" w:cs="Arial" w:eastAsia="Arial" w:hAnsi="Arial"/>
          <w:sz w:val="16"/>
          <w:szCs w:val="16"/>
          <w:color w:val="auto"/>
        </w:rPr>
        <w:t>A non-qualified stock option is an option that does not meet the requirements of Section 422 of the Code. A participant generally will not recognize taxable income when granted a non-qualified stock option. When the participant exercises the stock option, he or she generally will recognize taxable ordinary income equal to the excess of the fair market value of the shares received on the exercise date over the aggregate exercise price of the shares. The participant’s tax basis in the shares acquired on exercise of the option will be increased by the amount of such taxable income. We generally will be entitled to a federal income tax deduction in an amount equal to the ordinary income that the participant recognizes, subject to any limits imposed under Section 162(m) of the Code. When the participant sells the shares acquired on exercise, the participant generally will realize long-term or short-term capital gain or loss, depending on whether the participant holds the shares for more than one year before selling them. Special rules apply if all or a portion of the exercise price is paid in the form of shares.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Incentive Stock Options</w:t>
      </w:r>
    </w:p>
    <w:p>
      <w:pPr>
        <w:spacing w:after="0" w:line="185" w:lineRule="exact"/>
        <w:rPr>
          <w:sz w:val="20"/>
          <w:szCs w:val="20"/>
          <w:color w:val="auto"/>
        </w:rPr>
      </w:pPr>
    </w:p>
    <w:p>
      <w:pPr>
        <w:ind w:left="660" w:right="100"/>
        <w:spacing w:after="0" w:line="304" w:lineRule="auto"/>
        <w:rPr>
          <w:sz w:val="20"/>
          <w:szCs w:val="20"/>
          <w:color w:val="auto"/>
        </w:rPr>
      </w:pPr>
      <w:r>
        <w:rPr>
          <w:rFonts w:ascii="Arial" w:cs="Arial" w:eastAsia="Arial" w:hAnsi="Arial"/>
          <w:sz w:val="16"/>
          <w:szCs w:val="16"/>
          <w:color w:val="auto"/>
        </w:rPr>
        <w:t>An incentive stock option is an option that meets the requirements of Section 422 of the Code. A participant generally will not have taxable income when granted an incentive stock option or when exercising the option. If the participant exercises the option</w:t>
      </w:r>
    </w:p>
    <w:p>
      <w:pPr>
        <w:sectPr>
          <w:pgSz w:w="11900" w:h="16838" w:orient="portrait"/>
          <w:cols w:equalWidth="0" w:num="1">
            <w:col w:w="10080"/>
          </w:cols>
          <w:pgMar w:left="580" w:top="97" w:right="1239" w:bottom="1440" w:gutter="0" w:footer="0" w:header="0"/>
        </w:sectPr>
      </w:pPr>
    </w:p>
    <w:p>
      <w:pPr>
        <w:spacing w:after="0" w:line="354"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33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100"/>
        <w:spacing w:after="0" w:line="273" w:lineRule="auto"/>
        <w:rPr>
          <w:sz w:val="20"/>
          <w:szCs w:val="20"/>
          <w:color w:val="auto"/>
        </w:rPr>
      </w:pPr>
      <w:r>
        <w:rPr>
          <w:rFonts w:ascii="Arial" w:cs="Arial" w:eastAsia="Arial" w:hAnsi="Arial"/>
          <w:sz w:val="16"/>
          <w:szCs w:val="16"/>
          <w:color w:val="auto"/>
        </w:rPr>
        <w:t>and does not dispose of the shares until the later of two years after the grant date and one year after the exercise date, the entire gain, if any, realized when the participant sells the shares generally will be taxable as long-term capital gain. We generally will not be entitled to any corresponding tax deduction. If a participant disposes of the shares received upon exercise of an incentive stock option within the one-year or two-year periods described above, it will be considered a “disqualifying disposition,” and the option will be treated as a non-qualified stock option for federal income tax purposes. If a participant exercises an incentive stock option more than three months after the participant’s employment or service with us terminates, the option will be treated as a non-qualified stock option for federal income tax purposes. If the participant is disabled and terminates employment or service because of their disability, the three-month period is extended to one year. The three-month period does not apply in the case of the participant’s death. Similar tax consequences will apply to stock purchase rights under the ESPP Addendum.</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SARs</w:t>
      </w:r>
    </w:p>
    <w:p>
      <w:pPr>
        <w:spacing w:after="0" w:line="172" w:lineRule="exact"/>
        <w:rPr>
          <w:sz w:val="20"/>
          <w:szCs w:val="20"/>
          <w:color w:val="auto"/>
        </w:rPr>
      </w:pPr>
    </w:p>
    <w:p>
      <w:pPr>
        <w:ind w:left="660" w:right="100"/>
        <w:spacing w:after="0" w:line="282" w:lineRule="auto"/>
        <w:rPr>
          <w:sz w:val="20"/>
          <w:szCs w:val="20"/>
          <w:color w:val="auto"/>
        </w:rPr>
      </w:pPr>
      <w:r>
        <w:rPr>
          <w:rFonts w:ascii="Arial" w:cs="Arial" w:eastAsia="Arial" w:hAnsi="Arial"/>
          <w:sz w:val="16"/>
          <w:szCs w:val="16"/>
          <w:color w:val="auto"/>
        </w:rPr>
        <w:t>A participant generally does not recognize income at the time a SAR is granted. At the time cash or stock representing the amount of the appreciation is transferred to the participant pursuant to exercise of the SAR, the participant will generally be required to recognize as income an amount equal to the amount of cash or fair market value of the shares paid or transferred to the participant. Such amount will be taxable as ordinary income and we generally will be entitled to a corresponding tax deduction, subject to any limits imposed under Section 162(m) of the Code.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Restricted Stock</w:t>
      </w:r>
    </w:p>
    <w:p>
      <w:pPr>
        <w:spacing w:after="0" w:line="199" w:lineRule="exact"/>
        <w:rPr>
          <w:sz w:val="20"/>
          <w:szCs w:val="20"/>
          <w:color w:val="auto"/>
        </w:rPr>
      </w:pPr>
    </w:p>
    <w:p>
      <w:pPr>
        <w:ind w:left="660" w:right="60"/>
        <w:spacing w:after="0" w:line="284" w:lineRule="auto"/>
        <w:rPr>
          <w:sz w:val="20"/>
          <w:szCs w:val="20"/>
          <w:color w:val="auto"/>
        </w:rPr>
      </w:pPr>
      <w:r>
        <w:rPr>
          <w:rFonts w:ascii="Arial" w:cs="Arial" w:eastAsia="Arial" w:hAnsi="Arial"/>
          <w:sz w:val="16"/>
          <w:szCs w:val="16"/>
          <w:color w:val="auto"/>
        </w:rPr>
        <w:t>A participant generally will not recognize any income upon the receipt of unvested shares or restricted stock unless the participant elects under Section 83(b) of the Code, within 30 days after receipt of the shares, to recognize ordinary income in an amount equal to the fair market value of the shares at the time of receipt, less any amount paid for the shares, and the Company generally will be allowed a corresponding tax deduction at that time, subject to any limits imposed under Section 162(m) of the Code. A participant who makes the election will not be allowed a deduction for the value of any shares subsequently forfeited. A participant who does not make the election generally will recognize ordinary income on the date of the lapse of the restrictions applicable to the shares, which may be at the time of grant, in an amount equal to the fair market value of the shares on such date, less any amount paid for the shares. We will withhold any Federal Insurance Contribution Act (“FICA”) taxes due in respect of the shares in the year the restrictions applicable to the shares lapse, based on the fair market value of the shares on the vesting date, unless you elect under Section 83(b) of the Code, in which case we will withhold any FICA taxes due in respect of the shares in the year of grant based on the fair market value of the shares on the grant date. Generally, upon a sale or other disposition of restricted stock with respect to which a participant has recognized ordinary income (i.e., a Section 83(b) election was previously made or the restrictions previously lapsed), the participant will recognize capital gain or loss in an amount equal to the difference between the amount realized on such sale or other disposition and the basis in such shares. Such gain or loss will be long-term capital gain or loss if the participant holds such shares for more than one year.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Restricted Stock Units</w:t>
      </w:r>
    </w:p>
    <w:p>
      <w:pPr>
        <w:spacing w:after="0" w:line="185" w:lineRule="exact"/>
        <w:rPr>
          <w:sz w:val="20"/>
          <w:szCs w:val="20"/>
          <w:color w:val="auto"/>
        </w:rPr>
      </w:pPr>
    </w:p>
    <w:p>
      <w:pPr>
        <w:jc w:val="both"/>
        <w:ind w:left="660" w:right="140"/>
        <w:spacing w:after="0" w:line="288" w:lineRule="auto"/>
        <w:rPr>
          <w:sz w:val="20"/>
          <w:szCs w:val="20"/>
          <w:color w:val="auto"/>
        </w:rPr>
      </w:pPr>
      <w:r>
        <w:rPr>
          <w:rFonts w:ascii="Arial" w:cs="Arial" w:eastAsia="Arial" w:hAnsi="Arial"/>
          <w:sz w:val="16"/>
          <w:szCs w:val="16"/>
          <w:color w:val="auto"/>
        </w:rPr>
        <w:t>A participant generally does not recognize income at the time a restricted stock unit award is granted. At the time of settlement of the award, the participant will generally recognize ordinary income equal to the fair market value of the restricted stock units at the time of settlement of the award, and the Company generally will be allowed a corresponding tax deduction at that time, subject to any limits imposed under Section 162(m) of the Code. We will withhold any FICA taxes due in respect of the restricted stock units in the year they vest based on the fair market value of the shares and/or cash underlying the award on the vesting date. Any gain or loss recognized upon a subsequent sale or exchange of the shares (if settled in shares) is generally treated as a capital gain or loss (short-term or long-term depending on the applicable holding period).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Performance Awards</w:t>
      </w:r>
    </w:p>
    <w:p>
      <w:pPr>
        <w:spacing w:after="0" w:line="185" w:lineRule="exact"/>
        <w:rPr>
          <w:sz w:val="20"/>
          <w:szCs w:val="20"/>
          <w:color w:val="auto"/>
        </w:rPr>
      </w:pPr>
    </w:p>
    <w:p>
      <w:pPr>
        <w:ind w:left="660" w:right="120"/>
        <w:spacing w:after="0" w:line="295" w:lineRule="auto"/>
        <w:rPr>
          <w:sz w:val="20"/>
          <w:szCs w:val="20"/>
          <w:color w:val="auto"/>
        </w:rPr>
      </w:pPr>
      <w:r>
        <w:rPr>
          <w:rFonts w:ascii="Arial" w:cs="Arial" w:eastAsia="Arial" w:hAnsi="Arial"/>
          <w:sz w:val="16"/>
          <w:szCs w:val="16"/>
          <w:color w:val="auto"/>
        </w:rPr>
        <w:t>Generally, in the case of performance-based awards, the participant will recognize ordinary income on the amount of cash and the fair market value of common stock received on the date of payment or settlement of the award (provided that the award is exempt from or complies with Section 409A of the Code). We generally will be entitled to a deduction for such amount at the time it is includable in the income of the participant, subject to any limits imposed under Section 162(m) of the Code.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Cash Awards</w:t>
      </w:r>
    </w:p>
    <w:p>
      <w:pPr>
        <w:spacing w:after="0" w:line="199" w:lineRule="exact"/>
        <w:rPr>
          <w:sz w:val="20"/>
          <w:szCs w:val="20"/>
          <w:color w:val="auto"/>
        </w:rPr>
      </w:pPr>
    </w:p>
    <w:p>
      <w:pPr>
        <w:ind w:left="660" w:right="140"/>
        <w:spacing w:after="0" w:line="301" w:lineRule="auto"/>
        <w:rPr>
          <w:sz w:val="20"/>
          <w:szCs w:val="20"/>
          <w:color w:val="auto"/>
        </w:rPr>
      </w:pPr>
      <w:r>
        <w:rPr>
          <w:rFonts w:ascii="Arial" w:cs="Arial" w:eastAsia="Arial" w:hAnsi="Arial"/>
          <w:sz w:val="16"/>
          <w:szCs w:val="16"/>
          <w:color w:val="auto"/>
        </w:rPr>
        <w:t>Upon the payment of a cash award, the amount of cash received will be ordinary income to the participant. We will be entitled to a deduction for such amount at the time it is includable in the income of the participant, subject to any limits imposed under Section 162(m) of the Code.</w:t>
      </w:r>
    </w:p>
    <w:p>
      <w:pPr>
        <w:sectPr>
          <w:pgSz w:w="11900" w:h="16838" w:orient="portrait"/>
          <w:cols w:equalWidth="0" w:num="1">
            <w:col w:w="10080"/>
          </w:cols>
          <w:pgMar w:left="580" w:top="97" w:right="1239" w:bottom="1440" w:gutter="0" w:footer="0" w:header="0"/>
        </w:sectPr>
      </w:pPr>
    </w:p>
    <w:p>
      <w:pPr>
        <w:spacing w:after="0" w:line="357"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​34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92075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Registration with the SEC</w:t>
      </w:r>
    </w:p>
    <w:p>
      <w:pPr>
        <w:spacing w:after="0" w:line="185" w:lineRule="exact"/>
        <w:rPr>
          <w:sz w:val="20"/>
          <w:szCs w:val="20"/>
          <w:color w:val="auto"/>
        </w:rPr>
      </w:pPr>
    </w:p>
    <w:p>
      <w:pPr>
        <w:ind w:left="660" w:right="740"/>
        <w:spacing w:after="0" w:line="321" w:lineRule="auto"/>
        <w:rPr>
          <w:sz w:val="20"/>
          <w:szCs w:val="20"/>
          <w:color w:val="auto"/>
        </w:rPr>
      </w:pPr>
      <w:r>
        <w:rPr>
          <w:rFonts w:ascii="Arial" w:cs="Arial" w:eastAsia="Arial" w:hAnsi="Arial"/>
          <w:sz w:val="16"/>
          <w:szCs w:val="16"/>
          <w:color w:val="auto"/>
        </w:rPr>
        <w:t>If our stockholders approve the Amended Plan, we will file with the SEC a registration statement on Form S-8, as soon as reasonably practicable after the approval, to register the shares available for issuance under the Amended Plan.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New Plan Benefits Table</w:t>
      </w:r>
    </w:p>
    <w:p>
      <w:pPr>
        <w:spacing w:after="0" w:line="199" w:lineRule="exact"/>
        <w:rPr>
          <w:sz w:val="20"/>
          <w:szCs w:val="20"/>
          <w:color w:val="auto"/>
        </w:rPr>
      </w:pPr>
    </w:p>
    <w:p>
      <w:pPr>
        <w:ind w:left="660" w:right="40"/>
        <w:spacing w:after="0" w:line="288" w:lineRule="auto"/>
        <w:rPr>
          <w:sz w:val="20"/>
          <w:szCs w:val="20"/>
          <w:color w:val="auto"/>
        </w:rPr>
      </w:pPr>
      <w:r>
        <w:rPr>
          <w:rFonts w:ascii="Arial" w:cs="Arial" w:eastAsia="Arial" w:hAnsi="Arial"/>
          <w:sz w:val="16"/>
          <w:szCs w:val="16"/>
          <w:color w:val="auto"/>
        </w:rPr>
        <w:t>A new plan benefits table for the Amended Plan and the benefits or amounts that would have been received by or allocated to participants for the last completed fiscal year under the Amended Plan if the Amended Plan was then in effect, as described in the federal proxy rules, are not provided because all awards made under the Amended Plan will be made at the Compensation Committee’s discretion, subject to the terms of the Amended Plan. Therefore, the benefits and amounts that will be received or allocated under the Amended Plan are not determinable at this time. However, please refer to the Summary Compensation Table in this Proxy Statement which sets forth certain information regarding awards granted to our named executive officers during fiscal year 2022.</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per share closing price of our Common Stock on Nasdaq on March 9, 2023 was $8.00.</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Vote Required</w:t>
      </w:r>
    </w:p>
    <w:p>
      <w:pPr>
        <w:spacing w:after="0" w:line="185" w:lineRule="exact"/>
        <w:rPr>
          <w:sz w:val="20"/>
          <w:szCs w:val="20"/>
          <w:color w:val="auto"/>
        </w:rPr>
      </w:pPr>
    </w:p>
    <w:p>
      <w:pPr>
        <w:ind w:left="660" w:right="180"/>
        <w:spacing w:after="0" w:line="301" w:lineRule="auto"/>
        <w:rPr>
          <w:sz w:val="20"/>
          <w:szCs w:val="20"/>
          <w:color w:val="auto"/>
        </w:rPr>
      </w:pPr>
      <w:r>
        <w:rPr>
          <w:rFonts w:ascii="Arial" w:cs="Arial" w:eastAsia="Arial" w:hAnsi="Arial"/>
          <w:sz w:val="16"/>
          <w:szCs w:val="16"/>
          <w:color w:val="auto"/>
        </w:rPr>
        <w:t>To be approved, a majority of the total votes cast on Proposal No. 4 must be voted “For” the approval of the amendment of the Lucid Group, Inc. Amended and Restated 2021 Stock Incentive Plan. Only votes “For” or “Against” will affect the outcome. Broker non-votes and abstentions will have no effect.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1300" w:right="20"/>
        <w:spacing w:after="0" w:line="220" w:lineRule="auto"/>
        <w:rPr>
          <w:sz w:val="20"/>
          <w:szCs w:val="20"/>
          <w:color w:val="auto"/>
        </w:rPr>
      </w:pPr>
      <w:r>
        <w:rPr>
          <w:rFonts w:ascii="Arial" w:cs="Arial" w:eastAsia="Arial" w:hAnsi="Arial"/>
          <w:sz w:val="43"/>
          <w:szCs w:val="43"/>
          <w:color w:val="FEFEFE"/>
          <w:vertAlign w:val="superscript"/>
        </w:rPr>
        <w:t>​</w:t>
      </w:r>
      <w:r>
        <w:rPr>
          <w:rFonts w:ascii="Arial" w:cs="Arial" w:eastAsia="Arial" w:hAnsi="Arial"/>
          <w:sz w:val="22"/>
          <w:szCs w:val="22"/>
          <w:color w:val="FEFEFE"/>
        </w:rPr>
        <w:t xml:space="preserve">  THE BOARD OF DIRECTORS RECOMMENDS A VOTE “FOR” THE APPROVAL OF THE   </w:t>
      </w:r>
      <w:r>
        <w:rPr>
          <w:rFonts w:ascii="Arial" w:cs="Arial" w:eastAsia="Arial" w:hAnsi="Arial"/>
          <w:sz w:val="43"/>
          <w:szCs w:val="43"/>
          <w:color w:val="FEFEFE"/>
          <w:vertAlign w:val="superscript"/>
        </w:rPr>
        <w:t>​</w:t>
      </w:r>
      <w:r>
        <w:rPr>
          <w:rFonts w:ascii="Arial" w:cs="Arial" w:eastAsia="Arial" w:hAnsi="Arial"/>
          <w:sz w:val="22"/>
          <w:szCs w:val="22"/>
          <w:color w:val="FEFEFE"/>
        </w:rPr>
        <w:t xml:space="preserve"> AMENDMENT OF THE LUCID GROUP, INC. AMENDED AND RESTATED 2021 STOCK INCENTIVE PLAN (PROPOSAL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-565150</wp:posOffset>
            </wp:positionV>
            <wp:extent cx="5966460" cy="6172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6460" cy="617220"/>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35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-81280</wp:posOffset>
            </wp:positionV>
            <wp:extent cx="6489065" cy="254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8906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7"/>
          <w:szCs w:val="27"/>
          <w:b w:val="1"/>
          <w:bCs w:val="1"/>
          <w:color w:val="auto"/>
        </w:rPr>
        <w:t>Proposal No. 5:</w:t>
      </w:r>
    </w:p>
    <w:p>
      <w:pPr>
        <w:spacing w:after="0" w:line="48" w:lineRule="exact"/>
        <w:rPr>
          <w:sz w:val="20"/>
          <w:szCs w:val="20"/>
          <w:color w:val="auto"/>
        </w:rPr>
      </w:pPr>
    </w:p>
    <w:p>
      <w:pPr>
        <w:ind w:left="660" w:right="240"/>
        <w:spacing w:after="0" w:line="245" w:lineRule="auto"/>
        <w:rPr>
          <w:sz w:val="20"/>
          <w:szCs w:val="20"/>
          <w:color w:val="auto"/>
        </w:rPr>
      </w:pPr>
      <w:r>
        <w:rPr>
          <w:rFonts w:ascii="Times New Roman" w:cs="Times New Roman" w:eastAsia="Times New Roman" w:hAnsi="Times New Roman"/>
          <w:sz w:val="36"/>
          <w:szCs w:val="36"/>
          <w:b w:val="1"/>
          <w:bCs w:val="1"/>
          <w:color w:val="auto"/>
        </w:rPr>
        <w:t>Approval of the Third Amended and Restated Certificate of Incorporation</w:t>
      </w:r>
    </w:p>
    <w:p>
      <w:pPr>
        <w:spacing w:after="0" w:line="328" w:lineRule="exact"/>
        <w:rPr>
          <w:sz w:val="20"/>
          <w:szCs w:val="20"/>
          <w:color w:val="auto"/>
        </w:rPr>
      </w:pPr>
    </w:p>
    <w:p>
      <w:pPr>
        <w:ind w:left="660" w:right="200"/>
        <w:spacing w:after="0" w:line="295" w:lineRule="auto"/>
        <w:rPr>
          <w:sz w:val="20"/>
          <w:szCs w:val="20"/>
          <w:color w:val="auto"/>
        </w:rPr>
      </w:pPr>
      <w:r>
        <w:rPr>
          <w:rFonts w:ascii="Arial" w:cs="Arial" w:eastAsia="Arial" w:hAnsi="Arial"/>
          <w:sz w:val="16"/>
          <w:szCs w:val="16"/>
          <w:color w:val="auto"/>
        </w:rPr>
        <w:t>Our Board has recommended and is seeking stockholder approval to amend and restate our Second Amended and Restated Certificate of Incorporation to provide that any director may be removed from office by the stockholders, with or without cause, by the affirmative vote of the holders of a majority of the total voting power of all outstanding securities of the Company generally entitled to vote in the election of directors, voting together as a single class.</w:t>
      </w:r>
    </w:p>
    <w:p>
      <w:pPr>
        <w:spacing w:after="0" w:line="175" w:lineRule="exact"/>
        <w:rPr>
          <w:sz w:val="20"/>
          <w:szCs w:val="20"/>
          <w:color w:val="auto"/>
        </w:rPr>
      </w:pPr>
    </w:p>
    <w:p>
      <w:pPr>
        <w:ind w:left="660" w:right="340"/>
        <w:spacing w:after="0" w:line="280" w:lineRule="auto"/>
        <w:rPr>
          <w:sz w:val="20"/>
          <w:szCs w:val="20"/>
          <w:color w:val="auto"/>
        </w:rPr>
      </w:pPr>
      <w:r>
        <w:rPr>
          <w:rFonts w:ascii="Arial" w:cs="Arial" w:eastAsia="Arial" w:hAnsi="Arial"/>
          <w:sz w:val="16"/>
          <w:szCs w:val="16"/>
          <w:color w:val="auto"/>
        </w:rPr>
        <w:t>Article VI, Item (E) of our Second Amended and Restated Certificate of Incorporation currently provides that no director may be removed from office by the stockholders except for cause with the affirmative vote of the holders of not less than two-thirds</w:t>
      </w:r>
    </w:p>
    <w:p>
      <w:pPr>
        <w:spacing w:after="0" w:line="1" w:lineRule="exact"/>
        <w:rPr>
          <w:sz w:val="20"/>
          <w:szCs w:val="20"/>
          <w:color w:val="auto"/>
        </w:rPr>
      </w:pPr>
    </w:p>
    <w:p>
      <w:pPr>
        <w:ind w:left="660" w:right="60"/>
        <w:spacing w:after="0" w:line="263" w:lineRule="auto"/>
        <w:rPr>
          <w:sz w:val="20"/>
          <w:szCs w:val="20"/>
          <w:color w:val="auto"/>
        </w:rPr>
      </w:pPr>
      <w:r>
        <w:rPr>
          <w:rFonts w:ascii="Arial" w:cs="Arial" w:eastAsia="Arial" w:hAnsi="Arial"/>
          <w:sz w:val="16"/>
          <w:szCs w:val="16"/>
          <w:color w:val="auto"/>
        </w:rPr>
        <w:t xml:space="preserve">(66 </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of the total voting power of all outstanding securities of the Company generally entitled to vote in the election of directors, voting together as a single class. In </w:t>
      </w:r>
      <w:r>
        <w:rPr>
          <w:rFonts w:ascii="Arial" w:cs="Arial" w:eastAsia="Arial" w:hAnsi="Arial"/>
          <w:sz w:val="16"/>
          <w:szCs w:val="16"/>
          <w:i w:val="1"/>
          <w:iCs w:val="1"/>
          <w:color w:val="auto"/>
        </w:rPr>
        <w:t>In re VAALCO Energy, Inc. Stockholder Litigation</w:t>
      </w:r>
      <w:r>
        <w:rPr>
          <w:rFonts w:ascii="Arial" w:cs="Arial" w:eastAsia="Arial" w:hAnsi="Arial"/>
          <w:sz w:val="16"/>
          <w:szCs w:val="16"/>
          <w:color w:val="auto"/>
        </w:rPr>
        <w:t>, Consol. C.A. No. 11775-VCL, the Court of Chancery of the State of Delaware held that if a Delaware corporation neither has a staggered board nor provides for cumulative voting in the election of directors, provisions of the corporation’s certificate of incorporation and bylaws that provide that directors may be removed only “for cause” are contrary to Section 141(k) of the Delaware General Corporation Law and are therefore invalid and unenforceable. While this ruling did not address the validity and enforceability of the “two-thirds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voting threshold,” another recent Delaware Chancery Court case held that a similar provision in a company’s bylaws was invalid. In light of the Delaware Chancery Court’s holdings, and because we do not have a staggered board or cumulative voting in the election of directors, the Board has approved, and recommends for approval by the stockholders, amending Article VI, Item (E) to remove the provisions regarding the removal of directors for cause only and the accompanying two-thirds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voting threshold. These changes are intended to conform the Company’s certificate of incorporation to the requirements of Delaware General Corporation Law as applicable to the Company and are reflected in </w:t>
      </w:r>
      <w:r>
        <w:rPr>
          <w:rFonts w:ascii="Arial" w:cs="Arial" w:eastAsia="Arial" w:hAnsi="Arial"/>
          <w:sz w:val="16"/>
          <w:szCs w:val="16"/>
          <w:u w:val="single" w:color="auto"/>
          <w:color w:val="auto"/>
        </w:rPr>
        <w:t>Annex B</w:t>
      </w:r>
      <w:r>
        <w:rPr>
          <w:rFonts w:ascii="Arial" w:cs="Arial" w:eastAsia="Arial" w:hAnsi="Arial"/>
          <w:sz w:val="16"/>
          <w:szCs w:val="16"/>
          <w:color w:val="auto"/>
        </w:rPr>
        <w:t>. The amended text will read as follows:</w:t>
      </w:r>
    </w:p>
    <w:p>
      <w:pPr>
        <w:spacing w:after="0" w:line="204" w:lineRule="exact"/>
        <w:rPr>
          <w:sz w:val="20"/>
          <w:szCs w:val="20"/>
          <w:color w:val="auto"/>
        </w:rPr>
      </w:pPr>
    </w:p>
    <w:p>
      <w:pPr>
        <w:jc w:val="both"/>
        <w:ind w:left="980" w:right="260" w:hanging="326"/>
        <w:spacing w:after="0" w:line="301" w:lineRule="auto"/>
        <w:tabs>
          <w:tab w:leader="none" w:pos="98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Removal. </w:t>
      </w:r>
      <w:r>
        <w:rPr>
          <w:rFonts w:ascii="Arial" w:cs="Arial" w:eastAsia="Arial" w:hAnsi="Arial"/>
          <w:sz w:val="16"/>
          <w:szCs w:val="16"/>
          <w:color w:val="auto"/>
        </w:rPr>
        <w:t>Any director may be removed from office by the stockholders, with or without cause, by the affirmative vote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a majority of the total voting power of all outstanding securities of the Corporation generally entitled to vote in the election of directors, voting together as a single class.</w:t>
      </w:r>
    </w:p>
    <w:p>
      <w:pPr>
        <w:spacing w:after="0" w:line="172" w:lineRule="exact"/>
        <w:rPr>
          <w:sz w:val="20"/>
          <w:szCs w:val="20"/>
          <w:color w:val="auto"/>
        </w:rPr>
      </w:pPr>
    </w:p>
    <w:p>
      <w:pPr>
        <w:ind w:left="660" w:right="140"/>
        <w:spacing w:after="0" w:line="295" w:lineRule="auto"/>
        <w:rPr>
          <w:sz w:val="20"/>
          <w:szCs w:val="20"/>
          <w:color w:val="auto"/>
        </w:rPr>
      </w:pPr>
      <w:r>
        <w:rPr>
          <w:rFonts w:ascii="Arial" w:cs="Arial" w:eastAsia="Arial" w:hAnsi="Arial"/>
          <w:sz w:val="16"/>
          <w:szCs w:val="16"/>
          <w:color w:val="auto"/>
        </w:rPr>
        <w:t xml:space="preserve">If this Proposal No. 5 is approved by the stockholders, the Company’s Second Amended and Restated Certificate of Incorporation will be amended and restated in accordance with </w:t>
      </w:r>
      <w:r>
        <w:rPr>
          <w:rFonts w:ascii="Arial" w:cs="Arial" w:eastAsia="Arial" w:hAnsi="Arial"/>
          <w:sz w:val="16"/>
          <w:szCs w:val="16"/>
          <w:u w:val="single" w:color="auto"/>
          <w:color w:val="auto"/>
        </w:rPr>
        <w:t>Annex B</w:t>
      </w:r>
      <w:r>
        <w:rPr>
          <w:rFonts w:ascii="Arial" w:cs="Arial" w:eastAsia="Arial" w:hAnsi="Arial"/>
          <w:sz w:val="16"/>
          <w:szCs w:val="16"/>
          <w:color w:val="auto"/>
        </w:rPr>
        <w:t>. If approved at the Annual Meeting, we will file the Third Amended and Restated Certificate of Incorporation with the Secretary of State of the State of Delaware as soon as practicable after the Annual Meeting.</w:t>
      </w:r>
    </w:p>
    <w:p>
      <w:pPr>
        <w:spacing w:after="0" w:line="175" w:lineRule="exact"/>
        <w:rPr>
          <w:sz w:val="20"/>
          <w:szCs w:val="20"/>
          <w:color w:val="auto"/>
        </w:rPr>
      </w:pPr>
    </w:p>
    <w:p>
      <w:pPr>
        <w:ind w:left="660" w:right="60"/>
        <w:spacing w:after="0" w:line="301" w:lineRule="auto"/>
        <w:rPr>
          <w:sz w:val="20"/>
          <w:szCs w:val="20"/>
          <w:color w:val="auto"/>
        </w:rPr>
      </w:pPr>
      <w:r>
        <w:rPr>
          <w:rFonts w:ascii="Arial" w:cs="Arial" w:eastAsia="Arial" w:hAnsi="Arial"/>
          <w:sz w:val="16"/>
          <w:szCs w:val="16"/>
          <w:color w:val="auto"/>
        </w:rPr>
        <w:t>The Board has also approved conforming changes to Section 3.12 of the Bylaws to provide that, consistent with Section 141(k) of the Delaware General Corporation Law, any director may be removed from office by the stockholders, with or without cause, by the affirmative vote of the holders of a majority of the total voting power of all outstanding securities of the Company generally</w:t>
      </w:r>
    </w:p>
    <w:p>
      <w:pPr>
        <w:sectPr>
          <w:pgSz w:w="11900" w:h="16838" w:orient="portrait"/>
          <w:cols w:equalWidth="0" w:num="1">
            <w:col w:w="10080"/>
          </w:cols>
          <w:pgMar w:left="580" w:top="97" w:right="1239" w:bottom="1440" w:gutter="0" w:footer="0" w:header="0"/>
        </w:sectPr>
      </w:pPr>
    </w:p>
    <w:p>
      <w:pPr>
        <w:spacing w:after="0" w:line="357"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​36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440"/>
        <w:spacing w:after="0" w:line="321" w:lineRule="auto"/>
        <w:rPr>
          <w:sz w:val="20"/>
          <w:szCs w:val="20"/>
          <w:color w:val="auto"/>
        </w:rPr>
      </w:pPr>
      <w:r>
        <w:rPr>
          <w:rFonts w:ascii="Arial" w:cs="Arial" w:eastAsia="Arial" w:hAnsi="Arial"/>
          <w:sz w:val="16"/>
          <w:szCs w:val="16"/>
          <w:color w:val="auto"/>
        </w:rPr>
        <w:t>entitled to vote in the election of directors, voting together as a single class. No stockholder approval is being requested nor is required with respect to such amendment of the Bylaws.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Vote Required</w:t>
      </w:r>
    </w:p>
    <w:p>
      <w:pPr>
        <w:spacing w:after="0" w:line="185" w:lineRule="exact"/>
        <w:rPr>
          <w:sz w:val="20"/>
          <w:szCs w:val="20"/>
          <w:color w:val="auto"/>
        </w:rPr>
      </w:pPr>
    </w:p>
    <w:p>
      <w:pPr>
        <w:ind w:left="660" w:right="100"/>
        <w:spacing w:after="0" w:line="267" w:lineRule="auto"/>
        <w:rPr>
          <w:sz w:val="20"/>
          <w:szCs w:val="20"/>
          <w:color w:val="auto"/>
        </w:rPr>
      </w:pPr>
      <w:r>
        <w:rPr>
          <w:rFonts w:ascii="Arial" w:cs="Arial" w:eastAsia="Arial" w:hAnsi="Arial"/>
          <w:sz w:val="16"/>
          <w:szCs w:val="16"/>
          <w:color w:val="auto"/>
        </w:rPr>
        <w:t>To be approved, the Third Amended and Restated Certificate of Incorporation must be voted “FOR” by an affirmative vote of the holders of not less than two-thirds (66</w:t>
      </w:r>
      <w:r>
        <w:rPr>
          <w:rFonts w:ascii="Arial" w:cs="Arial" w:eastAsia="Arial" w:hAnsi="Arial"/>
          <w:sz w:val="22"/>
          <w:szCs w:val="22"/>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total voting power of all outstanding Common Stock entitled to vote in the Annual Meeting. Stockholders may direct that their votes be cast “For” or “Against” the proposal, or stockholders may abstain from this proposal. Abstentions and broker non-votes will have the same effect as votes cast against the proposal.</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1320"/>
        <w:spacing w:after="0" w:line="220" w:lineRule="auto"/>
        <w:rPr>
          <w:sz w:val="20"/>
          <w:szCs w:val="20"/>
          <w:color w:val="auto"/>
        </w:rPr>
      </w:pPr>
      <w:r>
        <w:rPr>
          <w:rFonts w:ascii="Arial" w:cs="Arial" w:eastAsia="Arial" w:hAnsi="Arial"/>
          <w:sz w:val="43"/>
          <w:szCs w:val="43"/>
          <w:color w:val="FEFEFE"/>
          <w:vertAlign w:val="superscript"/>
        </w:rPr>
        <w:t>​</w:t>
      </w:r>
      <w:r>
        <w:rPr>
          <w:rFonts w:ascii="Arial" w:cs="Arial" w:eastAsia="Arial" w:hAnsi="Arial"/>
          <w:sz w:val="22"/>
          <w:szCs w:val="22"/>
          <w:color w:val="FEFEFE"/>
        </w:rPr>
        <w:t xml:space="preserve">  THE BOARD OF DIRECTORS RECOMMENDS A VOTE “FOR” THE APPROVAL OF THE   </w:t>
      </w:r>
      <w:r>
        <w:rPr>
          <w:rFonts w:ascii="Arial" w:cs="Arial" w:eastAsia="Arial" w:hAnsi="Arial"/>
          <w:sz w:val="43"/>
          <w:szCs w:val="43"/>
          <w:color w:val="FEFEFE"/>
          <w:vertAlign w:val="superscript"/>
        </w:rPr>
        <w:t>​</w:t>
      </w:r>
      <w:r>
        <w:rPr>
          <w:rFonts w:ascii="Arial" w:cs="Arial" w:eastAsia="Arial" w:hAnsi="Arial"/>
          <w:sz w:val="22"/>
          <w:szCs w:val="22"/>
          <w:color w:val="FEFEFE"/>
        </w:rPr>
        <w:t xml:space="preserve"> THIRD AMENDED AND RESTATED CERTIFICATE OF INCORPORATION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-565150</wp:posOffset>
            </wp:positionV>
            <wp:extent cx="5966460" cy="557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557530"/>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37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Lucid ESG: Principles and Impact</w:t>
      </w:r>
    </w:p>
    <w:p>
      <w:pPr>
        <w:spacing w:after="0" w:line="386" w:lineRule="exact"/>
        <w:rPr>
          <w:sz w:val="20"/>
          <w:szCs w:val="20"/>
          <w:color w:val="auto"/>
        </w:rPr>
      </w:pPr>
    </w:p>
    <w:p>
      <w:pPr>
        <w:ind w:left="660" w:right="260"/>
        <w:spacing w:after="0" w:line="207" w:lineRule="exact"/>
        <w:rPr>
          <w:sz w:val="20"/>
          <w:szCs w:val="20"/>
          <w:color w:val="auto"/>
        </w:rPr>
      </w:pPr>
      <w:r>
        <w:rPr>
          <w:rFonts w:ascii="Arial" w:cs="Arial" w:eastAsia="Arial" w:hAnsi="Arial"/>
          <w:sz w:val="16"/>
          <w:szCs w:val="16"/>
          <w:color w:val="auto"/>
        </w:rPr>
        <w:t>As an electric vehicle company relentlessly focused on efficiency, our products are a key part of transforming the transportation space to a more sustainable model. Through our blend of performance engineered, battery electric powertrain systems with post</w:t>
      </w:r>
      <w:r>
        <w:rPr>
          <w:rFonts w:ascii="MS PGothic" w:cs="MS PGothic" w:eastAsia="MS PGothic" w:hAnsi="MS PGothic"/>
          <w:sz w:val="16"/>
          <w:szCs w:val="16"/>
          <w:color w:val="auto"/>
        </w:rPr>
        <w:t>‑</w:t>
      </w:r>
      <w:r>
        <w:rPr>
          <w:rFonts w:ascii="Arial" w:cs="Arial" w:eastAsia="Arial" w:hAnsi="Arial"/>
          <w:sz w:val="16"/>
          <w:szCs w:val="16"/>
          <w:color w:val="auto"/>
        </w:rPr>
        <w:t>luxury design, we seek to entice luxury vehicle customers to switch from internal combustion engine vehicles to energy efficient, sustainable electric transportation. But having sustainable products alone is not enough; we are dedicated to a holistic environmental, social, and governance (“ESG”) strategy to maximize our ability to positively impact our environment and society, meet investor expectations, and instill pride and purpose in our employees and customers.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ESG Strategy</w:t>
      </w:r>
    </w:p>
    <w:p>
      <w:pPr>
        <w:spacing w:after="0" w:line="172" w:lineRule="exact"/>
        <w:rPr>
          <w:sz w:val="20"/>
          <w:szCs w:val="20"/>
          <w:color w:val="auto"/>
        </w:rPr>
      </w:pPr>
    </w:p>
    <w:p>
      <w:pPr>
        <w:ind w:left="660" w:right="40"/>
        <w:spacing w:after="0" w:line="277" w:lineRule="auto"/>
        <w:rPr>
          <w:sz w:val="20"/>
          <w:szCs w:val="20"/>
          <w:color w:val="auto"/>
        </w:rPr>
      </w:pPr>
      <w:r>
        <w:rPr>
          <w:rFonts w:ascii="Arial" w:cs="Arial" w:eastAsia="Arial" w:hAnsi="Arial"/>
          <w:sz w:val="16"/>
          <w:szCs w:val="16"/>
          <w:color w:val="auto"/>
        </w:rPr>
        <w:t>Our dedicated ESG team is driving our efforts to implement a leading environmental, social, and governance strategy and program. In 2021, we completed a high-level ESG materiality assessment to identify key topics for our ESG strategy. This effort included insight on investors, ratings and rankings, company leadership interviews, research on peers and consumer trends, and a business/investor media review. During 2022, we continued to keep a pulse on the dynamic ESG field to allocate resources to the most significant ESG topics to our business. Our ESG Steering Committee, comprised of senior executive leaders, met on a regular basis in 2022 to drive our strategic roadmapping in the ESG topics such as climate and greenhouse gas emissions, diversity, equity and inclusion, and ESG partnerships. We enhanced our ESG disclosures, and plan to begin reporting on our sustainability programs and progress in 2023 as we continue to build our internal capabilities for data collection.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Environmental Impact</w:t>
      </w:r>
    </w:p>
    <w:p>
      <w:pPr>
        <w:spacing w:after="0" w:line="145" w:lineRule="exact"/>
        <w:rPr>
          <w:sz w:val="20"/>
          <w:szCs w:val="20"/>
          <w:color w:val="auto"/>
        </w:rPr>
      </w:pPr>
    </w:p>
    <w:p>
      <w:pPr>
        <w:ind w:left="820" w:right="40" w:hanging="166"/>
        <w:spacing w:after="0" w:line="285" w:lineRule="auto"/>
        <w:tabs>
          <w:tab w:leader="none" w:pos="820" w:val="left"/>
        </w:tabs>
        <w:numPr>
          <w:ilvl w:val="0"/>
          <w:numId w:val="22"/>
        </w:numPr>
        <w:rPr>
          <w:rFonts w:ascii="Arial" w:cs="Arial" w:eastAsia="Arial" w:hAnsi="Arial"/>
          <w:sz w:val="16"/>
          <w:szCs w:val="16"/>
          <w:color w:val="8A6B24"/>
        </w:rPr>
      </w:pPr>
      <w:r>
        <w:rPr>
          <w:rFonts w:ascii="Arial" w:cs="Arial" w:eastAsia="Arial" w:hAnsi="Arial"/>
          <w:sz w:val="16"/>
          <w:szCs w:val="16"/>
          <w:b w:val="1"/>
          <w:bCs w:val="1"/>
          <w:i w:val="1"/>
          <w:iCs w:val="1"/>
          <w:color w:val="auto"/>
        </w:rPr>
        <w:t xml:space="preserve">Product Efficiency: </w:t>
      </w:r>
      <w:r>
        <w:rPr>
          <w:rFonts w:ascii="Arial" w:cs="Arial" w:eastAsia="Arial" w:hAnsi="Arial"/>
          <w:sz w:val="16"/>
          <w:szCs w:val="16"/>
          <w:color w:val="auto"/>
        </w:rPr>
        <w:t>Efficiency is a key measure of the in-house technology embedded in our products, contributing to our goal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best-in-class experience for our customers while benefitting the environment. Lucid Air is the longest-range electric vehicle rated by the U.S. Environmental Protection Agency (“EPA”) (Lucid Air Grand Touring has an EPA-estimated range of up to 516 miles per charge), has some of the highest MPGe energy efficiency ratings from the EPA (Lucid Air Touring and Lucid Air Pure AWD are rated 140 MPGe combined city hwy*), and Lucid Air Pure has one of the lowest coefficient of drag of any vehicle on the market (0.197 coefficient of drag). These achievements are based on a relentless focus on efficiency through the electric vehicle powertrain, battery pack and system, and a highly aerodynamic design. This focus on efficiency also enables our vehicles to travel further per electron of energy. Each extra mile that we extract per kWh of energy means less energy required and fewer carbon emissions from the electrical grid. This same efficient technology and approach enables the possibility of vehicles with smaller, lower-cost battery packs that retain competitive range — which in turn would benefit the environment by requiring fewer battery cells per vehicle.</w:t>
      </w:r>
    </w:p>
    <w:p>
      <w:pPr>
        <w:spacing w:after="0" w:line="67" w:lineRule="exact"/>
        <w:rPr>
          <w:rFonts w:ascii="Arial" w:cs="Arial" w:eastAsia="Arial" w:hAnsi="Arial"/>
          <w:sz w:val="16"/>
          <w:szCs w:val="16"/>
          <w:color w:val="8A6B24"/>
        </w:rPr>
      </w:pPr>
    </w:p>
    <w:p>
      <w:pPr>
        <w:ind w:left="820" w:right="120" w:hanging="166"/>
        <w:spacing w:after="0" w:line="289" w:lineRule="auto"/>
        <w:tabs>
          <w:tab w:leader="none" w:pos="820" w:val="left"/>
        </w:tabs>
        <w:numPr>
          <w:ilvl w:val="0"/>
          <w:numId w:val="22"/>
        </w:numPr>
        <w:rPr>
          <w:rFonts w:ascii="Arial" w:cs="Arial" w:eastAsia="Arial" w:hAnsi="Arial"/>
          <w:sz w:val="16"/>
          <w:szCs w:val="16"/>
          <w:color w:val="8A6B24"/>
        </w:rPr>
      </w:pPr>
      <w:r>
        <w:rPr>
          <w:rFonts w:ascii="Arial" w:cs="Arial" w:eastAsia="Arial" w:hAnsi="Arial"/>
          <w:sz w:val="16"/>
          <w:szCs w:val="16"/>
          <w:b w:val="1"/>
          <w:bCs w:val="1"/>
          <w:i w:val="1"/>
          <w:iCs w:val="1"/>
          <w:color w:val="auto"/>
        </w:rPr>
        <w:t xml:space="preserve">Future Adaptations of our Technology: </w:t>
      </w:r>
      <w:r>
        <w:rPr>
          <w:rFonts w:ascii="Arial" w:cs="Arial" w:eastAsia="Arial" w:hAnsi="Arial"/>
          <w:sz w:val="16"/>
          <w:szCs w:val="16"/>
          <w:color w:val="auto"/>
        </w:rPr>
        <w:t>We are exploring opportunities to adapt and expand the impact of our technology.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example, we expect our battery systems expertise to enable us to produce compelling stationary energy storage system products that offer flexibility, efficiency, and stability to our customers and the electrical grid across the residential, commercial, and utility-scale energy storage sectors. We also expect our battery systems and powertrain expertise to enable customers to power their homes through vehicle-to-grid charging capabilities, adding resiliency to customers’ power supply and reducing impact on the grid during power outages and shortages.</w:t>
      </w:r>
    </w:p>
    <w:p>
      <w:pPr>
        <w:spacing w:after="0" w:line="74" w:lineRule="exact"/>
        <w:rPr>
          <w:rFonts w:ascii="Arial" w:cs="Arial" w:eastAsia="Arial" w:hAnsi="Arial"/>
          <w:sz w:val="16"/>
          <w:szCs w:val="16"/>
          <w:color w:val="8A6B24"/>
        </w:rPr>
      </w:pPr>
    </w:p>
    <w:p>
      <w:pPr>
        <w:ind w:left="820" w:right="80" w:hanging="166"/>
        <w:spacing w:after="0" w:line="286" w:lineRule="auto"/>
        <w:tabs>
          <w:tab w:leader="none" w:pos="820" w:val="left"/>
        </w:tabs>
        <w:numPr>
          <w:ilvl w:val="0"/>
          <w:numId w:val="22"/>
        </w:numPr>
        <w:rPr>
          <w:rFonts w:ascii="Arial" w:cs="Arial" w:eastAsia="Arial" w:hAnsi="Arial"/>
          <w:sz w:val="16"/>
          <w:szCs w:val="16"/>
          <w:color w:val="8A6B24"/>
        </w:rPr>
      </w:pPr>
      <w:r>
        <w:rPr>
          <w:rFonts w:ascii="Arial" w:cs="Arial" w:eastAsia="Arial" w:hAnsi="Arial"/>
          <w:sz w:val="16"/>
          <w:szCs w:val="16"/>
          <w:b w:val="1"/>
          <w:bCs w:val="1"/>
          <w:i w:val="1"/>
          <w:iCs w:val="1"/>
          <w:color w:val="auto"/>
        </w:rPr>
        <w:t xml:space="preserve">Environmental Operations: </w:t>
      </w:r>
      <w:r>
        <w:rPr>
          <w:rFonts w:ascii="Arial" w:cs="Arial" w:eastAsia="Arial" w:hAnsi="Arial"/>
          <w:sz w:val="16"/>
          <w:szCs w:val="16"/>
          <w:color w:val="auto"/>
        </w:rPr>
        <w:t>Our factory in Casa Grande, Arizona is the first greenfield EV factory in North America and it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to minimize carbon emissions where practical through energy efficient design and plans for renewable energy generation onsite. We strive to reduce the environmental impact of manufacturing while maintaining our relentless drive to produce high-quality vehicles for our customers. We currently have up to a 1 mega-watt (“MW”) capacity solar power system in Arizona (with a total capacity of up to 2 MW including our headquarters in California) and we are actively working to increase renewable energy generation. Our operations pair with an environmental, health, and safety policy that encompasses training, measurement, and monitoring of data, and corrective actions for continuous improvement. Additionally, to emphasize our focus on quality, environment, and occupational health and safety, our Arizona factory has been ISO 9001, 45001, and 14001 certified, a globally recognized Quality Management System, Occupational Health and Safety Management System, and Environmental Management System,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Social Impact</w:t>
      </w:r>
    </w:p>
    <w:p>
      <w:pPr>
        <w:spacing w:after="0" w:line="131" w:lineRule="exact"/>
        <w:rPr>
          <w:sz w:val="20"/>
          <w:szCs w:val="20"/>
          <w:color w:val="auto"/>
        </w:rPr>
      </w:pPr>
    </w:p>
    <w:p>
      <w:pPr>
        <w:ind w:left="820" w:right="80" w:hanging="166"/>
        <w:spacing w:after="0" w:line="321" w:lineRule="auto"/>
        <w:tabs>
          <w:tab w:leader="none" w:pos="820" w:val="left"/>
        </w:tabs>
        <w:numPr>
          <w:ilvl w:val="0"/>
          <w:numId w:val="23"/>
        </w:numPr>
        <w:rPr>
          <w:rFonts w:ascii="Arial" w:cs="Arial" w:eastAsia="Arial" w:hAnsi="Arial"/>
          <w:sz w:val="16"/>
          <w:szCs w:val="16"/>
          <w:color w:val="8A6B24"/>
        </w:rPr>
      </w:pPr>
      <w:r>
        <w:rPr>
          <w:rFonts w:ascii="Arial" w:cs="Arial" w:eastAsia="Arial" w:hAnsi="Arial"/>
          <w:sz w:val="16"/>
          <w:szCs w:val="16"/>
          <w:b w:val="1"/>
          <w:bCs w:val="1"/>
          <w:i w:val="1"/>
          <w:iCs w:val="1"/>
          <w:color w:val="auto"/>
        </w:rPr>
        <w:t xml:space="preserve">Safety: </w:t>
      </w:r>
      <w:r>
        <w:rPr>
          <w:rFonts w:ascii="Arial" w:cs="Arial" w:eastAsia="Arial" w:hAnsi="Arial"/>
          <w:sz w:val="16"/>
          <w:szCs w:val="16"/>
          <w:color w:val="auto"/>
        </w:rPr>
        <w:t>We have instilled an expectation and culture of safety in our workplace. As a manufacturing company, we are committed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ensuring workplace health, safety and environmental protection for our employees, suppliers, business partners,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107950</wp:posOffset>
            </wp:positionV>
            <wp:extent cx="12344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5" w:lineRule="exact"/>
        <w:rPr>
          <w:sz w:val="20"/>
          <w:szCs w:val="20"/>
          <w:color w:val="auto"/>
        </w:rPr>
      </w:pPr>
    </w:p>
    <w:p>
      <w:pPr>
        <w:ind w:left="700" w:right="200" w:hanging="46"/>
        <w:spacing w:after="0" w:line="259" w:lineRule="auto"/>
        <w:tabs>
          <w:tab w:leader="none" w:pos="700" w:val="left"/>
        </w:tabs>
        <w:numPr>
          <w:ilvl w:val="0"/>
          <w:numId w:val="24"/>
        </w:numPr>
        <w:rPr>
          <w:rFonts w:ascii="Arial" w:cs="Arial" w:eastAsia="Arial" w:hAnsi="Arial"/>
          <w:sz w:val="11"/>
          <w:szCs w:val="11"/>
          <w:color w:val="auto"/>
        </w:rPr>
      </w:pPr>
      <w:r>
        <w:rPr>
          <w:rFonts w:ascii="Arial" w:cs="Arial" w:eastAsia="Arial" w:hAnsi="Arial"/>
          <w:sz w:val="11"/>
          <w:szCs w:val="11"/>
          <w:color w:val="auto"/>
        </w:rPr>
        <w:t>EPA estimated ranges and MPGe are provided for vehicles equipped with 19-inch wheels, and actual range and MPGe will vary dependent on many factors including battery age, driving habits, charging habits, temperatures, accessory use, and other factors.</w:t>
      </w:r>
    </w:p>
    <w:p>
      <w:pPr>
        <w:sectPr>
          <w:pgSz w:w="11900" w:h="16838" w:orient="portrait"/>
          <w:cols w:equalWidth="0" w:num="1">
            <w:col w:w="10080"/>
          </w:cols>
          <w:pgMar w:left="580" w:top="97" w:right="1239" w:bottom="1440" w:gutter="0" w:footer="0" w:header="0"/>
        </w:sectPr>
      </w:pPr>
    </w:p>
    <w:p>
      <w:pPr>
        <w:spacing w:after="0" w:line="38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​38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20" w:right="60"/>
        <w:spacing w:after="0" w:line="301" w:lineRule="auto"/>
        <w:rPr>
          <w:sz w:val="20"/>
          <w:szCs w:val="20"/>
          <w:color w:val="auto"/>
        </w:rPr>
      </w:pPr>
      <w:r>
        <w:rPr>
          <w:rFonts w:ascii="Arial" w:cs="Arial" w:eastAsia="Arial" w:hAnsi="Arial"/>
          <w:sz w:val="16"/>
          <w:szCs w:val="16"/>
          <w:color w:val="auto"/>
        </w:rPr>
        <w:t>and all our stakeholders. We protect the health and safety of our employees through a proactive and systematic approach to safety and health management. To demonstrate this, in 2022, we achieved ISO 45001 certification for our Arizona manufacturing site which validates our system of continuous improvement to reduce occupational risk and improve worker safety.</w:t>
      </w:r>
    </w:p>
    <w:p>
      <w:pPr>
        <w:spacing w:after="0" w:line="91" w:lineRule="exact"/>
        <w:rPr>
          <w:sz w:val="20"/>
          <w:szCs w:val="20"/>
          <w:color w:val="auto"/>
        </w:rPr>
      </w:pPr>
    </w:p>
    <w:p>
      <w:pPr>
        <w:ind w:left="820" w:right="140" w:hanging="166"/>
        <w:spacing w:after="0" w:line="288" w:lineRule="auto"/>
        <w:tabs>
          <w:tab w:leader="none" w:pos="820" w:val="left"/>
        </w:tabs>
        <w:numPr>
          <w:ilvl w:val="0"/>
          <w:numId w:val="25"/>
        </w:numPr>
        <w:rPr>
          <w:rFonts w:ascii="Arial" w:cs="Arial" w:eastAsia="Arial" w:hAnsi="Arial"/>
          <w:sz w:val="16"/>
          <w:szCs w:val="16"/>
          <w:color w:val="8A6B24"/>
        </w:rPr>
      </w:pPr>
      <w:r>
        <w:rPr>
          <w:rFonts w:ascii="Arial" w:cs="Arial" w:eastAsia="Arial" w:hAnsi="Arial"/>
          <w:sz w:val="16"/>
          <w:szCs w:val="16"/>
          <w:b w:val="1"/>
          <w:bCs w:val="1"/>
          <w:i w:val="1"/>
          <w:iCs w:val="1"/>
          <w:color w:val="auto"/>
        </w:rPr>
        <w:t xml:space="preserve">Diversity, Equity and Inclusion (“DEI”): </w:t>
      </w:r>
      <w:r>
        <w:rPr>
          <w:rFonts w:ascii="Arial" w:cs="Arial" w:eastAsia="Arial" w:hAnsi="Arial"/>
          <w:sz w:val="16"/>
          <w:szCs w:val="16"/>
          <w:color w:val="auto"/>
        </w:rPr>
        <w:t>At Lucid, DEI is an essential part of who we are. We value the diverse perspectives,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experiences, and identities of our employees who reflect the communities we serve. Our differences spark innovation and drive us forward, which is why we are committed to fostering an equitable and inclusive culture that empowers us to bring our best selves to work and achieve our mission to build a better future together. We work hard to attract a pool of diverse candidates for all open positions. As of December 31, 2022, approximately 69% of Lucid’s employees in the United States were identified as Black or African American, Hispanic or Latino, Asian, American Indian or Alaskan Native, Native Hawaiian or Pacific Islander, and two or more races or ethnicities.</w:t>
      </w:r>
    </w:p>
    <w:p>
      <w:pPr>
        <w:spacing w:after="0" w:line="182" w:lineRule="exact"/>
        <w:rPr>
          <w:rFonts w:ascii="Arial" w:cs="Arial" w:eastAsia="Arial" w:hAnsi="Arial"/>
          <w:sz w:val="16"/>
          <w:szCs w:val="16"/>
          <w:color w:val="8A6B24"/>
        </w:rPr>
      </w:pPr>
    </w:p>
    <w:p>
      <w:pPr>
        <w:ind w:left="820"/>
        <w:spacing w:after="0"/>
        <w:rPr>
          <w:rFonts w:ascii="Arial" w:cs="Arial" w:eastAsia="Arial" w:hAnsi="Arial"/>
          <w:sz w:val="16"/>
          <w:szCs w:val="16"/>
          <w:color w:val="8A6B24"/>
        </w:rPr>
      </w:pPr>
      <w:r>
        <w:rPr>
          <w:rFonts w:ascii="Arial" w:cs="Arial" w:eastAsia="Arial" w:hAnsi="Arial"/>
          <w:sz w:val="16"/>
          <w:szCs w:val="16"/>
          <w:color w:val="auto"/>
        </w:rPr>
        <w:t>Our people centric and data-driven DEI strategy focuses on three pillars:</w:t>
      </w:r>
    </w:p>
    <w:p>
      <w:pPr>
        <w:spacing w:after="0" w:line="248" w:lineRule="exact"/>
        <w:rPr>
          <w:rFonts w:ascii="Arial" w:cs="Arial" w:eastAsia="Arial" w:hAnsi="Arial"/>
          <w:sz w:val="16"/>
          <w:szCs w:val="16"/>
          <w:color w:val="8A6B24"/>
        </w:rPr>
      </w:pPr>
    </w:p>
    <w:p>
      <w:pPr>
        <w:ind w:left="1140" w:hanging="324"/>
        <w:spacing w:after="0"/>
        <w:tabs>
          <w:tab w:leader="none" w:pos="11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Growing a diverse workforce by attracting, hiring, and promoting talent from all backgrounds</w:t>
      </w:r>
    </w:p>
    <w:p>
      <w:pPr>
        <w:spacing w:after="0" w:line="248" w:lineRule="exact"/>
        <w:rPr>
          <w:rFonts w:ascii="Arial" w:cs="Arial" w:eastAsia="Arial" w:hAnsi="Arial"/>
          <w:sz w:val="16"/>
          <w:szCs w:val="16"/>
          <w:color w:val="auto"/>
        </w:rPr>
      </w:pPr>
    </w:p>
    <w:p>
      <w:pPr>
        <w:ind w:left="1140" w:right="420" w:hanging="324"/>
        <w:spacing w:after="0" w:line="321" w:lineRule="auto"/>
        <w:tabs>
          <w:tab w:leader="none" w:pos="11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Fostering an equitable and inclusive culture by promoting policies, practices, and programs that support and engage all employees</w:t>
      </w:r>
    </w:p>
    <w:p>
      <w:pPr>
        <w:spacing w:after="0" w:line="155" w:lineRule="exact"/>
        <w:rPr>
          <w:rFonts w:ascii="Arial" w:cs="Arial" w:eastAsia="Arial" w:hAnsi="Arial"/>
          <w:sz w:val="16"/>
          <w:szCs w:val="16"/>
          <w:color w:val="auto"/>
        </w:rPr>
      </w:pPr>
    </w:p>
    <w:p>
      <w:pPr>
        <w:ind w:left="1140" w:hanging="324"/>
        <w:spacing w:after="0"/>
        <w:tabs>
          <w:tab w:leader="none" w:pos="11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Being key contributors to the community by engaging with and investing in local communities where we operate</w:t>
      </w:r>
    </w:p>
    <w:p>
      <w:pPr>
        <w:spacing w:after="0" w:line="248" w:lineRule="exact"/>
        <w:rPr>
          <w:sz w:val="20"/>
          <w:szCs w:val="20"/>
          <w:color w:val="auto"/>
        </w:rPr>
      </w:pPr>
    </w:p>
    <w:p>
      <w:pPr>
        <w:jc w:val="both"/>
        <w:ind w:left="820" w:right="60"/>
        <w:spacing w:after="0" w:line="301" w:lineRule="auto"/>
        <w:rPr>
          <w:sz w:val="20"/>
          <w:szCs w:val="20"/>
          <w:color w:val="auto"/>
        </w:rPr>
      </w:pPr>
      <w:r>
        <w:rPr>
          <w:rFonts w:ascii="Arial" w:cs="Arial" w:eastAsia="Arial" w:hAnsi="Arial"/>
          <w:sz w:val="16"/>
          <w:szCs w:val="16"/>
          <w:color w:val="auto"/>
        </w:rPr>
        <w:t>Of note, Lucid sponsors five employee resource groups to support and empower historically excluded affinities: Women at Lucid, Pride at Lucid, Veterans at Lucid, Black at Lucid, and Sustainability at Lucid. These five groups help foster Lucid’s inclusive and dynamic workforce while helping to fuel our business objective of centering our suite of vehicles on the human experience.</w:t>
      </w:r>
    </w:p>
    <w:p>
      <w:pPr>
        <w:spacing w:after="0" w:line="91" w:lineRule="exact"/>
        <w:rPr>
          <w:sz w:val="20"/>
          <w:szCs w:val="20"/>
          <w:color w:val="auto"/>
        </w:rPr>
      </w:pPr>
    </w:p>
    <w:p>
      <w:pPr>
        <w:ind w:left="820" w:right="60" w:hanging="166"/>
        <w:spacing w:after="0" w:line="288" w:lineRule="auto"/>
        <w:tabs>
          <w:tab w:leader="none" w:pos="820" w:val="left"/>
        </w:tabs>
        <w:numPr>
          <w:ilvl w:val="0"/>
          <w:numId w:val="26"/>
        </w:numPr>
        <w:rPr>
          <w:rFonts w:ascii="Arial" w:cs="Arial" w:eastAsia="Arial" w:hAnsi="Arial"/>
          <w:sz w:val="16"/>
          <w:szCs w:val="16"/>
          <w:color w:val="8A6B24"/>
        </w:rPr>
      </w:pPr>
      <w:r>
        <w:rPr>
          <w:rFonts w:ascii="Arial" w:cs="Arial" w:eastAsia="Arial" w:hAnsi="Arial"/>
          <w:sz w:val="16"/>
          <w:szCs w:val="16"/>
          <w:b w:val="1"/>
          <w:bCs w:val="1"/>
          <w:i w:val="1"/>
          <w:iCs w:val="1"/>
          <w:color w:val="auto"/>
        </w:rPr>
        <w:t xml:space="preserve">Compensation and Benefits: </w:t>
      </w:r>
      <w:r>
        <w:rPr>
          <w:rFonts w:ascii="Arial" w:cs="Arial" w:eastAsia="Arial" w:hAnsi="Arial"/>
          <w:sz w:val="16"/>
          <w:szCs w:val="16"/>
          <w:color w:val="auto"/>
        </w:rPr>
        <w:t>We offer competitive compensation to attract and retain the best people in the world, and we help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care for our people so they can focus on our mission. Our employees’ total compensation package includes market-competitive cash compensation and equity awards to all employees. We offer full-time employees equity at the time of hire and through annual equity grants because we want them to be owners of the company and committed to our long-term success. In 2022, we strengthened our support for employees and their families through the introduction of new on-demand, personalized mental health therapy and coaching. We are pleased to support employees and families through a comprehensive suite of insurance and retirement offerings, most of which can be individually selected by each employee to best fit their needs.</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39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Executive Officers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concerning our executive officers as of the date of this Proxy Statement:</w:t>
      </w:r>
    </w:p>
    <w:p>
      <w:pPr>
        <w:spacing w:after="0" w:line="27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920" w:type="dxa"/>
            <w:vAlign w:val="bottom"/>
            <w:shd w:val="clear" w:color="auto" w:fill="000000"/>
          </w:tcPr>
          <w:p>
            <w:pPr>
              <w:ind w:left="80"/>
              <w:spacing w:after="0"/>
              <w:rPr>
                <w:sz w:val="20"/>
                <w:szCs w:val="20"/>
                <w:color w:val="auto"/>
              </w:rPr>
            </w:pPr>
            <w:r>
              <w:rPr>
                <w:rFonts w:ascii="Arial" w:cs="Arial" w:eastAsia="Arial" w:hAnsi="Arial"/>
                <w:sz w:val="13"/>
                <w:szCs w:val="13"/>
                <w:b w:val="1"/>
                <w:bCs w:val="1"/>
                <w:color w:val="FEFEFE"/>
              </w:rPr>
              <w:t>​</w:t>
            </w:r>
          </w:p>
        </w:tc>
        <w:tc>
          <w:tcPr>
            <w:tcW w:w="1820" w:type="dxa"/>
            <w:vAlign w:val="bottom"/>
            <w:shd w:val="clear" w:color="auto" w:fill="000000"/>
          </w:tcPr>
          <w:p>
            <w:pPr>
              <w:ind w:left="178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360" w:type="dxa"/>
            <w:vAlign w:val="bottom"/>
            <w:shd w:val="clear" w:color="auto" w:fill="000000"/>
          </w:tcPr>
          <w:p>
            <w:pPr>
              <w:ind w:left="32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4080" w:type="dxa"/>
            <w:vAlign w:val="bottom"/>
            <w:shd w:val="clear" w:color="auto" w:fill="000000"/>
          </w:tcPr>
          <w:p>
            <w:pPr>
              <w:ind w:left="3980"/>
              <w:spacing w:after="0"/>
              <w:rPr>
                <w:sz w:val="20"/>
                <w:szCs w:val="20"/>
                <w:color w:val="auto"/>
              </w:rPr>
            </w:pPr>
            <w:r>
              <w:rPr>
                <w:rFonts w:ascii="Arial" w:cs="Arial" w:eastAsia="Arial" w:hAnsi="Arial"/>
                <w:sz w:val="13"/>
                <w:szCs w:val="13"/>
                <w:b w:val="1"/>
                <w:bCs w:val="1"/>
                <w:color w:val="FEFEFE"/>
              </w:rPr>
              <w:t>​</w:t>
            </w:r>
          </w:p>
        </w:tc>
      </w:tr>
      <w:tr>
        <w:trPr>
          <w:trHeight w:val="172"/>
        </w:trPr>
        <w:tc>
          <w:tcPr>
            <w:tcW w:w="292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Name</w:t>
            </w:r>
          </w:p>
        </w:tc>
        <w:tc>
          <w:tcPr>
            <w:tcW w:w="182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36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Age</w:t>
            </w:r>
          </w:p>
        </w:tc>
        <w:tc>
          <w:tcPr>
            <w:tcW w:w="100" w:type="dxa"/>
            <w:vAlign w:val="bottom"/>
            <w:shd w:val="clear" w:color="auto" w:fill="000000"/>
          </w:tcPr>
          <w:p>
            <w:pPr>
              <w:spacing w:after="0"/>
              <w:rPr>
                <w:sz w:val="14"/>
                <w:szCs w:val="14"/>
                <w:color w:val="auto"/>
              </w:rPr>
            </w:pPr>
          </w:p>
        </w:tc>
        <w:tc>
          <w:tcPr>
            <w:tcW w:w="4080" w:type="dxa"/>
            <w:vAlign w:val="bottom"/>
            <w:shd w:val="clear" w:color="auto" w:fill="000000"/>
          </w:tcPr>
          <w:p>
            <w:pPr>
              <w:ind w:left="1700"/>
              <w:spacing w:after="0"/>
              <w:rPr>
                <w:sz w:val="20"/>
                <w:szCs w:val="20"/>
                <w:color w:val="auto"/>
              </w:rPr>
            </w:pPr>
            <w:r>
              <w:rPr>
                <w:rFonts w:ascii="Arial" w:cs="Arial" w:eastAsia="Arial" w:hAnsi="Arial"/>
                <w:sz w:val="13"/>
                <w:szCs w:val="13"/>
                <w:b w:val="1"/>
                <w:bCs w:val="1"/>
                <w:color w:val="FEFEFE"/>
              </w:rPr>
              <w:t>Position</w:t>
            </w:r>
          </w:p>
        </w:tc>
      </w:tr>
      <w:tr>
        <w:trPr>
          <w:trHeight w:val="116"/>
        </w:trPr>
        <w:tc>
          <w:tcPr>
            <w:tcW w:w="2920" w:type="dxa"/>
            <w:vAlign w:val="bottom"/>
            <w:shd w:val="clear" w:color="auto" w:fill="000000"/>
          </w:tcPr>
          <w:p>
            <w:pPr>
              <w:spacing w:after="0"/>
              <w:rPr>
                <w:sz w:val="10"/>
                <w:szCs w:val="10"/>
                <w:color w:val="auto"/>
              </w:rPr>
            </w:pPr>
          </w:p>
        </w:tc>
        <w:tc>
          <w:tcPr>
            <w:tcW w:w="182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36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4080" w:type="dxa"/>
            <w:vAlign w:val="bottom"/>
            <w:shd w:val="clear" w:color="auto" w:fill="000000"/>
          </w:tcPr>
          <w:p>
            <w:pPr>
              <w:spacing w:after="0"/>
              <w:rPr>
                <w:sz w:val="10"/>
                <w:szCs w:val="10"/>
                <w:color w:val="auto"/>
              </w:rPr>
            </w:pPr>
          </w:p>
        </w:tc>
      </w:tr>
      <w:tr>
        <w:trPr>
          <w:trHeight w:val="126"/>
        </w:trPr>
        <w:tc>
          <w:tcPr>
            <w:tcW w:w="2920" w:type="dxa"/>
            <w:vAlign w:val="bottom"/>
          </w:tcPr>
          <w:p>
            <w:pPr>
              <w:spacing w:after="0" w:line="126" w:lineRule="exact"/>
              <w:rPr>
                <w:sz w:val="20"/>
                <w:szCs w:val="20"/>
                <w:color w:val="auto"/>
              </w:rPr>
            </w:pPr>
            <w:r>
              <w:rPr>
                <w:rFonts w:ascii="Arial" w:cs="Arial" w:eastAsia="Arial" w:hAnsi="Arial"/>
                <w:sz w:val="14"/>
                <w:szCs w:val="14"/>
                <w:color w:val="auto"/>
              </w:rPr>
              <w:t>​</w:t>
            </w:r>
          </w:p>
        </w:tc>
        <w:tc>
          <w:tcPr>
            <w:tcW w:w="1820" w:type="dxa"/>
            <w:vAlign w:val="bottom"/>
          </w:tcPr>
          <w:p>
            <w:pPr>
              <w:ind w:left="1720"/>
              <w:spacing w:after="0" w:line="126"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26" w:lineRule="exact"/>
              <w:rPr>
                <w:sz w:val="20"/>
                <w:szCs w:val="20"/>
                <w:color w:val="auto"/>
              </w:rPr>
            </w:pPr>
            <w:r>
              <w:rPr>
                <w:rFonts w:ascii="Arial" w:cs="Arial" w:eastAsia="Arial" w:hAnsi="Arial"/>
                <w:sz w:val="14"/>
                <w:szCs w:val="14"/>
                <w:color w:val="auto"/>
              </w:rPr>
              <w:t>​</w:t>
            </w:r>
          </w:p>
        </w:tc>
        <w:tc>
          <w:tcPr>
            <w:tcW w:w="360" w:type="dxa"/>
            <w:vAlign w:val="bottom"/>
          </w:tcPr>
          <w:p>
            <w:pPr>
              <w:ind w:left="260"/>
              <w:spacing w:after="0" w:line="126"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26" w:lineRule="exact"/>
              <w:rPr>
                <w:sz w:val="20"/>
                <w:szCs w:val="20"/>
                <w:color w:val="auto"/>
              </w:rPr>
            </w:pPr>
            <w:r>
              <w:rPr>
                <w:rFonts w:ascii="Arial" w:cs="Arial" w:eastAsia="Arial" w:hAnsi="Arial"/>
                <w:sz w:val="14"/>
                <w:szCs w:val="14"/>
                <w:color w:val="auto"/>
              </w:rPr>
              <w:t>​</w:t>
            </w:r>
          </w:p>
        </w:tc>
        <w:tc>
          <w:tcPr>
            <w:tcW w:w="4080" w:type="dxa"/>
            <w:vAlign w:val="bottom"/>
          </w:tcPr>
          <w:p>
            <w:pPr>
              <w:ind w:left="3880"/>
              <w:spacing w:after="0" w:line="126" w:lineRule="exact"/>
              <w:rPr>
                <w:sz w:val="20"/>
                <w:szCs w:val="20"/>
                <w:color w:val="auto"/>
              </w:rPr>
            </w:pPr>
            <w:r>
              <w:rPr>
                <w:rFonts w:ascii="Arial" w:cs="Arial" w:eastAsia="Arial" w:hAnsi="Arial"/>
                <w:sz w:val="14"/>
                <w:szCs w:val="14"/>
                <w:color w:val="auto"/>
              </w:rPr>
              <w:t>​</w:t>
            </w:r>
          </w:p>
        </w:tc>
      </w:tr>
      <w:tr>
        <w:trPr>
          <w:trHeight w:val="190"/>
        </w:trPr>
        <w:tc>
          <w:tcPr>
            <w:tcW w:w="2920" w:type="dxa"/>
            <w:vAlign w:val="bottom"/>
          </w:tcPr>
          <w:p>
            <w:pPr>
              <w:ind w:left="160"/>
              <w:spacing w:after="0"/>
              <w:rPr>
                <w:sz w:val="20"/>
                <w:szCs w:val="20"/>
                <w:color w:val="auto"/>
              </w:rPr>
            </w:pPr>
            <w:r>
              <w:rPr>
                <w:rFonts w:ascii="Arial" w:cs="Arial" w:eastAsia="Arial" w:hAnsi="Arial"/>
                <w:sz w:val="14"/>
                <w:szCs w:val="14"/>
                <w:color w:val="auto"/>
              </w:rPr>
              <w:t>Peter Rawlinson</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Chief Executive Officer, Chief Technology Officer &amp; Director</w:t>
            </w:r>
          </w:p>
        </w:tc>
      </w:tr>
      <w:tr>
        <w:trPr>
          <w:trHeight w:val="103"/>
        </w:trPr>
        <w:tc>
          <w:tcPr>
            <w:tcW w:w="29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r>
      <w:tr>
        <w:trPr>
          <w:trHeight w:val="115"/>
        </w:trPr>
        <w:tc>
          <w:tcPr>
            <w:tcW w:w="29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820" w:type="dxa"/>
            <w:vAlign w:val="bottom"/>
            <w:shd w:val="clear" w:color="auto" w:fill="F7F7F7"/>
          </w:tcPr>
          <w:p>
            <w:pPr>
              <w:ind w:left="1720"/>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60" w:type="dxa"/>
            <w:vAlign w:val="bottom"/>
            <w:shd w:val="clear" w:color="auto" w:fill="F7F7F7"/>
          </w:tcPr>
          <w:p>
            <w:pPr>
              <w:ind w:left="260"/>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4080" w:type="dxa"/>
            <w:vAlign w:val="bottom"/>
            <w:shd w:val="clear" w:color="auto" w:fill="F7F7F7"/>
          </w:tcPr>
          <w:p>
            <w:pPr>
              <w:ind w:left="3880"/>
              <w:spacing w:after="0" w:line="115" w:lineRule="exact"/>
              <w:rPr>
                <w:sz w:val="20"/>
                <w:szCs w:val="20"/>
                <w:color w:val="auto"/>
              </w:rPr>
            </w:pPr>
            <w:r>
              <w:rPr>
                <w:rFonts w:ascii="Arial" w:cs="Arial" w:eastAsia="Arial" w:hAnsi="Arial"/>
                <w:sz w:val="13"/>
                <w:szCs w:val="13"/>
                <w:color w:val="auto"/>
              </w:rPr>
              <w:t>​</w:t>
            </w:r>
          </w:p>
        </w:tc>
      </w:tr>
      <w:tr>
        <w:trPr>
          <w:trHeight w:val="190"/>
        </w:trPr>
        <w:tc>
          <w:tcPr>
            <w:tcW w:w="29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Sherry House</w:t>
            </w:r>
          </w:p>
        </w:tc>
        <w:tc>
          <w:tcPr>
            <w:tcW w:w="1820" w:type="dxa"/>
            <w:vAlign w:val="bottom"/>
            <w:shd w:val="clear" w:color="auto" w:fill="F7F7F7"/>
          </w:tcPr>
          <w:p>
            <w:pPr>
              <w:spacing w:after="0"/>
              <w:rPr>
                <w:sz w:val="16"/>
                <w:szCs w:val="16"/>
                <w:color w:val="auto"/>
              </w:rPr>
            </w:pPr>
          </w:p>
        </w:tc>
        <w:tc>
          <w:tcPr>
            <w:tcW w:w="100" w:type="dxa"/>
            <w:vAlign w:val="bottom"/>
            <w:shd w:val="clear" w:color="auto" w:fill="F7F7F7"/>
          </w:tcPr>
          <w:p>
            <w:pPr>
              <w:spacing w:after="0"/>
              <w:rPr>
                <w:sz w:val="16"/>
                <w:szCs w:val="16"/>
                <w:color w:val="auto"/>
              </w:rPr>
            </w:pPr>
          </w:p>
        </w:tc>
        <w:tc>
          <w:tcPr>
            <w:tcW w:w="360" w:type="dxa"/>
            <w:vAlign w:val="bottom"/>
            <w:shd w:val="clear" w:color="auto" w:fill="F7F7F7"/>
          </w:tcPr>
          <w:p>
            <w:pPr>
              <w:ind w:left="20"/>
              <w:spacing w:after="0"/>
              <w:rPr>
                <w:sz w:val="20"/>
                <w:szCs w:val="20"/>
                <w:color w:val="auto"/>
              </w:rPr>
            </w:pPr>
            <w:r>
              <w:rPr>
                <w:rFonts w:ascii="Arial" w:cs="Arial" w:eastAsia="Arial" w:hAnsi="Arial"/>
                <w:sz w:val="14"/>
                <w:szCs w:val="14"/>
                <w:color w:val="auto"/>
              </w:rPr>
              <w:t>51</w:t>
            </w:r>
          </w:p>
        </w:tc>
        <w:tc>
          <w:tcPr>
            <w:tcW w:w="100" w:type="dxa"/>
            <w:vAlign w:val="bottom"/>
            <w:shd w:val="clear" w:color="auto" w:fill="F7F7F7"/>
          </w:tcPr>
          <w:p>
            <w:pPr>
              <w:spacing w:after="0"/>
              <w:rPr>
                <w:sz w:val="16"/>
                <w:szCs w:val="16"/>
                <w:color w:val="auto"/>
              </w:rPr>
            </w:pPr>
          </w:p>
        </w:tc>
        <w:tc>
          <w:tcPr>
            <w:tcW w:w="4080" w:type="dxa"/>
            <w:vAlign w:val="bottom"/>
            <w:shd w:val="clear" w:color="auto" w:fill="F7F7F7"/>
          </w:tcPr>
          <w:p>
            <w:pPr>
              <w:ind w:left="20"/>
              <w:spacing w:after="0"/>
              <w:rPr>
                <w:sz w:val="20"/>
                <w:szCs w:val="20"/>
                <w:color w:val="auto"/>
              </w:rPr>
            </w:pPr>
            <w:r>
              <w:rPr>
                <w:rFonts w:ascii="Arial" w:cs="Arial" w:eastAsia="Arial" w:hAnsi="Arial"/>
                <w:sz w:val="14"/>
                <w:szCs w:val="14"/>
                <w:color w:val="auto"/>
              </w:rPr>
              <w:t>Chief Financial Officer</w:t>
            </w:r>
          </w:p>
        </w:tc>
      </w:tr>
      <w:tr>
        <w:trPr>
          <w:trHeight w:val="93"/>
        </w:trPr>
        <w:tc>
          <w:tcPr>
            <w:tcW w:w="2920" w:type="dxa"/>
            <w:vAlign w:val="bottom"/>
            <w:tcBorders>
              <w:bottom w:val="single" w:sz="8" w:color="auto"/>
            </w:tcBorders>
            <w:shd w:val="clear" w:color="auto" w:fill="F7F7F7"/>
          </w:tcPr>
          <w:p>
            <w:pPr>
              <w:spacing w:after="0"/>
              <w:rPr>
                <w:sz w:val="8"/>
                <w:szCs w:val="8"/>
                <w:color w:val="auto"/>
              </w:rPr>
            </w:pPr>
          </w:p>
        </w:tc>
        <w:tc>
          <w:tcPr>
            <w:tcW w:w="182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36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4080" w:type="dxa"/>
            <w:vAlign w:val="bottom"/>
            <w:tcBorders>
              <w:bottom w:val="single" w:sz="8" w:color="auto"/>
            </w:tcBorders>
            <w:shd w:val="clear" w:color="auto" w:fill="F7F7F7"/>
          </w:tcPr>
          <w:p>
            <w:pPr>
              <w:spacing w:after="0"/>
              <w:rPr>
                <w:sz w:val="8"/>
                <w:szCs w:val="8"/>
                <w:color w:val="auto"/>
              </w:rPr>
            </w:pPr>
          </w:p>
        </w:tc>
      </w:tr>
      <w:tr>
        <w:trPr>
          <w:trHeight w:val="115"/>
        </w:trPr>
        <w:tc>
          <w:tcPr>
            <w:tcW w:w="292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820" w:type="dxa"/>
            <w:vAlign w:val="bottom"/>
          </w:tcPr>
          <w:p>
            <w:pPr>
              <w:ind w:left="1720"/>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360" w:type="dxa"/>
            <w:vAlign w:val="bottom"/>
          </w:tcPr>
          <w:p>
            <w:pPr>
              <w:ind w:left="260"/>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4080" w:type="dxa"/>
            <w:vAlign w:val="bottom"/>
          </w:tcPr>
          <w:p>
            <w:pPr>
              <w:ind w:left="3880"/>
              <w:spacing w:after="0" w:line="115" w:lineRule="exact"/>
              <w:rPr>
                <w:sz w:val="20"/>
                <w:szCs w:val="20"/>
                <w:color w:val="auto"/>
              </w:rPr>
            </w:pPr>
            <w:r>
              <w:rPr>
                <w:rFonts w:ascii="Arial" w:cs="Arial" w:eastAsia="Arial" w:hAnsi="Arial"/>
                <w:sz w:val="13"/>
                <w:szCs w:val="13"/>
                <w:color w:val="auto"/>
              </w:rPr>
              <w:t>​</w:t>
            </w:r>
          </w:p>
        </w:tc>
      </w:tr>
      <w:tr>
        <w:trPr>
          <w:trHeight w:val="190"/>
        </w:trPr>
        <w:tc>
          <w:tcPr>
            <w:tcW w:w="2920" w:type="dxa"/>
            <w:vAlign w:val="bottom"/>
          </w:tcPr>
          <w:p>
            <w:pPr>
              <w:ind w:left="160"/>
              <w:spacing w:after="0"/>
              <w:rPr>
                <w:sz w:val="20"/>
                <w:szCs w:val="20"/>
                <w:color w:val="auto"/>
              </w:rPr>
            </w:pPr>
            <w:r>
              <w:rPr>
                <w:rFonts w:ascii="Arial" w:cs="Arial" w:eastAsia="Arial" w:hAnsi="Arial"/>
                <w:sz w:val="14"/>
                <w:szCs w:val="14"/>
                <w:color w:val="auto"/>
              </w:rPr>
              <w:t>Eric Bach</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4080" w:type="dxa"/>
            <w:vAlign w:val="bottom"/>
          </w:tcPr>
          <w:p>
            <w:pPr>
              <w:ind w:left="20"/>
              <w:spacing w:after="0"/>
              <w:rPr>
                <w:sz w:val="20"/>
                <w:szCs w:val="20"/>
                <w:color w:val="auto"/>
              </w:rPr>
            </w:pPr>
            <w:r>
              <w:rPr>
                <w:rFonts w:ascii="Arial" w:cs="Arial" w:eastAsia="Arial" w:hAnsi="Arial"/>
                <w:sz w:val="14"/>
                <w:szCs w:val="14"/>
                <w:color w:val="auto"/>
              </w:rPr>
              <w:t>Senior Vice President, Product and Chief Engineer</w:t>
            </w:r>
          </w:p>
        </w:tc>
      </w:tr>
      <w:tr>
        <w:trPr>
          <w:trHeight w:val="93"/>
        </w:trPr>
        <w:tc>
          <w:tcPr>
            <w:tcW w:w="29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80" w:type="dxa"/>
            <w:vAlign w:val="bottom"/>
            <w:tcBorders>
              <w:bottom w:val="single" w:sz="8" w:color="auto"/>
            </w:tcBorders>
          </w:tcPr>
          <w:p>
            <w:pPr>
              <w:spacing w:after="0"/>
              <w:rPr>
                <w:sz w:val="8"/>
                <w:szCs w:val="8"/>
                <w:color w:val="auto"/>
              </w:rPr>
            </w:pPr>
          </w:p>
        </w:tc>
      </w:tr>
      <w:tr>
        <w:trPr>
          <w:trHeight w:val="115"/>
        </w:trPr>
        <w:tc>
          <w:tcPr>
            <w:tcW w:w="29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820" w:type="dxa"/>
            <w:vAlign w:val="bottom"/>
            <w:shd w:val="clear" w:color="auto" w:fill="F7F7F7"/>
          </w:tcPr>
          <w:p>
            <w:pPr>
              <w:ind w:left="1720"/>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60" w:type="dxa"/>
            <w:vAlign w:val="bottom"/>
            <w:shd w:val="clear" w:color="auto" w:fill="F7F7F7"/>
          </w:tcPr>
          <w:p>
            <w:pPr>
              <w:ind w:left="260"/>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4080" w:type="dxa"/>
            <w:vAlign w:val="bottom"/>
            <w:shd w:val="clear" w:color="auto" w:fill="F7F7F7"/>
          </w:tcPr>
          <w:p>
            <w:pPr>
              <w:ind w:left="3880"/>
              <w:spacing w:after="0" w:line="115" w:lineRule="exact"/>
              <w:rPr>
                <w:sz w:val="20"/>
                <w:szCs w:val="20"/>
                <w:color w:val="auto"/>
              </w:rPr>
            </w:pPr>
            <w:r>
              <w:rPr>
                <w:rFonts w:ascii="Arial" w:cs="Arial" w:eastAsia="Arial" w:hAnsi="Arial"/>
                <w:sz w:val="13"/>
                <w:szCs w:val="13"/>
                <w:color w:val="auto"/>
              </w:rPr>
              <w:t>​</w:t>
            </w:r>
          </w:p>
        </w:tc>
      </w:tr>
      <w:tr>
        <w:trPr>
          <w:trHeight w:val="190"/>
        </w:trPr>
        <w:tc>
          <w:tcPr>
            <w:tcW w:w="2920" w:type="dxa"/>
            <w:vAlign w:val="bottom"/>
            <w:shd w:val="clear" w:color="auto" w:fill="F7F7F7"/>
          </w:tcPr>
          <w:p>
            <w:pPr>
              <w:ind w:left="160"/>
              <w:spacing w:after="0"/>
              <w:rPr>
                <w:sz w:val="20"/>
                <w:szCs w:val="20"/>
                <w:color w:val="auto"/>
              </w:rPr>
            </w:pPr>
            <w:r>
              <w:rPr>
                <w:rFonts w:ascii="Arial" w:cs="Arial" w:eastAsia="Arial" w:hAnsi="Arial"/>
                <w:sz w:val="14"/>
                <w:szCs w:val="14"/>
                <w:color w:val="auto"/>
              </w:rPr>
              <w:t>Michael Bell</w:t>
            </w:r>
          </w:p>
        </w:tc>
        <w:tc>
          <w:tcPr>
            <w:tcW w:w="1820" w:type="dxa"/>
            <w:vAlign w:val="bottom"/>
            <w:shd w:val="clear" w:color="auto" w:fill="F7F7F7"/>
          </w:tcPr>
          <w:p>
            <w:pPr>
              <w:spacing w:after="0"/>
              <w:rPr>
                <w:sz w:val="16"/>
                <w:szCs w:val="16"/>
                <w:color w:val="auto"/>
              </w:rPr>
            </w:pPr>
          </w:p>
        </w:tc>
        <w:tc>
          <w:tcPr>
            <w:tcW w:w="100" w:type="dxa"/>
            <w:vAlign w:val="bottom"/>
            <w:shd w:val="clear" w:color="auto" w:fill="F7F7F7"/>
          </w:tcPr>
          <w:p>
            <w:pPr>
              <w:spacing w:after="0"/>
              <w:rPr>
                <w:sz w:val="16"/>
                <w:szCs w:val="16"/>
                <w:color w:val="auto"/>
              </w:rPr>
            </w:pPr>
          </w:p>
        </w:tc>
        <w:tc>
          <w:tcPr>
            <w:tcW w:w="360" w:type="dxa"/>
            <w:vAlign w:val="bottom"/>
            <w:shd w:val="clear" w:color="auto" w:fill="F7F7F7"/>
          </w:tcPr>
          <w:p>
            <w:pPr>
              <w:ind w:left="20"/>
              <w:spacing w:after="0"/>
              <w:rPr>
                <w:sz w:val="20"/>
                <w:szCs w:val="20"/>
                <w:color w:val="auto"/>
              </w:rPr>
            </w:pPr>
            <w:r>
              <w:rPr>
                <w:rFonts w:ascii="Arial" w:cs="Arial" w:eastAsia="Arial" w:hAnsi="Arial"/>
                <w:sz w:val="14"/>
                <w:szCs w:val="14"/>
                <w:color w:val="auto"/>
              </w:rPr>
              <w:t>56</w:t>
            </w:r>
          </w:p>
        </w:tc>
        <w:tc>
          <w:tcPr>
            <w:tcW w:w="100" w:type="dxa"/>
            <w:vAlign w:val="bottom"/>
            <w:shd w:val="clear" w:color="auto" w:fill="F7F7F7"/>
          </w:tcPr>
          <w:p>
            <w:pPr>
              <w:spacing w:after="0"/>
              <w:rPr>
                <w:sz w:val="16"/>
                <w:szCs w:val="16"/>
                <w:color w:val="auto"/>
              </w:rPr>
            </w:pPr>
          </w:p>
        </w:tc>
        <w:tc>
          <w:tcPr>
            <w:tcW w:w="4080" w:type="dxa"/>
            <w:vAlign w:val="bottom"/>
            <w:shd w:val="clear" w:color="auto" w:fill="F7F7F7"/>
          </w:tcPr>
          <w:p>
            <w:pPr>
              <w:ind w:left="20"/>
              <w:spacing w:after="0"/>
              <w:rPr>
                <w:sz w:val="20"/>
                <w:szCs w:val="20"/>
                <w:color w:val="auto"/>
              </w:rPr>
            </w:pPr>
            <w:r>
              <w:rPr>
                <w:rFonts w:ascii="Arial" w:cs="Arial" w:eastAsia="Arial" w:hAnsi="Arial"/>
                <w:sz w:val="14"/>
                <w:szCs w:val="14"/>
                <w:color w:val="auto"/>
              </w:rPr>
              <w:t>Senior Vice President, Digital</w:t>
            </w:r>
          </w:p>
        </w:tc>
      </w:tr>
      <w:tr>
        <w:trPr>
          <w:trHeight w:val="93"/>
        </w:trPr>
        <w:tc>
          <w:tcPr>
            <w:tcW w:w="2920" w:type="dxa"/>
            <w:vAlign w:val="bottom"/>
            <w:tcBorders>
              <w:bottom w:val="single" w:sz="8" w:color="auto"/>
            </w:tcBorders>
            <w:shd w:val="clear" w:color="auto" w:fill="F7F7F7"/>
          </w:tcPr>
          <w:p>
            <w:pPr>
              <w:spacing w:after="0"/>
              <w:rPr>
                <w:sz w:val="8"/>
                <w:szCs w:val="8"/>
                <w:color w:val="auto"/>
              </w:rPr>
            </w:pPr>
          </w:p>
        </w:tc>
        <w:tc>
          <w:tcPr>
            <w:tcW w:w="182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36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4080" w:type="dxa"/>
            <w:vAlign w:val="bottom"/>
            <w:tcBorders>
              <w:bottom w:val="single" w:sz="8" w:color="auto"/>
            </w:tcBorders>
            <w:shd w:val="clear" w:color="auto" w:fill="F7F7F7"/>
          </w:tcPr>
          <w:p>
            <w:pPr>
              <w:spacing w:after="0"/>
              <w:rPr>
                <w:sz w:val="8"/>
                <w:szCs w:val="8"/>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family relationships among any current director, director nominee and/or any of our executive officers.</w:t>
      </w:r>
    </w:p>
    <w:p>
      <w:pPr>
        <w:spacing w:after="0" w:line="248" w:lineRule="exact"/>
        <w:rPr>
          <w:sz w:val="20"/>
          <w:szCs w:val="20"/>
          <w:color w:val="auto"/>
        </w:rPr>
      </w:pPr>
    </w:p>
    <w:p>
      <w:pPr>
        <w:ind w:left="660" w:right="280"/>
        <w:spacing w:after="0" w:line="321" w:lineRule="auto"/>
        <w:rPr>
          <w:sz w:val="20"/>
          <w:szCs w:val="20"/>
          <w:color w:val="auto"/>
        </w:rPr>
      </w:pPr>
      <w:r>
        <w:rPr>
          <w:rFonts w:ascii="Arial" w:cs="Arial" w:eastAsia="Arial" w:hAnsi="Arial"/>
          <w:sz w:val="16"/>
          <w:szCs w:val="16"/>
          <w:color w:val="auto"/>
        </w:rPr>
        <w:t>Mr. Rawlinson’s biography can be found under the section entitled “Proposal No. 1: Election of Directors” with the biographies of the other members of the Board. Biographies for our other executive officers are below.</w:t>
      </w:r>
    </w:p>
    <w:p>
      <w:pPr>
        <w:spacing w:after="0" w:line="298" w:lineRule="exact"/>
        <w:rPr>
          <w:sz w:val="20"/>
          <w:szCs w:val="20"/>
          <w:color w:val="auto"/>
        </w:rPr>
      </w:pPr>
    </w:p>
    <w:tbl>
      <w:tblPr>
        <w:tblLayout w:type="fixed"/>
        <w:tblInd w:w="660" w:type="dxa"/>
        <w:tblCellMar>
          <w:top w:w="0" w:type="dxa"/>
          <w:left w:w="0" w:type="dxa"/>
          <w:bottom w:w="0" w:type="dxa"/>
          <w:right w:w="0" w:type="dxa"/>
        </w:tblCellMar>
      </w:tblPr>
      <w:tr>
        <w:trPr>
          <w:trHeight w:val="228"/>
        </w:trPr>
        <w:tc>
          <w:tcPr>
            <w:tcW w:w="2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6360" w:type="dxa"/>
            <w:vAlign w:val="bottom"/>
            <w:tcBorders>
              <w:top w:val="single" w:sz="8" w:color="auto"/>
            </w:tcBorders>
          </w:tcPr>
          <w:p>
            <w:pPr>
              <w:ind w:left="6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ind w:left="140"/>
              <w:spacing w:after="0"/>
              <w:rPr>
                <w:sz w:val="20"/>
                <w:szCs w:val="20"/>
                <w:color w:val="auto"/>
              </w:rPr>
            </w:pPr>
            <w:r>
              <w:rPr>
                <w:rFonts w:ascii="Arial" w:cs="Arial" w:eastAsia="Arial" w:hAnsi="Arial"/>
                <w:sz w:val="16"/>
                <w:szCs w:val="16"/>
                <w:b w:val="1"/>
                <w:bCs w:val="1"/>
                <w:color w:val="auto"/>
              </w:rPr>
              <w:t xml:space="preserve">Sherry House </w:t>
            </w:r>
            <w:r>
              <w:rPr>
                <w:rFonts w:ascii="Arial" w:cs="Arial" w:eastAsia="Arial" w:hAnsi="Arial"/>
                <w:sz w:val="16"/>
                <w:szCs w:val="16"/>
                <w:color w:val="auto"/>
              </w:rPr>
              <w:t>has served as our Chief Financial Officer since May 2021. Before</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joining us, Ms. House served as the Treasurer &amp; Head of Investor Relations at</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Waymo LLC, an autonomous vehicle technology company, from July 2020 to</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April 2021, the Director of Corporate Development from January 2019 to</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June 2020, and the Director of Business &amp; Corporate Finance from August 2017</w:t>
            </w:r>
          </w:p>
        </w:tc>
        <w:tc>
          <w:tcPr>
            <w:tcW w:w="0" w:type="dxa"/>
            <w:vAlign w:val="bottom"/>
          </w:tcPr>
          <w:p>
            <w:pPr>
              <w:spacing w:after="0"/>
              <w:rPr>
                <w:sz w:val="1"/>
                <w:szCs w:val="1"/>
                <w:color w:val="auto"/>
              </w:rPr>
            </w:pPr>
          </w:p>
        </w:tc>
      </w:tr>
      <w:tr>
        <w:trPr>
          <w:trHeight w:val="202"/>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to January 2019. Prior to Waymo, she served as Vice President of Corporate</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Development at Visteon Corporation, an automotive electronics supplier, from</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December 2016 to August 2017 and as Managing Director at Deloitte Corporate</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Finance LLC, a global professional services firm, from November 2014 to</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December 2016, and as Senior Vice President from May 2011 to November 2014.</w:t>
            </w: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Ms. House also previously held high level positions at GTCR, Alta Partners, and</w:t>
            </w:r>
          </w:p>
        </w:tc>
        <w:tc>
          <w:tcPr>
            <w:tcW w:w="0" w:type="dxa"/>
            <w:vAlign w:val="bottom"/>
          </w:tcPr>
          <w:p>
            <w:pPr>
              <w:spacing w:after="0"/>
              <w:rPr>
                <w:sz w:val="1"/>
                <w:szCs w:val="1"/>
                <w:color w:val="auto"/>
              </w:rPr>
            </w:pPr>
          </w:p>
        </w:tc>
      </w:tr>
      <w:tr>
        <w:trPr>
          <w:trHeight w:val="202"/>
        </w:trPr>
        <w:tc>
          <w:tcPr>
            <w:tcW w:w="2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General Motors. Ms. House holds a B.S. in Mechanical Engineering and a B.S. in</w:t>
            </w:r>
          </w:p>
        </w:tc>
        <w:tc>
          <w:tcPr>
            <w:tcW w:w="0" w:type="dxa"/>
            <w:vAlign w:val="bottom"/>
          </w:tcPr>
          <w:p>
            <w:pPr>
              <w:spacing w:after="0"/>
              <w:rPr>
                <w:sz w:val="1"/>
                <w:szCs w:val="1"/>
                <w:color w:val="auto"/>
              </w:rPr>
            </w:pPr>
          </w:p>
        </w:tc>
      </w:tr>
      <w:tr>
        <w:trPr>
          <w:trHeight w:val="189"/>
        </w:trPr>
        <w:tc>
          <w:tcPr>
            <w:tcW w:w="2120" w:type="dxa"/>
            <w:vAlign w:val="bottom"/>
            <w:vMerge w:val="restart"/>
          </w:tcPr>
          <w:p>
            <w:pPr>
              <w:ind w:left="320"/>
              <w:spacing w:after="0"/>
              <w:rPr>
                <w:sz w:val="20"/>
                <w:szCs w:val="20"/>
                <w:color w:val="auto"/>
              </w:rPr>
            </w:pPr>
            <w:r>
              <w:rPr>
                <w:rFonts w:ascii="Arial" w:cs="Arial" w:eastAsia="Arial" w:hAnsi="Arial"/>
                <w:sz w:val="22"/>
                <w:szCs w:val="22"/>
                <w:b w:val="1"/>
                <w:bCs w:val="1"/>
                <w:color w:val="auto"/>
              </w:rPr>
              <w:t>Sherry House</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Industrial Engineering from Kettering University and a Master of Manufacturing</w:t>
            </w:r>
          </w:p>
        </w:tc>
        <w:tc>
          <w:tcPr>
            <w:tcW w:w="0" w:type="dxa"/>
            <w:vAlign w:val="bottom"/>
          </w:tcPr>
          <w:p>
            <w:pPr>
              <w:spacing w:after="0"/>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Engineering and an M.B.A. from the University of Michigan. She is also a licensed</w:t>
            </w:r>
          </w:p>
        </w:tc>
        <w:tc>
          <w:tcPr>
            <w:tcW w:w="0" w:type="dxa"/>
            <w:vAlign w:val="bottom"/>
          </w:tcPr>
          <w:p>
            <w:pPr>
              <w:spacing w:after="0"/>
              <w:rPr>
                <w:sz w:val="1"/>
                <w:szCs w:val="1"/>
                <w:color w:val="auto"/>
              </w:rPr>
            </w:pPr>
          </w:p>
        </w:tc>
      </w:tr>
      <w:tr>
        <w:trPr>
          <w:trHeight w:val="215"/>
        </w:trPr>
        <w:tc>
          <w:tcPr>
            <w:tcW w:w="2120" w:type="dxa"/>
            <w:vAlign w:val="bottom"/>
            <w:vMerge w:val="restart"/>
          </w:tcPr>
          <w:p>
            <w:pPr>
              <w:ind w:left="320"/>
              <w:spacing w:after="0"/>
              <w:rPr>
                <w:sz w:val="20"/>
                <w:szCs w:val="20"/>
                <w:color w:val="auto"/>
              </w:rPr>
            </w:pPr>
            <w:r>
              <w:rPr>
                <w:rFonts w:ascii="Arial" w:cs="Arial" w:eastAsia="Arial" w:hAnsi="Arial"/>
                <w:sz w:val="14"/>
                <w:szCs w:val="14"/>
                <w:color w:val="auto"/>
              </w:rPr>
              <w:t>Chief Financial Officer</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360" w:type="dxa"/>
            <w:vAlign w:val="bottom"/>
          </w:tcPr>
          <w:p>
            <w:pPr>
              <w:ind w:left="140"/>
              <w:spacing w:after="0"/>
              <w:rPr>
                <w:sz w:val="20"/>
                <w:szCs w:val="20"/>
                <w:color w:val="auto"/>
              </w:rPr>
            </w:pPr>
            <w:r>
              <w:rPr>
                <w:rFonts w:ascii="Arial" w:cs="Arial" w:eastAsia="Arial" w:hAnsi="Arial"/>
                <w:sz w:val="16"/>
                <w:szCs w:val="16"/>
                <w:color w:val="auto"/>
              </w:rPr>
              <w:t>and registered C.P.A. in the State of Illinois.</w:t>
            </w:r>
          </w:p>
        </w:tc>
        <w:tc>
          <w:tcPr>
            <w:tcW w:w="0" w:type="dxa"/>
            <w:vAlign w:val="bottom"/>
          </w:tcPr>
          <w:p>
            <w:pPr>
              <w:spacing w:after="0"/>
              <w:rPr>
                <w:sz w:val="1"/>
                <w:szCs w:val="1"/>
                <w:color w:val="auto"/>
              </w:rPr>
            </w:pPr>
          </w:p>
        </w:tc>
      </w:tr>
      <w:tr>
        <w:trPr>
          <w:trHeight w:val="169"/>
        </w:trPr>
        <w:tc>
          <w:tcPr>
            <w:tcW w:w="21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2120" w:type="dxa"/>
            <w:vAlign w:val="bottom"/>
          </w:tcPr>
          <w:p>
            <w:pPr>
              <w:ind w:left="320"/>
              <w:spacing w:after="0"/>
              <w:rPr>
                <w:sz w:val="20"/>
                <w:szCs w:val="20"/>
                <w:color w:val="auto"/>
              </w:rPr>
            </w:pPr>
            <w:r>
              <w:rPr>
                <w:rFonts w:ascii="Arial" w:cs="Arial" w:eastAsia="Arial" w:hAnsi="Arial"/>
                <w:sz w:val="14"/>
                <w:szCs w:val="14"/>
                <w:color w:val="auto"/>
              </w:rPr>
              <w:t>Age: 51</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-2399665</wp:posOffset>
            </wp:positionV>
            <wp:extent cx="1397000" cy="13970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​40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20"/>
        <w:spacing w:after="0"/>
        <w:tabs>
          <w:tab w:leader="none" w:pos="3320" w:val="left"/>
          <w:tab w:leader="none" w:pos="3640" w:val="left"/>
          <w:tab w:leader="none" w:pos="98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-115570</wp:posOffset>
            </wp:positionV>
            <wp:extent cx="59664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20" w:lineRule="exact"/>
        <w:rPr>
          <w:sz w:val="20"/>
          <w:szCs w:val="20"/>
          <w:color w:val="auto"/>
        </w:rPr>
      </w:pPr>
    </w:p>
    <w:p>
      <w:pPr>
        <w:ind w:left="3820" w:right="400"/>
        <w:spacing w:after="0" w:line="259" w:lineRule="auto"/>
        <w:rPr>
          <w:sz w:val="20"/>
          <w:szCs w:val="20"/>
          <w:color w:val="auto"/>
        </w:rPr>
      </w:pPr>
      <w:r>
        <w:rPr>
          <w:rFonts w:ascii="Arial" w:cs="Arial" w:eastAsia="Arial" w:hAnsi="Arial"/>
          <w:sz w:val="16"/>
          <w:szCs w:val="16"/>
          <w:b w:val="1"/>
          <w:bCs w:val="1"/>
          <w:color w:val="auto"/>
        </w:rPr>
        <w:t xml:space="preserve">Eric Bach </w:t>
      </w:r>
      <w:r>
        <w:rPr>
          <w:rFonts w:ascii="Arial" w:cs="Arial" w:eastAsia="Arial" w:hAnsi="Arial"/>
          <w:sz w:val="16"/>
          <w:szCs w:val="16"/>
          <w:color w:val="auto"/>
        </w:rPr>
        <w:t>has served as our Senior Vice President, Product and Chief Engineer</w:t>
      </w:r>
      <w:r>
        <w:rPr>
          <w:rFonts w:ascii="Arial" w:cs="Arial" w:eastAsia="Arial" w:hAnsi="Arial"/>
          <w:sz w:val="16"/>
          <w:szCs w:val="16"/>
          <w:b w:val="1"/>
          <w:bCs w:val="1"/>
          <w:color w:val="auto"/>
        </w:rPr>
        <w:t xml:space="preserve"> </w:t>
      </w:r>
      <w:r>
        <w:rPr>
          <w:rFonts w:ascii="Arial" w:cs="Arial" w:eastAsia="Arial" w:hAnsi="Arial"/>
          <w:sz w:val="16"/>
          <w:szCs w:val="16"/>
          <w:color w:val="auto"/>
        </w:rPr>
        <w:t>since March 2021. Mr. Bach previously served as our Vice President, Hardware Engineering from September 2018 to February 2021 and as Senior Director, Body Engineering from April 2015 to August 2018. Prior to joining us, Mr. Bach was Director of Engineering at Tesla, Inc. from January 2012 to March 2015. From 2000 to December 2011, he served in a variety of engineering and program leadership roles at Volkswagen AG in both Germany and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-873125</wp:posOffset>
            </wp:positionV>
            <wp:extent cx="1397000" cy="13970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ind w:left="3820" w:right="460"/>
        <w:spacing w:after="0" w:line="283" w:lineRule="auto"/>
        <w:rPr>
          <w:sz w:val="20"/>
          <w:szCs w:val="20"/>
          <w:color w:val="auto"/>
        </w:rPr>
      </w:pPr>
      <w:r>
        <w:rPr>
          <w:rFonts w:ascii="Arial" w:cs="Arial" w:eastAsia="Arial" w:hAnsi="Arial"/>
          <w:sz w:val="16"/>
          <w:szCs w:val="16"/>
          <w:color w:val="auto"/>
        </w:rPr>
        <w:t>Mr. Bach holds a Diplom-Ingenieur degree from Friedrich-Alexander University in Erlangen, Germany.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Eric Bach</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Senior Vice President, Product</w:t>
      </w:r>
    </w:p>
    <w:p>
      <w:pPr>
        <w:spacing w:after="0" w:line="1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and Chief Engineer</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212090</wp:posOffset>
            </wp:positionV>
            <wp:extent cx="59664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97790</wp:posOffset>
            </wp:positionV>
            <wp:extent cx="1397000" cy="13970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9700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Michael Bell</w:t>
      </w:r>
    </w:p>
    <w:p>
      <w:pPr>
        <w:spacing w:after="0" w:line="171" w:lineRule="exact"/>
        <w:rPr>
          <w:sz w:val="20"/>
          <w:szCs w:val="20"/>
          <w:color w:val="auto"/>
        </w:rPr>
      </w:pPr>
    </w:p>
    <w:p>
      <w:pPr>
        <w:ind w:left="980"/>
        <w:spacing w:after="0" w:line="526" w:lineRule="auto"/>
        <w:rPr>
          <w:sz w:val="20"/>
          <w:szCs w:val="20"/>
          <w:color w:val="auto"/>
        </w:rPr>
      </w:pPr>
      <w:r>
        <w:rPr>
          <w:rFonts w:ascii="Arial" w:cs="Arial" w:eastAsia="Arial" w:hAnsi="Arial"/>
          <w:sz w:val="14"/>
          <w:szCs w:val="14"/>
          <w:color w:val="auto"/>
        </w:rPr>
        <w:t>Senior Vice President, Digital Age: 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300" w:val="left"/>
          <w:tab w:leader="none" w:pos="65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-1706245</wp:posOffset>
            </wp:positionH>
            <wp:positionV relativeFrom="paragraph">
              <wp:posOffset>-115570</wp:posOffset>
            </wp:positionV>
            <wp:extent cx="59664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xml:space="preserve">Michael Bell </w:t>
      </w:r>
      <w:r>
        <w:rPr>
          <w:rFonts w:ascii="Arial" w:cs="Arial" w:eastAsia="Arial" w:hAnsi="Arial"/>
          <w:sz w:val="16"/>
          <w:szCs w:val="16"/>
          <w:color w:val="auto"/>
        </w:rPr>
        <w:t>has served as our Senior Vice President, Digital since</w:t>
      </w:r>
    </w:p>
    <w:p>
      <w:pPr>
        <w:spacing w:after="0" w:line="21" w:lineRule="exact"/>
        <w:rPr>
          <w:sz w:val="20"/>
          <w:szCs w:val="20"/>
          <w:color w:val="auto"/>
        </w:rPr>
      </w:pPr>
    </w:p>
    <w:p>
      <w:pPr>
        <w:ind w:left="480" w:right="380"/>
        <w:spacing w:after="0" w:line="259" w:lineRule="auto"/>
        <w:rPr>
          <w:sz w:val="20"/>
          <w:szCs w:val="20"/>
          <w:color w:val="auto"/>
        </w:rPr>
      </w:pPr>
      <w:r>
        <w:rPr>
          <w:rFonts w:ascii="Arial" w:cs="Arial" w:eastAsia="Arial" w:hAnsi="Arial"/>
          <w:sz w:val="16"/>
          <w:szCs w:val="16"/>
          <w:color w:val="auto"/>
        </w:rPr>
        <w:t>February 2021, and served as our consultant from August 2020 to February 2021. Prior to joining us, Mr. Bell served as Chief Technology Officer of electric vehicle startup Rivian, LLC from June 2019 until February 2020, and as the Chief Executive Officer and President of Silver Spring Networks, Inc., a networking platform and solutions provider for smart energy networks, from September 2015 until January 2018. Previously, from 2010 to 2015 he held various roles at Intel Corporation, a multinational technology corporation specializing in the production of semiconductor chips, including Corporate Vice President New Devices Group, Corporate VP Mobile and Communications Group and Corporate Vice President Ultra Mobility Group, and was head of Product Development at Palm, Inc. from 2007 to 2010. He worked at Apple, Inc. from 1991 to 2007 and played significant roles in development of Apple iPhone, iMac, AirPort and Apple TV products, serving as Vice President, CPU Software from 2002 to 2007. Mr. Bell has served on the board of directors of iRobot Corporation, a leading consumer robotics company, from March 2016 to May 2022. He holds a B.S. from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-1706245</wp:posOffset>
            </wp:positionH>
            <wp:positionV relativeFrom="paragraph">
              <wp:posOffset>253365</wp:posOffset>
            </wp:positionV>
            <wp:extent cx="59664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840" w:space="500"/>
            <w:col w:w="6740"/>
          </w:cols>
          <w:pgMar w:left="580" w:top="97"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41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right="3440"/>
        <w:spacing w:after="0" w:line="407" w:lineRule="auto"/>
        <w:rPr>
          <w:sz w:val="20"/>
          <w:szCs w:val="20"/>
          <w:color w:val="auto"/>
        </w:rPr>
      </w:pPr>
      <w:r>
        <w:rPr>
          <w:rFonts w:ascii="Times New Roman" w:cs="Times New Roman" w:eastAsia="Times New Roman" w:hAnsi="Times New Roman"/>
          <w:sz w:val="35"/>
          <w:szCs w:val="35"/>
          <w:b w:val="1"/>
          <w:bCs w:val="1"/>
          <w:color w:val="auto"/>
        </w:rPr>
        <w:t>Executive Compensation Compensation Discussion and Analysis</w:t>
      </w:r>
    </w:p>
    <w:p>
      <w:pPr>
        <w:spacing w:after="0" w:line="4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Overview</w:t>
      </w:r>
    </w:p>
    <w:p>
      <w:pPr>
        <w:spacing w:after="0" w:line="185" w:lineRule="exact"/>
        <w:rPr>
          <w:sz w:val="20"/>
          <w:szCs w:val="20"/>
          <w:color w:val="auto"/>
        </w:rPr>
      </w:pPr>
    </w:p>
    <w:p>
      <w:pPr>
        <w:ind w:left="660" w:right="120"/>
        <w:spacing w:after="0" w:line="301" w:lineRule="auto"/>
        <w:rPr>
          <w:sz w:val="20"/>
          <w:szCs w:val="20"/>
          <w:color w:val="auto"/>
        </w:rPr>
      </w:pPr>
      <w:r>
        <w:rPr>
          <w:rFonts w:ascii="Arial" w:cs="Arial" w:eastAsia="Arial" w:hAnsi="Arial"/>
          <w:sz w:val="16"/>
          <w:szCs w:val="16"/>
          <w:color w:val="auto"/>
        </w:rPr>
        <w:t>This Compensation Discussion and Analysis (“CD&amp;A”) describes our executive compensation program in 2022 for our named executive officers (“NEOs”), including our compensation philosophy and process, the objectives and elements of the program, and the material factors considered in making compensation decisions.</w:t>
      </w:r>
    </w:p>
    <w:p>
      <w:pPr>
        <w:spacing w:after="0" w:line="172" w:lineRule="exact"/>
        <w:rPr>
          <w:sz w:val="20"/>
          <w:szCs w:val="20"/>
          <w:color w:val="auto"/>
        </w:rPr>
      </w:pPr>
    </w:p>
    <w:p>
      <w:pPr>
        <w:ind w:left="660" w:right="400"/>
        <w:spacing w:after="0" w:line="321" w:lineRule="auto"/>
        <w:rPr>
          <w:sz w:val="20"/>
          <w:szCs w:val="20"/>
          <w:color w:val="auto"/>
        </w:rPr>
      </w:pPr>
      <w:r>
        <w:rPr>
          <w:rFonts w:ascii="Arial" w:cs="Arial" w:eastAsia="Arial" w:hAnsi="Arial"/>
          <w:sz w:val="16"/>
          <w:szCs w:val="16"/>
          <w:color w:val="auto"/>
        </w:rPr>
        <w:t>Our NEOs for 2022 include (i) our Chief Executive Officer and Chief Technology Officer (“CEO”), (ii) our Chief Financial Officer (“CFO”), and (iii) our two other executive officers serving as of December 31, 2022.</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NEOs for 2022 are:</w:t>
      </w:r>
    </w:p>
    <w:p>
      <w:pPr>
        <w:spacing w:after="0" w:line="293" w:lineRule="exact"/>
        <w:rPr>
          <w:sz w:val="20"/>
          <w:szCs w:val="20"/>
          <w:color w:val="auto"/>
        </w:rPr>
      </w:pPr>
    </w:p>
    <w:p>
      <w:pPr>
        <w:ind w:left="740"/>
        <w:spacing w:after="0"/>
        <w:tabs>
          <w:tab w:leader="none" w:pos="2940" w:val="left"/>
          <w:tab w:leader="none" w:pos="5200" w:val="left"/>
          <w:tab w:leader="none" w:pos="7540" w:val="left"/>
          <w:tab w:leader="none" w:pos="99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-95885</wp:posOffset>
            </wp:positionV>
            <wp:extent cx="5966460" cy="2194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646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200" w:type="dxa"/>
            <w:vAlign w:val="bottom"/>
          </w:tcPr>
          <w:p>
            <w:pPr>
              <w:ind w:left="420"/>
              <w:spacing w:after="0"/>
              <w:rPr>
                <w:sz w:val="20"/>
                <w:szCs w:val="20"/>
                <w:color w:val="auto"/>
              </w:rPr>
            </w:pPr>
            <w:r>
              <w:rPr>
                <w:rFonts w:ascii="Arial" w:cs="Arial" w:eastAsia="Arial" w:hAnsi="Arial"/>
                <w:sz w:val="14"/>
                <w:szCs w:val="14"/>
                <w:color w:val="auto"/>
              </w:rPr>
              <w:t>Peter Rawlinson</w:t>
            </w:r>
          </w:p>
        </w:tc>
        <w:tc>
          <w:tcPr>
            <w:tcW w:w="1980" w:type="dxa"/>
            <w:vAlign w:val="bottom"/>
          </w:tcPr>
          <w:p>
            <w:pPr>
              <w:ind w:left="520"/>
              <w:spacing w:after="0"/>
              <w:rPr>
                <w:sz w:val="20"/>
                <w:szCs w:val="20"/>
                <w:color w:val="auto"/>
              </w:rPr>
            </w:pPr>
            <w:r>
              <w:rPr>
                <w:rFonts w:ascii="Arial" w:cs="Arial" w:eastAsia="Arial" w:hAnsi="Arial"/>
                <w:sz w:val="14"/>
                <w:szCs w:val="14"/>
                <w:color w:val="auto"/>
              </w:rPr>
              <w:t>Sherry House</w:t>
            </w:r>
          </w:p>
        </w:tc>
        <w:tc>
          <w:tcPr>
            <w:tcW w:w="2560" w:type="dxa"/>
            <w:vAlign w:val="bottom"/>
          </w:tcPr>
          <w:p>
            <w:pPr>
              <w:jc w:val="center"/>
              <w:ind w:left="14"/>
              <w:spacing w:after="0"/>
              <w:rPr>
                <w:sz w:val="20"/>
                <w:szCs w:val="20"/>
                <w:color w:val="auto"/>
              </w:rPr>
            </w:pPr>
            <w:r>
              <w:rPr>
                <w:rFonts w:ascii="Arial" w:cs="Arial" w:eastAsia="Arial" w:hAnsi="Arial"/>
                <w:sz w:val="14"/>
                <w:szCs w:val="14"/>
                <w:color w:val="auto"/>
              </w:rPr>
              <w:t>Eric Bach</w:t>
            </w:r>
          </w:p>
        </w:tc>
        <w:tc>
          <w:tcPr>
            <w:tcW w:w="1900" w:type="dxa"/>
            <w:vAlign w:val="bottom"/>
          </w:tcPr>
          <w:p>
            <w:pPr>
              <w:jc w:val="center"/>
              <w:ind w:left="213"/>
              <w:spacing w:after="0"/>
              <w:rPr>
                <w:sz w:val="20"/>
                <w:szCs w:val="20"/>
                <w:color w:val="auto"/>
              </w:rPr>
            </w:pPr>
            <w:r>
              <w:rPr>
                <w:rFonts w:ascii="Arial" w:cs="Arial" w:eastAsia="Arial" w:hAnsi="Arial"/>
                <w:sz w:val="14"/>
                <w:szCs w:val="14"/>
                <w:color w:val="auto"/>
              </w:rPr>
              <w:t>Michael Bell</w:t>
            </w:r>
          </w:p>
        </w:tc>
      </w:tr>
      <w:tr>
        <w:trPr>
          <w:trHeight w:val="210"/>
        </w:trPr>
        <w:tc>
          <w:tcPr>
            <w:tcW w:w="2200" w:type="dxa"/>
            <w:vAlign w:val="bottom"/>
          </w:tcPr>
          <w:p>
            <w:pPr>
              <w:spacing w:after="0"/>
              <w:rPr>
                <w:sz w:val="20"/>
                <w:szCs w:val="20"/>
                <w:color w:val="auto"/>
              </w:rPr>
            </w:pPr>
            <w:r>
              <w:rPr>
                <w:rFonts w:ascii="Arial" w:cs="Arial" w:eastAsia="Arial" w:hAnsi="Arial"/>
                <w:sz w:val="13"/>
                <w:szCs w:val="13"/>
                <w:color w:val="auto"/>
              </w:rPr>
              <w:t>Chief Executive Officer and Chief</w:t>
            </w:r>
          </w:p>
        </w:tc>
        <w:tc>
          <w:tcPr>
            <w:tcW w:w="1980" w:type="dxa"/>
            <w:vAlign w:val="bottom"/>
          </w:tcPr>
          <w:p>
            <w:pPr>
              <w:ind w:left="340"/>
              <w:spacing w:after="0"/>
              <w:rPr>
                <w:sz w:val="20"/>
                <w:szCs w:val="20"/>
                <w:color w:val="auto"/>
              </w:rPr>
            </w:pPr>
            <w:r>
              <w:rPr>
                <w:rFonts w:ascii="Arial" w:cs="Arial" w:eastAsia="Arial" w:hAnsi="Arial"/>
                <w:sz w:val="13"/>
                <w:szCs w:val="13"/>
                <w:color w:val="auto"/>
              </w:rPr>
              <w:t>Chief Financial Officer</w:t>
            </w:r>
            <w:r>
              <w:rPr>
                <w:rFonts w:ascii="Arial" w:cs="Arial" w:eastAsia="Arial" w:hAnsi="Arial"/>
                <w:sz w:val="14"/>
                <w:szCs w:val="14"/>
                <w:color w:val="auto"/>
              </w:rPr>
              <w:t>​</w:t>
            </w:r>
          </w:p>
        </w:tc>
        <w:tc>
          <w:tcPr>
            <w:tcW w:w="2560" w:type="dxa"/>
            <w:vAlign w:val="bottom"/>
          </w:tcPr>
          <w:p>
            <w:pPr>
              <w:jc w:val="center"/>
              <w:ind w:left="14"/>
              <w:spacing w:after="0"/>
              <w:rPr>
                <w:sz w:val="20"/>
                <w:szCs w:val="20"/>
                <w:color w:val="auto"/>
              </w:rPr>
            </w:pPr>
            <w:r>
              <w:rPr>
                <w:rFonts w:ascii="Arial" w:cs="Arial" w:eastAsia="Arial" w:hAnsi="Arial"/>
                <w:sz w:val="13"/>
                <w:szCs w:val="13"/>
                <w:color w:val="auto"/>
                <w:w w:val="96"/>
              </w:rPr>
              <w:t>Senior Vice President, Product and</w:t>
            </w:r>
          </w:p>
        </w:tc>
        <w:tc>
          <w:tcPr>
            <w:tcW w:w="1900" w:type="dxa"/>
            <w:vAlign w:val="bottom"/>
          </w:tcPr>
          <w:p>
            <w:pPr>
              <w:jc w:val="center"/>
              <w:ind w:left="213"/>
              <w:spacing w:after="0"/>
              <w:rPr>
                <w:sz w:val="20"/>
                <w:szCs w:val="20"/>
                <w:color w:val="auto"/>
              </w:rPr>
            </w:pPr>
            <w:r>
              <w:rPr>
                <w:rFonts w:ascii="Arial" w:cs="Arial" w:eastAsia="Arial" w:hAnsi="Arial"/>
                <w:sz w:val="13"/>
                <w:szCs w:val="13"/>
                <w:color w:val="auto"/>
                <w:w w:val="96"/>
              </w:rPr>
              <w:t>Senior Vice President, Digital</w:t>
            </w:r>
          </w:p>
        </w:tc>
      </w:tr>
      <w:tr>
        <w:trPr>
          <w:trHeight w:val="190"/>
        </w:trPr>
        <w:tc>
          <w:tcPr>
            <w:tcW w:w="2200" w:type="dxa"/>
            <w:vAlign w:val="bottom"/>
          </w:tcPr>
          <w:p>
            <w:pPr>
              <w:ind w:left="420"/>
              <w:spacing w:after="0"/>
              <w:rPr>
                <w:sz w:val="20"/>
                <w:szCs w:val="20"/>
                <w:color w:val="auto"/>
              </w:rPr>
            </w:pPr>
            <w:r>
              <w:rPr>
                <w:rFonts w:ascii="Arial" w:cs="Arial" w:eastAsia="Arial" w:hAnsi="Arial"/>
                <w:sz w:val="13"/>
                <w:szCs w:val="13"/>
                <w:color w:val="auto"/>
              </w:rPr>
              <w:t>Technology Officer</w:t>
            </w:r>
            <w:r>
              <w:rPr>
                <w:rFonts w:ascii="Arial" w:cs="Arial" w:eastAsia="Arial" w:hAnsi="Arial"/>
                <w:sz w:val="14"/>
                <w:szCs w:val="14"/>
                <w:color w:val="auto"/>
              </w:rPr>
              <w:t>​</w:t>
            </w:r>
          </w:p>
        </w:tc>
        <w:tc>
          <w:tcPr>
            <w:tcW w:w="1980" w:type="dxa"/>
            <w:vAlign w:val="bottom"/>
          </w:tcPr>
          <w:p>
            <w:pPr>
              <w:spacing w:after="0"/>
              <w:rPr>
                <w:sz w:val="16"/>
                <w:szCs w:val="16"/>
                <w:color w:val="auto"/>
              </w:rPr>
            </w:pPr>
          </w:p>
        </w:tc>
        <w:tc>
          <w:tcPr>
            <w:tcW w:w="2560" w:type="dxa"/>
            <w:vAlign w:val="bottom"/>
          </w:tcPr>
          <w:p>
            <w:pPr>
              <w:ind w:left="900"/>
              <w:spacing w:after="0"/>
              <w:rPr>
                <w:sz w:val="20"/>
                <w:szCs w:val="20"/>
                <w:color w:val="auto"/>
              </w:rPr>
            </w:pPr>
            <w:r>
              <w:rPr>
                <w:rFonts w:ascii="Arial" w:cs="Arial" w:eastAsia="Arial" w:hAnsi="Arial"/>
                <w:sz w:val="13"/>
                <w:szCs w:val="13"/>
                <w:color w:val="auto"/>
              </w:rPr>
              <w:t>Chief Engineer</w:t>
            </w:r>
            <w:r>
              <w:rPr>
                <w:rFonts w:ascii="Arial" w:cs="Arial" w:eastAsia="Arial" w:hAnsi="Arial"/>
                <w:sz w:val="14"/>
                <w:szCs w:val="14"/>
                <w:color w:val="auto"/>
              </w:rPr>
              <w:t>​</w:t>
            </w:r>
          </w:p>
        </w:tc>
        <w:tc>
          <w:tcPr>
            <w:tcW w:w="19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Key Accomplishments for 2022</w:t>
      </w:r>
    </w:p>
    <w:p>
      <w:pPr>
        <w:spacing w:after="0" w:line="185" w:lineRule="exact"/>
        <w:rPr>
          <w:sz w:val="20"/>
          <w:szCs w:val="20"/>
          <w:color w:val="auto"/>
        </w:rPr>
      </w:pPr>
    </w:p>
    <w:p>
      <w:pPr>
        <w:jc w:val="both"/>
        <w:ind w:left="660" w:right="340"/>
        <w:spacing w:after="0" w:line="301" w:lineRule="auto"/>
        <w:rPr>
          <w:sz w:val="20"/>
          <w:szCs w:val="20"/>
          <w:color w:val="auto"/>
        </w:rPr>
      </w:pPr>
      <w:r>
        <w:rPr>
          <w:rFonts w:ascii="Arial" w:cs="Arial" w:eastAsia="Arial" w:hAnsi="Arial"/>
          <w:sz w:val="16"/>
          <w:szCs w:val="16"/>
          <w:color w:val="auto"/>
        </w:rPr>
        <w:t>We faced a number of both internal and external challenges in 2022 but managed each of these challenges with perseverance, resourcefulness, and teamwork. We were able to drive meaningful improvements and achievements in the second half of 2022 through our efforts.</w:t>
      </w:r>
    </w:p>
    <w:p>
      <w:pPr>
        <w:spacing w:after="0" w:line="91" w:lineRule="exact"/>
        <w:rPr>
          <w:sz w:val="20"/>
          <w:szCs w:val="20"/>
          <w:color w:val="auto"/>
        </w:rPr>
      </w:pPr>
    </w:p>
    <w:p>
      <w:pPr>
        <w:ind w:left="820" w:hanging="166"/>
        <w:spacing w:after="0"/>
        <w:tabs>
          <w:tab w:leader="none" w:pos="820" w:val="left"/>
        </w:tabs>
        <w:numPr>
          <w:ilvl w:val="0"/>
          <w:numId w:val="27"/>
        </w:numPr>
        <w:rPr>
          <w:rFonts w:ascii="Arial" w:cs="Arial" w:eastAsia="Arial" w:hAnsi="Arial"/>
          <w:sz w:val="16"/>
          <w:szCs w:val="16"/>
          <w:color w:val="8A6B24"/>
        </w:rPr>
      </w:pPr>
      <w:r>
        <w:rPr>
          <w:rFonts w:ascii="Arial" w:cs="Arial" w:eastAsia="Arial" w:hAnsi="Arial"/>
          <w:sz w:val="16"/>
          <w:szCs w:val="16"/>
          <w:color w:val="auto"/>
        </w:rPr>
        <w:t>We closed out the year with production above our previously stated annual guidance.</w:t>
      </w:r>
    </w:p>
    <w:p>
      <w:pPr>
        <w:spacing w:after="0" w:line="167" w:lineRule="exact"/>
        <w:rPr>
          <w:rFonts w:ascii="Arial" w:cs="Arial" w:eastAsia="Arial" w:hAnsi="Arial"/>
          <w:sz w:val="16"/>
          <w:szCs w:val="16"/>
          <w:color w:val="8A6B24"/>
        </w:rPr>
      </w:pPr>
    </w:p>
    <w:p>
      <w:pPr>
        <w:ind w:left="820" w:right="580" w:hanging="166"/>
        <w:spacing w:after="0" w:line="321" w:lineRule="auto"/>
        <w:tabs>
          <w:tab w:leader="none" w:pos="820" w:val="left"/>
        </w:tabs>
        <w:numPr>
          <w:ilvl w:val="0"/>
          <w:numId w:val="27"/>
        </w:numPr>
        <w:rPr>
          <w:rFonts w:ascii="Arial" w:cs="Arial" w:eastAsia="Arial" w:hAnsi="Arial"/>
          <w:sz w:val="16"/>
          <w:szCs w:val="16"/>
          <w:color w:val="8A6B24"/>
        </w:rPr>
      </w:pPr>
      <w:r>
        <w:rPr>
          <w:rFonts w:ascii="Arial" w:cs="Arial" w:eastAsia="Arial" w:hAnsi="Arial"/>
          <w:sz w:val="16"/>
          <w:szCs w:val="16"/>
          <w:color w:val="auto"/>
        </w:rPr>
        <w:t>We went from making 279 vehicles in 2021 to 7,180 in 2022, our first full year of production, and went from delivering 125 vehicles in 2021 to 4,369 deliveries in 2022.</w:t>
      </w:r>
    </w:p>
    <w:p>
      <w:pPr>
        <w:spacing w:after="0" w:line="74" w:lineRule="exact"/>
        <w:rPr>
          <w:rFonts w:ascii="Arial" w:cs="Arial" w:eastAsia="Arial" w:hAnsi="Arial"/>
          <w:sz w:val="16"/>
          <w:szCs w:val="16"/>
          <w:color w:val="8A6B24"/>
        </w:rPr>
      </w:pPr>
    </w:p>
    <w:p>
      <w:pPr>
        <w:ind w:left="820" w:hanging="166"/>
        <w:spacing w:after="0"/>
        <w:tabs>
          <w:tab w:leader="none" w:pos="820" w:val="left"/>
        </w:tabs>
        <w:numPr>
          <w:ilvl w:val="0"/>
          <w:numId w:val="27"/>
        </w:numPr>
        <w:rPr>
          <w:rFonts w:ascii="Arial" w:cs="Arial" w:eastAsia="Arial" w:hAnsi="Arial"/>
          <w:sz w:val="16"/>
          <w:szCs w:val="16"/>
          <w:color w:val="8A6B24"/>
        </w:rPr>
      </w:pPr>
      <w:r>
        <w:rPr>
          <w:rFonts w:ascii="Arial" w:cs="Arial" w:eastAsia="Arial" w:hAnsi="Arial"/>
          <w:sz w:val="16"/>
          <w:szCs w:val="16"/>
          <w:color w:val="auto"/>
        </w:rPr>
        <w:t>We fulfilled on our promise to deliver Lucid Air Touring and a small number of Lucid Air Pure in the fourth quarter of 2022.</w:t>
      </w:r>
    </w:p>
    <w:p>
      <w:pPr>
        <w:spacing w:after="0" w:line="180" w:lineRule="exact"/>
        <w:rPr>
          <w:rFonts w:ascii="Arial" w:cs="Arial" w:eastAsia="Arial" w:hAnsi="Arial"/>
          <w:sz w:val="16"/>
          <w:szCs w:val="16"/>
          <w:color w:val="8A6B24"/>
        </w:rPr>
      </w:pPr>
    </w:p>
    <w:p>
      <w:pPr>
        <w:ind w:left="820" w:hanging="166"/>
        <w:spacing w:after="0"/>
        <w:tabs>
          <w:tab w:leader="none" w:pos="820" w:val="left"/>
        </w:tabs>
        <w:numPr>
          <w:ilvl w:val="0"/>
          <w:numId w:val="27"/>
        </w:numPr>
        <w:rPr>
          <w:rFonts w:ascii="Arial" w:cs="Arial" w:eastAsia="Arial" w:hAnsi="Arial"/>
          <w:sz w:val="16"/>
          <w:szCs w:val="16"/>
          <w:color w:val="8A6B24"/>
        </w:rPr>
      </w:pPr>
      <w:r>
        <w:rPr>
          <w:rFonts w:ascii="Arial" w:cs="Arial" w:eastAsia="Arial" w:hAnsi="Arial"/>
          <w:sz w:val="16"/>
          <w:szCs w:val="16"/>
          <w:color w:val="auto"/>
        </w:rPr>
        <w:t>We delivered our first vehicles into Europe and Saudi Arabia.</w:t>
      </w:r>
    </w:p>
    <w:p>
      <w:pPr>
        <w:spacing w:after="0" w:line="248" w:lineRule="exact"/>
        <w:rPr>
          <w:sz w:val="20"/>
          <w:szCs w:val="20"/>
          <w:color w:val="auto"/>
        </w:rPr>
      </w:pPr>
    </w:p>
    <w:p>
      <w:pPr>
        <w:ind w:left="660" w:right="960"/>
        <w:spacing w:after="0" w:line="321" w:lineRule="auto"/>
        <w:rPr>
          <w:sz w:val="20"/>
          <w:szCs w:val="20"/>
          <w:color w:val="auto"/>
        </w:rPr>
      </w:pPr>
      <w:r>
        <w:rPr>
          <w:rFonts w:ascii="Arial" w:cs="Arial" w:eastAsia="Arial" w:hAnsi="Arial"/>
          <w:sz w:val="16"/>
          <w:szCs w:val="16"/>
          <w:color w:val="auto"/>
        </w:rPr>
        <w:t>We also continued to validate our revolutionary technology. Our strong technology advantage, including our range, our performance, our efficiency, and our charge times, is creating opportunities.</w:t>
      </w:r>
    </w:p>
    <w:p>
      <w:pPr>
        <w:spacing w:after="0" w:line="75" w:lineRule="exact"/>
        <w:rPr>
          <w:sz w:val="20"/>
          <w:szCs w:val="20"/>
          <w:color w:val="auto"/>
        </w:rPr>
      </w:pPr>
    </w:p>
    <w:p>
      <w:pPr>
        <w:ind w:left="820" w:right="400" w:hanging="166"/>
        <w:spacing w:after="0" w:line="321" w:lineRule="auto"/>
        <w:tabs>
          <w:tab w:leader="none" w:pos="820" w:val="left"/>
        </w:tabs>
        <w:numPr>
          <w:ilvl w:val="0"/>
          <w:numId w:val="28"/>
        </w:numPr>
        <w:rPr>
          <w:rFonts w:ascii="Arial" w:cs="Arial" w:eastAsia="Arial" w:hAnsi="Arial"/>
          <w:sz w:val="16"/>
          <w:szCs w:val="16"/>
          <w:color w:val="8A6B24"/>
        </w:rPr>
      </w:pPr>
      <w:r>
        <w:rPr>
          <w:rFonts w:ascii="Arial" w:cs="Arial" w:eastAsia="Arial" w:hAnsi="Arial"/>
          <w:sz w:val="16"/>
          <w:szCs w:val="16"/>
          <w:color w:val="auto"/>
        </w:rPr>
        <w:t>Lucid Air achieved five stars in Euro NCAP for safety in all five categories, making it one of the safest electric vehicles in the executive class in Europe.</w:t>
      </w:r>
    </w:p>
    <w:p>
      <w:pPr>
        <w:spacing w:after="0" w:line="74" w:lineRule="exact"/>
        <w:rPr>
          <w:rFonts w:ascii="Arial" w:cs="Arial" w:eastAsia="Arial" w:hAnsi="Arial"/>
          <w:sz w:val="16"/>
          <w:szCs w:val="16"/>
          <w:color w:val="8A6B24"/>
        </w:rPr>
      </w:pPr>
    </w:p>
    <w:p>
      <w:pPr>
        <w:ind w:left="820" w:right="560" w:hanging="166"/>
        <w:spacing w:after="0" w:line="321" w:lineRule="auto"/>
        <w:tabs>
          <w:tab w:leader="none" w:pos="820" w:val="left"/>
        </w:tabs>
        <w:numPr>
          <w:ilvl w:val="0"/>
          <w:numId w:val="28"/>
        </w:numPr>
        <w:rPr>
          <w:rFonts w:ascii="Arial" w:cs="Arial" w:eastAsia="Arial" w:hAnsi="Arial"/>
          <w:sz w:val="16"/>
          <w:szCs w:val="16"/>
          <w:color w:val="8A6B24"/>
        </w:rPr>
      </w:pPr>
      <w:r>
        <w:rPr>
          <w:rFonts w:ascii="Arial" w:cs="Arial" w:eastAsia="Arial" w:hAnsi="Arial"/>
          <w:sz w:val="16"/>
          <w:szCs w:val="16"/>
          <w:color w:val="auto"/>
        </w:rPr>
        <w:t>Lucid Air recorded the fastest time of any production car in both the Goodwood Festival of Speed Timed Shootout and the Laguna Seca Corkscrew Hillclimb.</w:t>
      </w:r>
    </w:p>
    <w:p>
      <w:pPr>
        <w:spacing w:after="0" w:line="74" w:lineRule="exact"/>
        <w:rPr>
          <w:rFonts w:ascii="Arial" w:cs="Arial" w:eastAsia="Arial" w:hAnsi="Arial"/>
          <w:sz w:val="16"/>
          <w:szCs w:val="16"/>
          <w:color w:val="8A6B24"/>
        </w:rPr>
      </w:pPr>
    </w:p>
    <w:p>
      <w:pPr>
        <w:ind w:left="820" w:hanging="166"/>
        <w:spacing w:after="0"/>
        <w:tabs>
          <w:tab w:leader="none" w:pos="820" w:val="left"/>
        </w:tabs>
        <w:numPr>
          <w:ilvl w:val="0"/>
          <w:numId w:val="28"/>
        </w:numPr>
        <w:rPr>
          <w:rFonts w:ascii="Arial" w:cs="Arial" w:eastAsia="Arial" w:hAnsi="Arial"/>
          <w:sz w:val="16"/>
          <w:szCs w:val="16"/>
          <w:color w:val="8A6B24"/>
        </w:rPr>
      </w:pPr>
      <w:r>
        <w:rPr>
          <w:rFonts w:ascii="Arial" w:cs="Arial" w:eastAsia="Arial" w:hAnsi="Arial"/>
          <w:sz w:val="16"/>
          <w:szCs w:val="16"/>
          <w:color w:val="auto"/>
        </w:rPr>
        <w:t>We introduced Lucid Air Sapphire, our highest performance Air, featuring our very first three-motor powertrain.</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​42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20" w:hanging="166"/>
        <w:spacing w:after="0"/>
        <w:tabs>
          <w:tab w:leader="none" w:pos="820" w:val="left"/>
        </w:tabs>
        <w:numPr>
          <w:ilvl w:val="0"/>
          <w:numId w:val="29"/>
        </w:numPr>
        <w:rPr>
          <w:rFonts w:ascii="Arial" w:cs="Arial" w:eastAsia="Arial" w:hAnsi="Arial"/>
          <w:sz w:val="16"/>
          <w:szCs w:val="16"/>
          <w:color w:val="8A6B24"/>
        </w:rPr>
      </w:pPr>
      <w:r>
        <w:rPr>
          <w:rFonts w:ascii="Arial" w:cs="Arial" w:eastAsia="Arial" w:hAnsi="Arial"/>
          <w:sz w:val="16"/>
          <w:szCs w:val="16"/>
          <w:color w:val="auto"/>
        </w:rPr>
        <w:t>We were issued an award to develop battery module prototypes for testing and analysis by the U.S. government.</w:t>
      </w:r>
    </w:p>
    <w:p>
      <w:pPr>
        <w:spacing w:after="0" w:line="167" w:lineRule="exact"/>
        <w:rPr>
          <w:rFonts w:ascii="Arial" w:cs="Arial" w:eastAsia="Arial" w:hAnsi="Arial"/>
          <w:sz w:val="16"/>
          <w:szCs w:val="16"/>
          <w:color w:val="8A6B24"/>
        </w:rPr>
      </w:pPr>
    </w:p>
    <w:p>
      <w:pPr>
        <w:ind w:left="820" w:right="480" w:hanging="166"/>
        <w:spacing w:after="0" w:line="321" w:lineRule="auto"/>
        <w:tabs>
          <w:tab w:leader="none" w:pos="820" w:val="left"/>
        </w:tabs>
        <w:numPr>
          <w:ilvl w:val="0"/>
          <w:numId w:val="29"/>
        </w:numPr>
        <w:rPr>
          <w:rFonts w:ascii="Arial" w:cs="Arial" w:eastAsia="Arial" w:hAnsi="Arial"/>
          <w:sz w:val="16"/>
          <w:szCs w:val="16"/>
          <w:color w:val="8A6B24"/>
        </w:rPr>
      </w:pPr>
      <w:r>
        <w:rPr>
          <w:rFonts w:ascii="Arial" w:cs="Arial" w:eastAsia="Arial" w:hAnsi="Arial"/>
          <w:sz w:val="16"/>
          <w:szCs w:val="16"/>
          <w:color w:val="auto"/>
        </w:rPr>
        <w:t>We released UX 2.0, our most extensive software update, comprising tens of millions of new lines of source code delivered seamlessly over-the-air.</w:t>
      </w:r>
    </w:p>
    <w:p>
      <w:pPr>
        <w:spacing w:after="0" w:line="74" w:lineRule="exact"/>
        <w:rPr>
          <w:rFonts w:ascii="Arial" w:cs="Arial" w:eastAsia="Arial" w:hAnsi="Arial"/>
          <w:sz w:val="16"/>
          <w:szCs w:val="16"/>
          <w:color w:val="8A6B24"/>
        </w:rPr>
      </w:pPr>
    </w:p>
    <w:p>
      <w:pPr>
        <w:ind w:left="820" w:hanging="166"/>
        <w:spacing w:after="0"/>
        <w:tabs>
          <w:tab w:leader="none" w:pos="820" w:val="left"/>
        </w:tabs>
        <w:numPr>
          <w:ilvl w:val="0"/>
          <w:numId w:val="29"/>
        </w:numPr>
        <w:rPr>
          <w:rFonts w:ascii="Arial" w:cs="Arial" w:eastAsia="Arial" w:hAnsi="Arial"/>
          <w:sz w:val="16"/>
          <w:szCs w:val="16"/>
          <w:color w:val="8A6B24"/>
        </w:rPr>
      </w:pPr>
      <w:r>
        <w:rPr>
          <w:rFonts w:ascii="Arial" w:cs="Arial" w:eastAsia="Arial" w:hAnsi="Arial"/>
          <w:sz w:val="16"/>
          <w:szCs w:val="16"/>
          <w:color w:val="auto"/>
        </w:rPr>
        <w:t>We signed our first vehicle emissions credit deal in the United States.</w:t>
      </w:r>
    </w:p>
    <w:p>
      <w:pPr>
        <w:spacing w:after="0" w:line="248" w:lineRule="exact"/>
        <w:rPr>
          <w:sz w:val="20"/>
          <w:szCs w:val="20"/>
          <w:color w:val="auto"/>
        </w:rPr>
      </w:pPr>
    </w:p>
    <w:p>
      <w:pPr>
        <w:ind w:left="660" w:right="160"/>
        <w:spacing w:after="0" w:line="321" w:lineRule="auto"/>
        <w:rPr>
          <w:sz w:val="20"/>
          <w:szCs w:val="20"/>
          <w:color w:val="auto"/>
        </w:rPr>
      </w:pPr>
      <w:r>
        <w:rPr>
          <w:rFonts w:ascii="Arial" w:cs="Arial" w:eastAsia="Arial" w:hAnsi="Arial"/>
          <w:sz w:val="16"/>
          <w:szCs w:val="16"/>
          <w:color w:val="auto"/>
        </w:rPr>
        <w:t>In addition, as we scaled every part of our business, we have achieved major business and financial accomplishments throughout the year.</w:t>
      </w:r>
    </w:p>
    <w:p>
      <w:pPr>
        <w:spacing w:after="0" w:line="88" w:lineRule="exact"/>
        <w:rPr>
          <w:sz w:val="20"/>
          <w:szCs w:val="20"/>
          <w:color w:val="auto"/>
        </w:rPr>
      </w:pPr>
    </w:p>
    <w:p>
      <w:pPr>
        <w:ind w:left="820" w:right="720" w:hanging="166"/>
        <w:spacing w:after="0" w:line="321" w:lineRule="auto"/>
        <w:tabs>
          <w:tab w:leader="none" w:pos="820" w:val="left"/>
        </w:tabs>
        <w:numPr>
          <w:ilvl w:val="0"/>
          <w:numId w:val="30"/>
        </w:numPr>
        <w:rPr>
          <w:rFonts w:ascii="Arial" w:cs="Arial" w:eastAsia="Arial" w:hAnsi="Arial"/>
          <w:sz w:val="16"/>
          <w:szCs w:val="16"/>
          <w:color w:val="8A6B24"/>
        </w:rPr>
      </w:pPr>
      <w:r>
        <w:rPr>
          <w:rFonts w:ascii="Arial" w:cs="Arial" w:eastAsia="Arial" w:hAnsi="Arial"/>
          <w:sz w:val="16"/>
          <w:szCs w:val="16"/>
          <w:color w:val="auto"/>
        </w:rPr>
        <w:t>We launched Lucid Financial Services, a digital platform offering a flexible, fast, and easy financing process to Lucid Air customers.</w:t>
      </w:r>
    </w:p>
    <w:p>
      <w:pPr>
        <w:spacing w:after="0" w:line="74" w:lineRule="exact"/>
        <w:rPr>
          <w:rFonts w:ascii="Arial" w:cs="Arial" w:eastAsia="Arial" w:hAnsi="Arial"/>
          <w:sz w:val="16"/>
          <w:szCs w:val="16"/>
          <w:color w:val="8A6B24"/>
        </w:rPr>
      </w:pPr>
    </w:p>
    <w:p>
      <w:pPr>
        <w:ind w:left="820" w:hanging="166"/>
        <w:spacing w:after="0"/>
        <w:tabs>
          <w:tab w:leader="none" w:pos="820" w:val="left"/>
        </w:tabs>
        <w:numPr>
          <w:ilvl w:val="0"/>
          <w:numId w:val="30"/>
        </w:numPr>
        <w:rPr>
          <w:rFonts w:ascii="Arial" w:cs="Arial" w:eastAsia="Arial" w:hAnsi="Arial"/>
          <w:sz w:val="16"/>
          <w:szCs w:val="16"/>
          <w:color w:val="8A6B24"/>
        </w:rPr>
      </w:pPr>
      <w:r>
        <w:rPr>
          <w:rFonts w:ascii="Arial" w:cs="Arial" w:eastAsia="Arial" w:hAnsi="Arial"/>
          <w:sz w:val="16"/>
          <w:szCs w:val="16"/>
          <w:color w:val="auto"/>
        </w:rPr>
        <w:t>We entered into an asset-based revolving credit facility for an initial aggregate principal commitment amount of up to $1.0 billion.</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30"/>
        </w:numPr>
        <w:rPr>
          <w:rFonts w:ascii="Arial" w:cs="Arial" w:eastAsia="Arial" w:hAnsi="Arial"/>
          <w:sz w:val="16"/>
          <w:szCs w:val="16"/>
          <w:color w:val="8A6B24"/>
        </w:rPr>
      </w:pPr>
      <w:r>
        <w:rPr>
          <w:rFonts w:ascii="Arial" w:cs="Arial" w:eastAsia="Arial" w:hAnsi="Arial"/>
          <w:sz w:val="16"/>
          <w:szCs w:val="16"/>
          <w:color w:val="auto"/>
        </w:rPr>
        <w:t>We completed an “at-the-market” equity offering for net proceeds of  $594.3 million.</w:t>
      </w:r>
    </w:p>
    <w:p>
      <w:pPr>
        <w:spacing w:after="0" w:line="167" w:lineRule="exact"/>
        <w:rPr>
          <w:rFonts w:ascii="Arial" w:cs="Arial" w:eastAsia="Arial" w:hAnsi="Arial"/>
          <w:sz w:val="16"/>
          <w:szCs w:val="16"/>
          <w:color w:val="8A6B24"/>
        </w:rPr>
      </w:pPr>
    </w:p>
    <w:p>
      <w:pPr>
        <w:ind w:left="820" w:right="660" w:hanging="166"/>
        <w:spacing w:after="0" w:line="321" w:lineRule="auto"/>
        <w:tabs>
          <w:tab w:leader="none" w:pos="820" w:val="left"/>
        </w:tabs>
        <w:numPr>
          <w:ilvl w:val="0"/>
          <w:numId w:val="30"/>
        </w:numPr>
        <w:rPr>
          <w:rFonts w:ascii="Arial" w:cs="Arial" w:eastAsia="Arial" w:hAnsi="Arial"/>
          <w:sz w:val="16"/>
          <w:szCs w:val="16"/>
          <w:color w:val="8A6B24"/>
        </w:rPr>
      </w:pPr>
      <w:r>
        <w:rPr>
          <w:rFonts w:ascii="Arial" w:cs="Arial" w:eastAsia="Arial" w:hAnsi="Arial"/>
          <w:sz w:val="16"/>
          <w:szCs w:val="16"/>
          <w:color w:val="auto"/>
        </w:rPr>
        <w:t>We consummated a private placement of shares of Common Stock with Ayar Third Investment Company, our controlling stockholder, for aggregate proceeds of  $915.0 million.</w:t>
      </w:r>
    </w:p>
    <w:p>
      <w:pPr>
        <w:spacing w:after="0" w:line="88" w:lineRule="exact"/>
        <w:rPr>
          <w:rFonts w:ascii="Arial" w:cs="Arial" w:eastAsia="Arial" w:hAnsi="Arial"/>
          <w:sz w:val="16"/>
          <w:szCs w:val="16"/>
          <w:color w:val="8A6B24"/>
        </w:rPr>
      </w:pPr>
    </w:p>
    <w:p>
      <w:pPr>
        <w:ind w:left="820" w:right="560" w:hanging="166"/>
        <w:spacing w:after="0" w:line="321" w:lineRule="auto"/>
        <w:tabs>
          <w:tab w:leader="none" w:pos="820" w:val="left"/>
        </w:tabs>
        <w:numPr>
          <w:ilvl w:val="0"/>
          <w:numId w:val="30"/>
        </w:numPr>
        <w:rPr>
          <w:rFonts w:ascii="Arial" w:cs="Arial" w:eastAsia="Arial" w:hAnsi="Arial"/>
          <w:sz w:val="16"/>
          <w:szCs w:val="16"/>
          <w:color w:val="8A6B24"/>
        </w:rPr>
      </w:pPr>
      <w:r>
        <w:rPr>
          <w:rFonts w:ascii="Arial" w:cs="Arial" w:eastAsia="Arial" w:hAnsi="Arial"/>
          <w:sz w:val="16"/>
          <w:szCs w:val="16"/>
          <w:color w:val="auto"/>
        </w:rPr>
        <w:t>We entered into agreements with Panasonic Energy Co. Ltd and its affiliates (collectively, “Panasonic”), pursuant to which Panasonic will supply lithium-ion battery cells beginning in 2023 through 2031.</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2022 Pay Actions in Connection with Key Accomplishments</w:t>
      </w:r>
    </w:p>
    <w:p>
      <w:pPr>
        <w:spacing w:after="0" w:line="199" w:lineRule="exact"/>
        <w:rPr>
          <w:sz w:val="20"/>
          <w:szCs w:val="20"/>
          <w:color w:val="auto"/>
        </w:rPr>
      </w:pPr>
    </w:p>
    <w:p>
      <w:pPr>
        <w:ind w:left="660" w:right="100"/>
        <w:spacing w:after="0" w:line="295" w:lineRule="auto"/>
        <w:rPr>
          <w:sz w:val="20"/>
          <w:szCs w:val="20"/>
          <w:color w:val="auto"/>
        </w:rPr>
      </w:pPr>
      <w:r>
        <w:rPr>
          <w:rFonts w:ascii="Arial" w:cs="Arial" w:eastAsia="Arial" w:hAnsi="Arial"/>
          <w:sz w:val="16"/>
          <w:szCs w:val="16"/>
          <w:color w:val="auto"/>
        </w:rPr>
        <w:t>We believe our executive compensation program provides effective incentives for our NEOs to lead us to achieve significant future growth, thereby producing long-term value for our stockholders. In light of our key accomplishments through 2022, the Compensation Committee approved the following pay actions for our NEOs, each of which is more fully described below in this CD&amp;A:</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3060" w:type="dxa"/>
            <w:vAlign w:val="bottom"/>
            <w:shd w:val="clear" w:color="auto" w:fill="000000"/>
          </w:tcPr>
          <w:p>
            <w:pPr>
              <w:ind w:left="298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w:t>
            </w:r>
          </w:p>
        </w:tc>
        <w:tc>
          <w:tcPr>
            <w:tcW w:w="6120" w:type="dxa"/>
            <w:vAlign w:val="bottom"/>
            <w:shd w:val="clear" w:color="auto" w:fill="000000"/>
          </w:tcPr>
          <w:p>
            <w:pPr>
              <w:ind w:left="5900"/>
              <w:spacing w:after="0"/>
              <w:rPr>
                <w:sz w:val="20"/>
                <w:szCs w:val="20"/>
                <w:color w:val="auto"/>
              </w:rPr>
            </w:pPr>
            <w:r>
              <w:rPr>
                <w:rFonts w:ascii="Arial" w:cs="Arial" w:eastAsia="Arial" w:hAnsi="Arial"/>
                <w:sz w:val="13"/>
                <w:szCs w:val="13"/>
                <w:b w:val="1"/>
                <w:bCs w:val="1"/>
                <w:color w:val="FEFEFE"/>
              </w:rPr>
              <w:t>​</w:t>
            </w:r>
          </w:p>
        </w:tc>
      </w:tr>
      <w:tr>
        <w:trPr>
          <w:trHeight w:val="172"/>
        </w:trPr>
        <w:tc>
          <w:tcPr>
            <w:tcW w:w="100" w:type="dxa"/>
            <w:vAlign w:val="bottom"/>
            <w:shd w:val="clear" w:color="auto" w:fill="000000"/>
          </w:tcPr>
          <w:p>
            <w:pPr>
              <w:spacing w:after="0"/>
              <w:rPr>
                <w:sz w:val="14"/>
                <w:szCs w:val="14"/>
                <w:color w:val="auto"/>
              </w:rPr>
            </w:pPr>
          </w:p>
        </w:tc>
        <w:tc>
          <w:tcPr>
            <w:tcW w:w="306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Pay Element</w:t>
            </w:r>
          </w:p>
        </w:tc>
        <w:tc>
          <w:tcPr>
            <w:tcW w:w="100" w:type="dxa"/>
            <w:vAlign w:val="bottom"/>
            <w:shd w:val="clear" w:color="auto" w:fill="000000"/>
          </w:tcPr>
          <w:p>
            <w:pPr>
              <w:spacing w:after="0"/>
              <w:rPr>
                <w:sz w:val="14"/>
                <w:szCs w:val="14"/>
                <w:color w:val="auto"/>
              </w:rPr>
            </w:pPr>
          </w:p>
        </w:tc>
        <w:tc>
          <w:tcPr>
            <w:tcW w:w="612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Pay Action</w:t>
            </w:r>
          </w:p>
        </w:tc>
      </w:tr>
      <w:tr>
        <w:trPr>
          <w:trHeight w:val="116"/>
        </w:trPr>
        <w:tc>
          <w:tcPr>
            <w:tcW w:w="100" w:type="dxa"/>
            <w:vAlign w:val="bottom"/>
            <w:shd w:val="clear" w:color="auto" w:fill="000000"/>
          </w:tcPr>
          <w:p>
            <w:pPr>
              <w:spacing w:after="0"/>
              <w:rPr>
                <w:sz w:val="10"/>
                <w:szCs w:val="10"/>
                <w:color w:val="auto"/>
              </w:rPr>
            </w:pPr>
          </w:p>
        </w:tc>
        <w:tc>
          <w:tcPr>
            <w:tcW w:w="306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6120" w:type="dxa"/>
            <w:vAlign w:val="bottom"/>
            <w:shd w:val="clear" w:color="auto" w:fill="000000"/>
          </w:tcPr>
          <w:p>
            <w:pPr>
              <w:spacing w:after="0"/>
              <w:rPr>
                <w:sz w:val="10"/>
                <w:szCs w:val="10"/>
                <w:color w:val="auto"/>
              </w:rPr>
            </w:pPr>
          </w:p>
        </w:tc>
      </w:tr>
      <w:tr>
        <w:trPr>
          <w:trHeight w:val="139"/>
        </w:trPr>
        <w:tc>
          <w:tcPr>
            <w:tcW w:w="100" w:type="dxa"/>
            <w:vAlign w:val="bottom"/>
          </w:tcPr>
          <w:p>
            <w:pPr>
              <w:spacing w:after="0" w:line="139" w:lineRule="exact"/>
              <w:rPr>
                <w:sz w:val="20"/>
                <w:szCs w:val="20"/>
                <w:color w:val="auto"/>
              </w:rPr>
            </w:pPr>
            <w:r>
              <w:rPr>
                <w:rFonts w:ascii="Arial" w:cs="Arial" w:eastAsia="Arial" w:hAnsi="Arial"/>
                <w:sz w:val="14"/>
                <w:szCs w:val="14"/>
                <w:color w:val="auto"/>
              </w:rPr>
              <w:t>​</w:t>
            </w:r>
          </w:p>
        </w:tc>
        <w:tc>
          <w:tcPr>
            <w:tcW w:w="3060" w:type="dxa"/>
            <w:vAlign w:val="bottom"/>
          </w:tcPr>
          <w:p>
            <w:pPr>
              <w:ind w:left="2980"/>
              <w:spacing w:after="0" w:line="139"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39" w:lineRule="exact"/>
              <w:rPr>
                <w:sz w:val="20"/>
                <w:szCs w:val="20"/>
                <w:color w:val="auto"/>
              </w:rPr>
            </w:pPr>
            <w:r>
              <w:rPr>
                <w:rFonts w:ascii="Arial" w:cs="Arial" w:eastAsia="Arial" w:hAnsi="Arial"/>
                <w:sz w:val="14"/>
                <w:szCs w:val="14"/>
                <w:color w:val="auto"/>
              </w:rPr>
              <w:t>​</w:t>
            </w:r>
          </w:p>
        </w:tc>
        <w:tc>
          <w:tcPr>
            <w:tcW w:w="6120" w:type="dxa"/>
            <w:vAlign w:val="bottom"/>
          </w:tcPr>
          <w:p>
            <w:pPr>
              <w:ind w:left="5900"/>
              <w:spacing w:after="0" w:line="139" w:lineRule="exact"/>
              <w:rPr>
                <w:sz w:val="20"/>
                <w:szCs w:val="20"/>
                <w:color w:val="auto"/>
              </w:rPr>
            </w:pPr>
            <w:r>
              <w:rPr>
                <w:rFonts w:ascii="Arial" w:cs="Arial" w:eastAsia="Arial" w:hAnsi="Arial"/>
                <w:sz w:val="14"/>
                <w:szCs w:val="14"/>
                <w:color w:val="auto"/>
              </w:rPr>
              <w:t>​</w:t>
            </w:r>
          </w:p>
        </w:tc>
      </w:tr>
      <w:tr>
        <w:trPr>
          <w:trHeight w:val="162"/>
        </w:trPr>
        <w:tc>
          <w:tcPr>
            <w:tcW w:w="100" w:type="dxa"/>
            <w:vAlign w:val="bottom"/>
          </w:tcPr>
          <w:p>
            <w:pPr>
              <w:spacing w:after="0"/>
              <w:rPr>
                <w:sz w:val="14"/>
                <w:szCs w:val="14"/>
                <w:color w:val="auto"/>
              </w:rPr>
            </w:pPr>
          </w:p>
        </w:tc>
        <w:tc>
          <w:tcPr>
            <w:tcW w:w="3060" w:type="dxa"/>
            <w:vAlign w:val="bottom"/>
          </w:tcPr>
          <w:p>
            <w:pPr>
              <w:ind w:left="60"/>
              <w:spacing w:after="0"/>
              <w:rPr>
                <w:sz w:val="20"/>
                <w:szCs w:val="20"/>
                <w:color w:val="auto"/>
              </w:rPr>
            </w:pPr>
            <w:r>
              <w:rPr>
                <w:rFonts w:ascii="Arial" w:cs="Arial" w:eastAsia="Arial" w:hAnsi="Arial"/>
                <w:sz w:val="14"/>
                <w:szCs w:val="14"/>
                <w:b w:val="1"/>
                <w:bCs w:val="1"/>
                <w:color w:val="auto"/>
              </w:rPr>
              <w:t>Base Salary</w:t>
            </w:r>
          </w:p>
        </w:tc>
        <w:tc>
          <w:tcPr>
            <w:tcW w:w="1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The Compensation Committee increased the base salaries of Ms. House and Messrs.</w:t>
            </w:r>
          </w:p>
        </w:tc>
      </w:tr>
      <w:tr>
        <w:trPr>
          <w:trHeight w:val="162"/>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20" w:type="dxa"/>
            <w:vAlign w:val="bottom"/>
          </w:tcPr>
          <w:p>
            <w:pPr>
              <w:ind w:left="180"/>
              <w:spacing w:after="0"/>
              <w:rPr>
                <w:sz w:val="20"/>
                <w:szCs w:val="20"/>
                <w:color w:val="auto"/>
              </w:rPr>
            </w:pPr>
            <w:r>
              <w:rPr>
                <w:rFonts w:ascii="Arial" w:cs="Arial" w:eastAsia="Arial" w:hAnsi="Arial"/>
                <w:sz w:val="14"/>
                <w:szCs w:val="14"/>
                <w:color w:val="auto"/>
              </w:rPr>
              <w:t>Bach and Bell by approximately 7%, 17%, and 5%, respectively, effective as of June 6,</w:t>
            </w:r>
          </w:p>
        </w:tc>
      </w:tr>
      <w:tr>
        <w:trPr>
          <w:trHeight w:val="162"/>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20" w:type="dxa"/>
            <w:vAlign w:val="bottom"/>
          </w:tcPr>
          <w:p>
            <w:pPr>
              <w:ind w:left="180"/>
              <w:spacing w:after="0"/>
              <w:rPr>
                <w:sz w:val="20"/>
                <w:szCs w:val="20"/>
                <w:color w:val="auto"/>
              </w:rPr>
            </w:pPr>
            <w:r>
              <w:rPr>
                <w:rFonts w:ascii="Arial" w:cs="Arial" w:eastAsia="Arial" w:hAnsi="Arial"/>
                <w:sz w:val="14"/>
                <w:szCs w:val="14"/>
                <w:color w:val="auto"/>
              </w:rPr>
              <w:t>2022. Such increases were primarily based on executive performance, peer group data,</w:t>
            </w:r>
          </w:p>
        </w:tc>
      </w:tr>
      <w:tr>
        <w:trPr>
          <w:trHeight w:val="190"/>
        </w:trPr>
        <w:tc>
          <w:tcPr>
            <w:tcW w:w="1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20" w:type="dxa"/>
            <w:vAlign w:val="bottom"/>
          </w:tcPr>
          <w:p>
            <w:pPr>
              <w:ind w:left="180"/>
              <w:spacing w:after="0"/>
              <w:rPr>
                <w:sz w:val="20"/>
                <w:szCs w:val="20"/>
                <w:color w:val="auto"/>
              </w:rPr>
            </w:pPr>
            <w:r>
              <w:rPr>
                <w:rFonts w:ascii="Arial" w:cs="Arial" w:eastAsia="Arial" w:hAnsi="Arial"/>
                <w:sz w:val="14"/>
                <w:szCs w:val="14"/>
                <w:color w:val="auto"/>
              </w:rPr>
              <w:t>and internal pay equity.</w:t>
            </w:r>
          </w:p>
        </w:tc>
      </w:tr>
      <w:tr>
        <w:trPr>
          <w:trHeight w:val="103"/>
        </w:trPr>
        <w:tc>
          <w:tcPr>
            <w:tcW w:w="10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120" w:type="dxa"/>
            <w:vAlign w:val="bottom"/>
            <w:tcBorders>
              <w:bottom w:val="single" w:sz="8" w:color="auto"/>
            </w:tcBorders>
          </w:tcPr>
          <w:p>
            <w:pPr>
              <w:spacing w:after="0"/>
              <w:rPr>
                <w:sz w:val="8"/>
                <w:szCs w:val="8"/>
                <w:color w:val="auto"/>
              </w:rPr>
            </w:pPr>
          </w:p>
        </w:tc>
      </w:tr>
      <w:tr>
        <w:trPr>
          <w:trHeight w:val="133"/>
        </w:trPr>
        <w:tc>
          <w:tcPr>
            <w:tcW w:w="100" w:type="dxa"/>
            <w:vAlign w:val="bottom"/>
            <w:shd w:val="clear" w:color="auto" w:fill="F7F7F7"/>
          </w:tcPr>
          <w:p>
            <w:pPr>
              <w:spacing w:after="0" w:line="133" w:lineRule="exact"/>
              <w:rPr>
                <w:sz w:val="20"/>
                <w:szCs w:val="20"/>
                <w:color w:val="auto"/>
              </w:rPr>
            </w:pPr>
            <w:r>
              <w:rPr>
                <w:rFonts w:ascii="Arial" w:cs="Arial" w:eastAsia="Arial" w:hAnsi="Arial"/>
                <w:sz w:val="14"/>
                <w:szCs w:val="14"/>
                <w:color w:val="auto"/>
              </w:rPr>
              <w:t>​</w:t>
            </w:r>
          </w:p>
        </w:tc>
        <w:tc>
          <w:tcPr>
            <w:tcW w:w="3060" w:type="dxa"/>
            <w:vAlign w:val="bottom"/>
            <w:shd w:val="clear" w:color="auto" w:fill="F7F7F7"/>
          </w:tcPr>
          <w:p>
            <w:pPr>
              <w:ind w:left="2980"/>
              <w:spacing w:after="0" w:line="133" w:lineRule="exact"/>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ind w:left="40"/>
              <w:spacing w:after="0" w:line="133" w:lineRule="exact"/>
              <w:rPr>
                <w:sz w:val="20"/>
                <w:szCs w:val="20"/>
                <w:color w:val="auto"/>
              </w:rPr>
            </w:pPr>
            <w:r>
              <w:rPr>
                <w:rFonts w:ascii="Arial" w:cs="Arial" w:eastAsia="Arial" w:hAnsi="Arial"/>
                <w:sz w:val="14"/>
                <w:szCs w:val="14"/>
                <w:color w:val="auto"/>
              </w:rPr>
              <w:t>​</w:t>
            </w:r>
          </w:p>
        </w:tc>
        <w:tc>
          <w:tcPr>
            <w:tcW w:w="6120" w:type="dxa"/>
            <w:vAlign w:val="bottom"/>
            <w:shd w:val="clear" w:color="auto" w:fill="F7F7F7"/>
          </w:tcPr>
          <w:p>
            <w:pPr>
              <w:ind w:left="5900"/>
              <w:spacing w:after="0" w:line="133" w:lineRule="exact"/>
              <w:rPr>
                <w:sz w:val="20"/>
                <w:szCs w:val="20"/>
                <w:color w:val="auto"/>
              </w:rPr>
            </w:pPr>
            <w:r>
              <w:rPr>
                <w:rFonts w:ascii="Arial" w:cs="Arial" w:eastAsia="Arial" w:hAnsi="Arial"/>
                <w:sz w:val="14"/>
                <w:szCs w:val="14"/>
                <w:color w:val="auto"/>
              </w:rPr>
              <w:t>​</w:t>
            </w:r>
          </w:p>
        </w:tc>
      </w:tr>
      <w:tr>
        <w:trPr>
          <w:trHeight w:val="162"/>
        </w:trPr>
        <w:tc>
          <w:tcPr>
            <w:tcW w:w="100" w:type="dxa"/>
            <w:vAlign w:val="bottom"/>
            <w:shd w:val="clear" w:color="auto" w:fill="F7F7F7"/>
          </w:tcPr>
          <w:p>
            <w:pPr>
              <w:spacing w:after="0"/>
              <w:rPr>
                <w:sz w:val="14"/>
                <w:szCs w:val="14"/>
                <w:color w:val="auto"/>
              </w:rPr>
            </w:pPr>
          </w:p>
        </w:tc>
        <w:tc>
          <w:tcPr>
            <w:tcW w:w="3060" w:type="dxa"/>
            <w:vAlign w:val="bottom"/>
            <w:shd w:val="clear" w:color="auto" w:fill="F7F7F7"/>
          </w:tcPr>
          <w:p>
            <w:pPr>
              <w:ind w:left="60"/>
              <w:spacing w:after="0"/>
              <w:rPr>
                <w:sz w:val="20"/>
                <w:szCs w:val="20"/>
                <w:color w:val="auto"/>
              </w:rPr>
            </w:pPr>
            <w:r>
              <w:rPr>
                <w:rFonts w:ascii="Arial" w:cs="Arial" w:eastAsia="Arial" w:hAnsi="Arial"/>
                <w:sz w:val="14"/>
                <w:szCs w:val="14"/>
                <w:b w:val="1"/>
                <w:bCs w:val="1"/>
                <w:color w:val="auto"/>
              </w:rPr>
              <w:t>Annual Cash Incentive</w:t>
            </w:r>
          </w:p>
        </w:tc>
        <w:tc>
          <w:tcPr>
            <w:tcW w:w="100" w:type="dxa"/>
            <w:vAlign w:val="bottom"/>
            <w:shd w:val="clear" w:color="auto" w:fill="F7F7F7"/>
          </w:tcPr>
          <w:p>
            <w:pPr>
              <w:spacing w:after="0"/>
              <w:rPr>
                <w:sz w:val="14"/>
                <w:szCs w:val="14"/>
                <w:color w:val="auto"/>
              </w:rPr>
            </w:pPr>
          </w:p>
        </w:tc>
        <w:tc>
          <w:tcPr>
            <w:tcW w:w="6120" w:type="dxa"/>
            <w:vAlign w:val="bottom"/>
            <w:shd w:val="clear" w:color="auto" w:fill="F7F7F7"/>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In March 2022, the Compensation Committee approved our annual cash incentive</w:t>
            </w:r>
          </w:p>
        </w:tc>
      </w:tr>
      <w:tr>
        <w:trPr>
          <w:trHeight w:val="162"/>
        </w:trPr>
        <w:tc>
          <w:tcPr>
            <w:tcW w:w="100" w:type="dxa"/>
            <w:vAlign w:val="bottom"/>
            <w:shd w:val="clear" w:color="auto" w:fill="F7F7F7"/>
          </w:tcPr>
          <w:p>
            <w:pPr>
              <w:spacing w:after="0"/>
              <w:rPr>
                <w:sz w:val="14"/>
                <w:szCs w:val="14"/>
                <w:color w:val="auto"/>
              </w:rPr>
            </w:pPr>
          </w:p>
        </w:tc>
        <w:tc>
          <w:tcPr>
            <w:tcW w:w="30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6120" w:type="dxa"/>
            <w:vAlign w:val="bottom"/>
            <w:shd w:val="clear" w:color="auto" w:fill="F7F7F7"/>
          </w:tcPr>
          <w:p>
            <w:pPr>
              <w:ind w:left="180"/>
              <w:spacing w:after="0"/>
              <w:rPr>
                <w:sz w:val="20"/>
                <w:szCs w:val="20"/>
                <w:color w:val="auto"/>
              </w:rPr>
            </w:pPr>
            <w:r>
              <w:rPr>
                <w:rFonts w:ascii="Arial" w:cs="Arial" w:eastAsia="Arial" w:hAnsi="Arial"/>
                <w:sz w:val="14"/>
                <w:szCs w:val="14"/>
                <w:color w:val="auto"/>
              </w:rPr>
              <w:t>program for 2022, under which Mr. Rawlinson, Ms. House and Messrs. Bach and Bell had</w:t>
            </w:r>
          </w:p>
        </w:tc>
      </w:tr>
      <w:tr>
        <w:trPr>
          <w:trHeight w:val="162"/>
        </w:trPr>
        <w:tc>
          <w:tcPr>
            <w:tcW w:w="100" w:type="dxa"/>
            <w:vAlign w:val="bottom"/>
            <w:shd w:val="clear" w:color="auto" w:fill="F7F7F7"/>
          </w:tcPr>
          <w:p>
            <w:pPr>
              <w:spacing w:after="0"/>
              <w:rPr>
                <w:sz w:val="14"/>
                <w:szCs w:val="14"/>
                <w:color w:val="auto"/>
              </w:rPr>
            </w:pPr>
          </w:p>
        </w:tc>
        <w:tc>
          <w:tcPr>
            <w:tcW w:w="30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6120" w:type="dxa"/>
            <w:vAlign w:val="bottom"/>
            <w:shd w:val="clear" w:color="auto" w:fill="F7F7F7"/>
          </w:tcPr>
          <w:p>
            <w:pPr>
              <w:ind w:left="180"/>
              <w:spacing w:after="0"/>
              <w:rPr>
                <w:sz w:val="20"/>
                <w:szCs w:val="20"/>
                <w:color w:val="auto"/>
              </w:rPr>
            </w:pPr>
            <w:r>
              <w:rPr>
                <w:rFonts w:ascii="Arial" w:cs="Arial" w:eastAsia="Arial" w:hAnsi="Arial"/>
                <w:sz w:val="14"/>
                <w:szCs w:val="14"/>
                <w:color w:val="auto"/>
              </w:rPr>
              <w:t>target incentives of 100%, 75%, 75%, and 75% of base salary, respectively. The annual</w:t>
            </w:r>
          </w:p>
        </w:tc>
      </w:tr>
      <w:tr>
        <w:trPr>
          <w:trHeight w:val="162"/>
        </w:trPr>
        <w:tc>
          <w:tcPr>
            <w:tcW w:w="100" w:type="dxa"/>
            <w:vAlign w:val="bottom"/>
            <w:shd w:val="clear" w:color="auto" w:fill="F7F7F7"/>
          </w:tcPr>
          <w:p>
            <w:pPr>
              <w:spacing w:after="0"/>
              <w:rPr>
                <w:sz w:val="14"/>
                <w:szCs w:val="14"/>
                <w:color w:val="auto"/>
              </w:rPr>
            </w:pPr>
          </w:p>
        </w:tc>
        <w:tc>
          <w:tcPr>
            <w:tcW w:w="30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6120" w:type="dxa"/>
            <w:vAlign w:val="bottom"/>
            <w:shd w:val="clear" w:color="auto" w:fill="F7F7F7"/>
          </w:tcPr>
          <w:p>
            <w:pPr>
              <w:ind w:left="180"/>
              <w:spacing w:after="0"/>
              <w:rPr>
                <w:sz w:val="20"/>
                <w:szCs w:val="20"/>
                <w:color w:val="auto"/>
              </w:rPr>
            </w:pPr>
            <w:r>
              <w:rPr>
                <w:rFonts w:ascii="Arial" w:cs="Arial" w:eastAsia="Arial" w:hAnsi="Arial"/>
                <w:sz w:val="14"/>
                <w:szCs w:val="14"/>
                <w:color w:val="auto"/>
              </w:rPr>
              <w:t>cash incentive program metrics were production volume, cash management, and field</w:t>
            </w:r>
          </w:p>
        </w:tc>
      </w:tr>
      <w:tr>
        <w:trPr>
          <w:trHeight w:val="190"/>
        </w:trPr>
        <w:tc>
          <w:tcPr>
            <w:tcW w:w="100" w:type="dxa"/>
            <w:vAlign w:val="bottom"/>
            <w:shd w:val="clear" w:color="auto" w:fill="F7F7F7"/>
          </w:tcPr>
          <w:p>
            <w:pPr>
              <w:spacing w:after="0"/>
              <w:rPr>
                <w:sz w:val="16"/>
                <w:szCs w:val="16"/>
                <w:color w:val="auto"/>
              </w:rPr>
            </w:pPr>
          </w:p>
        </w:tc>
        <w:tc>
          <w:tcPr>
            <w:tcW w:w="3060" w:type="dxa"/>
            <w:vAlign w:val="bottom"/>
            <w:shd w:val="clear" w:color="auto" w:fill="F7F7F7"/>
          </w:tcPr>
          <w:p>
            <w:pPr>
              <w:spacing w:after="0"/>
              <w:rPr>
                <w:sz w:val="16"/>
                <w:szCs w:val="16"/>
                <w:color w:val="auto"/>
              </w:rPr>
            </w:pPr>
          </w:p>
        </w:tc>
        <w:tc>
          <w:tcPr>
            <w:tcW w:w="100" w:type="dxa"/>
            <w:vAlign w:val="bottom"/>
            <w:shd w:val="clear" w:color="auto" w:fill="F7F7F7"/>
          </w:tcPr>
          <w:p>
            <w:pPr>
              <w:spacing w:after="0"/>
              <w:rPr>
                <w:sz w:val="16"/>
                <w:szCs w:val="16"/>
                <w:color w:val="auto"/>
              </w:rPr>
            </w:pPr>
          </w:p>
        </w:tc>
        <w:tc>
          <w:tcPr>
            <w:tcW w:w="6120" w:type="dxa"/>
            <w:vAlign w:val="bottom"/>
            <w:shd w:val="clear" w:color="auto" w:fill="F7F7F7"/>
          </w:tcPr>
          <w:p>
            <w:pPr>
              <w:ind w:left="180"/>
              <w:spacing w:after="0"/>
              <w:rPr>
                <w:sz w:val="20"/>
                <w:szCs w:val="20"/>
                <w:color w:val="auto"/>
              </w:rPr>
            </w:pPr>
            <w:r>
              <w:rPr>
                <w:rFonts w:ascii="Arial" w:cs="Arial" w:eastAsia="Arial" w:hAnsi="Arial"/>
                <w:sz w:val="14"/>
                <w:szCs w:val="14"/>
                <w:color w:val="auto"/>
              </w:rPr>
              <w:t>quality.</w:t>
            </w:r>
          </w:p>
        </w:tc>
      </w:tr>
      <w:tr>
        <w:trPr>
          <w:trHeight w:val="255"/>
        </w:trPr>
        <w:tc>
          <w:tcPr>
            <w:tcW w:w="100" w:type="dxa"/>
            <w:vAlign w:val="bottom"/>
            <w:shd w:val="clear" w:color="auto" w:fill="F7F7F7"/>
          </w:tcPr>
          <w:p>
            <w:pPr>
              <w:spacing w:after="0"/>
              <w:rPr>
                <w:sz w:val="22"/>
                <w:szCs w:val="22"/>
                <w:color w:val="auto"/>
              </w:rPr>
            </w:pPr>
          </w:p>
        </w:tc>
        <w:tc>
          <w:tcPr>
            <w:tcW w:w="3060" w:type="dxa"/>
            <w:vAlign w:val="bottom"/>
            <w:shd w:val="clear" w:color="auto" w:fill="F7F7F7"/>
          </w:tcPr>
          <w:p>
            <w:pPr>
              <w:spacing w:after="0"/>
              <w:rPr>
                <w:sz w:val="22"/>
                <w:szCs w:val="22"/>
                <w:color w:val="auto"/>
              </w:rPr>
            </w:pPr>
          </w:p>
        </w:tc>
        <w:tc>
          <w:tcPr>
            <w:tcW w:w="100" w:type="dxa"/>
            <w:vAlign w:val="bottom"/>
            <w:shd w:val="clear" w:color="auto" w:fill="F7F7F7"/>
          </w:tcPr>
          <w:p>
            <w:pPr>
              <w:spacing w:after="0"/>
              <w:rPr>
                <w:sz w:val="22"/>
                <w:szCs w:val="22"/>
                <w:color w:val="auto"/>
              </w:rPr>
            </w:pPr>
          </w:p>
        </w:tc>
        <w:tc>
          <w:tcPr>
            <w:tcW w:w="6120" w:type="dxa"/>
            <w:vAlign w:val="bottom"/>
            <w:shd w:val="clear" w:color="auto" w:fill="F7F7F7"/>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While the cash management and field quality goals were achieved, the Compensation</w:t>
            </w:r>
          </w:p>
        </w:tc>
      </w:tr>
      <w:tr>
        <w:trPr>
          <w:trHeight w:val="162"/>
        </w:trPr>
        <w:tc>
          <w:tcPr>
            <w:tcW w:w="100" w:type="dxa"/>
            <w:vAlign w:val="bottom"/>
            <w:shd w:val="clear" w:color="auto" w:fill="F7F7F7"/>
          </w:tcPr>
          <w:p>
            <w:pPr>
              <w:spacing w:after="0"/>
              <w:rPr>
                <w:sz w:val="14"/>
                <w:szCs w:val="14"/>
                <w:color w:val="auto"/>
              </w:rPr>
            </w:pPr>
          </w:p>
        </w:tc>
        <w:tc>
          <w:tcPr>
            <w:tcW w:w="306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6120" w:type="dxa"/>
            <w:vAlign w:val="bottom"/>
            <w:shd w:val="clear" w:color="auto" w:fill="F7F7F7"/>
          </w:tcPr>
          <w:p>
            <w:pPr>
              <w:ind w:left="180"/>
              <w:spacing w:after="0"/>
              <w:rPr>
                <w:sz w:val="20"/>
                <w:szCs w:val="20"/>
                <w:color w:val="auto"/>
              </w:rPr>
            </w:pPr>
            <w:r>
              <w:rPr>
                <w:rFonts w:ascii="Arial" w:cs="Arial" w:eastAsia="Arial" w:hAnsi="Arial"/>
                <w:sz w:val="14"/>
                <w:szCs w:val="14"/>
                <w:color w:val="auto"/>
              </w:rPr>
              <w:t>Committee determined not to pay annual bonuses to our senior executives (including our</w:t>
            </w:r>
          </w:p>
        </w:tc>
      </w:tr>
      <w:tr>
        <w:trPr>
          <w:trHeight w:val="190"/>
        </w:trPr>
        <w:tc>
          <w:tcPr>
            <w:tcW w:w="100" w:type="dxa"/>
            <w:vAlign w:val="bottom"/>
            <w:shd w:val="clear" w:color="auto" w:fill="F7F7F7"/>
          </w:tcPr>
          <w:p>
            <w:pPr>
              <w:spacing w:after="0"/>
              <w:rPr>
                <w:sz w:val="16"/>
                <w:szCs w:val="16"/>
                <w:color w:val="auto"/>
              </w:rPr>
            </w:pPr>
          </w:p>
        </w:tc>
        <w:tc>
          <w:tcPr>
            <w:tcW w:w="3060" w:type="dxa"/>
            <w:vAlign w:val="bottom"/>
            <w:shd w:val="clear" w:color="auto" w:fill="F7F7F7"/>
          </w:tcPr>
          <w:p>
            <w:pPr>
              <w:spacing w:after="0"/>
              <w:rPr>
                <w:sz w:val="16"/>
                <w:szCs w:val="16"/>
                <w:color w:val="auto"/>
              </w:rPr>
            </w:pPr>
          </w:p>
        </w:tc>
        <w:tc>
          <w:tcPr>
            <w:tcW w:w="100" w:type="dxa"/>
            <w:vAlign w:val="bottom"/>
            <w:shd w:val="clear" w:color="auto" w:fill="F7F7F7"/>
          </w:tcPr>
          <w:p>
            <w:pPr>
              <w:spacing w:after="0"/>
              <w:rPr>
                <w:sz w:val="16"/>
                <w:szCs w:val="16"/>
                <w:color w:val="auto"/>
              </w:rPr>
            </w:pPr>
          </w:p>
        </w:tc>
        <w:tc>
          <w:tcPr>
            <w:tcW w:w="6120" w:type="dxa"/>
            <w:vAlign w:val="bottom"/>
            <w:shd w:val="clear" w:color="auto" w:fill="F7F7F7"/>
          </w:tcPr>
          <w:p>
            <w:pPr>
              <w:ind w:left="180"/>
              <w:spacing w:after="0"/>
              <w:rPr>
                <w:sz w:val="20"/>
                <w:szCs w:val="20"/>
                <w:color w:val="auto"/>
              </w:rPr>
            </w:pPr>
            <w:r>
              <w:rPr>
                <w:rFonts w:ascii="Arial" w:cs="Arial" w:eastAsia="Arial" w:hAnsi="Arial"/>
                <w:sz w:val="14"/>
                <w:szCs w:val="14"/>
                <w:color w:val="auto"/>
              </w:rPr>
              <w:t>NEOs) for 2022.</w:t>
            </w:r>
          </w:p>
        </w:tc>
      </w:tr>
      <w:tr>
        <w:trPr>
          <w:trHeight w:val="89"/>
        </w:trPr>
        <w:tc>
          <w:tcPr>
            <w:tcW w:w="100" w:type="dxa"/>
            <w:vAlign w:val="bottom"/>
            <w:tcBorders>
              <w:bottom w:val="single" w:sz="8" w:color="auto"/>
            </w:tcBorders>
            <w:shd w:val="clear" w:color="auto" w:fill="F7F7F7"/>
          </w:tcPr>
          <w:p>
            <w:pPr>
              <w:spacing w:after="0"/>
              <w:rPr>
                <w:sz w:val="7"/>
                <w:szCs w:val="7"/>
                <w:color w:val="auto"/>
              </w:rPr>
            </w:pPr>
          </w:p>
        </w:tc>
        <w:tc>
          <w:tcPr>
            <w:tcW w:w="3060" w:type="dxa"/>
            <w:vAlign w:val="bottom"/>
            <w:tcBorders>
              <w:bottom w:val="single" w:sz="8" w:color="auto"/>
            </w:tcBorders>
            <w:shd w:val="clear" w:color="auto" w:fill="F7F7F7"/>
          </w:tcPr>
          <w:p>
            <w:pPr>
              <w:spacing w:after="0"/>
              <w:rPr>
                <w:sz w:val="7"/>
                <w:szCs w:val="7"/>
                <w:color w:val="auto"/>
              </w:rPr>
            </w:pPr>
          </w:p>
        </w:tc>
        <w:tc>
          <w:tcPr>
            <w:tcW w:w="100" w:type="dxa"/>
            <w:vAlign w:val="bottom"/>
            <w:tcBorders>
              <w:bottom w:val="single" w:sz="8" w:color="auto"/>
            </w:tcBorders>
            <w:shd w:val="clear" w:color="auto" w:fill="F7F7F7"/>
          </w:tcPr>
          <w:p>
            <w:pPr>
              <w:spacing w:after="0"/>
              <w:rPr>
                <w:sz w:val="7"/>
                <w:szCs w:val="7"/>
                <w:color w:val="auto"/>
              </w:rPr>
            </w:pPr>
          </w:p>
        </w:tc>
        <w:tc>
          <w:tcPr>
            <w:tcW w:w="6120" w:type="dxa"/>
            <w:vAlign w:val="bottom"/>
            <w:tcBorders>
              <w:bottom w:val="single" w:sz="8" w:color="auto"/>
            </w:tcBorders>
            <w:shd w:val="clear" w:color="auto" w:fill="F7F7F7"/>
          </w:tcPr>
          <w:p>
            <w:pPr>
              <w:spacing w:after="0"/>
              <w:rPr>
                <w:sz w:val="7"/>
                <w:szCs w:val="7"/>
                <w:color w:val="auto"/>
              </w:rPr>
            </w:pPr>
          </w:p>
        </w:tc>
      </w:tr>
      <w:tr>
        <w:trPr>
          <w:trHeight w:val="133"/>
        </w:trPr>
        <w:tc>
          <w:tcPr>
            <w:tcW w:w="100" w:type="dxa"/>
            <w:vAlign w:val="bottom"/>
          </w:tcPr>
          <w:p>
            <w:pPr>
              <w:spacing w:after="0" w:line="133" w:lineRule="exact"/>
              <w:rPr>
                <w:sz w:val="20"/>
                <w:szCs w:val="20"/>
                <w:color w:val="auto"/>
              </w:rPr>
            </w:pPr>
            <w:r>
              <w:rPr>
                <w:rFonts w:ascii="Arial" w:cs="Arial" w:eastAsia="Arial" w:hAnsi="Arial"/>
                <w:sz w:val="14"/>
                <w:szCs w:val="14"/>
                <w:color w:val="auto"/>
              </w:rPr>
              <w:t>​</w:t>
            </w:r>
          </w:p>
        </w:tc>
        <w:tc>
          <w:tcPr>
            <w:tcW w:w="3060" w:type="dxa"/>
            <w:vAlign w:val="bottom"/>
          </w:tcPr>
          <w:p>
            <w:pPr>
              <w:ind w:left="2980"/>
              <w:spacing w:after="0" w:line="133" w:lineRule="exact"/>
              <w:rPr>
                <w:sz w:val="20"/>
                <w:szCs w:val="20"/>
                <w:color w:val="auto"/>
              </w:rPr>
            </w:pPr>
            <w:r>
              <w:rPr>
                <w:rFonts w:ascii="Arial" w:cs="Arial" w:eastAsia="Arial" w:hAnsi="Arial"/>
                <w:sz w:val="14"/>
                <w:szCs w:val="14"/>
                <w:color w:val="auto"/>
              </w:rPr>
              <w:t>​</w:t>
            </w:r>
          </w:p>
        </w:tc>
        <w:tc>
          <w:tcPr>
            <w:tcW w:w="100" w:type="dxa"/>
            <w:vAlign w:val="bottom"/>
          </w:tcPr>
          <w:p>
            <w:pPr>
              <w:ind w:left="40"/>
              <w:spacing w:after="0" w:line="133" w:lineRule="exact"/>
              <w:rPr>
                <w:sz w:val="20"/>
                <w:szCs w:val="20"/>
                <w:color w:val="auto"/>
              </w:rPr>
            </w:pPr>
            <w:r>
              <w:rPr>
                <w:rFonts w:ascii="Arial" w:cs="Arial" w:eastAsia="Arial" w:hAnsi="Arial"/>
                <w:sz w:val="14"/>
                <w:szCs w:val="14"/>
                <w:color w:val="auto"/>
              </w:rPr>
              <w:t>​</w:t>
            </w:r>
          </w:p>
        </w:tc>
        <w:tc>
          <w:tcPr>
            <w:tcW w:w="6120" w:type="dxa"/>
            <w:vAlign w:val="bottom"/>
          </w:tcPr>
          <w:p>
            <w:pPr>
              <w:ind w:left="5900"/>
              <w:spacing w:after="0" w:line="133" w:lineRule="exact"/>
              <w:rPr>
                <w:sz w:val="20"/>
                <w:szCs w:val="20"/>
                <w:color w:val="auto"/>
              </w:rPr>
            </w:pPr>
            <w:r>
              <w:rPr>
                <w:rFonts w:ascii="Arial" w:cs="Arial" w:eastAsia="Arial" w:hAnsi="Arial"/>
                <w:sz w:val="14"/>
                <w:szCs w:val="14"/>
                <w:color w:val="auto"/>
              </w:rPr>
              <w:t>​</w:t>
            </w:r>
          </w:p>
        </w:tc>
      </w:tr>
      <w:tr>
        <w:trPr>
          <w:trHeight w:val="162"/>
        </w:trPr>
        <w:tc>
          <w:tcPr>
            <w:tcW w:w="100" w:type="dxa"/>
            <w:vAlign w:val="bottom"/>
          </w:tcPr>
          <w:p>
            <w:pPr>
              <w:spacing w:after="0"/>
              <w:rPr>
                <w:sz w:val="14"/>
                <w:szCs w:val="14"/>
                <w:color w:val="auto"/>
              </w:rPr>
            </w:pPr>
          </w:p>
        </w:tc>
        <w:tc>
          <w:tcPr>
            <w:tcW w:w="3060" w:type="dxa"/>
            <w:vAlign w:val="bottom"/>
          </w:tcPr>
          <w:p>
            <w:pPr>
              <w:ind w:left="60"/>
              <w:spacing w:after="0"/>
              <w:rPr>
                <w:sz w:val="20"/>
                <w:szCs w:val="20"/>
                <w:color w:val="auto"/>
              </w:rPr>
            </w:pPr>
            <w:r>
              <w:rPr>
                <w:rFonts w:ascii="Arial" w:cs="Arial" w:eastAsia="Arial" w:hAnsi="Arial"/>
                <w:sz w:val="14"/>
                <w:szCs w:val="14"/>
                <w:b w:val="1"/>
                <w:bCs w:val="1"/>
                <w:color w:val="auto"/>
              </w:rPr>
              <w:t>Long-Term Equity Incentives</w:t>
            </w:r>
          </w:p>
        </w:tc>
        <w:tc>
          <w:tcPr>
            <w:tcW w:w="100" w:type="dxa"/>
            <w:vAlign w:val="bottom"/>
          </w:tcPr>
          <w:p>
            <w:pPr>
              <w:spacing w:after="0"/>
              <w:rPr>
                <w:sz w:val="14"/>
                <w:szCs w:val="14"/>
                <w:color w:val="auto"/>
              </w:rPr>
            </w:pPr>
          </w:p>
        </w:tc>
        <w:tc>
          <w:tcPr>
            <w:tcW w:w="6120" w:type="dxa"/>
            <w:vAlign w:val="bottom"/>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In June 2022, the Board approved grants of time-based vesting restricted stock units</w:t>
            </w:r>
          </w:p>
        </w:tc>
      </w:tr>
      <w:tr>
        <w:trPr>
          <w:trHeight w:val="162"/>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20" w:type="dxa"/>
            <w:vAlign w:val="bottom"/>
          </w:tcPr>
          <w:p>
            <w:pPr>
              <w:ind w:left="180"/>
              <w:spacing w:after="0"/>
              <w:rPr>
                <w:sz w:val="20"/>
                <w:szCs w:val="20"/>
                <w:color w:val="auto"/>
              </w:rPr>
            </w:pPr>
            <w:r>
              <w:rPr>
                <w:rFonts w:ascii="Arial" w:cs="Arial" w:eastAsia="Arial" w:hAnsi="Arial"/>
                <w:sz w:val="14"/>
                <w:szCs w:val="14"/>
                <w:color w:val="auto"/>
              </w:rPr>
              <w:t>(“RSUs”) to Ms. House and Messrs. Bach and Bell. In addition to further incentivizing their</w:t>
            </w:r>
          </w:p>
        </w:tc>
      </w:tr>
      <w:tr>
        <w:trPr>
          <w:trHeight w:val="162"/>
        </w:trPr>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20" w:type="dxa"/>
            <w:vAlign w:val="bottom"/>
          </w:tcPr>
          <w:p>
            <w:pPr>
              <w:ind w:left="180"/>
              <w:spacing w:after="0"/>
              <w:rPr>
                <w:sz w:val="20"/>
                <w:szCs w:val="20"/>
                <w:color w:val="auto"/>
              </w:rPr>
            </w:pPr>
            <w:r>
              <w:rPr>
                <w:rFonts w:ascii="Arial" w:cs="Arial" w:eastAsia="Arial" w:hAnsi="Arial"/>
                <w:sz w:val="14"/>
                <w:szCs w:val="14"/>
                <w:color w:val="auto"/>
              </w:rPr>
              <w:t>continued employment with the Company, such equity awards were granted primarily</w:t>
            </w:r>
          </w:p>
        </w:tc>
      </w:tr>
      <w:tr>
        <w:trPr>
          <w:trHeight w:val="190"/>
        </w:trPr>
        <w:tc>
          <w:tcPr>
            <w:tcW w:w="1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20" w:type="dxa"/>
            <w:vAlign w:val="bottom"/>
          </w:tcPr>
          <w:p>
            <w:pPr>
              <w:ind w:left="180"/>
              <w:spacing w:after="0"/>
              <w:rPr>
                <w:sz w:val="20"/>
                <w:szCs w:val="20"/>
                <w:color w:val="auto"/>
              </w:rPr>
            </w:pPr>
            <w:r>
              <w:rPr>
                <w:rFonts w:ascii="Arial" w:cs="Arial" w:eastAsia="Arial" w:hAnsi="Arial"/>
                <w:sz w:val="14"/>
                <w:szCs w:val="14"/>
                <w:color w:val="auto"/>
              </w:rPr>
              <w:t>based on executive performance, peer group data, and internal pay equity.</w:t>
            </w:r>
          </w:p>
        </w:tc>
      </w:tr>
      <w:tr>
        <w:trPr>
          <w:trHeight w:val="89"/>
        </w:trPr>
        <w:tc>
          <w:tcPr>
            <w:tcW w:w="100" w:type="dxa"/>
            <w:vAlign w:val="bottom"/>
            <w:tcBorders>
              <w:bottom w:val="single" w:sz="8" w:color="auto"/>
            </w:tcBorders>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120" w:type="dxa"/>
            <w:vAlign w:val="bottom"/>
            <w:tcBorders>
              <w:bottom w:val="single" w:sz="8" w:color="auto"/>
            </w:tcBorders>
          </w:tcPr>
          <w:p>
            <w:pPr>
              <w:spacing w:after="0"/>
              <w:rPr>
                <w:sz w:val="7"/>
                <w:szCs w:val="7"/>
                <w:color w:val="auto"/>
              </w:rPr>
            </w:pPr>
          </w:p>
        </w:tc>
      </w:tr>
    </w:tbl>
    <w:p>
      <w:pPr>
        <w:spacing w:after="0" w:line="202" w:lineRule="exact"/>
        <w:rPr>
          <w:sz w:val="20"/>
          <w:szCs w:val="20"/>
          <w:color w:val="auto"/>
        </w:rPr>
      </w:pPr>
    </w:p>
    <w:p>
      <w:pPr>
        <w:ind w:left="660" w:right="620"/>
        <w:spacing w:after="0" w:line="301" w:lineRule="auto"/>
        <w:rPr>
          <w:sz w:val="20"/>
          <w:szCs w:val="20"/>
          <w:color w:val="auto"/>
        </w:rPr>
      </w:pPr>
      <w:r>
        <w:rPr>
          <w:rFonts w:ascii="Arial" w:cs="Arial" w:eastAsia="Arial" w:hAnsi="Arial"/>
          <w:sz w:val="16"/>
          <w:szCs w:val="16"/>
          <w:color w:val="auto"/>
        </w:rPr>
        <w:t>After review of peer group data provided by its independent compensation consultant, Pay Governance, and in view of still-outstanding value from the CEO Grant (defined below), the Compensation Committee determined to neither increase Mr. Rawlinson’s base salary nor grant him an equity award in 2022.</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Compensation Governance Best Practices</w:t>
      </w:r>
    </w:p>
    <w:p>
      <w:pPr>
        <w:spacing w:after="0" w:line="199" w:lineRule="exact"/>
        <w:rPr>
          <w:sz w:val="20"/>
          <w:szCs w:val="20"/>
          <w:color w:val="auto"/>
        </w:rPr>
      </w:pPr>
    </w:p>
    <w:p>
      <w:pPr>
        <w:ind w:left="660" w:right="160"/>
        <w:spacing w:after="0" w:line="301" w:lineRule="auto"/>
        <w:rPr>
          <w:sz w:val="20"/>
          <w:szCs w:val="20"/>
          <w:color w:val="auto"/>
        </w:rPr>
      </w:pPr>
      <w:r>
        <w:rPr>
          <w:rFonts w:ascii="Arial" w:cs="Arial" w:eastAsia="Arial" w:hAnsi="Arial"/>
          <w:sz w:val="16"/>
          <w:szCs w:val="16"/>
          <w:color w:val="auto"/>
        </w:rPr>
        <w:t>We maintain strong corporate governance standards with respect to our executive and director compensation programs and are mindful of the perspectives of our stockholders. Key governance actions taken for 2023, which are described below in more detail in this CD&amp;A, include:</w:t>
      </w:r>
    </w:p>
    <w:p>
      <w:pPr>
        <w:sectPr>
          <w:pgSz w:w="11900" w:h="16838" w:orient="portrait"/>
          <w:cols w:equalWidth="0" w:num="1">
            <w:col w:w="10080"/>
          </w:cols>
          <w:pgMar w:left="580" w:top="97" w:right="1239" w:bottom="1440" w:gutter="0" w:footer="0" w:header="0"/>
        </w:sectPr>
      </w:pPr>
    </w:p>
    <w:p>
      <w:pPr>
        <w:spacing w:after="0" w:line="357"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43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20" w:right="820" w:hanging="166"/>
        <w:spacing w:after="0" w:line="321" w:lineRule="auto"/>
        <w:tabs>
          <w:tab w:leader="none" w:pos="820" w:val="left"/>
        </w:tabs>
        <w:numPr>
          <w:ilvl w:val="0"/>
          <w:numId w:val="31"/>
        </w:numPr>
        <w:rPr>
          <w:rFonts w:ascii="Arial" w:cs="Arial" w:eastAsia="Arial" w:hAnsi="Arial"/>
          <w:sz w:val="16"/>
          <w:szCs w:val="16"/>
          <w:color w:val="8A6B24"/>
        </w:rPr>
      </w:pPr>
      <w:r>
        <w:rPr>
          <w:rFonts w:ascii="Arial" w:cs="Arial" w:eastAsia="Arial" w:hAnsi="Arial"/>
          <w:sz w:val="16"/>
          <w:szCs w:val="16"/>
          <w:color w:val="auto"/>
        </w:rPr>
        <w:t>Introduction of performance-based equity awards as a core component of annual equity delivery. At least 80% of each executive’s (including each NEO’s) 2023 equity awards are performance-based.</w:t>
      </w:r>
    </w:p>
    <w:p>
      <w:pPr>
        <w:spacing w:after="0" w:line="101" w:lineRule="exact"/>
        <w:rPr>
          <w:rFonts w:ascii="Arial" w:cs="Arial" w:eastAsia="Arial" w:hAnsi="Arial"/>
          <w:sz w:val="16"/>
          <w:szCs w:val="16"/>
          <w:color w:val="8A6B24"/>
        </w:rPr>
      </w:pPr>
    </w:p>
    <w:p>
      <w:pPr>
        <w:ind w:left="820" w:right="120" w:hanging="166"/>
        <w:spacing w:after="0" w:line="321" w:lineRule="auto"/>
        <w:tabs>
          <w:tab w:leader="none" w:pos="820" w:val="left"/>
        </w:tabs>
        <w:numPr>
          <w:ilvl w:val="0"/>
          <w:numId w:val="31"/>
        </w:numPr>
        <w:rPr>
          <w:rFonts w:ascii="Arial" w:cs="Arial" w:eastAsia="Arial" w:hAnsi="Arial"/>
          <w:sz w:val="16"/>
          <w:szCs w:val="16"/>
          <w:color w:val="8A6B24"/>
        </w:rPr>
      </w:pPr>
      <w:r>
        <w:rPr>
          <w:rFonts w:ascii="Arial" w:cs="Arial" w:eastAsia="Arial" w:hAnsi="Arial"/>
          <w:sz w:val="16"/>
          <w:szCs w:val="16"/>
          <w:color w:val="auto"/>
        </w:rPr>
        <w:t>Adoption of robust stock ownership guidelines for executives and directors setting forth expectations of ownership of a minimum value of Lucid stock by each individual.</w:t>
      </w:r>
    </w:p>
    <w:p>
      <w:pPr>
        <w:spacing w:after="0" w:line="156" w:lineRule="exact"/>
        <w:rPr>
          <w:sz w:val="20"/>
          <w:szCs w:val="20"/>
          <w:color w:val="auto"/>
        </w:rPr>
      </w:pPr>
    </w:p>
    <w:p>
      <w:pPr>
        <w:ind w:left="660" w:right="520"/>
        <w:spacing w:after="0" w:line="339" w:lineRule="auto"/>
        <w:rPr>
          <w:sz w:val="20"/>
          <w:szCs w:val="20"/>
          <w:color w:val="auto"/>
        </w:rPr>
      </w:pPr>
      <w:r>
        <w:rPr>
          <w:rFonts w:ascii="Arial" w:cs="Arial" w:eastAsia="Arial" w:hAnsi="Arial"/>
          <w:sz w:val="16"/>
          <w:szCs w:val="16"/>
          <w:color w:val="auto"/>
        </w:rPr>
        <w:t>In addition, our executive compensation program is guided by the following corporate governance best practices designed to protect the interests of our stockholders: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4440" w:type="dxa"/>
            <w:vAlign w:val="bottom"/>
            <w:gridSpan w:val="4"/>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What We Do</w:t>
            </w:r>
          </w:p>
        </w:tc>
        <w:tc>
          <w:tcPr>
            <w:tcW w:w="1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4440" w:type="dxa"/>
            <w:vAlign w:val="bottom"/>
            <w:gridSpan w:val="3"/>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What We Don’t Do</w:t>
            </w:r>
          </w:p>
        </w:tc>
        <w:tc>
          <w:tcPr>
            <w:tcW w:w="2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17"/>
        </w:trPr>
        <w:tc>
          <w:tcPr>
            <w:tcW w:w="100" w:type="dxa"/>
            <w:vAlign w:val="bottom"/>
            <w:shd w:val="clear" w:color="auto" w:fill="000000"/>
          </w:tcPr>
          <w:p>
            <w:pPr>
              <w:spacing w:after="0"/>
              <w:rPr>
                <w:sz w:val="10"/>
                <w:szCs w:val="10"/>
                <w:color w:val="auto"/>
              </w:rPr>
            </w:pPr>
          </w:p>
        </w:tc>
        <w:tc>
          <w:tcPr>
            <w:tcW w:w="4440" w:type="dxa"/>
            <w:vAlign w:val="bottom"/>
            <w:gridSpan w:val="4"/>
            <w:vMerge w:val="continue"/>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4440" w:type="dxa"/>
            <w:vAlign w:val="bottom"/>
            <w:gridSpan w:val="3"/>
            <w:vMerge w:val="continue"/>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260" w:type="dxa"/>
            <w:vAlign w:val="bottom"/>
            <w:gridSpan w:val="3"/>
            <w:shd w:val="clear" w:color="auto" w:fill="000000"/>
          </w:tcPr>
          <w:p>
            <w:pPr>
              <w:spacing w:after="0"/>
              <w:rPr>
                <w:sz w:val="5"/>
                <w:szCs w:val="5"/>
                <w:color w:val="auto"/>
              </w:rPr>
            </w:pPr>
          </w:p>
        </w:tc>
        <w:tc>
          <w:tcPr>
            <w:tcW w:w="200" w:type="dxa"/>
            <w:vAlign w:val="bottom"/>
            <w:gridSpan w:val="2"/>
            <w:shd w:val="clear" w:color="auto" w:fill="000000"/>
          </w:tcPr>
          <w:p>
            <w:pPr>
              <w:spacing w:after="0"/>
              <w:rPr>
                <w:sz w:val="5"/>
                <w:szCs w:val="5"/>
                <w:color w:val="auto"/>
              </w:rPr>
            </w:pPr>
          </w:p>
        </w:tc>
        <w:tc>
          <w:tcPr>
            <w:tcW w:w="4440" w:type="dxa"/>
            <w:vAlign w:val="bottom"/>
            <w:gridSpan w:val="3"/>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4260" w:type="dxa"/>
            <w:vAlign w:val="bottom"/>
            <w:gridSpan w:val="3"/>
          </w:tcPr>
          <w:p>
            <w:pPr>
              <w:ind w:left="100"/>
              <w:spacing w:after="0" w:line="24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b w:val="1"/>
                <w:bCs w:val="1"/>
                <w:i w:val="1"/>
                <w:iCs w:val="1"/>
                <w:color w:val="auto"/>
              </w:rPr>
              <w:t xml:space="preserve"> Annual Compensation Review. </w:t>
            </w:r>
            <w:r>
              <w:rPr>
                <w:rFonts w:ascii="Arial" w:cs="Arial" w:eastAsia="Arial" w:hAnsi="Arial"/>
                <w:sz w:val="14"/>
                <w:szCs w:val="14"/>
                <w:color w:val="auto"/>
              </w:rPr>
              <w:t>The Compensation</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4440" w:type="dxa"/>
            <w:vAlign w:val="bottom"/>
            <w:gridSpan w:val="3"/>
          </w:tcPr>
          <w:p>
            <w:pPr>
              <w:ind w:left="240"/>
              <w:spacing w:after="0" w:line="247"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b w:val="1"/>
                <w:bCs w:val="1"/>
                <w:i w:val="1"/>
                <w:iCs w:val="1"/>
                <w:color w:val="auto"/>
              </w:rPr>
              <w:t xml:space="preserve"> No Option/SAR Repricing or Buy Outs. </w:t>
            </w:r>
            <w:r>
              <w:rPr>
                <w:rFonts w:ascii="Arial" w:cs="Arial" w:eastAsia="Arial" w:hAnsi="Arial"/>
                <w:sz w:val="14"/>
                <w:szCs w:val="14"/>
                <w:color w:val="auto"/>
              </w:rPr>
              <w:t>Our amended and</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Committee conducts a review at least annually of our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restated 2021 Stock Incentive Plan, subject to Proposal No. 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executive compensation philosophy and strategy, including 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will prohibit repricing of stock options and stock appreciation</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market assessment of executive pay practices at peer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rights, and buyout of underwater stock options and stock</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companies.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appreciation rights, without stockholder approval.</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44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spacing w:after="0"/>
              <w:rPr>
                <w:sz w:val="19"/>
                <w:szCs w:val="19"/>
                <w:color w:val="auto"/>
              </w:rPr>
            </w:pPr>
          </w:p>
        </w:tc>
        <w:tc>
          <w:tcPr>
            <w:tcW w:w="28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b w:val="1"/>
                <w:bCs w:val="1"/>
                <w:i w:val="1"/>
                <w:iCs w:val="1"/>
                <w:color w:val="auto"/>
              </w:rPr>
              <w:t xml:space="preserve">Annual Compensation-Related Risk Assessment. </w:t>
            </w:r>
            <w:r>
              <w:rPr>
                <w:rFonts w:ascii="Arial" w:cs="Arial" w:eastAsia="Arial" w:hAnsi="Arial"/>
                <w:sz w:val="14"/>
                <w:szCs w:val="14"/>
                <w:color w:val="auto"/>
              </w:rPr>
              <w:t>We</w:t>
            </w:r>
          </w:p>
        </w:tc>
        <w:tc>
          <w:tcPr>
            <w:tcW w:w="20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4440" w:type="dxa"/>
            <w:vAlign w:val="bottom"/>
            <w:gridSpan w:val="3"/>
            <w:shd w:val="clear" w:color="auto" w:fill="F7F7F7"/>
          </w:tcPr>
          <w:p>
            <w:pPr>
              <w:ind w:left="240"/>
              <w:spacing w:after="0" w:line="227"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b w:val="1"/>
                <w:bCs w:val="1"/>
                <w:i w:val="1"/>
                <w:iCs w:val="1"/>
                <w:color w:val="auto"/>
              </w:rPr>
              <w:t xml:space="preserve"> No Dividends on Unvested Awards. </w:t>
            </w:r>
            <w:r>
              <w:rPr>
                <w:rFonts w:ascii="Arial" w:cs="Arial" w:eastAsia="Arial" w:hAnsi="Arial"/>
                <w:sz w:val="14"/>
                <w:szCs w:val="14"/>
                <w:color w:val="auto"/>
              </w:rPr>
              <w:t>We do not pay</w:t>
            </w:r>
          </w:p>
        </w:tc>
        <w:tc>
          <w:tcPr>
            <w:tcW w:w="2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00" w:type="dxa"/>
            <w:vAlign w:val="bottom"/>
            <w:shd w:val="clear" w:color="auto" w:fill="F7F7F7"/>
          </w:tcPr>
          <w:p>
            <w:pPr>
              <w:spacing w:after="0"/>
              <w:rPr>
                <w:sz w:val="15"/>
                <w:szCs w:val="15"/>
                <w:color w:val="auto"/>
              </w:rPr>
            </w:pPr>
          </w:p>
        </w:tc>
        <w:tc>
          <w:tcPr>
            <w:tcW w:w="180" w:type="dxa"/>
            <w:vAlign w:val="bottom"/>
            <w:shd w:val="clear" w:color="auto" w:fill="F7F7F7"/>
          </w:tcPr>
          <w:p>
            <w:pPr>
              <w:spacing w:after="0"/>
              <w:rPr>
                <w:sz w:val="15"/>
                <w:szCs w:val="15"/>
                <w:color w:val="auto"/>
              </w:rPr>
            </w:pPr>
          </w:p>
        </w:tc>
        <w:tc>
          <w:tcPr>
            <w:tcW w:w="160" w:type="dxa"/>
            <w:vAlign w:val="bottom"/>
            <w:shd w:val="clear" w:color="auto" w:fill="F7F7F7"/>
          </w:tcPr>
          <w:p>
            <w:pPr>
              <w:spacing w:after="0"/>
              <w:rPr>
                <w:sz w:val="15"/>
                <w:szCs w:val="15"/>
                <w:color w:val="auto"/>
              </w:rPr>
            </w:pPr>
          </w:p>
        </w:tc>
        <w:tc>
          <w:tcPr>
            <w:tcW w:w="120" w:type="dxa"/>
            <w:vAlign w:val="bottom"/>
            <w:shd w:val="clear" w:color="auto" w:fill="F7F7F7"/>
          </w:tcPr>
          <w:p>
            <w:pPr>
              <w:spacing w:after="0"/>
              <w:rPr>
                <w:sz w:val="15"/>
                <w:szCs w:val="15"/>
                <w:color w:val="auto"/>
              </w:rPr>
            </w:pP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color w:val="auto"/>
              </w:rPr>
              <w:t>have strong risk and control policies, take risk management</w:t>
            </w:r>
          </w:p>
        </w:tc>
        <w:tc>
          <w:tcPr>
            <w:tcW w:w="100" w:type="dxa"/>
            <w:vAlign w:val="bottom"/>
            <w:shd w:val="clear" w:color="auto" w:fill="F7F7F7"/>
          </w:tcPr>
          <w:p>
            <w:pPr>
              <w:spacing w:after="0"/>
              <w:rPr>
                <w:sz w:val="15"/>
                <w:szCs w:val="15"/>
                <w:color w:val="auto"/>
              </w:rPr>
            </w:pPr>
          </w:p>
        </w:tc>
        <w:tc>
          <w:tcPr>
            <w:tcW w:w="100" w:type="dxa"/>
            <w:vAlign w:val="bottom"/>
            <w:shd w:val="clear" w:color="auto" w:fill="F7F7F7"/>
          </w:tcPr>
          <w:p>
            <w:pPr>
              <w:spacing w:after="0"/>
              <w:rPr>
                <w:sz w:val="15"/>
                <w:szCs w:val="15"/>
                <w:color w:val="auto"/>
              </w:rPr>
            </w:pPr>
          </w:p>
        </w:tc>
        <w:tc>
          <w:tcPr>
            <w:tcW w:w="320" w:type="dxa"/>
            <w:vAlign w:val="bottom"/>
            <w:shd w:val="clear" w:color="auto" w:fill="F7F7F7"/>
          </w:tcPr>
          <w:p>
            <w:pPr>
              <w:spacing w:after="0"/>
              <w:rPr>
                <w:sz w:val="15"/>
                <w:szCs w:val="15"/>
                <w:color w:val="auto"/>
              </w:rPr>
            </w:pPr>
          </w:p>
        </w:tc>
        <w:tc>
          <w:tcPr>
            <w:tcW w:w="120" w:type="dxa"/>
            <w:vAlign w:val="bottom"/>
            <w:shd w:val="clear" w:color="auto" w:fill="F7F7F7"/>
          </w:tcPr>
          <w:p>
            <w:pPr>
              <w:spacing w:after="0"/>
              <w:rPr>
                <w:sz w:val="15"/>
                <w:szCs w:val="15"/>
                <w:color w:val="auto"/>
              </w:rPr>
            </w:pPr>
          </w:p>
        </w:tc>
        <w:tc>
          <w:tcPr>
            <w:tcW w:w="4000" w:type="dxa"/>
            <w:vAlign w:val="bottom"/>
            <w:shd w:val="clear" w:color="auto" w:fill="F7F7F7"/>
          </w:tcPr>
          <w:p>
            <w:pPr>
              <w:ind w:left="20"/>
              <w:spacing w:after="0"/>
              <w:rPr>
                <w:sz w:val="20"/>
                <w:szCs w:val="20"/>
                <w:color w:val="auto"/>
              </w:rPr>
            </w:pPr>
            <w:r>
              <w:rPr>
                <w:rFonts w:ascii="Arial" w:cs="Arial" w:eastAsia="Arial" w:hAnsi="Arial"/>
                <w:sz w:val="14"/>
                <w:szCs w:val="14"/>
                <w:color w:val="auto"/>
              </w:rPr>
              <w:t>dividends on unvested equity awards.</w:t>
            </w:r>
          </w:p>
        </w:tc>
        <w:tc>
          <w:tcPr>
            <w:tcW w:w="200" w:type="dxa"/>
            <w:vAlign w:val="bottom"/>
            <w:shd w:val="clear" w:color="auto" w:fill="F7F7F7"/>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color w:val="auto"/>
              </w:rPr>
              <w:t>into account when making executive compensation decisions,</w:t>
            </w:r>
          </w:p>
        </w:tc>
        <w:tc>
          <w:tcPr>
            <w:tcW w:w="10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32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4000" w:type="dxa"/>
            <w:vAlign w:val="bottom"/>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color w:val="auto"/>
              </w:rPr>
              <w:t>and conduct an annual risk assessment of our compensation</w:t>
            </w:r>
          </w:p>
        </w:tc>
        <w:tc>
          <w:tcPr>
            <w:tcW w:w="10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32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4000" w:type="dxa"/>
            <w:vAlign w:val="bottom"/>
            <w:shd w:val="clear" w:color="auto" w:fill="F7F7F7"/>
          </w:tcPr>
          <w:p>
            <w:pPr>
              <w:spacing w:after="0"/>
              <w:rPr>
                <w:sz w:val="14"/>
                <w:szCs w:val="14"/>
                <w:color w:val="auto"/>
              </w:rPr>
            </w:pPr>
          </w:p>
        </w:tc>
        <w:tc>
          <w:tcPr>
            <w:tcW w:w="20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00" w:type="dxa"/>
            <w:vAlign w:val="bottom"/>
            <w:tcBorders>
              <w:bottom w:val="single" w:sz="8" w:color="F7F7F7"/>
            </w:tcBorders>
            <w:shd w:val="clear" w:color="auto" w:fill="F7F7F7"/>
          </w:tcPr>
          <w:p>
            <w:pPr>
              <w:spacing w:after="0"/>
              <w:rPr>
                <w:sz w:val="20"/>
                <w:szCs w:val="20"/>
                <w:color w:val="auto"/>
              </w:rPr>
            </w:pPr>
          </w:p>
        </w:tc>
        <w:tc>
          <w:tcPr>
            <w:tcW w:w="180" w:type="dxa"/>
            <w:vAlign w:val="bottom"/>
            <w:tcBorders>
              <w:bottom w:val="single" w:sz="8" w:color="F7F7F7"/>
            </w:tcBorders>
            <w:shd w:val="clear" w:color="auto" w:fill="F7F7F7"/>
          </w:tcPr>
          <w:p>
            <w:pPr>
              <w:spacing w:after="0"/>
              <w:rPr>
                <w:sz w:val="20"/>
                <w:szCs w:val="20"/>
                <w:color w:val="auto"/>
              </w:rPr>
            </w:pPr>
          </w:p>
        </w:tc>
        <w:tc>
          <w:tcPr>
            <w:tcW w:w="160" w:type="dxa"/>
            <w:vAlign w:val="bottom"/>
            <w:tcBorders>
              <w:bottom w:val="single" w:sz="8" w:color="F7F7F7"/>
            </w:tcBorders>
            <w:shd w:val="clear" w:color="auto" w:fill="F7F7F7"/>
          </w:tcPr>
          <w:p>
            <w:pPr>
              <w:spacing w:after="0"/>
              <w:rPr>
                <w:sz w:val="20"/>
                <w:szCs w:val="20"/>
                <w:color w:val="auto"/>
              </w:rPr>
            </w:pPr>
          </w:p>
        </w:tc>
        <w:tc>
          <w:tcPr>
            <w:tcW w:w="120" w:type="dxa"/>
            <w:vAlign w:val="bottom"/>
            <w:tcBorders>
              <w:bottom w:val="single" w:sz="8" w:color="F7F7F7"/>
            </w:tcBorders>
            <w:shd w:val="clear" w:color="auto" w:fill="F7F7F7"/>
          </w:tcPr>
          <w:p>
            <w:pPr>
              <w:spacing w:after="0"/>
              <w:rPr>
                <w:sz w:val="20"/>
                <w:szCs w:val="20"/>
                <w:color w:val="auto"/>
              </w:rPr>
            </w:pPr>
          </w:p>
        </w:tc>
        <w:tc>
          <w:tcPr>
            <w:tcW w:w="398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4"/>
                <w:szCs w:val="14"/>
                <w:color w:val="auto"/>
              </w:rPr>
              <w:t>programs to promote prudent risk management.</w:t>
            </w:r>
          </w:p>
        </w:tc>
        <w:tc>
          <w:tcPr>
            <w:tcW w:w="100" w:type="dxa"/>
            <w:vAlign w:val="bottom"/>
            <w:tcBorders>
              <w:bottom w:val="single" w:sz="8" w:color="F7F7F7"/>
            </w:tcBorders>
            <w:shd w:val="clear" w:color="auto" w:fill="F7F7F7"/>
          </w:tcPr>
          <w:p>
            <w:pPr>
              <w:spacing w:after="0"/>
              <w:rPr>
                <w:sz w:val="20"/>
                <w:szCs w:val="20"/>
                <w:color w:val="auto"/>
              </w:rPr>
            </w:pPr>
          </w:p>
        </w:tc>
        <w:tc>
          <w:tcPr>
            <w:tcW w:w="100" w:type="dxa"/>
            <w:vAlign w:val="bottom"/>
            <w:tcBorders>
              <w:bottom w:val="single" w:sz="8" w:color="F7F7F7"/>
            </w:tcBorders>
            <w:shd w:val="clear" w:color="auto" w:fill="F7F7F7"/>
          </w:tcPr>
          <w:p>
            <w:pPr>
              <w:spacing w:after="0"/>
              <w:rPr>
                <w:sz w:val="20"/>
                <w:szCs w:val="20"/>
                <w:color w:val="auto"/>
              </w:rPr>
            </w:pPr>
          </w:p>
        </w:tc>
        <w:tc>
          <w:tcPr>
            <w:tcW w:w="320" w:type="dxa"/>
            <w:vAlign w:val="bottom"/>
            <w:tcBorders>
              <w:bottom w:val="single" w:sz="8" w:color="F7F7F7"/>
            </w:tcBorders>
            <w:shd w:val="clear" w:color="auto" w:fill="F7F7F7"/>
          </w:tcPr>
          <w:p>
            <w:pPr>
              <w:spacing w:after="0"/>
              <w:rPr>
                <w:sz w:val="20"/>
                <w:szCs w:val="20"/>
                <w:color w:val="auto"/>
              </w:rPr>
            </w:pPr>
          </w:p>
        </w:tc>
        <w:tc>
          <w:tcPr>
            <w:tcW w:w="120" w:type="dxa"/>
            <w:vAlign w:val="bottom"/>
            <w:tcBorders>
              <w:bottom w:val="single" w:sz="8" w:color="F7F7F7"/>
            </w:tcBorders>
            <w:shd w:val="clear" w:color="auto" w:fill="F7F7F7"/>
          </w:tcPr>
          <w:p>
            <w:pPr>
              <w:spacing w:after="0"/>
              <w:rPr>
                <w:sz w:val="20"/>
                <w:szCs w:val="20"/>
                <w:color w:val="auto"/>
              </w:rPr>
            </w:pPr>
          </w:p>
        </w:tc>
        <w:tc>
          <w:tcPr>
            <w:tcW w:w="4000" w:type="dxa"/>
            <w:vAlign w:val="bottom"/>
            <w:tcBorders>
              <w:bottom w:val="single" w:sz="8" w:color="F7F7F7"/>
            </w:tcBorders>
            <w:shd w:val="clear" w:color="auto" w:fill="F7F7F7"/>
          </w:tcPr>
          <w:p>
            <w:pPr>
              <w:spacing w:after="0"/>
              <w:rPr>
                <w:sz w:val="20"/>
                <w:szCs w:val="20"/>
                <w:color w:val="auto"/>
              </w:rPr>
            </w:pPr>
          </w:p>
        </w:tc>
        <w:tc>
          <w:tcPr>
            <w:tcW w:w="200" w:type="dxa"/>
            <w:vAlign w:val="bottom"/>
            <w:tcBorders>
              <w:bottom w:val="single" w:sz="8" w:color="F7F7F7"/>
            </w:tcBorders>
            <w:shd w:val="clear" w:color="auto" w:fill="F7F7F7"/>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39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 xml:space="preserve">Balanced Short-Term and Long-Term Compensation. </w:t>
            </w:r>
            <w:r>
              <w:rPr>
                <w:rFonts w:ascii="Arial" w:cs="Arial" w:eastAsia="Arial" w:hAnsi="Arial"/>
                <w:sz w:val="14"/>
                <w:szCs w:val="14"/>
                <w:color w:val="auto"/>
              </w:rPr>
              <w:t>We</w:t>
            </w: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4640" w:type="dxa"/>
            <w:vAlign w:val="bottom"/>
            <w:tcBorders>
              <w:top w:val="single" w:sz="8" w:color="auto"/>
            </w:tcBorders>
            <w:gridSpan w:val="4"/>
          </w:tcPr>
          <w:p>
            <w:pPr>
              <w:ind w:left="240"/>
              <w:spacing w:after="0" w:line="227"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b w:val="1"/>
                <w:bCs w:val="1"/>
                <w:i w:val="1"/>
                <w:iCs w:val="1"/>
                <w:color w:val="auto"/>
              </w:rPr>
              <w:t xml:space="preserve"> No “Single-Trigger” Change in Control Arrangements. </w:t>
            </w:r>
            <w:r>
              <w:rPr>
                <w:rFonts w:ascii="Arial" w:cs="Arial" w:eastAsia="Arial" w:hAnsi="Arial"/>
                <w:sz w:val="14"/>
                <w:szCs w:val="14"/>
                <w:color w:val="auto"/>
              </w:rPr>
              <w:t>We</w:t>
            </w:r>
            <w:r>
              <w:rPr>
                <w:rFonts w:ascii="Arial" w:cs="Arial" w:eastAsia="Arial" w:hAnsi="Arial"/>
                <w:sz w:val="14"/>
                <w:szCs w:val="14"/>
                <w:b w:val="1"/>
                <w:bCs w:val="1"/>
                <w:i w:val="1"/>
                <w:iCs w:val="1"/>
                <w:color w:val="auto"/>
              </w:rPr>
              <w:t xml:space="preserve">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balance short- and long-term incentives to discourage short-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do not provide for “single-trigger” acceleration of equity or</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term risk-taking at the expense of long-term results.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other compensation or benefits solely upon a change in</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control.</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440" w:type="dxa"/>
            <w:vAlign w:val="bottom"/>
            <w:tcBorders>
              <w:bottom w:val="single" w:sz="8" w:color="auto"/>
            </w:tcBorders>
            <w:gridSpan w:val="3"/>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spacing w:after="0"/>
              <w:rPr>
                <w:sz w:val="19"/>
                <w:szCs w:val="19"/>
                <w:color w:val="auto"/>
              </w:rPr>
            </w:pPr>
          </w:p>
        </w:tc>
        <w:tc>
          <w:tcPr>
            <w:tcW w:w="28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b w:val="1"/>
                <w:bCs w:val="1"/>
                <w:i w:val="1"/>
                <w:iCs w:val="1"/>
                <w:color w:val="auto"/>
              </w:rPr>
              <w:t xml:space="preserve">Independent Compensation Committee Advisor. </w:t>
            </w:r>
            <w:r>
              <w:rPr>
                <w:rFonts w:ascii="Arial" w:cs="Arial" w:eastAsia="Arial" w:hAnsi="Arial"/>
                <w:sz w:val="14"/>
                <w:szCs w:val="14"/>
                <w:color w:val="auto"/>
              </w:rPr>
              <w:t>The</w:t>
            </w:r>
          </w:p>
        </w:tc>
        <w:tc>
          <w:tcPr>
            <w:tcW w:w="20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4440" w:type="dxa"/>
            <w:vAlign w:val="bottom"/>
            <w:gridSpan w:val="3"/>
            <w:shd w:val="clear" w:color="auto" w:fill="F7F7F7"/>
          </w:tcPr>
          <w:p>
            <w:pPr>
              <w:ind w:left="240"/>
              <w:spacing w:after="0" w:line="227"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b w:val="1"/>
                <w:bCs w:val="1"/>
                <w:i w:val="1"/>
                <w:iCs w:val="1"/>
                <w:color w:val="auto"/>
              </w:rPr>
              <w:t xml:space="preserve"> No Excise Tax “Gross-Ups.” </w:t>
            </w:r>
            <w:r>
              <w:rPr>
                <w:rFonts w:ascii="Arial" w:cs="Arial" w:eastAsia="Arial" w:hAnsi="Arial"/>
                <w:sz w:val="14"/>
                <w:szCs w:val="14"/>
                <w:color w:val="auto"/>
              </w:rPr>
              <w:t>We do not provide any excise</w:t>
            </w:r>
          </w:p>
        </w:tc>
        <w:tc>
          <w:tcPr>
            <w:tcW w:w="2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color w:val="auto"/>
              </w:rPr>
              <w:t>Compensation Committee engages an independent</w:t>
            </w:r>
          </w:p>
        </w:tc>
        <w:tc>
          <w:tcPr>
            <w:tcW w:w="10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32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4000" w:type="dxa"/>
            <w:vAlign w:val="bottom"/>
            <w:shd w:val="clear" w:color="auto" w:fill="F7F7F7"/>
          </w:tcPr>
          <w:p>
            <w:pPr>
              <w:ind w:left="20"/>
              <w:spacing w:after="0"/>
              <w:rPr>
                <w:sz w:val="20"/>
                <w:szCs w:val="20"/>
                <w:color w:val="auto"/>
              </w:rPr>
            </w:pPr>
            <w:r>
              <w:rPr>
                <w:rFonts w:ascii="Arial" w:cs="Arial" w:eastAsia="Arial" w:hAnsi="Arial"/>
                <w:sz w:val="14"/>
                <w:szCs w:val="14"/>
                <w:color w:val="auto"/>
              </w:rPr>
              <w:t>tax “gross-ups” on severance or other payments in connection</w:t>
            </w:r>
          </w:p>
        </w:tc>
        <w:tc>
          <w:tcPr>
            <w:tcW w:w="20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shd w:val="clear" w:color="auto" w:fill="F7F7F7"/>
          </w:tcPr>
          <w:p>
            <w:pPr>
              <w:spacing w:after="0"/>
              <w:rPr>
                <w:sz w:val="16"/>
                <w:szCs w:val="16"/>
                <w:color w:val="auto"/>
              </w:rPr>
            </w:pPr>
          </w:p>
        </w:tc>
        <w:tc>
          <w:tcPr>
            <w:tcW w:w="180" w:type="dxa"/>
            <w:vAlign w:val="bottom"/>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120" w:type="dxa"/>
            <w:vAlign w:val="bottom"/>
            <w:shd w:val="clear" w:color="auto" w:fill="F7F7F7"/>
          </w:tcPr>
          <w:p>
            <w:pPr>
              <w:spacing w:after="0"/>
              <w:rPr>
                <w:sz w:val="16"/>
                <w:szCs w:val="16"/>
                <w:color w:val="auto"/>
              </w:rPr>
            </w:pP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color w:val="auto"/>
              </w:rPr>
              <w:t>compensation consultant.</w:t>
            </w:r>
          </w:p>
        </w:tc>
        <w:tc>
          <w:tcPr>
            <w:tcW w:w="100" w:type="dxa"/>
            <w:vAlign w:val="bottom"/>
            <w:shd w:val="clear" w:color="auto" w:fill="F7F7F7"/>
          </w:tcPr>
          <w:p>
            <w:pPr>
              <w:spacing w:after="0"/>
              <w:rPr>
                <w:sz w:val="16"/>
                <w:szCs w:val="16"/>
                <w:color w:val="auto"/>
              </w:rPr>
            </w:pPr>
          </w:p>
        </w:tc>
        <w:tc>
          <w:tcPr>
            <w:tcW w:w="100" w:type="dxa"/>
            <w:vAlign w:val="bottom"/>
            <w:shd w:val="clear" w:color="auto" w:fill="F7F7F7"/>
          </w:tcPr>
          <w:p>
            <w:pPr>
              <w:spacing w:after="0"/>
              <w:rPr>
                <w:sz w:val="16"/>
                <w:szCs w:val="16"/>
                <w:color w:val="auto"/>
              </w:rPr>
            </w:pPr>
          </w:p>
        </w:tc>
        <w:tc>
          <w:tcPr>
            <w:tcW w:w="320" w:type="dxa"/>
            <w:vAlign w:val="bottom"/>
            <w:shd w:val="clear" w:color="auto" w:fill="F7F7F7"/>
          </w:tcPr>
          <w:p>
            <w:pPr>
              <w:spacing w:after="0"/>
              <w:rPr>
                <w:sz w:val="16"/>
                <w:szCs w:val="16"/>
                <w:color w:val="auto"/>
              </w:rPr>
            </w:pPr>
          </w:p>
        </w:tc>
        <w:tc>
          <w:tcPr>
            <w:tcW w:w="120" w:type="dxa"/>
            <w:vAlign w:val="bottom"/>
            <w:shd w:val="clear" w:color="auto" w:fill="F7F7F7"/>
          </w:tcPr>
          <w:p>
            <w:pPr>
              <w:spacing w:after="0"/>
              <w:rPr>
                <w:sz w:val="16"/>
                <w:szCs w:val="16"/>
                <w:color w:val="auto"/>
              </w:rPr>
            </w:pPr>
          </w:p>
        </w:tc>
        <w:tc>
          <w:tcPr>
            <w:tcW w:w="4000" w:type="dxa"/>
            <w:vAlign w:val="bottom"/>
            <w:shd w:val="clear" w:color="auto" w:fill="F7F7F7"/>
          </w:tcPr>
          <w:p>
            <w:pPr>
              <w:ind w:left="20"/>
              <w:spacing w:after="0"/>
              <w:rPr>
                <w:sz w:val="20"/>
                <w:szCs w:val="20"/>
                <w:color w:val="auto"/>
              </w:rPr>
            </w:pPr>
            <w:r>
              <w:rPr>
                <w:rFonts w:ascii="Arial" w:cs="Arial" w:eastAsia="Arial" w:hAnsi="Arial"/>
                <w:sz w:val="14"/>
                <w:szCs w:val="14"/>
                <w:color w:val="auto"/>
              </w:rPr>
              <w:t>with a change in control.</w:t>
            </w:r>
          </w:p>
        </w:tc>
        <w:tc>
          <w:tcPr>
            <w:tcW w:w="200" w:type="dxa"/>
            <w:vAlign w:val="bottom"/>
            <w:shd w:val="clear" w:color="auto" w:fill="F7F7F7"/>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00" w:type="dxa"/>
            <w:vAlign w:val="bottom"/>
            <w:tcBorders>
              <w:bottom w:val="single" w:sz="8" w:color="auto"/>
            </w:tcBorders>
            <w:shd w:val="clear" w:color="auto" w:fill="F7F7F7"/>
          </w:tcPr>
          <w:p>
            <w:pPr>
              <w:spacing w:after="0"/>
              <w:rPr>
                <w:sz w:val="5"/>
                <w:szCs w:val="5"/>
                <w:color w:val="auto"/>
              </w:rPr>
            </w:pPr>
          </w:p>
        </w:tc>
        <w:tc>
          <w:tcPr>
            <w:tcW w:w="180" w:type="dxa"/>
            <w:vAlign w:val="bottom"/>
            <w:tcBorders>
              <w:bottom w:val="single" w:sz="8" w:color="auto"/>
            </w:tcBorders>
            <w:shd w:val="clear" w:color="auto" w:fill="F7F7F7"/>
          </w:tcPr>
          <w:p>
            <w:pPr>
              <w:spacing w:after="0"/>
              <w:rPr>
                <w:sz w:val="5"/>
                <w:szCs w:val="5"/>
                <w:color w:val="auto"/>
              </w:rPr>
            </w:pPr>
          </w:p>
        </w:tc>
        <w:tc>
          <w:tcPr>
            <w:tcW w:w="280" w:type="dxa"/>
            <w:vAlign w:val="bottom"/>
            <w:tcBorders>
              <w:bottom w:val="single" w:sz="8" w:color="auto"/>
            </w:tcBorders>
            <w:gridSpan w:val="2"/>
            <w:shd w:val="clear" w:color="auto" w:fill="F7F7F7"/>
          </w:tcPr>
          <w:p>
            <w:pPr>
              <w:spacing w:after="0"/>
              <w:rPr>
                <w:sz w:val="5"/>
                <w:szCs w:val="5"/>
                <w:color w:val="auto"/>
              </w:rPr>
            </w:pPr>
          </w:p>
        </w:tc>
        <w:tc>
          <w:tcPr>
            <w:tcW w:w="3980" w:type="dxa"/>
            <w:vAlign w:val="bottom"/>
            <w:tcBorders>
              <w:bottom w:val="single" w:sz="8" w:color="auto"/>
            </w:tcBorders>
            <w:shd w:val="clear" w:color="auto" w:fill="F7F7F7"/>
          </w:tcPr>
          <w:p>
            <w:pPr>
              <w:spacing w:after="0"/>
              <w:rPr>
                <w:sz w:val="5"/>
                <w:szCs w:val="5"/>
                <w:color w:val="auto"/>
              </w:rPr>
            </w:pPr>
          </w:p>
        </w:tc>
        <w:tc>
          <w:tcPr>
            <w:tcW w:w="200" w:type="dxa"/>
            <w:vAlign w:val="bottom"/>
            <w:tcBorders>
              <w:bottom w:val="single" w:sz="8" w:color="auto"/>
            </w:tcBorders>
            <w:gridSpan w:val="2"/>
            <w:shd w:val="clear" w:color="auto" w:fill="F7F7F7"/>
          </w:tcPr>
          <w:p>
            <w:pPr>
              <w:spacing w:after="0"/>
              <w:rPr>
                <w:sz w:val="5"/>
                <w:szCs w:val="5"/>
                <w:color w:val="auto"/>
              </w:rPr>
            </w:pPr>
          </w:p>
        </w:tc>
        <w:tc>
          <w:tcPr>
            <w:tcW w:w="4640" w:type="dxa"/>
            <w:vAlign w:val="bottom"/>
            <w:tcBorders>
              <w:bottom w:val="single" w:sz="8" w:color="auto"/>
            </w:tcBorders>
            <w:gridSpan w:val="4"/>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3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Independent Compensation Committee</w:t>
            </w:r>
            <w:r>
              <w:rPr>
                <w:rFonts w:ascii="Arial" w:cs="Arial" w:eastAsia="Arial" w:hAnsi="Arial"/>
                <w:sz w:val="14"/>
                <w:szCs w:val="14"/>
                <w:color w:val="auto"/>
              </w:rPr>
              <w:t>. The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4640" w:type="dxa"/>
            <w:vAlign w:val="bottom"/>
            <w:gridSpan w:val="4"/>
          </w:tcPr>
          <w:p>
            <w:pPr>
              <w:ind w:left="240"/>
              <w:spacing w:after="0" w:line="227"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4"/>
                <w:szCs w:val="14"/>
                <w:b w:val="1"/>
                <w:bCs w:val="1"/>
                <w:i w:val="1"/>
                <w:iCs w:val="1"/>
                <w:color w:val="auto"/>
              </w:rPr>
              <w:t xml:space="preserve"> No Excessive Perks. </w:t>
            </w:r>
            <w:r>
              <w:rPr>
                <w:rFonts w:ascii="Arial" w:cs="Arial" w:eastAsia="Arial" w:hAnsi="Arial"/>
                <w:sz w:val="14"/>
                <w:szCs w:val="14"/>
                <w:color w:val="auto"/>
              </w:rPr>
              <w:t>We do not provide significant executive</w:t>
            </w:r>
            <w:r>
              <w:rPr>
                <w:rFonts w:ascii="Arial" w:cs="Arial" w:eastAsia="Arial" w:hAnsi="Arial"/>
                <w:sz w:val="14"/>
                <w:szCs w:val="14"/>
                <w:b w:val="1"/>
                <w:bCs w:val="1"/>
                <w:i w:val="1"/>
                <w:iCs w:val="1"/>
                <w:color w:val="auto"/>
              </w:rPr>
              <w:t xml:space="preserve">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Compensation Committee consists only of independent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perquisites to our NEOs.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directors under Nasdaq rules, even though, as a controlled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company, we are not required to have an independent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ind w:left="20"/>
              <w:spacing w:after="0"/>
              <w:rPr>
                <w:sz w:val="20"/>
                <w:szCs w:val="20"/>
                <w:color w:val="auto"/>
              </w:rPr>
            </w:pPr>
            <w:r>
              <w:rPr>
                <w:rFonts w:ascii="Arial" w:cs="Arial" w:eastAsia="Arial" w:hAnsi="Arial"/>
                <w:sz w:val="14"/>
                <w:szCs w:val="14"/>
                <w:color w:val="auto"/>
              </w:rPr>
              <w:t>compensation committee under Nasdaq rules.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180" w:type="dxa"/>
            <w:vAlign w:val="bottom"/>
            <w:shd w:val="clear" w:color="auto" w:fill="F7F7F7"/>
          </w:tcPr>
          <w:p>
            <w:pPr>
              <w:ind w:lef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3980" w:type="dxa"/>
            <w:vAlign w:val="bottom"/>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F7F7F7"/>
          </w:tcPr>
          <w:p>
            <w:pPr>
              <w:ind w:lef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F7F7F7"/>
          </w:tcPr>
          <w:p>
            <w:pPr>
              <w:ind w:left="40"/>
              <w:spacing w:after="0"/>
              <w:rPr>
                <w:sz w:val="20"/>
                <w:szCs w:val="20"/>
                <w:color w:val="auto"/>
              </w:rPr>
            </w:pPr>
            <w:r>
              <w:rPr>
                <w:rFonts w:ascii="Arial" w:cs="Arial" w:eastAsia="Arial" w:hAnsi="Arial"/>
                <w:sz w:val="14"/>
                <w:szCs w:val="14"/>
                <w:color w:val="auto"/>
              </w:rPr>
              <w:t>​</w:t>
            </w:r>
          </w:p>
        </w:tc>
        <w:tc>
          <w:tcPr>
            <w:tcW w:w="4200" w:type="dxa"/>
            <w:vAlign w:val="bottom"/>
            <w:gridSpan w:val="2"/>
            <w:shd w:val="clear" w:color="auto" w:fill="F7F7F7"/>
          </w:tcPr>
          <w:p>
            <w:pPr>
              <w:ind w:left="20"/>
              <w:spacing w:after="0" w:line="241" w:lineRule="exact"/>
              <w:rPr>
                <w:sz w:val="20"/>
                <w:szCs w:val="20"/>
                <w:color w:val="auto"/>
              </w:rPr>
            </w:pPr>
            <w:r>
              <w:rPr>
                <w:rFonts w:ascii="Arial" w:cs="Arial" w:eastAsia="Arial" w:hAnsi="Arial"/>
                <w:sz w:val="14"/>
                <w:szCs w:val="14"/>
                <w:b w:val="1"/>
                <w:bCs w:val="1"/>
                <w:i w:val="1"/>
                <w:iCs w:val="1"/>
                <w:color w:val="auto"/>
              </w:rPr>
              <w:t xml:space="preserve">No Pension or Executive Retirement Plans. </w:t>
            </w:r>
            <w:r>
              <w:rPr>
                <w:rFonts w:ascii="Arial" w:cs="Arial" w:eastAsia="Arial" w:hAnsi="Arial"/>
                <w:sz w:val="14"/>
                <w:szCs w:val="14"/>
                <w:color w:val="auto"/>
              </w:rPr>
              <w:t>We do not offer</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162"/>
        </w:trPr>
        <w:tc>
          <w:tcPr>
            <w:tcW w:w="100" w:type="dxa"/>
            <w:vAlign w:val="bottom"/>
            <w:shd w:val="clear" w:color="auto" w:fill="F7F7F7"/>
          </w:tcPr>
          <w:p>
            <w:pPr>
              <w:spacing w:after="0"/>
              <w:rPr>
                <w:sz w:val="14"/>
                <w:szCs w:val="14"/>
                <w:color w:val="auto"/>
              </w:rPr>
            </w:pPr>
          </w:p>
        </w:tc>
        <w:tc>
          <w:tcPr>
            <w:tcW w:w="180" w:type="dxa"/>
            <w:vAlign w:val="bottom"/>
            <w:shd w:val="clear" w:color="auto" w:fill="F7F7F7"/>
          </w:tcPr>
          <w:p>
            <w:pPr>
              <w:spacing w:after="0"/>
              <w:rPr>
                <w:sz w:val="14"/>
                <w:szCs w:val="14"/>
                <w:color w:val="auto"/>
              </w:rPr>
            </w:pPr>
          </w:p>
        </w:tc>
        <w:tc>
          <w:tcPr>
            <w:tcW w:w="16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398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100" w:type="dxa"/>
            <w:vAlign w:val="bottom"/>
            <w:shd w:val="clear" w:color="auto" w:fill="F7F7F7"/>
          </w:tcPr>
          <w:p>
            <w:pPr>
              <w:spacing w:after="0"/>
              <w:rPr>
                <w:sz w:val="14"/>
                <w:szCs w:val="14"/>
                <w:color w:val="auto"/>
              </w:rPr>
            </w:pPr>
          </w:p>
        </w:tc>
        <w:tc>
          <w:tcPr>
            <w:tcW w:w="320" w:type="dxa"/>
            <w:vAlign w:val="bottom"/>
            <w:shd w:val="clear" w:color="auto" w:fill="F7F7F7"/>
          </w:tcPr>
          <w:p>
            <w:pPr>
              <w:spacing w:after="0"/>
              <w:rPr>
                <w:sz w:val="14"/>
                <w:szCs w:val="14"/>
                <w:color w:val="auto"/>
              </w:rPr>
            </w:pPr>
          </w:p>
        </w:tc>
        <w:tc>
          <w:tcPr>
            <w:tcW w:w="120" w:type="dxa"/>
            <w:vAlign w:val="bottom"/>
            <w:shd w:val="clear" w:color="auto" w:fill="F7F7F7"/>
          </w:tcPr>
          <w:p>
            <w:pPr>
              <w:spacing w:after="0"/>
              <w:rPr>
                <w:sz w:val="14"/>
                <w:szCs w:val="14"/>
                <w:color w:val="auto"/>
              </w:rPr>
            </w:pPr>
          </w:p>
        </w:tc>
        <w:tc>
          <w:tcPr>
            <w:tcW w:w="4000" w:type="dxa"/>
            <w:vAlign w:val="bottom"/>
            <w:shd w:val="clear" w:color="auto" w:fill="F7F7F7"/>
          </w:tcPr>
          <w:p>
            <w:pPr>
              <w:ind w:left="20"/>
              <w:spacing w:after="0"/>
              <w:rPr>
                <w:sz w:val="20"/>
                <w:szCs w:val="20"/>
                <w:color w:val="auto"/>
              </w:rPr>
            </w:pPr>
            <w:r>
              <w:rPr>
                <w:rFonts w:ascii="Arial" w:cs="Arial" w:eastAsia="Arial" w:hAnsi="Arial"/>
                <w:sz w:val="14"/>
                <w:szCs w:val="14"/>
                <w:color w:val="auto"/>
              </w:rPr>
              <w:t>pension or supplemental executive retirement plans for our</w:t>
            </w:r>
          </w:p>
        </w:tc>
        <w:tc>
          <w:tcPr>
            <w:tcW w:w="200" w:type="dxa"/>
            <w:vAlign w:val="bottom"/>
            <w:shd w:val="clear" w:color="auto" w:fill="F7F7F7"/>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00" w:type="dxa"/>
            <w:vAlign w:val="bottom"/>
            <w:tcBorders>
              <w:bottom w:val="single" w:sz="8" w:color="F7F7F7"/>
            </w:tcBorders>
            <w:shd w:val="clear" w:color="auto" w:fill="F7F7F7"/>
          </w:tcPr>
          <w:p>
            <w:pPr>
              <w:spacing w:after="0"/>
              <w:rPr>
                <w:sz w:val="20"/>
                <w:szCs w:val="20"/>
                <w:color w:val="auto"/>
              </w:rPr>
            </w:pPr>
          </w:p>
        </w:tc>
        <w:tc>
          <w:tcPr>
            <w:tcW w:w="180" w:type="dxa"/>
            <w:vAlign w:val="bottom"/>
            <w:tcBorders>
              <w:bottom w:val="single" w:sz="8" w:color="F7F7F7"/>
            </w:tcBorders>
            <w:shd w:val="clear" w:color="auto" w:fill="F7F7F7"/>
          </w:tcPr>
          <w:p>
            <w:pPr>
              <w:spacing w:after="0"/>
              <w:rPr>
                <w:sz w:val="20"/>
                <w:szCs w:val="20"/>
                <w:color w:val="auto"/>
              </w:rPr>
            </w:pPr>
          </w:p>
        </w:tc>
        <w:tc>
          <w:tcPr>
            <w:tcW w:w="160" w:type="dxa"/>
            <w:vAlign w:val="bottom"/>
            <w:tcBorders>
              <w:bottom w:val="single" w:sz="8" w:color="F7F7F7"/>
            </w:tcBorders>
            <w:shd w:val="clear" w:color="auto" w:fill="F7F7F7"/>
          </w:tcPr>
          <w:p>
            <w:pPr>
              <w:spacing w:after="0"/>
              <w:rPr>
                <w:sz w:val="20"/>
                <w:szCs w:val="20"/>
                <w:color w:val="auto"/>
              </w:rPr>
            </w:pPr>
          </w:p>
        </w:tc>
        <w:tc>
          <w:tcPr>
            <w:tcW w:w="120" w:type="dxa"/>
            <w:vAlign w:val="bottom"/>
            <w:tcBorders>
              <w:bottom w:val="single" w:sz="8" w:color="F7F7F7"/>
            </w:tcBorders>
            <w:shd w:val="clear" w:color="auto" w:fill="F7F7F7"/>
          </w:tcPr>
          <w:p>
            <w:pPr>
              <w:spacing w:after="0"/>
              <w:rPr>
                <w:sz w:val="20"/>
                <w:szCs w:val="20"/>
                <w:color w:val="auto"/>
              </w:rPr>
            </w:pPr>
          </w:p>
        </w:tc>
        <w:tc>
          <w:tcPr>
            <w:tcW w:w="3980" w:type="dxa"/>
            <w:vAlign w:val="bottom"/>
            <w:tcBorders>
              <w:bottom w:val="single" w:sz="8" w:color="F7F7F7"/>
            </w:tcBorders>
            <w:shd w:val="clear" w:color="auto" w:fill="F7F7F7"/>
          </w:tcPr>
          <w:p>
            <w:pPr>
              <w:spacing w:after="0"/>
              <w:rPr>
                <w:sz w:val="20"/>
                <w:szCs w:val="20"/>
                <w:color w:val="auto"/>
              </w:rPr>
            </w:pPr>
          </w:p>
        </w:tc>
        <w:tc>
          <w:tcPr>
            <w:tcW w:w="100" w:type="dxa"/>
            <w:vAlign w:val="bottom"/>
            <w:tcBorders>
              <w:bottom w:val="single" w:sz="8" w:color="F7F7F7"/>
            </w:tcBorders>
            <w:shd w:val="clear" w:color="auto" w:fill="F7F7F7"/>
          </w:tcPr>
          <w:p>
            <w:pPr>
              <w:spacing w:after="0"/>
              <w:rPr>
                <w:sz w:val="20"/>
                <w:szCs w:val="20"/>
                <w:color w:val="auto"/>
              </w:rPr>
            </w:pPr>
          </w:p>
        </w:tc>
        <w:tc>
          <w:tcPr>
            <w:tcW w:w="100" w:type="dxa"/>
            <w:vAlign w:val="bottom"/>
            <w:tcBorders>
              <w:bottom w:val="single" w:sz="8" w:color="F7F7F7"/>
            </w:tcBorders>
            <w:shd w:val="clear" w:color="auto" w:fill="F7F7F7"/>
          </w:tcPr>
          <w:p>
            <w:pPr>
              <w:spacing w:after="0"/>
              <w:rPr>
                <w:sz w:val="20"/>
                <w:szCs w:val="20"/>
                <w:color w:val="auto"/>
              </w:rPr>
            </w:pPr>
          </w:p>
        </w:tc>
        <w:tc>
          <w:tcPr>
            <w:tcW w:w="320" w:type="dxa"/>
            <w:vAlign w:val="bottom"/>
            <w:tcBorders>
              <w:bottom w:val="single" w:sz="8" w:color="F7F7F7"/>
            </w:tcBorders>
            <w:shd w:val="clear" w:color="auto" w:fill="F7F7F7"/>
          </w:tcPr>
          <w:p>
            <w:pPr>
              <w:spacing w:after="0"/>
              <w:rPr>
                <w:sz w:val="20"/>
                <w:szCs w:val="20"/>
                <w:color w:val="auto"/>
              </w:rPr>
            </w:pPr>
          </w:p>
        </w:tc>
        <w:tc>
          <w:tcPr>
            <w:tcW w:w="120" w:type="dxa"/>
            <w:vAlign w:val="bottom"/>
            <w:tcBorders>
              <w:bottom w:val="single" w:sz="8" w:color="F7F7F7"/>
            </w:tcBorders>
            <w:shd w:val="clear" w:color="auto" w:fill="F7F7F7"/>
          </w:tcPr>
          <w:p>
            <w:pPr>
              <w:spacing w:after="0"/>
              <w:rPr>
                <w:sz w:val="20"/>
                <w:szCs w:val="20"/>
                <w:color w:val="auto"/>
              </w:rPr>
            </w:pPr>
          </w:p>
        </w:tc>
        <w:tc>
          <w:tcPr>
            <w:tcW w:w="400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4"/>
                <w:szCs w:val="14"/>
                <w:color w:val="auto"/>
              </w:rPr>
              <w:t>NEOs.</w:t>
            </w:r>
          </w:p>
        </w:tc>
        <w:tc>
          <w:tcPr>
            <w:tcW w:w="200" w:type="dxa"/>
            <w:vAlign w:val="bottom"/>
            <w:tcBorders>
              <w:bottom w:val="single" w:sz="8" w:color="F7F7F7"/>
            </w:tcBorders>
            <w:shd w:val="clear" w:color="auto" w:fill="F7F7F7"/>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9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0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 xml:space="preserve">No Hedging or Pledging Permitted. </w:t>
            </w:r>
            <w:r>
              <w:rPr>
                <w:rFonts w:ascii="Arial" w:cs="Arial" w:eastAsia="Arial" w:hAnsi="Arial"/>
                <w:sz w:val="14"/>
                <w:szCs w:val="14"/>
                <w:color w:val="auto"/>
              </w:rPr>
              <w:t>We prohibit directors</w:t>
            </w:r>
          </w:p>
        </w:tc>
        <w:tc>
          <w:tcPr>
            <w:tcW w:w="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and employees, including our NEOs, from hedging or pledging</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Arial" w:cs="Arial" w:eastAsia="Arial" w:hAnsi="Arial"/>
                <w:sz w:val="14"/>
                <w:szCs w:val="14"/>
                <w:color w:val="auto"/>
              </w:rPr>
              <w:t>Lucid securities.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-3599815</wp:posOffset>
            </wp:positionV>
            <wp:extent cx="76835" cy="768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-3599815</wp:posOffset>
            </wp:positionV>
            <wp:extent cx="76835" cy="768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-2974340</wp:posOffset>
            </wp:positionV>
            <wp:extent cx="76835" cy="774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-2974340</wp:posOffset>
            </wp:positionV>
            <wp:extent cx="76835" cy="774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-2348230</wp:posOffset>
            </wp:positionV>
            <wp:extent cx="76835" cy="77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-2348230</wp:posOffset>
            </wp:positionV>
            <wp:extent cx="76835" cy="77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-1825625</wp:posOffset>
            </wp:positionV>
            <wp:extent cx="76835" cy="77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-1825625</wp:posOffset>
            </wp:positionV>
            <wp:extent cx="76835" cy="77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-1405255</wp:posOffset>
            </wp:positionV>
            <wp:extent cx="76835" cy="77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-1405255</wp:posOffset>
            </wp:positionV>
            <wp:extent cx="76835" cy="77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-779780</wp:posOffset>
            </wp:positionV>
            <wp:extent cx="76835" cy="768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-359410</wp:posOffset>
            </wp:positionV>
            <wp:extent cx="76835" cy="774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Compensation Philosophy and Objectives</w:t>
      </w:r>
    </w:p>
    <w:p>
      <w:pPr>
        <w:spacing w:after="0" w:line="185" w:lineRule="exact"/>
        <w:rPr>
          <w:sz w:val="20"/>
          <w:szCs w:val="20"/>
          <w:color w:val="auto"/>
        </w:rPr>
      </w:pPr>
    </w:p>
    <w:p>
      <w:pPr>
        <w:ind w:left="660" w:right="80"/>
        <w:spacing w:after="0" w:line="299" w:lineRule="auto"/>
        <w:rPr>
          <w:sz w:val="20"/>
          <w:szCs w:val="20"/>
          <w:color w:val="auto"/>
        </w:rPr>
      </w:pPr>
      <w:r>
        <w:rPr>
          <w:rFonts w:ascii="Arial" w:cs="Arial" w:eastAsia="Arial" w:hAnsi="Arial"/>
          <w:sz w:val="16"/>
          <w:szCs w:val="16"/>
          <w:color w:val="auto"/>
        </w:rPr>
        <w:t>Our executive compensation program is designed to attract, retain, and motivate top-level talent who possess the skills and leadership necessary to grow our business and enable long-term value creation by (i) providing compensation packages that are competitive with market practice and drive and reward the achievement of our business objectives; (ii) closely aligning the interests of our NEOs with those of our stockholders by providing a significant portion of our NEOs’ compensation in equity and, with the introduction of performance-based equity awards in 2023, linking a significant portion of equity compensation to performance-based results, and (iii) appropriately aligning compensation with both short-term and long-term Company performance measures and strategic objectives. Being a technology and automotive company that is setting new standards with advanced luxury electric vehicles, we seek to hire and retain experienced talent from the competitive technology sector, who have the ability to lead across multiple disciplines and through our highly regulated industries.</w:t>
      </w:r>
    </w:p>
    <w:p>
      <w:pPr>
        <w:spacing w:after="0" w:line="178" w:lineRule="exact"/>
        <w:rPr>
          <w:sz w:val="20"/>
          <w:szCs w:val="20"/>
          <w:color w:val="auto"/>
        </w:rPr>
      </w:pPr>
    </w:p>
    <w:p>
      <w:pPr>
        <w:ind w:left="660" w:right="40"/>
        <w:spacing w:after="0" w:line="310" w:lineRule="auto"/>
        <w:rPr>
          <w:sz w:val="20"/>
          <w:szCs w:val="20"/>
          <w:color w:val="auto"/>
        </w:rPr>
      </w:pPr>
      <w:r>
        <w:rPr>
          <w:rFonts w:ascii="Arial" w:cs="Arial" w:eastAsia="Arial" w:hAnsi="Arial"/>
          <w:sz w:val="16"/>
          <w:szCs w:val="16"/>
          <w:color w:val="auto"/>
        </w:rPr>
        <w:t>To ensure that management’s interests are aligned with those of our stockholders and to motivate and reward individual initiative and effort, our executive compensation program emphasizes a pay-for-performance compensation philosophy so that attainment of Company and individual performance goals are rewarded.</w:t>
      </w:r>
    </w:p>
    <w:p>
      <w:pPr>
        <w:spacing w:after="0" w:line="178" w:lineRule="exact"/>
        <w:rPr>
          <w:sz w:val="20"/>
          <w:szCs w:val="20"/>
          <w:color w:val="auto"/>
        </w:rPr>
      </w:pPr>
    </w:p>
    <w:p>
      <w:pPr>
        <w:ind w:left="660" w:right="740"/>
        <w:spacing w:after="0" w:line="339" w:lineRule="auto"/>
        <w:rPr>
          <w:sz w:val="20"/>
          <w:szCs w:val="20"/>
          <w:color w:val="auto"/>
        </w:rPr>
      </w:pPr>
      <w:r>
        <w:rPr>
          <w:rFonts w:ascii="Arial" w:cs="Arial" w:eastAsia="Arial" w:hAnsi="Arial"/>
          <w:sz w:val="16"/>
          <w:szCs w:val="16"/>
          <w:color w:val="auto"/>
        </w:rPr>
        <w:t>Our executive compensation program design reflects our pay-for-performance philosophy and includes a mix of three key compensation elements — (i) base salary, (ii) annual cash incentive awards, and (iii) long-term equity incentive awards.</w:t>
      </w:r>
    </w:p>
    <w:p>
      <w:pPr>
        <w:sectPr>
          <w:pgSz w:w="11900" w:h="16838" w:orient="portrait"/>
          <w:cols w:equalWidth="0" w:num="1">
            <w:col w:w="10080"/>
          </w:cols>
          <w:pgMar w:left="580" w:top="97" w:right="1239" w:bottom="1440" w:gutter="0" w:footer="0" w:header="0"/>
        </w:sectPr>
      </w:pPr>
    </w:p>
    <w:p>
      <w:pPr>
        <w:spacing w:after="0" w:line="327"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​44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40"/>
        <w:spacing w:after="0" w:line="275" w:lineRule="auto"/>
        <w:rPr>
          <w:sz w:val="20"/>
          <w:szCs w:val="20"/>
          <w:color w:val="auto"/>
        </w:rPr>
      </w:pPr>
      <w:r>
        <w:rPr>
          <w:rFonts w:ascii="Arial" w:cs="Arial" w:eastAsia="Arial" w:hAnsi="Arial"/>
          <w:sz w:val="16"/>
          <w:szCs w:val="16"/>
          <w:color w:val="auto"/>
        </w:rPr>
        <w:t>The Compensation Committee annually reviews and analyzes market trends (including, commencing with 2022, compensation market data from an approved peer group of companies) and adjusts the design and operation of our executive compensation program from time to time as it deems appropriate. As we continue to grow as a public company, the Compensation Committee continues to consider the extent to which the equity compensation of our NEOs should be linked to performance-based results, and the Compensation Committee has recently taken action to further link equity compensation to performance-based results by approving (and recommending to the Board for approval) new performance-based equity awards, as briefly described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New Performance-Based Equity Awards</w:t>
      </w:r>
    </w:p>
    <w:p>
      <w:pPr>
        <w:spacing w:after="0" w:line="172" w:lineRule="exact"/>
        <w:rPr>
          <w:sz w:val="20"/>
          <w:szCs w:val="20"/>
          <w:color w:val="auto"/>
        </w:rPr>
      </w:pPr>
    </w:p>
    <w:p>
      <w:pPr>
        <w:ind w:left="660" w:right="80"/>
        <w:spacing w:after="0" w:line="279" w:lineRule="auto"/>
        <w:rPr>
          <w:sz w:val="20"/>
          <w:szCs w:val="20"/>
          <w:color w:val="auto"/>
        </w:rPr>
      </w:pPr>
      <w:r>
        <w:rPr>
          <w:rFonts w:ascii="Arial" w:cs="Arial" w:eastAsia="Arial" w:hAnsi="Arial"/>
          <w:sz w:val="16"/>
          <w:szCs w:val="16"/>
          <w:color w:val="auto"/>
        </w:rPr>
        <w:t>In an ongoing effort to be responsive to our stockholders, to continue to achieve strong support for our executive compensation program, and to further align executive incentives with stockholders, the Compensation Committee considered and evaluated modifications to the long-term equity incentive component in 2023. As a result of this ongoing evaluation, and based on peer group data and recommendations provided by Pay Governance, the Compensation Committee decided that, beginning in 2023, each executive’s (including each NEO’s) long-term incentive award will be delivered as a mix of at least 80% performance-based equity awards (including performance share units and performance-based appreciation rights), with any remainder granted as RSUs.</w:t>
      </w:r>
    </w:p>
    <w:p>
      <w:pPr>
        <w:spacing w:after="0" w:line="175" w:lineRule="exact"/>
        <w:rPr>
          <w:sz w:val="20"/>
          <w:szCs w:val="20"/>
          <w:color w:val="auto"/>
        </w:rPr>
      </w:pPr>
    </w:p>
    <w:p>
      <w:pPr>
        <w:ind w:left="660" w:right="320"/>
        <w:spacing w:after="0" w:line="321" w:lineRule="auto"/>
        <w:rPr>
          <w:sz w:val="20"/>
          <w:szCs w:val="20"/>
          <w:color w:val="auto"/>
        </w:rPr>
      </w:pPr>
      <w:r>
        <w:rPr>
          <w:rFonts w:ascii="Arial" w:cs="Arial" w:eastAsia="Arial" w:hAnsi="Arial"/>
          <w:sz w:val="16"/>
          <w:szCs w:val="16"/>
          <w:color w:val="auto"/>
        </w:rPr>
        <w:t>The Compensation Committee believes that the new performance-based equity awards will incentivize and motivate executives (including NEOs) to achieve key strategic financial and individual objectives.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Executive Compensation Process</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Roles of the Compensation Committee and Management</w:t>
      </w:r>
    </w:p>
    <w:p>
      <w:pPr>
        <w:spacing w:after="0" w:line="185" w:lineRule="exact"/>
        <w:rPr>
          <w:sz w:val="20"/>
          <w:szCs w:val="20"/>
          <w:color w:val="auto"/>
        </w:rPr>
      </w:pPr>
    </w:p>
    <w:p>
      <w:pPr>
        <w:ind w:left="660" w:right="60"/>
        <w:spacing w:after="0" w:line="275" w:lineRule="auto"/>
        <w:rPr>
          <w:sz w:val="20"/>
          <w:szCs w:val="20"/>
          <w:color w:val="auto"/>
        </w:rPr>
      </w:pPr>
      <w:r>
        <w:rPr>
          <w:rFonts w:ascii="Arial" w:cs="Arial" w:eastAsia="Arial" w:hAnsi="Arial"/>
          <w:sz w:val="16"/>
          <w:szCs w:val="16"/>
          <w:color w:val="auto"/>
        </w:rPr>
        <w:t>Our executive compensation program is administered primarily by the Compensation Committee, which is comprised entirely of independent directors under Nasdaq rules (even though, as a controlled company, we are not required to have an independent compensation committee under Nasdaq rules). The Compensation Committee establishes our overall compensation philosophy and objectives, and is responsible for establishing, overseeing, and evaluating our executive compensation program. The Compensation Committee reviews and assesses whether our executive compensation program aligns with our compensation philosophy and objectives, and approves the specific compensation of our NEOs, with feedback from the Board for the compensation of our CEO, and equity grants to our NEOs, for which the Compensation Committee makes recommendations to the Board for approval.</w:t>
      </w:r>
    </w:p>
    <w:p>
      <w:pPr>
        <w:spacing w:after="0" w:line="387" w:lineRule="exact"/>
        <w:rPr>
          <w:sz w:val="20"/>
          <w:szCs w:val="20"/>
          <w:color w:val="auto"/>
        </w:rPr>
      </w:pPr>
    </w:p>
    <w:p>
      <w:pPr>
        <w:ind w:left="660" w:right="40"/>
        <w:spacing w:after="0" w:line="276" w:lineRule="auto"/>
        <w:rPr>
          <w:sz w:val="20"/>
          <w:szCs w:val="20"/>
          <w:color w:val="auto"/>
        </w:rPr>
      </w:pPr>
      <w:r>
        <w:rPr>
          <w:rFonts w:ascii="Arial" w:cs="Arial" w:eastAsia="Arial" w:hAnsi="Arial"/>
          <w:sz w:val="16"/>
          <w:szCs w:val="16"/>
          <w:color w:val="auto"/>
        </w:rPr>
        <w:t>The Compensation Committee also consults with and reviews feedback from members of our management team, including our CEO and Human Resources senior leadership, when making compensation decisions. Our CEO works closely with the Compensation Committee and provides the Compensation Committee with performance assessments and compensation recommendations for each NEO (other than himself), based on each NEO’s level of performance and Company performance. While the Compensation Committee considers our CEO’s recommendations, the Compensation Committee ultimately uses its own business judgment and experience in approving, or making recommendations to the Board where applicable regarding, the amount of each compensation element for our NEOs. Our CEO recuses himself from all determinations regarding his own compensation.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Role of Compensation Consultant</w:t>
      </w:r>
    </w:p>
    <w:p>
      <w:pPr>
        <w:spacing w:after="0" w:line="172" w:lineRule="exact"/>
        <w:rPr>
          <w:sz w:val="20"/>
          <w:szCs w:val="20"/>
          <w:color w:val="auto"/>
        </w:rPr>
      </w:pPr>
    </w:p>
    <w:p>
      <w:pPr>
        <w:ind w:left="660" w:right="700"/>
        <w:spacing w:after="0" w:line="304" w:lineRule="auto"/>
        <w:rPr>
          <w:sz w:val="20"/>
          <w:szCs w:val="20"/>
          <w:color w:val="auto"/>
        </w:rPr>
      </w:pPr>
      <w:r>
        <w:rPr>
          <w:rFonts w:ascii="Arial" w:cs="Arial" w:eastAsia="Arial" w:hAnsi="Arial"/>
          <w:sz w:val="16"/>
          <w:szCs w:val="16"/>
          <w:color w:val="auto"/>
        </w:rPr>
        <w:t>The Compensation Committee is directly responsible for the appointment, compensation, and oversight of the work of any compensation advisor and has sole authority to approve all such advisors’ fees and other retention terms.</w:t>
      </w:r>
    </w:p>
    <w:p>
      <w:pPr>
        <w:spacing w:after="0" w:line="168" w:lineRule="exact"/>
        <w:rPr>
          <w:sz w:val="20"/>
          <w:szCs w:val="20"/>
          <w:color w:val="auto"/>
        </w:rPr>
      </w:pPr>
    </w:p>
    <w:p>
      <w:pPr>
        <w:ind w:left="660" w:right="140"/>
        <w:spacing w:after="0" w:line="276" w:lineRule="auto"/>
        <w:rPr>
          <w:sz w:val="20"/>
          <w:szCs w:val="20"/>
          <w:color w:val="auto"/>
        </w:rPr>
      </w:pPr>
      <w:r>
        <w:rPr>
          <w:rFonts w:ascii="Arial" w:cs="Arial" w:eastAsia="Arial" w:hAnsi="Arial"/>
          <w:sz w:val="16"/>
          <w:szCs w:val="16"/>
          <w:color w:val="auto"/>
        </w:rPr>
        <w:t>The Compensation Committee has retained Pay Governance as its compensation consultant since November 2021 to provide the committee with advice and guidance on the design of our executive compensation program. The Nominating and Corporate Governance Committee also has retained Pay Governance as a consultant regarding non-employee director compensation. Pay Governance provides the committees with third-party data and analysis on competitive compensation practices and trends and recommends executive and director compensation levels. Pay Governance has not provided any other services to us and has not received any compensation from us other than with respect to such services to the Compensation Committee and the Nominating and Corporate Governance Committee.</w:t>
      </w:r>
    </w:p>
    <w:p>
      <w:pPr>
        <w:spacing w:after="0" w:line="193" w:lineRule="exact"/>
        <w:rPr>
          <w:sz w:val="20"/>
          <w:szCs w:val="20"/>
          <w:color w:val="auto"/>
        </w:rPr>
      </w:pPr>
    </w:p>
    <w:p>
      <w:pPr>
        <w:ind w:left="660" w:right="540"/>
        <w:spacing w:after="0" w:line="321" w:lineRule="auto"/>
        <w:rPr>
          <w:sz w:val="20"/>
          <w:szCs w:val="20"/>
          <w:color w:val="auto"/>
        </w:rPr>
      </w:pPr>
      <w:r>
        <w:rPr>
          <w:rFonts w:ascii="Arial" w:cs="Arial" w:eastAsia="Arial" w:hAnsi="Arial"/>
          <w:sz w:val="16"/>
          <w:szCs w:val="16"/>
          <w:color w:val="auto"/>
        </w:rPr>
        <w:t>Each year, the Compensation Committee reviews the independence of the compensation consultant and other advisors who provide advice to the Compensation Committee, employing the independence factors specified under Nasdaq rules. The</w:t>
      </w:r>
    </w:p>
    <w:p>
      <w:pPr>
        <w:spacing w:after="0" w:line="34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45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260"/>
        <w:spacing w:after="0" w:line="304" w:lineRule="auto"/>
        <w:rPr>
          <w:sz w:val="20"/>
          <w:szCs w:val="20"/>
          <w:color w:val="auto"/>
        </w:rPr>
      </w:pPr>
      <w:r>
        <w:rPr>
          <w:rFonts w:ascii="Arial" w:cs="Arial" w:eastAsia="Arial" w:hAnsi="Arial"/>
          <w:sz w:val="16"/>
          <w:szCs w:val="16"/>
          <w:color w:val="auto"/>
        </w:rPr>
        <w:t>Compensation Committee has determined that Pay Governance is independent within the meaning of the Nasdaq rules, and the work of Pay Governance for the committee has not raised any conflicts of interest.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Executive Compensation Peer Group</w:t>
      </w:r>
    </w:p>
    <w:p>
      <w:pPr>
        <w:spacing w:after="0" w:line="172" w:lineRule="exact"/>
        <w:rPr>
          <w:sz w:val="20"/>
          <w:szCs w:val="20"/>
          <w:color w:val="auto"/>
        </w:rPr>
      </w:pPr>
    </w:p>
    <w:p>
      <w:pPr>
        <w:ind w:left="660" w:right="280"/>
        <w:spacing w:after="0" w:line="278" w:lineRule="auto"/>
        <w:rPr>
          <w:sz w:val="20"/>
          <w:szCs w:val="20"/>
          <w:color w:val="auto"/>
        </w:rPr>
      </w:pPr>
      <w:r>
        <w:rPr>
          <w:rFonts w:ascii="Arial" w:cs="Arial" w:eastAsia="Arial" w:hAnsi="Arial"/>
          <w:sz w:val="16"/>
          <w:szCs w:val="16"/>
          <w:color w:val="auto"/>
        </w:rPr>
        <w:t>In January 2022, based on input from management and Pay Governance, the Compensation Committee approved an executive compensation peer group to define external benchmarks to help inform compensation decision-making for 2022. While external benchmarks are not the only factor used in the Compensation Committee’s decision process, the Compensation Committee believes external benchmarks to be a valuable tool in setting market competitive compensation policies intended to attract, motivate, and retain top-level talent.</w:t>
      </w:r>
    </w:p>
    <w:p>
      <w:pPr>
        <w:spacing w:after="0" w:line="190" w:lineRule="exact"/>
        <w:rPr>
          <w:sz w:val="20"/>
          <w:szCs w:val="20"/>
          <w:color w:val="auto"/>
        </w:rPr>
      </w:pPr>
    </w:p>
    <w:p>
      <w:pPr>
        <w:ind w:left="660" w:right="360"/>
        <w:spacing w:after="0" w:line="304" w:lineRule="auto"/>
        <w:rPr>
          <w:sz w:val="20"/>
          <w:szCs w:val="20"/>
          <w:color w:val="auto"/>
        </w:rPr>
      </w:pPr>
      <w:r>
        <w:rPr>
          <w:rFonts w:ascii="Arial" w:cs="Arial" w:eastAsia="Arial" w:hAnsi="Arial"/>
          <w:sz w:val="16"/>
          <w:szCs w:val="16"/>
          <w:color w:val="auto"/>
        </w:rPr>
        <w:t>In developing the peer group, consideration was given to our unique combination of key attributes — high price-to-sales, recent commercialization, large-scale manufacturing, and a technology-heavy workforce.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2022 compensation peer group included the following companies from a variety of business sectors:</w:t>
      </w:r>
    </w:p>
    <w:p>
      <w:pPr>
        <w:spacing w:after="0" w:line="283"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00" w:type="dxa"/>
            <w:vAlign w:val="bottom"/>
            <w:tcBorders>
              <w:top w:val="single" w:sz="8" w:color="auto"/>
            </w:tcBorders>
          </w:tcPr>
          <w:p>
            <w:pPr>
              <w:spacing w:after="0" w:line="153"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ind w:left="260"/>
              <w:spacing w:after="0" w:line="153" w:lineRule="exact"/>
              <w:rPr>
                <w:sz w:val="20"/>
                <w:szCs w:val="20"/>
                <w:color w:val="auto"/>
              </w:rPr>
            </w:pPr>
            <w:r>
              <w:rPr>
                <w:rFonts w:ascii="Arial" w:cs="Arial" w:eastAsia="Arial" w:hAnsi="Arial"/>
                <w:sz w:val="14"/>
                <w:szCs w:val="14"/>
                <w:color w:val="auto"/>
              </w:rPr>
              <w:t>​ ​</w:t>
            </w:r>
          </w:p>
        </w:tc>
        <w:tc>
          <w:tcPr>
            <w:tcW w:w="14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ind w:left="260"/>
              <w:spacing w:after="0" w:line="153" w:lineRule="exact"/>
              <w:rPr>
                <w:sz w:val="20"/>
                <w:szCs w:val="20"/>
                <w:color w:val="auto"/>
              </w:rPr>
            </w:pPr>
            <w:r>
              <w:rPr>
                <w:rFonts w:ascii="Arial" w:cs="Arial" w:eastAsia="Arial" w:hAnsi="Arial"/>
                <w:sz w:val="14"/>
                <w:szCs w:val="14"/>
                <w:color w:val="auto"/>
              </w:rPr>
              <w:t>​ ​</w:t>
            </w:r>
          </w:p>
        </w:tc>
        <w:tc>
          <w:tcPr>
            <w:tcW w:w="1880" w:type="dxa"/>
            <w:vAlign w:val="bottom"/>
            <w:tcBorders>
              <w:top w:val="single" w:sz="8" w:color="auto"/>
            </w:tcBorders>
          </w:tcPr>
          <w:p>
            <w:pPr>
              <w:ind w:left="260"/>
              <w:spacing w:after="0" w:line="153" w:lineRule="exact"/>
              <w:rPr>
                <w:sz w:val="20"/>
                <w:szCs w:val="20"/>
                <w:color w:val="auto"/>
              </w:rPr>
            </w:pPr>
            <w:r>
              <w:rPr>
                <w:rFonts w:ascii="Arial" w:cs="Arial" w:eastAsia="Arial" w:hAnsi="Arial"/>
                <w:sz w:val="14"/>
                <w:szCs w:val="14"/>
                <w:color w:val="auto"/>
              </w:rPr>
              <w:t>​ ​</w:t>
            </w:r>
          </w:p>
        </w:tc>
        <w:tc>
          <w:tcPr>
            <w:tcW w:w="1920" w:type="dxa"/>
            <w:vAlign w:val="bottom"/>
            <w:tcBorders>
              <w:top w:val="single" w:sz="8" w:color="auto"/>
            </w:tcBorders>
          </w:tcPr>
          <w:p>
            <w:pPr>
              <w:ind w:left="240"/>
              <w:spacing w:after="0" w:line="153" w:lineRule="exact"/>
              <w:rPr>
                <w:sz w:val="20"/>
                <w:szCs w:val="20"/>
                <w:color w:val="auto"/>
              </w:rPr>
            </w:pPr>
            <w:r>
              <w:rPr>
                <w:rFonts w:ascii="Arial" w:cs="Arial" w:eastAsia="Arial" w:hAnsi="Arial"/>
                <w:sz w:val="14"/>
                <w:szCs w:val="14"/>
                <w:color w:val="auto"/>
              </w:rPr>
              <w:t>​ ​</w:t>
            </w:r>
          </w:p>
        </w:tc>
        <w:tc>
          <w:tcPr>
            <w:tcW w:w="380" w:type="dxa"/>
            <w:vAlign w:val="bottom"/>
            <w:tcBorders>
              <w:top w:val="single" w:sz="8" w:color="auto"/>
            </w:tcBorders>
          </w:tcPr>
          <w:p>
            <w:pPr>
              <w:ind w:left="160"/>
              <w:spacing w:after="0" w:line="153" w:lineRule="exact"/>
              <w:rPr>
                <w:sz w:val="20"/>
                <w:szCs w:val="20"/>
                <w:color w:val="auto"/>
              </w:rPr>
            </w:pPr>
            <w:r>
              <w:rPr>
                <w:rFonts w:ascii="Arial" w:cs="Arial" w:eastAsia="Arial" w:hAnsi="Arial"/>
                <w:sz w:val="14"/>
                <w:szCs w:val="14"/>
                <w:color w:val="auto"/>
              </w:rPr>
              <w:t>​</w:t>
            </w:r>
          </w:p>
        </w:tc>
      </w:tr>
      <w:tr>
        <w:trPr>
          <w:trHeight w:val="176"/>
        </w:trPr>
        <w:tc>
          <w:tcPr>
            <w:tcW w:w="1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Airbnb, Inc.</w:t>
            </w:r>
          </w:p>
        </w:tc>
        <w:tc>
          <w:tcPr>
            <w:tcW w:w="440" w:type="dxa"/>
            <w:vAlign w:val="bottom"/>
          </w:tcPr>
          <w:p>
            <w:pPr>
              <w:spacing w:after="0"/>
              <w:rPr>
                <w:sz w:val="15"/>
                <w:szCs w:val="15"/>
                <w:color w:val="auto"/>
              </w:rPr>
            </w:pPr>
          </w:p>
        </w:tc>
        <w:tc>
          <w:tcPr>
            <w:tcW w:w="1400" w:type="dxa"/>
            <w:vAlign w:val="bottom"/>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Deere &amp;</w:t>
            </w:r>
          </w:p>
        </w:tc>
        <w:tc>
          <w:tcPr>
            <w:tcW w:w="1840" w:type="dxa"/>
            <w:vAlign w:val="bottom"/>
          </w:tcPr>
          <w:p>
            <w:pPr>
              <w:ind w:left="46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Intel</w:t>
            </w:r>
          </w:p>
        </w:tc>
        <w:tc>
          <w:tcPr>
            <w:tcW w:w="1880" w:type="dxa"/>
            <w:vAlign w:val="bottom"/>
          </w:tcPr>
          <w:p>
            <w:pPr>
              <w:ind w:left="48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Proterra Inc.</w:t>
            </w:r>
          </w:p>
        </w:tc>
        <w:tc>
          <w:tcPr>
            <w:tcW w:w="1920" w:type="dxa"/>
            <w:vAlign w:val="bottom"/>
          </w:tcPr>
          <w:p>
            <w:pPr>
              <w:ind w:left="4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Tesla, Inc.</w:t>
            </w:r>
          </w:p>
        </w:tc>
        <w:tc>
          <w:tcPr>
            <w:tcW w:w="380" w:type="dxa"/>
            <w:vAlign w:val="bottom"/>
          </w:tcPr>
          <w:p>
            <w:pPr>
              <w:spacing w:after="0"/>
              <w:rPr>
                <w:sz w:val="15"/>
                <w:szCs w:val="15"/>
                <w:color w:val="auto"/>
              </w:rPr>
            </w:pPr>
          </w:p>
        </w:tc>
      </w:tr>
      <w:tr>
        <w:trPr>
          <w:trHeight w:val="190"/>
        </w:trPr>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ind w:left="180"/>
              <w:spacing w:after="0"/>
              <w:rPr>
                <w:sz w:val="20"/>
                <w:szCs w:val="20"/>
                <w:color w:val="auto"/>
              </w:rPr>
            </w:pPr>
            <w:r>
              <w:rPr>
                <w:rFonts w:ascii="Arial" w:cs="Arial" w:eastAsia="Arial" w:hAnsi="Arial"/>
                <w:sz w:val="14"/>
                <w:szCs w:val="14"/>
                <w:color w:val="auto"/>
              </w:rPr>
              <w:t>Company</w:t>
            </w:r>
          </w:p>
        </w:tc>
        <w:tc>
          <w:tcPr>
            <w:tcW w:w="1840" w:type="dxa"/>
            <w:vAlign w:val="bottom"/>
          </w:tcPr>
          <w:p>
            <w:pPr>
              <w:ind w:left="620"/>
              <w:spacing w:after="0"/>
              <w:rPr>
                <w:sz w:val="20"/>
                <w:szCs w:val="20"/>
                <w:color w:val="auto"/>
              </w:rPr>
            </w:pPr>
            <w:r>
              <w:rPr>
                <w:rFonts w:ascii="Arial" w:cs="Arial" w:eastAsia="Arial" w:hAnsi="Arial"/>
                <w:sz w:val="14"/>
                <w:szCs w:val="14"/>
                <w:color w:val="auto"/>
              </w:rPr>
              <w:t>Corporation</w:t>
            </w:r>
          </w:p>
        </w:tc>
        <w:tc>
          <w:tcPr>
            <w:tcW w:w="18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03"/>
        </w:trPr>
        <w:tc>
          <w:tcPr>
            <w:tcW w:w="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gridSpan w:val="2"/>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81"/>
        </w:trPr>
        <w:tc>
          <w:tcPr>
            <w:tcW w:w="1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1420" w:type="dxa"/>
            <w:vAlign w:val="bottom"/>
            <w:shd w:val="clear" w:color="auto" w:fill="F7F7F7"/>
          </w:tcPr>
          <w:p>
            <w:pPr>
              <w:ind w:left="6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Aptiv PLC</w:t>
            </w:r>
          </w:p>
        </w:tc>
        <w:tc>
          <w:tcPr>
            <w:tcW w:w="1840" w:type="dxa"/>
            <w:vAlign w:val="bottom"/>
            <w:gridSpan w:val="2"/>
            <w:shd w:val="clear" w:color="auto" w:fill="F7F7F7"/>
          </w:tcPr>
          <w:p>
            <w:pPr>
              <w:ind w:left="260"/>
              <w:spacing w:after="0" w:line="281"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Ford Motor</w:t>
            </w:r>
          </w:p>
        </w:tc>
        <w:tc>
          <w:tcPr>
            <w:tcW w:w="1840" w:type="dxa"/>
            <w:vAlign w:val="bottom"/>
            <w:shd w:val="clear" w:color="auto" w:fill="F7F7F7"/>
          </w:tcPr>
          <w:p>
            <w:pPr>
              <w:ind w:left="260"/>
              <w:spacing w:after="0" w:line="281"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Joby</w:t>
            </w:r>
          </w:p>
        </w:tc>
        <w:tc>
          <w:tcPr>
            <w:tcW w:w="1880" w:type="dxa"/>
            <w:vAlign w:val="bottom"/>
            <w:shd w:val="clear" w:color="auto" w:fill="F7F7F7"/>
          </w:tcPr>
          <w:p>
            <w:pPr>
              <w:ind w:left="260"/>
              <w:spacing w:after="0" w:line="281"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Raytheon</w:t>
            </w:r>
          </w:p>
        </w:tc>
        <w:tc>
          <w:tcPr>
            <w:tcW w:w="1920" w:type="dxa"/>
            <w:vAlign w:val="bottom"/>
            <w:shd w:val="clear" w:color="auto" w:fill="F7F7F7"/>
          </w:tcPr>
          <w:p>
            <w:pPr>
              <w:ind w:left="240"/>
              <w:spacing w:after="0" w:line="281"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The Boeing</w:t>
            </w:r>
          </w:p>
        </w:tc>
        <w:tc>
          <w:tcPr>
            <w:tcW w:w="38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r>
      <w:tr>
        <w:trPr>
          <w:trHeight w:val="162"/>
        </w:trPr>
        <w:tc>
          <w:tcPr>
            <w:tcW w:w="100" w:type="dxa"/>
            <w:vAlign w:val="bottom"/>
            <w:shd w:val="clear" w:color="auto" w:fill="F7F7F7"/>
          </w:tcPr>
          <w:p>
            <w:pPr>
              <w:spacing w:after="0"/>
              <w:rPr>
                <w:sz w:val="14"/>
                <w:szCs w:val="14"/>
                <w:color w:val="auto"/>
              </w:rPr>
            </w:pPr>
          </w:p>
        </w:tc>
        <w:tc>
          <w:tcPr>
            <w:tcW w:w="1420" w:type="dxa"/>
            <w:vAlign w:val="bottom"/>
            <w:shd w:val="clear" w:color="auto" w:fill="F7F7F7"/>
          </w:tcPr>
          <w:p>
            <w:pPr>
              <w:spacing w:after="0"/>
              <w:rPr>
                <w:sz w:val="14"/>
                <w:szCs w:val="14"/>
                <w:color w:val="auto"/>
              </w:rPr>
            </w:pPr>
          </w:p>
        </w:tc>
        <w:tc>
          <w:tcPr>
            <w:tcW w:w="440" w:type="dxa"/>
            <w:vAlign w:val="bottom"/>
            <w:shd w:val="clear" w:color="auto" w:fill="F7F7F7"/>
          </w:tcPr>
          <w:p>
            <w:pPr>
              <w:spacing w:after="0"/>
              <w:rPr>
                <w:sz w:val="14"/>
                <w:szCs w:val="14"/>
                <w:color w:val="auto"/>
              </w:rPr>
            </w:pPr>
          </w:p>
        </w:tc>
        <w:tc>
          <w:tcPr>
            <w:tcW w:w="1400" w:type="dxa"/>
            <w:vAlign w:val="bottom"/>
            <w:shd w:val="clear" w:color="auto" w:fill="F7F7F7"/>
          </w:tcPr>
          <w:p>
            <w:pPr>
              <w:ind w:left="180"/>
              <w:spacing w:after="0"/>
              <w:rPr>
                <w:sz w:val="20"/>
                <w:szCs w:val="20"/>
                <w:color w:val="auto"/>
              </w:rPr>
            </w:pPr>
            <w:r>
              <w:rPr>
                <w:rFonts w:ascii="Arial" w:cs="Arial" w:eastAsia="Arial" w:hAnsi="Arial"/>
                <w:sz w:val="14"/>
                <w:szCs w:val="14"/>
                <w:color w:val="auto"/>
              </w:rPr>
              <w:t>Company</w:t>
            </w:r>
          </w:p>
        </w:tc>
        <w:tc>
          <w:tcPr>
            <w:tcW w:w="1840" w:type="dxa"/>
            <w:vAlign w:val="bottom"/>
            <w:shd w:val="clear" w:color="auto" w:fill="F7F7F7"/>
          </w:tcPr>
          <w:p>
            <w:pPr>
              <w:ind w:left="620"/>
              <w:spacing w:after="0"/>
              <w:rPr>
                <w:sz w:val="20"/>
                <w:szCs w:val="20"/>
                <w:color w:val="auto"/>
              </w:rPr>
            </w:pPr>
            <w:r>
              <w:rPr>
                <w:rFonts w:ascii="Arial" w:cs="Arial" w:eastAsia="Arial" w:hAnsi="Arial"/>
                <w:sz w:val="14"/>
                <w:szCs w:val="14"/>
                <w:color w:val="auto"/>
              </w:rPr>
              <w:t>Aviation, Inc.</w:t>
            </w:r>
          </w:p>
        </w:tc>
        <w:tc>
          <w:tcPr>
            <w:tcW w:w="1880" w:type="dxa"/>
            <w:vAlign w:val="bottom"/>
            <w:shd w:val="clear" w:color="auto" w:fill="F7F7F7"/>
          </w:tcPr>
          <w:p>
            <w:pPr>
              <w:ind w:left="620"/>
              <w:spacing w:after="0"/>
              <w:rPr>
                <w:sz w:val="20"/>
                <w:szCs w:val="20"/>
                <w:color w:val="auto"/>
              </w:rPr>
            </w:pPr>
            <w:r>
              <w:rPr>
                <w:rFonts w:ascii="Arial" w:cs="Arial" w:eastAsia="Arial" w:hAnsi="Arial"/>
                <w:sz w:val="14"/>
                <w:szCs w:val="14"/>
                <w:color w:val="auto"/>
              </w:rPr>
              <w:t>Technologies</w:t>
            </w:r>
          </w:p>
        </w:tc>
        <w:tc>
          <w:tcPr>
            <w:tcW w:w="1920" w:type="dxa"/>
            <w:vAlign w:val="bottom"/>
            <w:shd w:val="clear" w:color="auto" w:fill="F7F7F7"/>
          </w:tcPr>
          <w:p>
            <w:pPr>
              <w:ind w:left="600"/>
              <w:spacing w:after="0"/>
              <w:rPr>
                <w:sz w:val="20"/>
                <w:szCs w:val="20"/>
                <w:color w:val="auto"/>
              </w:rPr>
            </w:pPr>
            <w:r>
              <w:rPr>
                <w:rFonts w:ascii="Arial" w:cs="Arial" w:eastAsia="Arial" w:hAnsi="Arial"/>
                <w:sz w:val="14"/>
                <w:szCs w:val="14"/>
                <w:color w:val="auto"/>
              </w:rPr>
              <w:t>Company</w:t>
            </w:r>
          </w:p>
        </w:tc>
        <w:tc>
          <w:tcPr>
            <w:tcW w:w="380" w:type="dxa"/>
            <w:vAlign w:val="bottom"/>
            <w:shd w:val="clear" w:color="auto" w:fill="F7F7F7"/>
          </w:tcPr>
          <w:p>
            <w:pPr>
              <w:spacing w:after="0"/>
              <w:rPr>
                <w:sz w:val="14"/>
                <w:szCs w:val="14"/>
                <w:color w:val="auto"/>
              </w:rPr>
            </w:pPr>
          </w:p>
        </w:tc>
      </w:tr>
      <w:tr>
        <w:trPr>
          <w:trHeight w:val="190"/>
        </w:trPr>
        <w:tc>
          <w:tcPr>
            <w:tcW w:w="100" w:type="dxa"/>
            <w:vAlign w:val="bottom"/>
            <w:shd w:val="clear" w:color="auto" w:fill="F7F7F7"/>
          </w:tcPr>
          <w:p>
            <w:pPr>
              <w:spacing w:after="0"/>
              <w:rPr>
                <w:sz w:val="16"/>
                <w:szCs w:val="16"/>
                <w:color w:val="auto"/>
              </w:rPr>
            </w:pPr>
          </w:p>
        </w:tc>
        <w:tc>
          <w:tcPr>
            <w:tcW w:w="1420" w:type="dxa"/>
            <w:vAlign w:val="bottom"/>
            <w:shd w:val="clear" w:color="auto" w:fill="F7F7F7"/>
          </w:tcPr>
          <w:p>
            <w:pPr>
              <w:spacing w:after="0"/>
              <w:rPr>
                <w:sz w:val="16"/>
                <w:szCs w:val="16"/>
                <w:color w:val="auto"/>
              </w:rPr>
            </w:pPr>
          </w:p>
        </w:tc>
        <w:tc>
          <w:tcPr>
            <w:tcW w:w="440" w:type="dxa"/>
            <w:vAlign w:val="bottom"/>
            <w:shd w:val="clear" w:color="auto" w:fill="F7F7F7"/>
          </w:tcPr>
          <w:p>
            <w:pPr>
              <w:spacing w:after="0"/>
              <w:rPr>
                <w:sz w:val="16"/>
                <w:szCs w:val="16"/>
                <w:color w:val="auto"/>
              </w:rPr>
            </w:pPr>
          </w:p>
        </w:tc>
        <w:tc>
          <w:tcPr>
            <w:tcW w:w="1400" w:type="dxa"/>
            <w:vAlign w:val="bottom"/>
            <w:shd w:val="clear" w:color="auto" w:fill="F7F7F7"/>
          </w:tcPr>
          <w:p>
            <w:pPr>
              <w:spacing w:after="0"/>
              <w:rPr>
                <w:sz w:val="16"/>
                <w:szCs w:val="16"/>
                <w:color w:val="auto"/>
              </w:rPr>
            </w:pPr>
          </w:p>
        </w:tc>
        <w:tc>
          <w:tcPr>
            <w:tcW w:w="1840" w:type="dxa"/>
            <w:vAlign w:val="bottom"/>
            <w:shd w:val="clear" w:color="auto" w:fill="F7F7F7"/>
          </w:tcPr>
          <w:p>
            <w:pPr>
              <w:spacing w:after="0"/>
              <w:rPr>
                <w:sz w:val="16"/>
                <w:szCs w:val="16"/>
                <w:color w:val="auto"/>
              </w:rPr>
            </w:pPr>
          </w:p>
        </w:tc>
        <w:tc>
          <w:tcPr>
            <w:tcW w:w="1880" w:type="dxa"/>
            <w:vAlign w:val="bottom"/>
            <w:shd w:val="clear" w:color="auto" w:fill="F7F7F7"/>
          </w:tcPr>
          <w:p>
            <w:pPr>
              <w:ind w:left="620"/>
              <w:spacing w:after="0"/>
              <w:rPr>
                <w:sz w:val="20"/>
                <w:szCs w:val="20"/>
                <w:color w:val="auto"/>
              </w:rPr>
            </w:pPr>
            <w:r>
              <w:rPr>
                <w:rFonts w:ascii="Arial" w:cs="Arial" w:eastAsia="Arial" w:hAnsi="Arial"/>
                <w:sz w:val="14"/>
                <w:szCs w:val="14"/>
                <w:color w:val="auto"/>
              </w:rPr>
              <w:t>Corporation</w:t>
            </w:r>
          </w:p>
        </w:tc>
        <w:tc>
          <w:tcPr>
            <w:tcW w:w="1920" w:type="dxa"/>
            <w:vAlign w:val="bottom"/>
            <w:shd w:val="clear" w:color="auto" w:fill="F7F7F7"/>
          </w:tcPr>
          <w:p>
            <w:pPr>
              <w:spacing w:after="0"/>
              <w:rPr>
                <w:sz w:val="16"/>
                <w:szCs w:val="16"/>
                <w:color w:val="auto"/>
              </w:rPr>
            </w:pPr>
          </w:p>
        </w:tc>
        <w:tc>
          <w:tcPr>
            <w:tcW w:w="380" w:type="dxa"/>
            <w:vAlign w:val="bottom"/>
            <w:shd w:val="clear" w:color="auto" w:fill="F7F7F7"/>
          </w:tcPr>
          <w:p>
            <w:pPr>
              <w:spacing w:after="0"/>
              <w:rPr>
                <w:sz w:val="16"/>
                <w:szCs w:val="16"/>
                <w:color w:val="auto"/>
              </w:rPr>
            </w:pPr>
          </w:p>
        </w:tc>
      </w:tr>
      <w:tr>
        <w:trPr>
          <w:trHeight w:val="103"/>
        </w:trPr>
        <w:tc>
          <w:tcPr>
            <w:tcW w:w="100" w:type="dxa"/>
            <w:vAlign w:val="bottom"/>
            <w:tcBorders>
              <w:bottom w:val="single" w:sz="8" w:color="auto"/>
            </w:tcBorders>
            <w:shd w:val="clear" w:color="auto" w:fill="F7F7F7"/>
          </w:tcPr>
          <w:p>
            <w:pPr>
              <w:spacing w:after="0"/>
              <w:rPr>
                <w:sz w:val="8"/>
                <w:szCs w:val="8"/>
                <w:color w:val="auto"/>
              </w:rPr>
            </w:pPr>
          </w:p>
        </w:tc>
        <w:tc>
          <w:tcPr>
            <w:tcW w:w="1420" w:type="dxa"/>
            <w:vAlign w:val="bottom"/>
            <w:tcBorders>
              <w:bottom w:val="single" w:sz="8" w:color="auto"/>
            </w:tcBorders>
            <w:shd w:val="clear" w:color="auto" w:fill="F7F7F7"/>
          </w:tcPr>
          <w:p>
            <w:pPr>
              <w:spacing w:after="0"/>
              <w:rPr>
                <w:sz w:val="8"/>
                <w:szCs w:val="8"/>
                <w:color w:val="auto"/>
              </w:rPr>
            </w:pPr>
          </w:p>
        </w:tc>
        <w:tc>
          <w:tcPr>
            <w:tcW w:w="440" w:type="dxa"/>
            <w:vAlign w:val="bottom"/>
            <w:tcBorders>
              <w:bottom w:val="single" w:sz="8" w:color="auto"/>
            </w:tcBorders>
            <w:shd w:val="clear" w:color="auto" w:fill="F7F7F7"/>
          </w:tcPr>
          <w:p>
            <w:pPr>
              <w:spacing w:after="0"/>
              <w:rPr>
                <w:sz w:val="8"/>
                <w:szCs w:val="8"/>
                <w:color w:val="auto"/>
              </w:rPr>
            </w:pPr>
          </w:p>
        </w:tc>
        <w:tc>
          <w:tcPr>
            <w:tcW w:w="1400" w:type="dxa"/>
            <w:vAlign w:val="bottom"/>
            <w:tcBorders>
              <w:bottom w:val="single" w:sz="8" w:color="auto"/>
            </w:tcBorders>
            <w:shd w:val="clear" w:color="auto" w:fill="F7F7F7"/>
          </w:tcPr>
          <w:p>
            <w:pPr>
              <w:spacing w:after="0"/>
              <w:rPr>
                <w:sz w:val="8"/>
                <w:szCs w:val="8"/>
                <w:color w:val="auto"/>
              </w:rPr>
            </w:pPr>
          </w:p>
        </w:tc>
        <w:tc>
          <w:tcPr>
            <w:tcW w:w="1840" w:type="dxa"/>
            <w:vAlign w:val="bottom"/>
            <w:tcBorders>
              <w:bottom w:val="single" w:sz="8" w:color="auto"/>
            </w:tcBorders>
            <w:shd w:val="clear" w:color="auto" w:fill="F7F7F7"/>
          </w:tcPr>
          <w:p>
            <w:pPr>
              <w:spacing w:after="0"/>
              <w:rPr>
                <w:sz w:val="8"/>
                <w:szCs w:val="8"/>
                <w:color w:val="auto"/>
              </w:rPr>
            </w:pPr>
          </w:p>
        </w:tc>
        <w:tc>
          <w:tcPr>
            <w:tcW w:w="1880" w:type="dxa"/>
            <w:vAlign w:val="bottom"/>
            <w:tcBorders>
              <w:bottom w:val="single" w:sz="8" w:color="auto"/>
            </w:tcBorders>
            <w:shd w:val="clear" w:color="auto" w:fill="F7F7F7"/>
          </w:tcPr>
          <w:p>
            <w:pPr>
              <w:spacing w:after="0"/>
              <w:rPr>
                <w:sz w:val="8"/>
                <w:szCs w:val="8"/>
                <w:color w:val="auto"/>
              </w:rPr>
            </w:pPr>
          </w:p>
        </w:tc>
        <w:tc>
          <w:tcPr>
            <w:tcW w:w="192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r>
      <w:tr>
        <w:trPr>
          <w:trHeight w:val="281"/>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1420" w:type="dxa"/>
            <w:vAlign w:val="bottom"/>
          </w:tcPr>
          <w:p>
            <w:pPr>
              <w:ind w:left="6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Cloudflare, Inc.</w:t>
            </w:r>
          </w:p>
        </w:tc>
        <w:tc>
          <w:tcPr>
            <w:tcW w:w="440" w:type="dxa"/>
            <w:vAlign w:val="bottom"/>
          </w:tcPr>
          <w:p>
            <w:pPr>
              <w:ind w:left="260"/>
              <w:spacing w:after="0"/>
              <w:rPr>
                <w:sz w:val="20"/>
                <w:szCs w:val="20"/>
                <w:color w:val="auto"/>
              </w:rPr>
            </w:pPr>
            <w:r>
              <w:rPr>
                <w:rFonts w:ascii="Arial" w:cs="Arial" w:eastAsia="Arial" w:hAnsi="Arial"/>
                <w:sz w:val="14"/>
                <w:szCs w:val="14"/>
                <w:color w:val="auto"/>
              </w:rPr>
              <w:t>​ ​</w:t>
            </w:r>
          </w:p>
        </w:tc>
        <w:tc>
          <w:tcPr>
            <w:tcW w:w="1400" w:type="dxa"/>
            <w:vAlign w:val="bottom"/>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General Motors</w:t>
            </w:r>
          </w:p>
        </w:tc>
        <w:tc>
          <w:tcPr>
            <w:tcW w:w="1840" w:type="dxa"/>
            <w:vAlign w:val="bottom"/>
          </w:tcPr>
          <w:p>
            <w:pPr>
              <w:ind w:left="260"/>
              <w:spacing w:after="0" w:line="281"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Lyft, Inc.</w:t>
            </w:r>
          </w:p>
        </w:tc>
        <w:tc>
          <w:tcPr>
            <w:tcW w:w="1880" w:type="dxa"/>
            <w:vAlign w:val="bottom"/>
          </w:tcPr>
          <w:p>
            <w:pPr>
              <w:ind w:left="260"/>
              <w:spacing w:after="0" w:line="281"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Rivian</w:t>
            </w:r>
          </w:p>
        </w:tc>
        <w:tc>
          <w:tcPr>
            <w:tcW w:w="1920" w:type="dxa"/>
            <w:vAlign w:val="bottom"/>
          </w:tcPr>
          <w:p>
            <w:pPr>
              <w:ind w:left="240"/>
              <w:spacing w:after="0" w:line="281"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Uber</w:t>
            </w:r>
          </w:p>
        </w:tc>
        <w:tc>
          <w:tcPr>
            <w:tcW w:w="380" w:type="dxa"/>
            <w:vAlign w:val="bottom"/>
          </w:tcPr>
          <w:p>
            <w:pPr>
              <w:ind w:left="160"/>
              <w:spacing w:after="0"/>
              <w:rPr>
                <w:sz w:val="20"/>
                <w:szCs w:val="20"/>
                <w:color w:val="auto"/>
              </w:rPr>
            </w:pPr>
            <w:r>
              <w:rPr>
                <w:rFonts w:ascii="Arial" w:cs="Arial" w:eastAsia="Arial" w:hAnsi="Arial"/>
                <w:sz w:val="14"/>
                <w:szCs w:val="14"/>
                <w:color w:val="auto"/>
              </w:rPr>
              <w:t>​</w:t>
            </w:r>
          </w:p>
        </w:tc>
      </w:tr>
      <w:tr>
        <w:trPr>
          <w:trHeight w:val="190"/>
        </w:trPr>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ind w:left="180"/>
              <w:spacing w:after="0"/>
              <w:rPr>
                <w:sz w:val="20"/>
                <w:szCs w:val="20"/>
                <w:color w:val="auto"/>
              </w:rPr>
            </w:pPr>
            <w:r>
              <w:rPr>
                <w:rFonts w:ascii="Arial" w:cs="Arial" w:eastAsia="Arial" w:hAnsi="Arial"/>
                <w:sz w:val="14"/>
                <w:szCs w:val="14"/>
                <w:color w:val="auto"/>
              </w:rPr>
              <w:t>Company</w:t>
            </w:r>
          </w:p>
        </w:tc>
        <w:tc>
          <w:tcPr>
            <w:tcW w:w="1840" w:type="dxa"/>
            <w:vAlign w:val="bottom"/>
          </w:tcPr>
          <w:p>
            <w:pPr>
              <w:spacing w:after="0"/>
              <w:rPr>
                <w:sz w:val="16"/>
                <w:szCs w:val="16"/>
                <w:color w:val="auto"/>
              </w:rPr>
            </w:pPr>
          </w:p>
        </w:tc>
        <w:tc>
          <w:tcPr>
            <w:tcW w:w="1880" w:type="dxa"/>
            <w:vAlign w:val="bottom"/>
          </w:tcPr>
          <w:p>
            <w:pPr>
              <w:ind w:left="620"/>
              <w:spacing w:after="0"/>
              <w:rPr>
                <w:sz w:val="20"/>
                <w:szCs w:val="20"/>
                <w:color w:val="auto"/>
              </w:rPr>
            </w:pPr>
            <w:r>
              <w:rPr>
                <w:rFonts w:ascii="Arial" w:cs="Arial" w:eastAsia="Arial" w:hAnsi="Arial"/>
                <w:sz w:val="14"/>
                <w:szCs w:val="14"/>
                <w:color w:val="auto"/>
              </w:rPr>
              <w:t>Automotive, Inc.</w:t>
            </w:r>
          </w:p>
        </w:tc>
        <w:tc>
          <w:tcPr>
            <w:tcW w:w="1920" w:type="dxa"/>
            <w:vAlign w:val="bottom"/>
          </w:tcPr>
          <w:p>
            <w:pPr>
              <w:ind w:left="600"/>
              <w:spacing w:after="0"/>
              <w:rPr>
                <w:sz w:val="20"/>
                <w:szCs w:val="20"/>
                <w:color w:val="auto"/>
              </w:rPr>
            </w:pPr>
            <w:r>
              <w:rPr>
                <w:rFonts w:ascii="Arial" w:cs="Arial" w:eastAsia="Arial" w:hAnsi="Arial"/>
                <w:sz w:val="14"/>
                <w:szCs w:val="14"/>
                <w:color w:val="auto"/>
              </w:rPr>
              <w:t>Technologies, Inc.</w:t>
            </w:r>
          </w:p>
        </w:tc>
        <w:tc>
          <w:tcPr>
            <w:tcW w:w="380" w:type="dxa"/>
            <w:vAlign w:val="bottom"/>
          </w:tcPr>
          <w:p>
            <w:pPr>
              <w:spacing w:after="0"/>
              <w:rPr>
                <w:sz w:val="16"/>
                <w:szCs w:val="16"/>
                <w:color w:val="auto"/>
              </w:rPr>
            </w:pPr>
          </w:p>
        </w:tc>
      </w:tr>
      <w:tr>
        <w:trPr>
          <w:trHeight w:val="103"/>
        </w:trPr>
        <w:tc>
          <w:tcPr>
            <w:tcW w:w="1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81"/>
        </w:trPr>
        <w:tc>
          <w:tcPr>
            <w:tcW w:w="100" w:type="dxa"/>
            <w:vAlign w:val="bottom"/>
            <w:shd w:val="clear" w:color="auto" w:fill="F7F7F7"/>
          </w:tcPr>
          <w:p>
            <w:pPr>
              <w:spacing w:after="0"/>
              <w:rPr>
                <w:sz w:val="20"/>
                <w:szCs w:val="20"/>
                <w:color w:val="auto"/>
              </w:rPr>
            </w:pPr>
            <w:r>
              <w:rPr>
                <w:rFonts w:ascii="Arial" w:cs="Arial" w:eastAsia="Arial" w:hAnsi="Arial"/>
                <w:sz w:val="14"/>
                <w:szCs w:val="14"/>
                <w:color w:val="auto"/>
              </w:rPr>
              <w:t>​</w:t>
            </w:r>
          </w:p>
        </w:tc>
        <w:tc>
          <w:tcPr>
            <w:tcW w:w="1420" w:type="dxa"/>
            <w:vAlign w:val="bottom"/>
            <w:shd w:val="clear" w:color="auto" w:fill="F7F7F7"/>
          </w:tcPr>
          <w:p>
            <w:pPr>
              <w:ind w:left="6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CrowdStrike</w:t>
            </w:r>
          </w:p>
        </w:tc>
        <w:tc>
          <w:tcPr>
            <w:tcW w:w="440" w:type="dxa"/>
            <w:vAlign w:val="bottom"/>
            <w:shd w:val="clear" w:color="auto" w:fill="F7F7F7"/>
          </w:tcPr>
          <w:p>
            <w:pPr>
              <w:ind w:left="260"/>
              <w:spacing w:after="0"/>
              <w:rPr>
                <w:sz w:val="20"/>
                <w:szCs w:val="20"/>
                <w:color w:val="auto"/>
              </w:rPr>
            </w:pPr>
            <w:r>
              <w:rPr>
                <w:rFonts w:ascii="Arial" w:cs="Arial" w:eastAsia="Arial" w:hAnsi="Arial"/>
                <w:sz w:val="14"/>
                <w:szCs w:val="14"/>
                <w:color w:val="auto"/>
              </w:rPr>
              <w:t>​ ​</w:t>
            </w:r>
          </w:p>
        </w:tc>
        <w:tc>
          <w:tcPr>
            <w:tcW w:w="1400" w:type="dxa"/>
            <w:vAlign w:val="bottom"/>
            <w:shd w:val="clear" w:color="auto" w:fill="F7F7F7"/>
          </w:tcPr>
          <w:p>
            <w:pPr>
              <w:ind w:left="40"/>
              <w:spacing w:after="0"/>
              <w:rPr>
                <w:sz w:val="20"/>
                <w:szCs w:val="20"/>
                <w:color w:val="auto"/>
              </w:rPr>
            </w:pPr>
            <w:r>
              <w:rPr>
                <w:rFonts w:ascii="Arial" w:cs="Arial" w:eastAsia="Arial" w:hAnsi="Arial"/>
                <w:sz w:val="14"/>
                <w:szCs w:val="14"/>
                <w:color w:val="8A6B24"/>
              </w:rPr>
              <w:t xml:space="preserve">■ </w:t>
            </w:r>
            <w:r>
              <w:rPr>
                <w:rFonts w:ascii="Arial" w:cs="Arial" w:eastAsia="Arial" w:hAnsi="Arial"/>
                <w:sz w:val="14"/>
                <w:szCs w:val="14"/>
                <w:color w:val="000000"/>
              </w:rPr>
              <w:t>Harley-</w:t>
            </w:r>
          </w:p>
        </w:tc>
        <w:tc>
          <w:tcPr>
            <w:tcW w:w="1840" w:type="dxa"/>
            <w:vAlign w:val="bottom"/>
            <w:shd w:val="clear" w:color="auto" w:fill="F7F7F7"/>
          </w:tcPr>
          <w:p>
            <w:pPr>
              <w:ind w:left="260"/>
              <w:spacing w:after="0" w:line="281"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Peloton</w:t>
            </w:r>
          </w:p>
        </w:tc>
        <w:tc>
          <w:tcPr>
            <w:tcW w:w="1880" w:type="dxa"/>
            <w:vAlign w:val="bottom"/>
            <w:shd w:val="clear" w:color="auto" w:fill="F7F7F7"/>
          </w:tcPr>
          <w:p>
            <w:pPr>
              <w:ind w:left="260"/>
              <w:spacing w:after="0" w:line="281"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Snowflake Inc.</w:t>
            </w:r>
          </w:p>
        </w:tc>
        <w:tc>
          <w:tcPr>
            <w:tcW w:w="1920" w:type="dxa"/>
            <w:vAlign w:val="bottom"/>
            <w:shd w:val="clear" w:color="auto" w:fill="F7F7F7"/>
          </w:tcPr>
          <w:p>
            <w:pPr>
              <w:ind w:left="240"/>
              <w:spacing w:after="0" w:line="281" w:lineRule="exact"/>
              <w:rPr>
                <w:sz w:val="20"/>
                <w:szCs w:val="20"/>
                <w:color w:val="auto"/>
              </w:rPr>
            </w:pPr>
            <w:r>
              <w:rPr>
                <w:rFonts w:ascii="Arial" w:cs="Arial" w:eastAsia="Arial" w:hAnsi="Arial"/>
                <w:sz w:val="28"/>
                <w:szCs w:val="28"/>
                <w:color w:val="000000"/>
                <w:vertAlign w:val="superscript"/>
              </w:rPr>
              <w:t>​ ​</w:t>
            </w:r>
            <w:r>
              <w:rPr>
                <w:rFonts w:ascii="Arial" w:cs="Arial" w:eastAsia="Arial" w:hAnsi="Arial"/>
                <w:sz w:val="14"/>
                <w:szCs w:val="14"/>
                <w:color w:val="8A6B24"/>
              </w:rPr>
              <w:t xml:space="preserve"> ■ </w:t>
            </w:r>
            <w:r>
              <w:rPr>
                <w:rFonts w:ascii="Arial" w:cs="Arial" w:eastAsia="Arial" w:hAnsi="Arial"/>
                <w:sz w:val="14"/>
                <w:szCs w:val="14"/>
                <w:color w:val="000000"/>
              </w:rPr>
              <w:t>Zscaler, Inc.</w:t>
            </w:r>
          </w:p>
        </w:tc>
        <w:tc>
          <w:tcPr>
            <w:tcW w:w="38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r>
      <w:tr>
        <w:trPr>
          <w:trHeight w:val="190"/>
        </w:trPr>
        <w:tc>
          <w:tcPr>
            <w:tcW w:w="100" w:type="dxa"/>
            <w:vAlign w:val="bottom"/>
            <w:shd w:val="clear" w:color="auto" w:fill="F7F7F7"/>
          </w:tcPr>
          <w:p>
            <w:pPr>
              <w:spacing w:after="0"/>
              <w:rPr>
                <w:sz w:val="16"/>
                <w:szCs w:val="16"/>
                <w:color w:val="auto"/>
              </w:rPr>
            </w:pPr>
          </w:p>
        </w:tc>
        <w:tc>
          <w:tcPr>
            <w:tcW w:w="1420" w:type="dxa"/>
            <w:vAlign w:val="bottom"/>
            <w:shd w:val="clear" w:color="auto" w:fill="F7F7F7"/>
          </w:tcPr>
          <w:p>
            <w:pPr>
              <w:ind w:left="200"/>
              <w:spacing w:after="0"/>
              <w:rPr>
                <w:sz w:val="20"/>
                <w:szCs w:val="20"/>
                <w:color w:val="auto"/>
              </w:rPr>
            </w:pPr>
            <w:r>
              <w:rPr>
                <w:rFonts w:ascii="Arial" w:cs="Arial" w:eastAsia="Arial" w:hAnsi="Arial"/>
                <w:sz w:val="14"/>
                <w:szCs w:val="14"/>
                <w:color w:val="auto"/>
              </w:rPr>
              <w:t>Holdings, Inc.</w:t>
            </w:r>
          </w:p>
        </w:tc>
        <w:tc>
          <w:tcPr>
            <w:tcW w:w="440" w:type="dxa"/>
            <w:vAlign w:val="bottom"/>
            <w:shd w:val="clear" w:color="auto" w:fill="F7F7F7"/>
          </w:tcPr>
          <w:p>
            <w:pPr>
              <w:spacing w:after="0"/>
              <w:rPr>
                <w:sz w:val="16"/>
                <w:szCs w:val="16"/>
                <w:color w:val="auto"/>
              </w:rPr>
            </w:pPr>
          </w:p>
        </w:tc>
        <w:tc>
          <w:tcPr>
            <w:tcW w:w="1400" w:type="dxa"/>
            <w:vAlign w:val="bottom"/>
            <w:shd w:val="clear" w:color="auto" w:fill="F7F7F7"/>
          </w:tcPr>
          <w:p>
            <w:pPr>
              <w:ind w:left="180"/>
              <w:spacing w:after="0"/>
              <w:rPr>
                <w:sz w:val="20"/>
                <w:szCs w:val="20"/>
                <w:color w:val="auto"/>
              </w:rPr>
            </w:pPr>
            <w:r>
              <w:rPr>
                <w:rFonts w:ascii="Arial" w:cs="Arial" w:eastAsia="Arial" w:hAnsi="Arial"/>
                <w:sz w:val="14"/>
                <w:szCs w:val="14"/>
                <w:color w:val="auto"/>
              </w:rPr>
              <w:t>Davidson, Inc.</w:t>
            </w:r>
          </w:p>
        </w:tc>
        <w:tc>
          <w:tcPr>
            <w:tcW w:w="1840" w:type="dxa"/>
            <w:vAlign w:val="bottom"/>
            <w:shd w:val="clear" w:color="auto" w:fill="F7F7F7"/>
          </w:tcPr>
          <w:p>
            <w:pPr>
              <w:ind w:left="620"/>
              <w:spacing w:after="0"/>
              <w:rPr>
                <w:sz w:val="20"/>
                <w:szCs w:val="20"/>
                <w:color w:val="auto"/>
              </w:rPr>
            </w:pPr>
            <w:r>
              <w:rPr>
                <w:rFonts w:ascii="Arial" w:cs="Arial" w:eastAsia="Arial" w:hAnsi="Arial"/>
                <w:sz w:val="14"/>
                <w:szCs w:val="14"/>
                <w:color w:val="auto"/>
              </w:rPr>
              <w:t>Interactive, Inc.</w:t>
            </w:r>
          </w:p>
        </w:tc>
        <w:tc>
          <w:tcPr>
            <w:tcW w:w="1880" w:type="dxa"/>
            <w:vAlign w:val="bottom"/>
            <w:shd w:val="clear" w:color="auto" w:fill="F7F7F7"/>
          </w:tcPr>
          <w:p>
            <w:pPr>
              <w:spacing w:after="0"/>
              <w:rPr>
                <w:sz w:val="16"/>
                <w:szCs w:val="16"/>
                <w:color w:val="auto"/>
              </w:rPr>
            </w:pPr>
          </w:p>
        </w:tc>
        <w:tc>
          <w:tcPr>
            <w:tcW w:w="1920" w:type="dxa"/>
            <w:vAlign w:val="bottom"/>
            <w:shd w:val="clear" w:color="auto" w:fill="F7F7F7"/>
          </w:tcPr>
          <w:p>
            <w:pPr>
              <w:spacing w:after="0"/>
              <w:rPr>
                <w:sz w:val="16"/>
                <w:szCs w:val="16"/>
                <w:color w:val="auto"/>
              </w:rPr>
            </w:pPr>
          </w:p>
        </w:tc>
        <w:tc>
          <w:tcPr>
            <w:tcW w:w="380" w:type="dxa"/>
            <w:vAlign w:val="bottom"/>
            <w:shd w:val="clear" w:color="auto" w:fill="F7F7F7"/>
          </w:tcPr>
          <w:p>
            <w:pPr>
              <w:spacing w:after="0"/>
              <w:rPr>
                <w:sz w:val="16"/>
                <w:szCs w:val="16"/>
                <w:color w:val="auto"/>
              </w:rPr>
            </w:pPr>
          </w:p>
        </w:tc>
      </w:tr>
      <w:tr>
        <w:trPr>
          <w:trHeight w:val="103"/>
        </w:trPr>
        <w:tc>
          <w:tcPr>
            <w:tcW w:w="100" w:type="dxa"/>
            <w:vAlign w:val="bottom"/>
            <w:tcBorders>
              <w:bottom w:val="single" w:sz="8" w:color="auto"/>
            </w:tcBorders>
            <w:shd w:val="clear" w:color="auto" w:fill="F7F7F7"/>
          </w:tcPr>
          <w:p>
            <w:pPr>
              <w:spacing w:after="0"/>
              <w:rPr>
                <w:sz w:val="8"/>
                <w:szCs w:val="8"/>
                <w:color w:val="auto"/>
              </w:rPr>
            </w:pPr>
          </w:p>
        </w:tc>
        <w:tc>
          <w:tcPr>
            <w:tcW w:w="1420" w:type="dxa"/>
            <w:vAlign w:val="bottom"/>
            <w:tcBorders>
              <w:bottom w:val="single" w:sz="8" w:color="auto"/>
            </w:tcBorders>
            <w:shd w:val="clear" w:color="auto" w:fill="F7F7F7"/>
          </w:tcPr>
          <w:p>
            <w:pPr>
              <w:spacing w:after="0"/>
              <w:rPr>
                <w:sz w:val="8"/>
                <w:szCs w:val="8"/>
                <w:color w:val="auto"/>
              </w:rPr>
            </w:pPr>
          </w:p>
        </w:tc>
        <w:tc>
          <w:tcPr>
            <w:tcW w:w="440" w:type="dxa"/>
            <w:vAlign w:val="bottom"/>
            <w:tcBorders>
              <w:bottom w:val="single" w:sz="8" w:color="auto"/>
            </w:tcBorders>
            <w:shd w:val="clear" w:color="auto" w:fill="F7F7F7"/>
          </w:tcPr>
          <w:p>
            <w:pPr>
              <w:spacing w:after="0"/>
              <w:rPr>
                <w:sz w:val="8"/>
                <w:szCs w:val="8"/>
                <w:color w:val="auto"/>
              </w:rPr>
            </w:pPr>
          </w:p>
        </w:tc>
        <w:tc>
          <w:tcPr>
            <w:tcW w:w="1400" w:type="dxa"/>
            <w:vAlign w:val="bottom"/>
            <w:tcBorders>
              <w:bottom w:val="single" w:sz="8" w:color="auto"/>
            </w:tcBorders>
            <w:shd w:val="clear" w:color="auto" w:fill="F7F7F7"/>
          </w:tcPr>
          <w:p>
            <w:pPr>
              <w:spacing w:after="0"/>
              <w:rPr>
                <w:sz w:val="8"/>
                <w:szCs w:val="8"/>
                <w:color w:val="auto"/>
              </w:rPr>
            </w:pPr>
          </w:p>
        </w:tc>
        <w:tc>
          <w:tcPr>
            <w:tcW w:w="1840" w:type="dxa"/>
            <w:vAlign w:val="bottom"/>
            <w:tcBorders>
              <w:bottom w:val="single" w:sz="8" w:color="auto"/>
            </w:tcBorders>
            <w:shd w:val="clear" w:color="auto" w:fill="F7F7F7"/>
          </w:tcPr>
          <w:p>
            <w:pPr>
              <w:spacing w:after="0"/>
              <w:rPr>
                <w:sz w:val="8"/>
                <w:szCs w:val="8"/>
                <w:color w:val="auto"/>
              </w:rPr>
            </w:pPr>
          </w:p>
        </w:tc>
        <w:tc>
          <w:tcPr>
            <w:tcW w:w="1880" w:type="dxa"/>
            <w:vAlign w:val="bottom"/>
            <w:tcBorders>
              <w:bottom w:val="single" w:sz="8" w:color="auto"/>
            </w:tcBorders>
            <w:shd w:val="clear" w:color="auto" w:fill="F7F7F7"/>
          </w:tcPr>
          <w:p>
            <w:pPr>
              <w:spacing w:after="0"/>
              <w:rPr>
                <w:sz w:val="8"/>
                <w:szCs w:val="8"/>
                <w:color w:val="auto"/>
              </w:rPr>
            </w:pPr>
          </w:p>
        </w:tc>
        <w:tc>
          <w:tcPr>
            <w:tcW w:w="192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r>
    </w:tbl>
    <w:p>
      <w:pPr>
        <w:spacing w:after="0" w:line="202" w:lineRule="exact"/>
        <w:rPr>
          <w:sz w:val="20"/>
          <w:szCs w:val="20"/>
          <w:color w:val="auto"/>
        </w:rPr>
      </w:pPr>
    </w:p>
    <w:p>
      <w:pPr>
        <w:jc w:val="both"/>
        <w:ind w:left="660" w:right="200"/>
        <w:spacing w:after="0" w:line="292" w:lineRule="auto"/>
        <w:rPr>
          <w:sz w:val="20"/>
          <w:szCs w:val="20"/>
          <w:color w:val="auto"/>
        </w:rPr>
      </w:pPr>
      <w:r>
        <w:rPr>
          <w:rFonts w:ascii="Arial" w:cs="Arial" w:eastAsia="Arial" w:hAnsi="Arial"/>
          <w:sz w:val="16"/>
          <w:szCs w:val="16"/>
          <w:color w:val="auto"/>
        </w:rPr>
        <w:t>The Compensation Committee intends to review our compensation peer group annually. The peer group companies are intended to be a reasonable frame of reference for compensation benchmarking, aligned with the Company’s business attributes, and size appropriate, taking into account changes in both our business and the businesses of the companies in the peer group.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Analysis of 2022 Compensation</w:t>
      </w:r>
    </w:p>
    <w:p>
      <w:pPr>
        <w:spacing w:after="0" w:line="37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Compensation Elements</w:t>
      </w:r>
    </w:p>
    <w:p>
      <w:pPr>
        <w:spacing w:after="0" w:line="185" w:lineRule="exact"/>
        <w:rPr>
          <w:sz w:val="20"/>
          <w:szCs w:val="20"/>
          <w:color w:val="auto"/>
        </w:rPr>
      </w:pPr>
    </w:p>
    <w:p>
      <w:pPr>
        <w:ind w:left="660" w:right="100"/>
        <w:spacing w:after="0" w:line="284" w:lineRule="auto"/>
        <w:rPr>
          <w:sz w:val="20"/>
          <w:szCs w:val="20"/>
          <w:color w:val="auto"/>
        </w:rPr>
      </w:pPr>
      <w:r>
        <w:rPr>
          <w:rFonts w:ascii="Arial" w:cs="Arial" w:eastAsia="Arial" w:hAnsi="Arial"/>
          <w:sz w:val="16"/>
          <w:szCs w:val="16"/>
          <w:color w:val="auto"/>
        </w:rPr>
        <w:t>The 2022 executive compensation program consisted of the following elements: base salary, annual cash incentive compensation, and long-term equity incentive compensation in the form of RSUs. Each element, which is further discussed below, is intended to reward and motivate executives in different ways consistent with our overall compensation philosophy.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Compensation-Setting Process and Competitive Positioning</w:t>
      </w:r>
    </w:p>
    <w:p>
      <w:pPr>
        <w:spacing w:after="0" w:line="172" w:lineRule="exact"/>
        <w:rPr>
          <w:sz w:val="20"/>
          <w:szCs w:val="20"/>
          <w:color w:val="auto"/>
        </w:rPr>
      </w:pPr>
    </w:p>
    <w:p>
      <w:pPr>
        <w:ind w:left="660" w:right="100"/>
        <w:spacing w:after="0" w:line="275" w:lineRule="auto"/>
        <w:rPr>
          <w:sz w:val="20"/>
          <w:szCs w:val="20"/>
          <w:color w:val="auto"/>
        </w:rPr>
      </w:pPr>
      <w:r>
        <w:rPr>
          <w:rFonts w:ascii="Arial" w:cs="Arial" w:eastAsia="Arial" w:hAnsi="Arial"/>
          <w:sz w:val="16"/>
          <w:szCs w:val="16"/>
          <w:color w:val="auto"/>
        </w:rPr>
        <w:t>In May 2022, the Compensation Committee reviewed base salary, annual long-term equity incentive value, and total direct compensation (i.e., the sum of base salary, target annual cash incentive opportunity, and annual long-term equity incentive values) for our NEOs as compared to similarly situated executives in the peer group. Pay Governance provided data at the 25th, 50th, and 75th percentiles for such compensation, which the committee used as a reference. The Compensation Committee considers such data relevant to, but not determinative of, its consideration of overall executive compensation matters. The Compensation Committee did not benchmark any compensation element to a specific percentile, and the committee instead established our NEOs’ compensation at levels it deemed appropriate after considering such data in conjunction with other factors, including our overall financial and operating performance and each NEO’s experience, performance, contributions, and responsibilities, internal pay equity, our short-term and long-term objectives, retention considerations, and prevailing market conditions.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Base Salary</w:t>
      </w:r>
    </w:p>
    <w:p>
      <w:pPr>
        <w:spacing w:after="0" w:line="172" w:lineRule="exact"/>
        <w:rPr>
          <w:sz w:val="20"/>
          <w:szCs w:val="20"/>
          <w:color w:val="auto"/>
        </w:rPr>
      </w:pPr>
    </w:p>
    <w:p>
      <w:pPr>
        <w:ind w:left="660" w:right="220"/>
        <w:spacing w:after="0" w:line="292" w:lineRule="auto"/>
        <w:rPr>
          <w:sz w:val="20"/>
          <w:szCs w:val="20"/>
          <w:color w:val="auto"/>
        </w:rPr>
      </w:pPr>
      <w:r>
        <w:rPr>
          <w:rFonts w:ascii="Arial" w:cs="Arial" w:eastAsia="Arial" w:hAnsi="Arial"/>
          <w:sz w:val="16"/>
          <w:szCs w:val="16"/>
          <w:color w:val="auto"/>
        </w:rPr>
        <w:t>Base salaries provide a fixed source of compensation to our NEOs and are designed to reward executives for their performance and our short-term performance. We believe generally that a competitive base salary is a necessary element of our executive compensation program and is critical in attracting and retaining executive talent, including our NEOs. Base salaries for our NEOs</w:t>
      </w:r>
    </w:p>
    <w:p>
      <w:pPr>
        <w:sectPr>
          <w:pgSz w:w="11900" w:h="16838" w:orient="portrait"/>
          <w:cols w:equalWidth="0" w:num="1">
            <w:col w:w="10080"/>
          </w:cols>
          <w:pgMar w:left="580" w:top="97" w:right="1239" w:bottom="1440" w:gutter="0" w:footer="0" w:header="0"/>
        </w:sectPr>
      </w:pPr>
    </w:p>
    <w:p>
      <w:pPr>
        <w:spacing w:after="0" w:line="36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​46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360"/>
        <w:spacing w:after="0" w:line="321" w:lineRule="auto"/>
        <w:rPr>
          <w:sz w:val="20"/>
          <w:szCs w:val="20"/>
          <w:color w:val="auto"/>
        </w:rPr>
      </w:pPr>
      <w:r>
        <w:rPr>
          <w:rFonts w:ascii="Arial" w:cs="Arial" w:eastAsia="Arial" w:hAnsi="Arial"/>
          <w:sz w:val="16"/>
          <w:szCs w:val="16"/>
          <w:color w:val="auto"/>
        </w:rPr>
        <w:t>are also intended to be competitive with those received by other individuals in similar positions at the companies with which we compete for talent, as well as equitable internally across our executive team.</w:t>
      </w:r>
    </w:p>
    <w:p>
      <w:pPr>
        <w:spacing w:after="0" w:line="156" w:lineRule="exact"/>
        <w:rPr>
          <w:sz w:val="20"/>
          <w:szCs w:val="20"/>
          <w:color w:val="auto"/>
        </w:rPr>
      </w:pPr>
    </w:p>
    <w:p>
      <w:pPr>
        <w:ind w:left="660" w:right="180"/>
        <w:spacing w:after="0" w:line="295" w:lineRule="auto"/>
        <w:rPr>
          <w:sz w:val="20"/>
          <w:szCs w:val="20"/>
          <w:color w:val="auto"/>
        </w:rPr>
      </w:pPr>
      <w:r>
        <w:rPr>
          <w:rFonts w:ascii="Arial" w:cs="Arial" w:eastAsia="Arial" w:hAnsi="Arial"/>
          <w:sz w:val="16"/>
          <w:szCs w:val="16"/>
          <w:color w:val="auto"/>
        </w:rPr>
        <w:t>The Compensation Committee annually reviews the base salaries of our NEOs and makes adjustments as it deems necessary or appropriate based on peer group data and the other factors described above in “Compensation-Setting Process and Competitive Positioning.” For NEOs other than the CEO, the Compensation Committee receives a performance assessment and salary adjustment recommendation from the CEO.</w:t>
      </w:r>
    </w:p>
    <w:p>
      <w:pPr>
        <w:spacing w:after="0" w:line="175"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In May 2022, the Compensation Committee reviewed the base salaries of our NEOs and considered the recommendations of our CEO (except with respect to his own base salary). Consistent with our intended approach to provide compensation competitive with a benchmark group of companies and in recognition of their performance, the Compensation Committee approved an increase in the annual base salaries for each of our NEOs except for Mr. Rawlinson, effective as of June 6, 2022. After review of peer group data provided by Pay Governance, and in view of still-outstanding value from the CEO Grant, the Compensation Committee determined not to increase Mr. Rawlinson’s base salary in 2022.</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NEOs’ base salaries for 2022 both prior to and as of June 6, 2022 are set forth in the table below.</w:t>
      </w:r>
    </w:p>
    <w:p>
      <w:pPr>
        <w:spacing w:after="0" w:line="248" w:lineRule="exact"/>
        <w:rPr>
          <w:sz w:val="20"/>
          <w:szCs w:val="20"/>
          <w:color w:val="auto"/>
        </w:rPr>
      </w:pPr>
    </w:p>
    <w:p>
      <w:pPr>
        <w:ind w:left="4700"/>
        <w:spacing w:after="0"/>
        <w:rPr>
          <w:sz w:val="20"/>
          <w:szCs w:val="20"/>
          <w:color w:val="auto"/>
        </w:rPr>
      </w:pPr>
      <w:r>
        <w:rPr>
          <w:rFonts w:ascii="Arial" w:cs="Arial" w:eastAsia="Arial" w:hAnsi="Arial"/>
          <w:sz w:val="16"/>
          <w:szCs w:val="16"/>
          <w:b w:val="1"/>
          <w:bCs w:val="1"/>
          <w:color w:val="auto"/>
        </w:rPr>
        <w:t>2022 Base Salary</w:t>
      </w:r>
    </w:p>
    <w:p>
      <w:pPr>
        <w:spacing w:after="0" w:line="27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34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680" w:type="dxa"/>
            <w:vAlign w:val="bottom"/>
            <w:shd w:val="clear" w:color="auto" w:fill="000000"/>
          </w:tcPr>
          <w:p>
            <w:pPr>
              <w:ind w:left="2520"/>
              <w:spacing w:after="0"/>
              <w:rPr>
                <w:sz w:val="20"/>
                <w:szCs w:val="20"/>
                <w:color w:val="auto"/>
              </w:rPr>
            </w:pPr>
            <w:r>
              <w:rPr>
                <w:rFonts w:ascii="Arial" w:cs="Arial" w:eastAsia="Arial" w:hAnsi="Arial"/>
                <w:sz w:val="13"/>
                <w:szCs w:val="13"/>
                <w:b w:val="1"/>
                <w:bCs w:val="1"/>
                <w:color w:val="FEFEFE"/>
              </w:rPr>
              <w:t>​ ​</w:t>
            </w:r>
          </w:p>
        </w:tc>
        <w:tc>
          <w:tcPr>
            <w:tcW w:w="1100" w:type="dxa"/>
            <w:vAlign w:val="bottom"/>
            <w:shd w:val="clear" w:color="auto" w:fill="000000"/>
          </w:tcPr>
          <w:p>
            <w:pPr>
              <w:spacing w:after="0"/>
              <w:rPr>
                <w:sz w:val="13"/>
                <w:szCs w:val="13"/>
                <w:color w:val="auto"/>
              </w:rPr>
            </w:pPr>
          </w:p>
        </w:tc>
        <w:tc>
          <w:tcPr>
            <w:tcW w:w="360" w:type="dxa"/>
            <w:vAlign w:val="bottom"/>
            <w:shd w:val="clear" w:color="auto" w:fill="000000"/>
          </w:tcPr>
          <w:p>
            <w:pPr>
              <w:ind w:left="200"/>
              <w:spacing w:after="0"/>
              <w:rPr>
                <w:sz w:val="20"/>
                <w:szCs w:val="20"/>
                <w:color w:val="auto"/>
              </w:rPr>
            </w:pPr>
            <w:r>
              <w:rPr>
                <w:rFonts w:ascii="Arial" w:cs="Arial" w:eastAsia="Arial" w:hAnsi="Arial"/>
                <w:sz w:val="13"/>
                <w:szCs w:val="13"/>
                <w:b w:val="1"/>
                <w:bCs w:val="1"/>
                <w:color w:val="FEFEFE"/>
              </w:rPr>
              <w:t>​ ​</w:t>
            </w:r>
          </w:p>
        </w:tc>
        <w:tc>
          <w:tcPr>
            <w:tcW w:w="1320" w:type="dxa"/>
            <w:vAlign w:val="bottom"/>
            <w:shd w:val="clear" w:color="auto" w:fill="000000"/>
          </w:tcPr>
          <w:p>
            <w:pPr>
              <w:spacing w:after="0"/>
              <w:rPr>
                <w:sz w:val="13"/>
                <w:szCs w:val="13"/>
                <w:color w:val="auto"/>
              </w:rPr>
            </w:pPr>
          </w:p>
        </w:tc>
        <w:tc>
          <w:tcPr>
            <w:tcW w:w="380" w:type="dxa"/>
            <w:vAlign w:val="bottom"/>
            <w:shd w:val="clear" w:color="auto" w:fill="000000"/>
          </w:tcPr>
          <w:p>
            <w:pPr>
              <w:ind w:left="280"/>
              <w:spacing w:after="0"/>
              <w:rPr>
                <w:sz w:val="20"/>
                <w:szCs w:val="20"/>
                <w:color w:val="auto"/>
              </w:rPr>
            </w:pPr>
            <w:r>
              <w:rPr>
                <w:rFonts w:ascii="Arial" w:cs="Arial" w:eastAsia="Arial" w:hAnsi="Arial"/>
                <w:sz w:val="13"/>
                <w:szCs w:val="13"/>
                <w:b w:val="1"/>
                <w:bCs w:val="1"/>
                <w:color w:val="FEFEFE"/>
              </w:rPr>
              <w:t>​</w:t>
            </w:r>
          </w:p>
        </w:tc>
      </w:tr>
      <w:tr>
        <w:trPr>
          <w:trHeight w:val="135"/>
        </w:trPr>
        <w:tc>
          <w:tcPr>
            <w:tcW w:w="60" w:type="dxa"/>
            <w:vAlign w:val="bottom"/>
            <w:shd w:val="clear" w:color="auto" w:fill="000000"/>
          </w:tcPr>
          <w:p>
            <w:pPr>
              <w:spacing w:after="0"/>
              <w:rPr>
                <w:sz w:val="11"/>
                <w:szCs w:val="11"/>
                <w:color w:val="auto"/>
              </w:rPr>
            </w:pPr>
          </w:p>
        </w:tc>
        <w:tc>
          <w:tcPr>
            <w:tcW w:w="3480" w:type="dxa"/>
            <w:vAlign w:val="bottom"/>
            <w:shd w:val="clear" w:color="auto" w:fill="000000"/>
          </w:tcPr>
          <w:p>
            <w:pPr>
              <w:ind w:left="80"/>
              <w:spacing w:after="0" w:line="135" w:lineRule="exact"/>
              <w:rPr>
                <w:sz w:val="20"/>
                <w:szCs w:val="20"/>
                <w:color w:val="auto"/>
              </w:rPr>
            </w:pPr>
            <w:r>
              <w:rPr>
                <w:rFonts w:ascii="Arial" w:cs="Arial" w:eastAsia="Arial" w:hAnsi="Arial"/>
                <w:sz w:val="13"/>
                <w:szCs w:val="13"/>
                <w:b w:val="1"/>
                <w:bCs w:val="1"/>
                <w:color w:val="FEFEFE"/>
              </w:rPr>
              <w:t>Name</w:t>
            </w:r>
          </w:p>
        </w:tc>
        <w:tc>
          <w:tcPr>
            <w:tcW w:w="2680" w:type="dxa"/>
            <w:vAlign w:val="bottom"/>
            <w:shd w:val="clear" w:color="auto" w:fill="000000"/>
          </w:tcPr>
          <w:p>
            <w:pPr>
              <w:spacing w:after="0"/>
              <w:rPr>
                <w:sz w:val="11"/>
                <w:szCs w:val="11"/>
                <w:color w:val="auto"/>
              </w:rPr>
            </w:pPr>
          </w:p>
        </w:tc>
        <w:tc>
          <w:tcPr>
            <w:tcW w:w="1460" w:type="dxa"/>
            <w:vAlign w:val="bottom"/>
            <w:gridSpan w:val="2"/>
            <w:shd w:val="clear" w:color="auto" w:fill="000000"/>
          </w:tcPr>
          <w:p>
            <w:pPr>
              <w:jc w:val="center"/>
              <w:ind w:right="150"/>
              <w:spacing w:after="0" w:line="135" w:lineRule="exact"/>
              <w:rPr>
                <w:sz w:val="20"/>
                <w:szCs w:val="20"/>
                <w:color w:val="auto"/>
              </w:rPr>
            </w:pPr>
            <w:r>
              <w:rPr>
                <w:rFonts w:ascii="Arial" w:cs="Arial" w:eastAsia="Arial" w:hAnsi="Arial"/>
                <w:sz w:val="13"/>
                <w:szCs w:val="13"/>
                <w:b w:val="1"/>
                <w:bCs w:val="1"/>
                <w:color w:val="FEFEFE"/>
                <w:w w:val="97"/>
              </w:rPr>
              <w:t>Base Salary Prior to</w:t>
            </w:r>
          </w:p>
        </w:tc>
        <w:tc>
          <w:tcPr>
            <w:tcW w:w="1700" w:type="dxa"/>
            <w:vAlign w:val="bottom"/>
            <w:gridSpan w:val="2"/>
            <w:shd w:val="clear" w:color="auto" w:fill="000000"/>
          </w:tcPr>
          <w:p>
            <w:pPr>
              <w:jc w:val="center"/>
              <w:ind w:right="170"/>
              <w:spacing w:after="0" w:line="135" w:lineRule="exact"/>
              <w:rPr>
                <w:sz w:val="20"/>
                <w:szCs w:val="20"/>
                <w:color w:val="auto"/>
              </w:rPr>
            </w:pPr>
            <w:r>
              <w:rPr>
                <w:rFonts w:ascii="Arial" w:cs="Arial" w:eastAsia="Arial" w:hAnsi="Arial"/>
                <w:sz w:val="13"/>
                <w:szCs w:val="13"/>
                <w:b w:val="1"/>
                <w:bCs w:val="1"/>
                <w:color w:val="FEFEFE"/>
                <w:w w:val="97"/>
              </w:rPr>
              <w:t>Base Salary Effective as</w:t>
            </w:r>
          </w:p>
        </w:tc>
      </w:tr>
      <w:tr>
        <w:trPr>
          <w:trHeight w:val="172"/>
        </w:trPr>
        <w:tc>
          <w:tcPr>
            <w:tcW w:w="60" w:type="dxa"/>
            <w:vAlign w:val="bottom"/>
            <w:shd w:val="clear" w:color="auto" w:fill="000000"/>
          </w:tcPr>
          <w:p>
            <w:pPr>
              <w:spacing w:after="0"/>
              <w:rPr>
                <w:sz w:val="14"/>
                <w:szCs w:val="14"/>
                <w:color w:val="auto"/>
              </w:rPr>
            </w:pPr>
          </w:p>
        </w:tc>
        <w:tc>
          <w:tcPr>
            <w:tcW w:w="3480" w:type="dxa"/>
            <w:vAlign w:val="bottom"/>
            <w:shd w:val="clear" w:color="auto" w:fill="000000"/>
          </w:tcPr>
          <w:p>
            <w:pPr>
              <w:spacing w:after="0"/>
              <w:rPr>
                <w:sz w:val="14"/>
                <w:szCs w:val="14"/>
                <w:color w:val="auto"/>
              </w:rPr>
            </w:pPr>
          </w:p>
        </w:tc>
        <w:tc>
          <w:tcPr>
            <w:tcW w:w="2680" w:type="dxa"/>
            <w:vAlign w:val="bottom"/>
            <w:shd w:val="clear" w:color="auto" w:fill="000000"/>
          </w:tcPr>
          <w:p>
            <w:pPr>
              <w:spacing w:after="0"/>
              <w:rPr>
                <w:sz w:val="14"/>
                <w:szCs w:val="14"/>
                <w:color w:val="auto"/>
              </w:rPr>
            </w:pPr>
          </w:p>
        </w:tc>
        <w:tc>
          <w:tcPr>
            <w:tcW w:w="1100" w:type="dxa"/>
            <w:vAlign w:val="bottom"/>
            <w:shd w:val="clear" w:color="auto" w:fill="000000"/>
          </w:tcPr>
          <w:p>
            <w:pPr>
              <w:jc w:val="center"/>
              <w:ind w:left="91"/>
              <w:spacing w:after="0"/>
              <w:rPr>
                <w:sz w:val="20"/>
                <w:szCs w:val="20"/>
                <w:color w:val="auto"/>
              </w:rPr>
            </w:pPr>
            <w:r>
              <w:rPr>
                <w:rFonts w:ascii="Arial" w:cs="Arial" w:eastAsia="Arial" w:hAnsi="Arial"/>
                <w:sz w:val="13"/>
                <w:szCs w:val="13"/>
                <w:b w:val="1"/>
                <w:bCs w:val="1"/>
                <w:color w:val="FEFEFE"/>
                <w:w w:val="95"/>
              </w:rPr>
              <w:t>June 6, 2022</w:t>
            </w:r>
          </w:p>
        </w:tc>
        <w:tc>
          <w:tcPr>
            <w:tcW w:w="360" w:type="dxa"/>
            <w:vAlign w:val="bottom"/>
            <w:shd w:val="clear" w:color="auto" w:fill="000000"/>
          </w:tcPr>
          <w:p>
            <w:pPr>
              <w:spacing w:after="0"/>
              <w:rPr>
                <w:sz w:val="14"/>
                <w:szCs w:val="14"/>
                <w:color w:val="auto"/>
              </w:rPr>
            </w:pPr>
          </w:p>
        </w:tc>
        <w:tc>
          <w:tcPr>
            <w:tcW w:w="1320" w:type="dxa"/>
            <w:vAlign w:val="bottom"/>
            <w:shd w:val="clear" w:color="auto" w:fill="000000"/>
          </w:tcPr>
          <w:p>
            <w:pPr>
              <w:jc w:val="center"/>
              <w:ind w:left="111"/>
              <w:spacing w:after="0"/>
              <w:rPr>
                <w:sz w:val="20"/>
                <w:szCs w:val="20"/>
                <w:color w:val="auto"/>
              </w:rPr>
            </w:pPr>
            <w:r>
              <w:rPr>
                <w:rFonts w:ascii="Arial" w:cs="Arial" w:eastAsia="Arial" w:hAnsi="Arial"/>
                <w:sz w:val="13"/>
                <w:szCs w:val="13"/>
                <w:b w:val="1"/>
                <w:bCs w:val="1"/>
                <w:color w:val="FEFEFE"/>
                <w:w w:val="96"/>
              </w:rPr>
              <w:t>of June 6, 2022</w:t>
            </w:r>
          </w:p>
        </w:tc>
        <w:tc>
          <w:tcPr>
            <w:tcW w:w="380" w:type="dxa"/>
            <w:vAlign w:val="bottom"/>
            <w:shd w:val="clear" w:color="auto" w:fill="000000"/>
          </w:tcPr>
          <w:p>
            <w:pPr>
              <w:spacing w:after="0"/>
              <w:rPr>
                <w:sz w:val="14"/>
                <w:szCs w:val="14"/>
                <w:color w:val="auto"/>
              </w:rPr>
            </w:pPr>
          </w:p>
        </w:tc>
      </w:tr>
      <w:tr>
        <w:trPr>
          <w:trHeight w:val="129"/>
        </w:trPr>
        <w:tc>
          <w:tcPr>
            <w:tcW w:w="60" w:type="dxa"/>
            <w:vAlign w:val="bottom"/>
            <w:shd w:val="clear" w:color="auto" w:fill="000000"/>
          </w:tcPr>
          <w:p>
            <w:pPr>
              <w:spacing w:after="0"/>
              <w:rPr>
                <w:sz w:val="11"/>
                <w:szCs w:val="11"/>
                <w:color w:val="auto"/>
              </w:rPr>
            </w:pPr>
          </w:p>
        </w:tc>
        <w:tc>
          <w:tcPr>
            <w:tcW w:w="3480" w:type="dxa"/>
            <w:vAlign w:val="bottom"/>
            <w:shd w:val="clear" w:color="auto" w:fill="000000"/>
          </w:tcPr>
          <w:p>
            <w:pPr>
              <w:spacing w:after="0"/>
              <w:rPr>
                <w:sz w:val="11"/>
                <w:szCs w:val="11"/>
                <w:color w:val="auto"/>
              </w:rPr>
            </w:pPr>
          </w:p>
        </w:tc>
        <w:tc>
          <w:tcPr>
            <w:tcW w:w="2680" w:type="dxa"/>
            <w:vAlign w:val="bottom"/>
            <w:shd w:val="clear" w:color="auto" w:fill="000000"/>
          </w:tcPr>
          <w:p>
            <w:pPr>
              <w:spacing w:after="0"/>
              <w:rPr>
                <w:sz w:val="11"/>
                <w:szCs w:val="11"/>
                <w:color w:val="auto"/>
              </w:rPr>
            </w:pPr>
          </w:p>
        </w:tc>
        <w:tc>
          <w:tcPr>
            <w:tcW w:w="110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1320" w:type="dxa"/>
            <w:vAlign w:val="bottom"/>
            <w:shd w:val="clear" w:color="auto" w:fill="000000"/>
          </w:tcPr>
          <w:p>
            <w:pPr>
              <w:spacing w:after="0"/>
              <w:rPr>
                <w:sz w:val="11"/>
                <w:szCs w:val="11"/>
                <w:color w:val="auto"/>
              </w:rPr>
            </w:pPr>
          </w:p>
        </w:tc>
        <w:tc>
          <w:tcPr>
            <w:tcW w:w="380" w:type="dxa"/>
            <w:vAlign w:val="bottom"/>
            <w:shd w:val="clear" w:color="auto" w:fill="000000"/>
          </w:tcPr>
          <w:p>
            <w:pPr>
              <w:spacing w:after="0"/>
              <w:rPr>
                <w:sz w:val="11"/>
                <w:szCs w:val="11"/>
                <w:color w:val="auto"/>
              </w:rPr>
            </w:pPr>
          </w:p>
        </w:tc>
      </w:tr>
      <w:tr>
        <w:trPr>
          <w:trHeight w:val="41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4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Mr. Rawlinson</w:t>
            </w:r>
          </w:p>
        </w:tc>
        <w:tc>
          <w:tcPr>
            <w:tcW w:w="2680" w:type="dxa"/>
            <w:vAlign w:val="bottom"/>
            <w:tcBorders>
              <w:bottom w:val="single" w:sz="8" w:color="auto"/>
            </w:tcBorders>
          </w:tcPr>
          <w:p>
            <w:pPr>
              <w:ind w:left="2480"/>
              <w:spacing w:after="0"/>
              <w:rPr>
                <w:sz w:val="20"/>
                <w:szCs w:val="20"/>
                <w:color w:val="auto"/>
              </w:rPr>
            </w:pPr>
            <w:r>
              <w:rPr>
                <w:rFonts w:ascii="Arial" w:cs="Arial" w:eastAsia="Arial" w:hAnsi="Arial"/>
                <w:sz w:val="14"/>
                <w:szCs w:val="14"/>
                <w:color w:val="auto"/>
              </w:rPr>
              <w:t>​ ​</w:t>
            </w:r>
          </w:p>
        </w:tc>
        <w:tc>
          <w:tcPr>
            <w:tcW w:w="1100" w:type="dxa"/>
            <w:vAlign w:val="bottom"/>
            <w:tcBorders>
              <w:bottom w:val="single" w:sz="8" w:color="auto"/>
            </w:tcBorders>
          </w:tcPr>
          <w:p>
            <w:pPr>
              <w:jc w:val="center"/>
              <w:ind w:left="5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$ 575,000</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 ​</w:t>
            </w:r>
          </w:p>
        </w:tc>
        <w:tc>
          <w:tcPr>
            <w:tcW w:w="1320" w:type="dxa"/>
            <w:vAlign w:val="bottom"/>
            <w:tcBorders>
              <w:bottom w:val="single" w:sz="8" w:color="auto"/>
            </w:tcBorders>
          </w:tcPr>
          <w:p>
            <w:pPr>
              <w:jc w:val="center"/>
              <w:ind w:left="7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$ 575,000</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r>
      <w:tr>
        <w:trPr>
          <w:trHeight w:val="399"/>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4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Ms. House</w:t>
            </w:r>
          </w:p>
        </w:tc>
        <w:tc>
          <w:tcPr>
            <w:tcW w:w="2680" w:type="dxa"/>
            <w:vAlign w:val="bottom"/>
            <w:tcBorders>
              <w:bottom w:val="single" w:sz="8" w:color="auto"/>
            </w:tcBorders>
            <w:shd w:val="clear" w:color="auto" w:fill="F7F7F7"/>
          </w:tcPr>
          <w:p>
            <w:pPr>
              <w:ind w:left="2480"/>
              <w:spacing w:after="0"/>
              <w:rPr>
                <w:sz w:val="20"/>
                <w:szCs w:val="20"/>
                <w:color w:val="auto"/>
              </w:rPr>
            </w:pPr>
            <w:r>
              <w:rPr>
                <w:rFonts w:ascii="Arial" w:cs="Arial" w:eastAsia="Arial" w:hAnsi="Arial"/>
                <w:sz w:val="14"/>
                <w:szCs w:val="14"/>
                <w:color w:val="auto"/>
              </w:rPr>
              <w:t>​ ​</w:t>
            </w:r>
          </w:p>
        </w:tc>
        <w:tc>
          <w:tcPr>
            <w:tcW w:w="1100" w:type="dxa"/>
            <w:vAlign w:val="bottom"/>
            <w:tcBorders>
              <w:bottom w:val="single" w:sz="8" w:color="auto"/>
            </w:tcBorders>
            <w:shd w:val="clear" w:color="auto" w:fill="F7F7F7"/>
          </w:tcPr>
          <w:p>
            <w:pPr>
              <w:jc w:val="center"/>
              <w:ind w:left="5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$ 500,000</w:t>
            </w:r>
          </w:p>
        </w:tc>
        <w:tc>
          <w:tcPr>
            <w:tcW w:w="36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 ​</w:t>
            </w:r>
          </w:p>
        </w:tc>
        <w:tc>
          <w:tcPr>
            <w:tcW w:w="1320" w:type="dxa"/>
            <w:vAlign w:val="bottom"/>
            <w:tcBorders>
              <w:bottom w:val="single" w:sz="8" w:color="auto"/>
            </w:tcBorders>
            <w:shd w:val="clear" w:color="auto" w:fill="F7F7F7"/>
          </w:tcPr>
          <w:p>
            <w:pPr>
              <w:jc w:val="center"/>
              <w:ind w:left="7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$ 535,000</w:t>
            </w:r>
          </w:p>
        </w:tc>
        <w:tc>
          <w:tcPr>
            <w:tcW w:w="38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color w:val="auto"/>
              </w:rPr>
              <w:t>​​</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4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Mr. Bach</w:t>
            </w:r>
          </w:p>
        </w:tc>
        <w:tc>
          <w:tcPr>
            <w:tcW w:w="2680" w:type="dxa"/>
            <w:vAlign w:val="bottom"/>
            <w:tcBorders>
              <w:bottom w:val="single" w:sz="8" w:color="auto"/>
            </w:tcBorders>
          </w:tcPr>
          <w:p>
            <w:pPr>
              <w:ind w:left="2480"/>
              <w:spacing w:after="0"/>
              <w:rPr>
                <w:sz w:val="20"/>
                <w:szCs w:val="20"/>
                <w:color w:val="auto"/>
              </w:rPr>
            </w:pPr>
            <w:r>
              <w:rPr>
                <w:rFonts w:ascii="Arial" w:cs="Arial" w:eastAsia="Arial" w:hAnsi="Arial"/>
                <w:sz w:val="14"/>
                <w:szCs w:val="14"/>
                <w:color w:val="auto"/>
              </w:rPr>
              <w:t>​ ​</w:t>
            </w:r>
          </w:p>
        </w:tc>
        <w:tc>
          <w:tcPr>
            <w:tcW w:w="1100" w:type="dxa"/>
            <w:vAlign w:val="bottom"/>
            <w:tcBorders>
              <w:bottom w:val="single" w:sz="8" w:color="auto"/>
            </w:tcBorders>
          </w:tcPr>
          <w:p>
            <w:pPr>
              <w:jc w:val="center"/>
              <w:ind w:left="5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$ 450,000</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 ​</w:t>
            </w:r>
          </w:p>
        </w:tc>
        <w:tc>
          <w:tcPr>
            <w:tcW w:w="1320" w:type="dxa"/>
            <w:vAlign w:val="bottom"/>
            <w:tcBorders>
              <w:bottom w:val="single" w:sz="8" w:color="auto"/>
            </w:tcBorders>
          </w:tcPr>
          <w:p>
            <w:pPr>
              <w:jc w:val="center"/>
              <w:ind w:left="7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$ 525,000</w:t>
            </w: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r>
      <w:tr>
        <w:trPr>
          <w:trHeight w:val="399"/>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34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Mr. Bell</w:t>
            </w:r>
          </w:p>
        </w:tc>
        <w:tc>
          <w:tcPr>
            <w:tcW w:w="2680" w:type="dxa"/>
            <w:vAlign w:val="bottom"/>
            <w:tcBorders>
              <w:bottom w:val="single" w:sz="8" w:color="auto"/>
            </w:tcBorders>
            <w:shd w:val="clear" w:color="auto" w:fill="F7F7F7"/>
          </w:tcPr>
          <w:p>
            <w:pPr>
              <w:ind w:left="2480"/>
              <w:spacing w:after="0"/>
              <w:rPr>
                <w:sz w:val="20"/>
                <w:szCs w:val="20"/>
                <w:color w:val="auto"/>
              </w:rPr>
            </w:pPr>
            <w:r>
              <w:rPr>
                <w:rFonts w:ascii="Arial" w:cs="Arial" w:eastAsia="Arial" w:hAnsi="Arial"/>
                <w:sz w:val="14"/>
                <w:szCs w:val="14"/>
                <w:color w:val="auto"/>
              </w:rPr>
              <w:t>​ ​</w:t>
            </w:r>
          </w:p>
        </w:tc>
        <w:tc>
          <w:tcPr>
            <w:tcW w:w="1100" w:type="dxa"/>
            <w:vAlign w:val="bottom"/>
            <w:tcBorders>
              <w:bottom w:val="single" w:sz="8" w:color="auto"/>
            </w:tcBorders>
            <w:shd w:val="clear" w:color="auto" w:fill="F7F7F7"/>
          </w:tcPr>
          <w:p>
            <w:pPr>
              <w:jc w:val="center"/>
              <w:ind w:left="5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$ 500,000</w:t>
            </w:r>
          </w:p>
        </w:tc>
        <w:tc>
          <w:tcPr>
            <w:tcW w:w="36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 ​</w:t>
            </w:r>
          </w:p>
        </w:tc>
        <w:tc>
          <w:tcPr>
            <w:tcW w:w="1320" w:type="dxa"/>
            <w:vAlign w:val="bottom"/>
            <w:tcBorders>
              <w:bottom w:val="single" w:sz="8" w:color="auto"/>
            </w:tcBorders>
            <w:shd w:val="clear" w:color="auto" w:fill="F7F7F7"/>
          </w:tcPr>
          <w:p>
            <w:pPr>
              <w:jc w:val="center"/>
              <w:ind w:left="7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$ 525,000</w:t>
            </w:r>
          </w:p>
        </w:tc>
        <w:tc>
          <w:tcPr>
            <w:tcW w:w="38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color w:val="auto"/>
              </w:rPr>
              <w:t>​​</w:t>
            </w:r>
          </w:p>
        </w:tc>
      </w:tr>
    </w:tbl>
    <w:p>
      <w:pPr>
        <w:spacing w:after="0" w:line="22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Annual Cash Incentive Compensation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annual cash incentive plan is intended to motivate our NEOs to achieve our short-term strategic and operational objectives.</w:t>
      </w:r>
    </w:p>
    <w:p>
      <w:pPr>
        <w:spacing w:after="0" w:line="248"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In September 2021, the Compensation Committee reviewed the target incentive opportunities of our NEOs under the annual cash incentive plan, taking into consideration a competitive market analysis performed by its then-compensation consultant, Aon. The Compensation Committee also considered the recommendations of our CEO (except with respect to his own target incentive opportunity). Consistent with our intended approach to provide compensation competitive with similarly situated companies and in recognition of their performance, the Compensation Committee approved an increase in the target incentive opportunities of certain of our NEOs effective for 2022.</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47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NEOs’ target incentive opportunities for 2022 are set forth in the table below:</w:t>
      </w:r>
    </w:p>
    <w:p>
      <w:pPr>
        <w:spacing w:after="0" w:line="27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000000"/>
          </w:tcPr>
          <w:p>
            <w:pPr>
              <w:spacing w:after="0"/>
              <w:rPr>
                <w:sz w:val="13"/>
                <w:szCs w:val="13"/>
                <w:color w:val="auto"/>
              </w:rPr>
            </w:pPr>
          </w:p>
        </w:tc>
        <w:tc>
          <w:tcPr>
            <w:tcW w:w="7100" w:type="dxa"/>
            <w:vAlign w:val="bottom"/>
            <w:shd w:val="clear" w:color="auto" w:fill="000000"/>
          </w:tcPr>
          <w:p>
            <w:pPr>
              <w:spacing w:after="0"/>
              <w:rPr>
                <w:sz w:val="13"/>
                <w:szCs w:val="13"/>
                <w:color w:val="auto"/>
              </w:rPr>
            </w:pPr>
          </w:p>
        </w:tc>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jc w:val="right"/>
              <w:ind w:right="14"/>
              <w:spacing w:after="0"/>
              <w:rPr>
                <w:sz w:val="20"/>
                <w:szCs w:val="20"/>
                <w:color w:val="auto"/>
              </w:rPr>
            </w:pPr>
            <w:r>
              <w:rPr>
                <w:rFonts w:ascii="Arial" w:cs="Arial" w:eastAsia="Arial" w:hAnsi="Arial"/>
                <w:sz w:val="13"/>
                <w:szCs w:val="13"/>
                <w:b w:val="1"/>
                <w:bCs w:val="1"/>
                <w:color w:val="FEFEFE"/>
              </w:rPr>
              <w:t>​</w:t>
            </w:r>
          </w:p>
        </w:tc>
        <w:tc>
          <w:tcPr>
            <w:tcW w:w="700" w:type="dxa"/>
            <w:vAlign w:val="bottom"/>
            <w:shd w:val="clear" w:color="auto" w:fill="000000"/>
          </w:tcPr>
          <w:p>
            <w:pPr>
              <w:spacing w:after="0"/>
              <w:rPr>
                <w:sz w:val="13"/>
                <w:szCs w:val="13"/>
                <w:color w:val="auto"/>
              </w:rPr>
            </w:pPr>
          </w:p>
        </w:tc>
        <w:tc>
          <w:tcPr>
            <w:tcW w:w="260" w:type="dxa"/>
            <w:vAlign w:val="bottom"/>
            <w:shd w:val="clear" w:color="auto" w:fill="000000"/>
          </w:tcPr>
          <w:p>
            <w:pPr>
              <w:spacing w:after="0"/>
              <w:rPr>
                <w:sz w:val="13"/>
                <w:szCs w:val="13"/>
                <w:color w:val="auto"/>
              </w:rPr>
            </w:pPr>
          </w:p>
        </w:tc>
        <w:tc>
          <w:tcPr>
            <w:tcW w:w="760" w:type="dxa"/>
            <w:vAlign w:val="bottom"/>
            <w:shd w:val="clear" w:color="auto" w:fill="000000"/>
          </w:tcPr>
          <w:p>
            <w:pPr>
              <w:spacing w:after="0"/>
              <w:rPr>
                <w:sz w:val="13"/>
                <w:szCs w:val="13"/>
                <w:color w:val="auto"/>
              </w:rPr>
            </w:pPr>
          </w:p>
        </w:tc>
        <w:tc>
          <w:tcPr>
            <w:tcW w:w="200" w:type="dxa"/>
            <w:vAlign w:val="bottom"/>
            <w:shd w:val="clear" w:color="auto" w:fill="000000"/>
          </w:tcPr>
          <w:p>
            <w:pPr>
              <w:jc w:val="right"/>
              <w:ind w:right="146"/>
              <w:spacing w:after="0"/>
              <w:rPr>
                <w:sz w:val="20"/>
                <w:szCs w:val="20"/>
                <w:color w:val="auto"/>
              </w:rPr>
            </w:pPr>
            <w:r>
              <w:rPr>
                <w:rFonts w:ascii="Arial" w:cs="Arial" w:eastAsia="Arial" w:hAnsi="Arial"/>
                <w:sz w:val="1"/>
                <w:szCs w:val="1"/>
                <w:b w:val="1"/>
                <w:bCs w:val="1"/>
                <w:color w:val="FEFEFE"/>
                <w:w w:val="4294942296"/>
              </w:rPr>
              <w:t>​</w:t>
            </w: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7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Name</w:t>
            </w:r>
          </w:p>
        </w:tc>
        <w:tc>
          <w:tcPr>
            <w:tcW w:w="1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920" w:type="dxa"/>
            <w:vAlign w:val="bottom"/>
            <w:gridSpan w:val="4"/>
            <w:shd w:val="clear" w:color="auto" w:fill="000000"/>
          </w:tcPr>
          <w:p>
            <w:pPr>
              <w:jc w:val="right"/>
              <w:ind w:right="166"/>
              <w:spacing w:after="0"/>
              <w:rPr>
                <w:sz w:val="20"/>
                <w:szCs w:val="20"/>
                <w:color w:val="auto"/>
              </w:rPr>
            </w:pPr>
            <w:r>
              <w:rPr>
                <w:rFonts w:ascii="Arial" w:cs="Arial" w:eastAsia="Arial" w:hAnsi="Arial"/>
                <w:sz w:val="13"/>
                <w:szCs w:val="13"/>
                <w:b w:val="1"/>
                <w:bCs w:val="1"/>
                <w:color w:val="FEFEFE"/>
                <w:w w:val="95"/>
              </w:rPr>
              <w:t>Target Incentive Opportunity</w:t>
            </w:r>
          </w:p>
        </w:tc>
        <w:tc>
          <w:tcPr>
            <w:tcW w:w="0" w:type="dxa"/>
            <w:vAlign w:val="bottom"/>
          </w:tcPr>
          <w:p>
            <w:pPr>
              <w:spacing w:after="0"/>
              <w:rPr>
                <w:sz w:val="1"/>
                <w:szCs w:val="1"/>
                <w:color w:val="auto"/>
              </w:rPr>
            </w:pPr>
          </w:p>
        </w:tc>
      </w:tr>
      <w:tr>
        <w:trPr>
          <w:trHeight w:val="109"/>
        </w:trPr>
        <w:tc>
          <w:tcPr>
            <w:tcW w:w="60" w:type="dxa"/>
            <w:vAlign w:val="bottom"/>
            <w:shd w:val="clear" w:color="auto" w:fill="000000"/>
          </w:tcPr>
          <w:p>
            <w:pPr>
              <w:spacing w:after="0"/>
              <w:rPr>
                <w:sz w:val="9"/>
                <w:szCs w:val="9"/>
                <w:color w:val="auto"/>
              </w:rPr>
            </w:pPr>
          </w:p>
        </w:tc>
        <w:tc>
          <w:tcPr>
            <w:tcW w:w="8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710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0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2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700" w:type="dxa"/>
            <w:vAlign w:val="bottom"/>
            <w:shd w:val="clear" w:color="auto" w:fill="000000"/>
          </w:tcPr>
          <w:p>
            <w:pPr>
              <w:spacing w:after="0"/>
              <w:rPr>
                <w:sz w:val="9"/>
                <w:szCs w:val="9"/>
                <w:color w:val="auto"/>
              </w:rPr>
            </w:pPr>
          </w:p>
        </w:tc>
        <w:tc>
          <w:tcPr>
            <w:tcW w:w="260" w:type="dxa"/>
            <w:vAlign w:val="bottom"/>
            <w:shd w:val="clear" w:color="auto" w:fill="000000"/>
          </w:tcPr>
          <w:p>
            <w:pPr>
              <w:spacing w:after="0"/>
              <w:rPr>
                <w:sz w:val="9"/>
                <w:szCs w:val="9"/>
                <w:color w:val="auto"/>
              </w:rPr>
            </w:pPr>
          </w:p>
        </w:tc>
        <w:tc>
          <w:tcPr>
            <w:tcW w:w="760" w:type="dxa"/>
            <w:vAlign w:val="bottom"/>
            <w:shd w:val="clear" w:color="auto" w:fill="000000"/>
          </w:tcPr>
          <w:p>
            <w:pPr>
              <w:spacing w:after="0"/>
              <w:rPr>
                <w:sz w:val="9"/>
                <w:szCs w:val="9"/>
                <w:color w:val="auto"/>
              </w:rPr>
            </w:pPr>
          </w:p>
        </w:tc>
        <w:tc>
          <w:tcPr>
            <w:tcW w:w="200" w:type="dxa"/>
            <w:vAlign w:val="bottom"/>
            <w:vMerge w:val="restart"/>
            <w:shd w:val="clear" w:color="auto" w:fill="000000"/>
          </w:tcPr>
          <w:p>
            <w:pPr>
              <w:jc w:val="right"/>
              <w:ind w:right="26"/>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01"/>
        </w:trPr>
        <w:tc>
          <w:tcPr>
            <w:tcW w:w="60" w:type="dxa"/>
            <w:vAlign w:val="bottom"/>
            <w:shd w:val="clear" w:color="auto" w:fill="000000"/>
          </w:tcPr>
          <w:p>
            <w:pPr>
              <w:spacing w:after="0"/>
              <w:rPr>
                <w:sz w:val="8"/>
                <w:szCs w:val="8"/>
                <w:color w:val="auto"/>
              </w:rPr>
            </w:pPr>
          </w:p>
        </w:tc>
        <w:tc>
          <w:tcPr>
            <w:tcW w:w="80" w:type="dxa"/>
            <w:vAlign w:val="bottom"/>
            <w:vMerge w:val="continue"/>
            <w:shd w:val="clear" w:color="auto" w:fill="000000"/>
          </w:tcPr>
          <w:p>
            <w:pPr>
              <w:spacing w:after="0"/>
              <w:rPr>
                <w:sz w:val="8"/>
                <w:szCs w:val="8"/>
                <w:color w:val="auto"/>
              </w:rPr>
            </w:pPr>
          </w:p>
        </w:tc>
        <w:tc>
          <w:tcPr>
            <w:tcW w:w="7100" w:type="dxa"/>
            <w:vAlign w:val="bottom"/>
            <w:vMerge w:val="continue"/>
            <w:shd w:val="clear" w:color="auto" w:fill="000000"/>
          </w:tcPr>
          <w:p>
            <w:pPr>
              <w:spacing w:after="0"/>
              <w:rPr>
                <w:sz w:val="8"/>
                <w:szCs w:val="8"/>
                <w:color w:val="auto"/>
              </w:rPr>
            </w:pPr>
          </w:p>
        </w:tc>
        <w:tc>
          <w:tcPr>
            <w:tcW w:w="100" w:type="dxa"/>
            <w:vAlign w:val="bottom"/>
            <w:vMerge w:val="continue"/>
            <w:shd w:val="clear" w:color="auto" w:fill="000000"/>
          </w:tcPr>
          <w:p>
            <w:pPr>
              <w:spacing w:after="0"/>
              <w:rPr>
                <w:sz w:val="8"/>
                <w:szCs w:val="8"/>
                <w:color w:val="auto"/>
              </w:rPr>
            </w:pPr>
          </w:p>
        </w:tc>
        <w:tc>
          <w:tcPr>
            <w:tcW w:w="120" w:type="dxa"/>
            <w:vAlign w:val="bottom"/>
            <w:vMerge w:val="continue"/>
            <w:shd w:val="clear" w:color="auto" w:fill="000000"/>
          </w:tcPr>
          <w:p>
            <w:pPr>
              <w:spacing w:after="0"/>
              <w:rPr>
                <w:sz w:val="8"/>
                <w:szCs w:val="8"/>
                <w:color w:val="auto"/>
              </w:rPr>
            </w:pPr>
          </w:p>
        </w:tc>
        <w:tc>
          <w:tcPr>
            <w:tcW w:w="70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EFEFE"/>
                <w:w w:val="94"/>
              </w:rPr>
              <w:t>% of Salary</w:t>
            </w:r>
          </w:p>
        </w:tc>
        <w:tc>
          <w:tcPr>
            <w:tcW w:w="260" w:type="dxa"/>
            <w:vAlign w:val="bottom"/>
            <w:shd w:val="clear" w:color="auto" w:fill="000000"/>
          </w:tcPr>
          <w:p>
            <w:pPr>
              <w:ind w:left="80"/>
              <w:spacing w:after="0" w:line="102" w:lineRule="exact"/>
              <w:rPr>
                <w:sz w:val="20"/>
                <w:szCs w:val="20"/>
                <w:color w:val="auto"/>
              </w:rPr>
            </w:pPr>
            <w:r>
              <w:rPr>
                <w:rFonts w:ascii="Arial" w:cs="Arial" w:eastAsia="Arial" w:hAnsi="Arial"/>
                <w:sz w:val="10"/>
                <w:szCs w:val="10"/>
                <w:b w:val="1"/>
                <w:bCs w:val="1"/>
                <w:color w:val="FEFEFE"/>
              </w:rPr>
              <w:t>​ ​</w:t>
            </w:r>
          </w:p>
        </w:tc>
        <w:tc>
          <w:tcPr>
            <w:tcW w:w="760" w:type="dxa"/>
            <w:vAlign w:val="bottom"/>
            <w:shd w:val="clear" w:color="auto" w:fill="000000"/>
          </w:tcPr>
          <w:p>
            <w:pPr>
              <w:spacing w:after="0"/>
              <w:rPr>
                <w:sz w:val="8"/>
                <w:szCs w:val="8"/>
                <w:color w:val="auto"/>
              </w:rPr>
            </w:pPr>
          </w:p>
        </w:tc>
        <w:tc>
          <w:tcPr>
            <w:tcW w:w="20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710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700" w:type="dxa"/>
            <w:vAlign w:val="bottom"/>
            <w:vMerge w:val="continue"/>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960" w:type="dxa"/>
            <w:vAlign w:val="bottom"/>
            <w:gridSpan w:val="2"/>
            <w:shd w:val="clear" w:color="auto" w:fill="000000"/>
          </w:tcPr>
          <w:p>
            <w:pPr>
              <w:jc w:val="right"/>
              <w:ind w:right="346"/>
              <w:spacing w:after="0"/>
              <w:rPr>
                <w:sz w:val="20"/>
                <w:szCs w:val="20"/>
                <w:color w:val="auto"/>
              </w:rPr>
            </w:pPr>
            <w:r>
              <w:rPr>
                <w:rFonts w:ascii="Arial" w:cs="Arial" w:eastAsia="Arial" w:hAnsi="Arial"/>
                <w:sz w:val="13"/>
                <w:szCs w:val="13"/>
                <w:b w:val="1"/>
                <w:bCs w:val="1"/>
                <w:color w:val="FEFEFE"/>
              </w:rPr>
              <w:t>$ Value</w:t>
            </w:r>
          </w:p>
        </w:tc>
        <w:tc>
          <w:tcPr>
            <w:tcW w:w="0" w:type="dxa"/>
            <w:vAlign w:val="bottom"/>
          </w:tcPr>
          <w:p>
            <w:pPr>
              <w:spacing w:after="0"/>
              <w:rPr>
                <w:sz w:val="1"/>
                <w:szCs w:val="1"/>
                <w:color w:val="auto"/>
              </w:rPr>
            </w:pPr>
          </w:p>
        </w:tc>
      </w:tr>
      <w:tr>
        <w:trPr>
          <w:trHeight w:val="98"/>
        </w:trPr>
        <w:tc>
          <w:tcPr>
            <w:tcW w:w="60" w:type="dxa"/>
            <w:vAlign w:val="bottom"/>
            <w:shd w:val="clear" w:color="auto" w:fill="000000"/>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7100" w:type="dxa"/>
            <w:vAlign w:val="bottom"/>
            <w:shd w:val="clear" w:color="auto" w:fill="000000"/>
          </w:tcPr>
          <w:p>
            <w:pPr>
              <w:spacing w:after="0"/>
              <w:rPr>
                <w:sz w:val="8"/>
                <w:szCs w:val="8"/>
                <w:color w:val="auto"/>
              </w:rPr>
            </w:pPr>
          </w:p>
        </w:tc>
        <w:tc>
          <w:tcPr>
            <w:tcW w:w="220" w:type="dxa"/>
            <w:vAlign w:val="bottom"/>
            <w:gridSpan w:val="2"/>
            <w:shd w:val="clear" w:color="auto" w:fill="000000"/>
          </w:tcPr>
          <w:p>
            <w:pPr>
              <w:spacing w:after="0"/>
              <w:rPr>
                <w:sz w:val="8"/>
                <w:szCs w:val="8"/>
                <w:color w:val="auto"/>
              </w:rPr>
            </w:pPr>
          </w:p>
        </w:tc>
        <w:tc>
          <w:tcPr>
            <w:tcW w:w="700" w:type="dxa"/>
            <w:vAlign w:val="bottom"/>
            <w:shd w:val="clear" w:color="auto" w:fill="000000"/>
          </w:tcPr>
          <w:p>
            <w:pPr>
              <w:spacing w:after="0"/>
              <w:rPr>
                <w:sz w:val="8"/>
                <w:szCs w:val="8"/>
                <w:color w:val="auto"/>
              </w:rPr>
            </w:pPr>
          </w:p>
        </w:tc>
        <w:tc>
          <w:tcPr>
            <w:tcW w:w="260" w:type="dxa"/>
            <w:vAlign w:val="bottom"/>
            <w:shd w:val="clear" w:color="auto" w:fill="000000"/>
          </w:tcPr>
          <w:p>
            <w:pPr>
              <w:spacing w:after="0"/>
              <w:rPr>
                <w:sz w:val="8"/>
                <w:szCs w:val="8"/>
                <w:color w:val="auto"/>
              </w:rPr>
            </w:pPr>
          </w:p>
        </w:tc>
        <w:tc>
          <w:tcPr>
            <w:tcW w:w="760" w:type="dxa"/>
            <w:vAlign w:val="bottom"/>
            <w:shd w:val="clear" w:color="auto" w:fill="000000"/>
          </w:tcPr>
          <w:p>
            <w:pPr>
              <w:spacing w:after="0"/>
              <w:rPr>
                <w:sz w:val="8"/>
                <w:szCs w:val="8"/>
                <w:color w:val="auto"/>
              </w:rPr>
            </w:pPr>
          </w:p>
        </w:tc>
        <w:tc>
          <w:tcPr>
            <w:tcW w:w="2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Mr. Rawlinson</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​100%</w:t>
            </w: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$ 575,000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7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Ms. House</w:t>
            </w:r>
          </w:p>
        </w:tc>
        <w:tc>
          <w:tcPr>
            <w:tcW w:w="22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700" w:type="dxa"/>
            <w:vAlign w:val="bottom"/>
            <w:tcBorders>
              <w:bottom w:val="single" w:sz="8" w:color="auto"/>
            </w:tcBorders>
            <w:shd w:val="clear" w:color="auto" w:fill="F7F7F7"/>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75%</w:t>
            </w:r>
          </w:p>
        </w:tc>
        <w:tc>
          <w:tcPr>
            <w:tcW w:w="2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gridSpan w:val="2"/>
            <w:shd w:val="clear" w:color="auto" w:fill="F7F7F7"/>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$ 401,250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Mr. Bach</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75%</w:t>
            </w: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$ 393,750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71"/>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F7F7F7"/>
          </w:tcPr>
          <w:p>
            <w:pPr>
              <w:spacing w:after="0"/>
              <w:rPr>
                <w:sz w:val="24"/>
                <w:szCs w:val="24"/>
                <w:color w:val="auto"/>
              </w:rPr>
            </w:pPr>
          </w:p>
        </w:tc>
        <w:tc>
          <w:tcPr>
            <w:tcW w:w="7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Mr. Bell</w:t>
            </w:r>
          </w:p>
        </w:tc>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F7F7F7"/>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75%</w:t>
            </w:r>
          </w:p>
        </w:tc>
        <w:tc>
          <w:tcPr>
            <w:tcW w:w="2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gridSpan w:val="2"/>
            <w:shd w:val="clear" w:color="auto" w:fill="F7F7F7"/>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$ 393,750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right="80"/>
        <w:spacing w:after="0" w:line="289" w:lineRule="auto"/>
        <w:rPr>
          <w:sz w:val="20"/>
          <w:szCs w:val="20"/>
          <w:color w:val="auto"/>
        </w:rPr>
      </w:pPr>
      <w:r>
        <w:rPr>
          <w:rFonts w:ascii="Arial" w:cs="Arial" w:eastAsia="Arial" w:hAnsi="Arial"/>
          <w:sz w:val="16"/>
          <w:szCs w:val="16"/>
          <w:color w:val="auto"/>
        </w:rPr>
        <w:t>In March 2022, the Compensation Committee approved our 2022 annual cash incentive program providing executives (including our NEOs) and non-executives the opportunity to earn annual cash incentive compensation based on achievement of the following Company performance metrics: production volume (weighted 40%), cash management (weighted 40%), and field quality (weighted 20%). The 2022 performance goals for production volume and cash management are set forth below. We are not disclosing the performance goals for our field quality metric (which relates to vehicle warranty claims) because these amounts constitute confidential information, the disclosure of which would result in competitive harm.</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14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33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 ​</w:t>
            </w:r>
          </w:p>
        </w:tc>
        <w:tc>
          <w:tcPr>
            <w:tcW w:w="600" w:type="dxa"/>
            <w:vAlign w:val="bottom"/>
            <w:shd w:val="clear" w:color="auto" w:fill="000000"/>
          </w:tcPr>
          <w:p>
            <w:pPr>
              <w:spacing w:after="0"/>
              <w:rPr>
                <w:sz w:val="15"/>
                <w:szCs w:val="15"/>
                <w:color w:val="auto"/>
              </w:rPr>
            </w:pPr>
          </w:p>
        </w:tc>
        <w:tc>
          <w:tcPr>
            <w:tcW w:w="240" w:type="dxa"/>
            <w:vAlign w:val="bottom"/>
            <w:shd w:val="clear" w:color="auto" w:fill="000000"/>
          </w:tcPr>
          <w:p>
            <w:pPr>
              <w:spacing w:after="0"/>
              <w:rPr>
                <w:sz w:val="15"/>
                <w:szCs w:val="15"/>
                <w:color w:val="auto"/>
              </w:rPr>
            </w:pPr>
          </w:p>
        </w:tc>
        <w:tc>
          <w:tcPr>
            <w:tcW w:w="124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Production Volume</w:t>
            </w:r>
          </w:p>
        </w:tc>
        <w:tc>
          <w:tcPr>
            <w:tcW w:w="260" w:type="dxa"/>
            <w:vAlign w:val="bottom"/>
            <w:shd w:val="clear" w:color="auto" w:fill="000000"/>
          </w:tcPr>
          <w:p>
            <w:pPr>
              <w:spacing w:after="0"/>
              <w:rPr>
                <w:sz w:val="15"/>
                <w:szCs w:val="15"/>
                <w:color w:val="auto"/>
              </w:rPr>
            </w:pPr>
          </w:p>
        </w:tc>
        <w:tc>
          <w:tcPr>
            <w:tcW w:w="600" w:type="dxa"/>
            <w:vAlign w:val="bottom"/>
            <w:shd w:val="clear" w:color="auto" w:fill="000000"/>
          </w:tcPr>
          <w:p>
            <w:pPr>
              <w:spacing w:after="0"/>
              <w:rPr>
                <w:sz w:val="15"/>
                <w:szCs w:val="15"/>
                <w:color w:val="auto"/>
              </w:rPr>
            </w:pPr>
          </w:p>
        </w:tc>
        <w:tc>
          <w:tcPr>
            <w:tcW w:w="800" w:type="dxa"/>
            <w:vAlign w:val="bottom"/>
            <w:gridSpan w:val="2"/>
            <w:shd w:val="clear" w:color="auto" w:fill="000000"/>
          </w:tcPr>
          <w:p>
            <w:pPr>
              <w:ind w:left="40"/>
              <w:spacing w:after="0"/>
              <w:rPr>
                <w:sz w:val="20"/>
                <w:szCs w:val="20"/>
                <w:color w:val="auto"/>
              </w:rPr>
            </w:pPr>
            <w:r>
              <w:rPr>
                <w:rFonts w:ascii="Arial" w:cs="Arial" w:eastAsia="Arial" w:hAnsi="Arial"/>
                <w:sz w:val="13"/>
                <w:szCs w:val="13"/>
                <w:b w:val="1"/>
                <w:bCs w:val="1"/>
                <w:color w:val="FEFEFE"/>
              </w:rPr>
              <w:t>​ ​</w:t>
            </w:r>
          </w:p>
        </w:tc>
        <w:tc>
          <w:tcPr>
            <w:tcW w:w="900" w:type="dxa"/>
            <w:vAlign w:val="bottom"/>
            <w:shd w:val="clear" w:color="auto" w:fill="000000"/>
          </w:tcPr>
          <w:p>
            <w:pPr>
              <w:spacing w:after="0"/>
              <w:rPr>
                <w:sz w:val="15"/>
                <w:szCs w:val="15"/>
                <w:color w:val="auto"/>
              </w:rPr>
            </w:pPr>
          </w:p>
        </w:tc>
        <w:tc>
          <w:tcPr>
            <w:tcW w:w="880" w:type="dxa"/>
            <w:vAlign w:val="bottom"/>
            <w:shd w:val="clear" w:color="auto" w:fill="000000"/>
          </w:tcPr>
          <w:p>
            <w:pPr>
              <w:spacing w:after="0"/>
              <w:rPr>
                <w:sz w:val="15"/>
                <w:szCs w:val="15"/>
                <w:color w:val="auto"/>
              </w:rPr>
            </w:pPr>
          </w:p>
        </w:tc>
        <w:tc>
          <w:tcPr>
            <w:tcW w:w="20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80"/>
        </w:trPr>
        <w:tc>
          <w:tcPr>
            <w:tcW w:w="140" w:type="dxa"/>
            <w:vAlign w:val="bottom"/>
            <w:shd w:val="clear" w:color="auto" w:fill="000000"/>
          </w:tcPr>
          <w:p>
            <w:pPr>
              <w:spacing w:after="0"/>
              <w:rPr>
                <w:sz w:val="6"/>
                <w:szCs w:val="6"/>
                <w:color w:val="auto"/>
              </w:rPr>
            </w:pPr>
          </w:p>
        </w:tc>
        <w:tc>
          <w:tcPr>
            <w:tcW w:w="330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1240" w:type="dxa"/>
            <w:vAlign w:val="bottom"/>
            <w:vMerge w:val="continue"/>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c>
          <w:tcPr>
            <w:tcW w:w="900" w:type="dxa"/>
            <w:vAlign w:val="bottom"/>
            <w:shd w:val="clear" w:color="auto" w:fill="000000"/>
          </w:tcPr>
          <w:p>
            <w:pPr>
              <w:spacing w:after="0"/>
              <w:rPr>
                <w:sz w:val="6"/>
                <w:szCs w:val="6"/>
                <w:color w:val="auto"/>
              </w:rPr>
            </w:pPr>
          </w:p>
        </w:tc>
        <w:tc>
          <w:tcPr>
            <w:tcW w:w="88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330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12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(number of units</w:t>
            </w:r>
          </w:p>
        </w:tc>
        <w:tc>
          <w:tcPr>
            <w:tcW w:w="26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900" w:type="dxa"/>
            <w:vAlign w:val="bottom"/>
            <w:shd w:val="clear" w:color="auto" w:fill="000000"/>
          </w:tcPr>
          <w:p>
            <w:pPr>
              <w:spacing w:after="0"/>
              <w:rPr>
                <w:sz w:val="12"/>
                <w:szCs w:val="12"/>
                <w:color w:val="auto"/>
              </w:rPr>
            </w:pPr>
          </w:p>
        </w:tc>
        <w:tc>
          <w:tcPr>
            <w:tcW w:w="88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0" w:type="dxa"/>
            <w:vAlign w:val="bottom"/>
            <w:shd w:val="clear" w:color="auto" w:fill="000000"/>
          </w:tcPr>
          <w:p>
            <w:pPr>
              <w:spacing w:after="0"/>
              <w:rPr>
                <w:sz w:val="14"/>
                <w:szCs w:val="14"/>
                <w:color w:val="auto"/>
              </w:rPr>
            </w:pPr>
          </w:p>
        </w:tc>
        <w:tc>
          <w:tcPr>
            <w:tcW w:w="330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2940" w:type="dxa"/>
            <w:vAlign w:val="bottom"/>
            <w:gridSpan w:val="5"/>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produced by the Company during the fiscal year)</w:t>
            </w:r>
          </w:p>
        </w:tc>
        <w:tc>
          <w:tcPr>
            <w:tcW w:w="20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1780" w:type="dxa"/>
            <w:vAlign w:val="bottom"/>
            <w:gridSpan w:val="2"/>
            <w:shd w:val="clear" w:color="auto" w:fill="000000"/>
          </w:tcPr>
          <w:p>
            <w:pPr>
              <w:ind w:left="20"/>
              <w:spacing w:after="0"/>
              <w:rPr>
                <w:sz w:val="20"/>
                <w:szCs w:val="20"/>
                <w:color w:val="auto"/>
              </w:rPr>
            </w:pPr>
            <w:r>
              <w:rPr>
                <w:rFonts w:ascii="Arial" w:cs="Arial" w:eastAsia="Arial" w:hAnsi="Arial"/>
                <w:sz w:val="13"/>
                <w:szCs w:val="13"/>
                <w:b w:val="1"/>
                <w:bCs w:val="1"/>
                <w:color w:val="FEFEFE"/>
              </w:rPr>
              <w:t>Cash Management*</w:t>
            </w: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4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330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2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 ​</w:t>
            </w:r>
          </w:p>
        </w:tc>
        <w:tc>
          <w:tcPr>
            <w:tcW w:w="600" w:type="dxa"/>
            <w:vAlign w:val="bottom"/>
            <w:shd w:val="clear" w:color="auto" w:fill="000000"/>
          </w:tcPr>
          <w:p>
            <w:pPr>
              <w:spacing w:after="0"/>
              <w:rPr>
                <w:sz w:val="9"/>
                <w:szCs w:val="9"/>
                <w:color w:val="auto"/>
              </w:rPr>
            </w:pPr>
          </w:p>
        </w:tc>
        <w:tc>
          <w:tcPr>
            <w:tcW w:w="240" w:type="dxa"/>
            <w:vAlign w:val="bottom"/>
            <w:shd w:val="clear" w:color="auto" w:fill="000000"/>
          </w:tcPr>
          <w:p>
            <w:pPr>
              <w:spacing w:after="0"/>
              <w:rPr>
                <w:sz w:val="9"/>
                <w:szCs w:val="9"/>
                <w:color w:val="auto"/>
              </w:rPr>
            </w:pPr>
          </w:p>
        </w:tc>
        <w:tc>
          <w:tcPr>
            <w:tcW w:w="1240" w:type="dxa"/>
            <w:vAlign w:val="bottom"/>
            <w:shd w:val="clear" w:color="auto" w:fill="000000"/>
          </w:tcPr>
          <w:p>
            <w:pPr>
              <w:spacing w:after="0"/>
              <w:rPr>
                <w:sz w:val="9"/>
                <w:szCs w:val="9"/>
                <w:color w:val="auto"/>
              </w:rPr>
            </w:pPr>
          </w:p>
        </w:tc>
        <w:tc>
          <w:tcPr>
            <w:tcW w:w="260" w:type="dxa"/>
            <w:vAlign w:val="bottom"/>
            <w:shd w:val="clear" w:color="auto" w:fill="000000"/>
          </w:tcPr>
          <w:p>
            <w:pPr>
              <w:spacing w:after="0"/>
              <w:rPr>
                <w:sz w:val="9"/>
                <w:szCs w:val="9"/>
                <w:color w:val="auto"/>
              </w:rPr>
            </w:pPr>
          </w:p>
        </w:tc>
        <w:tc>
          <w:tcPr>
            <w:tcW w:w="600" w:type="dxa"/>
            <w:vAlign w:val="bottom"/>
            <w:shd w:val="clear" w:color="auto" w:fill="000000"/>
          </w:tcPr>
          <w:p>
            <w:pPr>
              <w:spacing w:after="0"/>
              <w:rPr>
                <w:sz w:val="9"/>
                <w:szCs w:val="9"/>
                <w:color w:val="auto"/>
              </w:rPr>
            </w:pPr>
          </w:p>
        </w:tc>
        <w:tc>
          <w:tcPr>
            <w:tcW w:w="20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 ​</w:t>
            </w:r>
          </w:p>
        </w:tc>
        <w:tc>
          <w:tcPr>
            <w:tcW w:w="600" w:type="dxa"/>
            <w:vAlign w:val="bottom"/>
            <w:shd w:val="clear" w:color="auto" w:fill="000000"/>
          </w:tcPr>
          <w:p>
            <w:pPr>
              <w:spacing w:after="0"/>
              <w:rPr>
                <w:sz w:val="9"/>
                <w:szCs w:val="9"/>
                <w:color w:val="auto"/>
              </w:rPr>
            </w:pPr>
          </w:p>
        </w:tc>
        <w:tc>
          <w:tcPr>
            <w:tcW w:w="900" w:type="dxa"/>
            <w:vAlign w:val="bottom"/>
            <w:shd w:val="clear" w:color="auto" w:fill="000000"/>
          </w:tcPr>
          <w:p>
            <w:pPr>
              <w:spacing w:after="0"/>
              <w:rPr>
                <w:sz w:val="9"/>
                <w:szCs w:val="9"/>
                <w:color w:val="auto"/>
              </w:rPr>
            </w:pPr>
          </w:p>
        </w:tc>
        <w:tc>
          <w:tcPr>
            <w:tcW w:w="880" w:type="dxa"/>
            <w:vAlign w:val="bottom"/>
            <w:shd w:val="clear" w:color="auto" w:fill="000000"/>
          </w:tcPr>
          <w:p>
            <w:pPr>
              <w:spacing w:after="0"/>
              <w:rPr>
                <w:sz w:val="9"/>
                <w:szCs w:val="9"/>
                <w:color w:val="auto"/>
              </w:rPr>
            </w:pPr>
          </w:p>
        </w:tc>
        <w:tc>
          <w:tcPr>
            <w:tcW w:w="200" w:type="dxa"/>
            <w:vAlign w:val="bottom"/>
            <w:vMerge w:val="restart"/>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01"/>
        </w:trPr>
        <w:tc>
          <w:tcPr>
            <w:tcW w:w="140" w:type="dxa"/>
            <w:vAlign w:val="bottom"/>
            <w:vMerge w:val="continue"/>
            <w:shd w:val="clear" w:color="auto" w:fill="000000"/>
          </w:tcPr>
          <w:p>
            <w:pPr>
              <w:spacing w:after="0"/>
              <w:rPr>
                <w:sz w:val="8"/>
                <w:szCs w:val="8"/>
                <w:color w:val="auto"/>
              </w:rPr>
            </w:pPr>
          </w:p>
        </w:tc>
        <w:tc>
          <w:tcPr>
            <w:tcW w:w="3300" w:type="dxa"/>
            <w:vAlign w:val="bottom"/>
            <w:vMerge w:val="continue"/>
            <w:shd w:val="clear" w:color="auto" w:fill="000000"/>
          </w:tcPr>
          <w:p>
            <w:pPr>
              <w:spacing w:after="0"/>
              <w:rPr>
                <w:sz w:val="8"/>
                <w:szCs w:val="8"/>
                <w:color w:val="auto"/>
              </w:rPr>
            </w:pPr>
          </w:p>
        </w:tc>
        <w:tc>
          <w:tcPr>
            <w:tcW w:w="220" w:type="dxa"/>
            <w:vAlign w:val="bottom"/>
            <w:vMerge w:val="continue"/>
            <w:shd w:val="clear" w:color="auto" w:fill="000000"/>
          </w:tcPr>
          <w:p>
            <w:pPr>
              <w:spacing w:after="0"/>
              <w:rPr>
                <w:sz w:val="8"/>
                <w:szCs w:val="8"/>
                <w:color w:val="auto"/>
              </w:rPr>
            </w:pPr>
          </w:p>
        </w:tc>
        <w:tc>
          <w:tcPr>
            <w:tcW w:w="600" w:type="dxa"/>
            <w:vAlign w:val="bottom"/>
            <w:vMerge w:val="restart"/>
            <w:shd w:val="clear" w:color="auto" w:fill="000000"/>
          </w:tcPr>
          <w:p>
            <w:pPr>
              <w:ind w:left="200"/>
              <w:spacing w:after="0"/>
              <w:rPr>
                <w:sz w:val="20"/>
                <w:szCs w:val="20"/>
                <w:color w:val="auto"/>
              </w:rPr>
            </w:pPr>
            <w:r>
              <w:rPr>
                <w:rFonts w:ascii="Arial" w:cs="Arial" w:eastAsia="Arial" w:hAnsi="Arial"/>
                <w:sz w:val="13"/>
                <w:szCs w:val="13"/>
                <w:b w:val="1"/>
                <w:bCs w:val="1"/>
                <w:color w:val="FEFEFE"/>
              </w:rPr>
              <w:t>Min</w:t>
            </w:r>
          </w:p>
        </w:tc>
        <w:tc>
          <w:tcPr>
            <w:tcW w:w="240" w:type="dxa"/>
            <w:vAlign w:val="bottom"/>
            <w:shd w:val="clear" w:color="auto" w:fill="000000"/>
          </w:tcPr>
          <w:p>
            <w:pPr>
              <w:ind w:left="60"/>
              <w:spacing w:after="0" w:line="102" w:lineRule="exact"/>
              <w:rPr>
                <w:sz w:val="20"/>
                <w:szCs w:val="20"/>
                <w:color w:val="auto"/>
              </w:rPr>
            </w:pPr>
            <w:r>
              <w:rPr>
                <w:rFonts w:ascii="Arial" w:cs="Arial" w:eastAsia="Arial" w:hAnsi="Arial"/>
                <w:sz w:val="10"/>
                <w:szCs w:val="10"/>
                <w:b w:val="1"/>
                <w:bCs w:val="1"/>
                <w:color w:val="FEFEFE"/>
              </w:rPr>
              <w:t>​ ​</w:t>
            </w:r>
          </w:p>
        </w:tc>
        <w:tc>
          <w:tcPr>
            <w:tcW w:w="124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Target</w:t>
            </w:r>
          </w:p>
        </w:tc>
        <w:tc>
          <w:tcPr>
            <w:tcW w:w="260" w:type="dxa"/>
            <w:vAlign w:val="bottom"/>
            <w:shd w:val="clear" w:color="auto" w:fill="000000"/>
          </w:tcPr>
          <w:p>
            <w:pPr>
              <w:ind w:left="40"/>
              <w:spacing w:after="0" w:line="102" w:lineRule="exact"/>
              <w:rPr>
                <w:sz w:val="20"/>
                <w:szCs w:val="20"/>
                <w:color w:val="auto"/>
              </w:rPr>
            </w:pPr>
            <w:r>
              <w:rPr>
                <w:rFonts w:ascii="Arial" w:cs="Arial" w:eastAsia="Arial" w:hAnsi="Arial"/>
                <w:sz w:val="10"/>
                <w:szCs w:val="10"/>
                <w:b w:val="1"/>
                <w:bCs w:val="1"/>
                <w:color w:val="FEFEFE"/>
              </w:rPr>
              <w:t>​ ​</w:t>
            </w:r>
          </w:p>
        </w:tc>
        <w:tc>
          <w:tcPr>
            <w:tcW w:w="600" w:type="dxa"/>
            <w:vAlign w:val="bottom"/>
            <w:vMerge w:val="restart"/>
            <w:shd w:val="clear" w:color="auto" w:fill="000000"/>
          </w:tcPr>
          <w:p>
            <w:pPr>
              <w:ind w:left="140"/>
              <w:spacing w:after="0"/>
              <w:rPr>
                <w:sz w:val="20"/>
                <w:szCs w:val="20"/>
                <w:color w:val="auto"/>
              </w:rPr>
            </w:pPr>
            <w:r>
              <w:rPr>
                <w:rFonts w:ascii="Arial" w:cs="Arial" w:eastAsia="Arial" w:hAnsi="Arial"/>
                <w:sz w:val="13"/>
                <w:szCs w:val="13"/>
                <w:b w:val="1"/>
                <w:bCs w:val="1"/>
                <w:color w:val="FEFEFE"/>
              </w:rPr>
              <w:t>Max</w:t>
            </w:r>
          </w:p>
        </w:tc>
        <w:tc>
          <w:tcPr>
            <w:tcW w:w="200" w:type="dxa"/>
            <w:vAlign w:val="bottom"/>
            <w:vMerge w:val="continue"/>
            <w:shd w:val="clear" w:color="auto" w:fill="000000"/>
          </w:tcPr>
          <w:p>
            <w:pPr>
              <w:spacing w:after="0"/>
              <w:rPr>
                <w:sz w:val="8"/>
                <w:szCs w:val="8"/>
                <w:color w:val="auto"/>
              </w:rPr>
            </w:pPr>
          </w:p>
        </w:tc>
        <w:tc>
          <w:tcPr>
            <w:tcW w:w="600" w:type="dxa"/>
            <w:vAlign w:val="bottom"/>
            <w:vMerge w:val="restart"/>
            <w:shd w:val="clear" w:color="auto" w:fill="000000"/>
          </w:tcPr>
          <w:p>
            <w:pPr>
              <w:ind w:left="200"/>
              <w:spacing w:after="0"/>
              <w:rPr>
                <w:sz w:val="20"/>
                <w:szCs w:val="20"/>
                <w:color w:val="auto"/>
              </w:rPr>
            </w:pPr>
            <w:r>
              <w:rPr>
                <w:rFonts w:ascii="Arial" w:cs="Arial" w:eastAsia="Arial" w:hAnsi="Arial"/>
                <w:sz w:val="13"/>
                <w:szCs w:val="13"/>
                <w:b w:val="1"/>
                <w:bCs w:val="1"/>
                <w:color w:val="FEFEFE"/>
              </w:rPr>
              <w:t>Min</w:t>
            </w:r>
          </w:p>
        </w:tc>
        <w:tc>
          <w:tcPr>
            <w:tcW w:w="900" w:type="dxa"/>
            <w:vAlign w:val="bottom"/>
            <w:shd w:val="clear" w:color="auto" w:fill="000000"/>
          </w:tcPr>
          <w:p>
            <w:pPr>
              <w:ind w:left="40"/>
              <w:spacing w:after="0" w:line="102" w:lineRule="exact"/>
              <w:rPr>
                <w:sz w:val="20"/>
                <w:szCs w:val="20"/>
                <w:color w:val="auto"/>
              </w:rPr>
            </w:pPr>
            <w:r>
              <w:rPr>
                <w:rFonts w:ascii="Arial" w:cs="Arial" w:eastAsia="Arial" w:hAnsi="Arial"/>
                <w:sz w:val="10"/>
                <w:szCs w:val="10"/>
                <w:b w:val="1"/>
                <w:bCs w:val="1"/>
                <w:color w:val="FEFEFE"/>
              </w:rPr>
              <w:t>​ ​</w:t>
            </w:r>
          </w:p>
        </w:tc>
        <w:tc>
          <w:tcPr>
            <w:tcW w:w="880" w:type="dxa"/>
            <w:vAlign w:val="bottom"/>
            <w:shd w:val="clear" w:color="auto" w:fill="000000"/>
          </w:tcPr>
          <w:p>
            <w:pPr>
              <w:ind w:left="40"/>
              <w:spacing w:after="0" w:line="102" w:lineRule="exact"/>
              <w:rPr>
                <w:sz w:val="20"/>
                <w:szCs w:val="20"/>
                <w:color w:val="auto"/>
              </w:rPr>
            </w:pPr>
            <w:r>
              <w:rPr>
                <w:rFonts w:ascii="Arial" w:cs="Arial" w:eastAsia="Arial" w:hAnsi="Arial"/>
                <w:sz w:val="10"/>
                <w:szCs w:val="10"/>
                <w:b w:val="1"/>
                <w:bCs w:val="1"/>
                <w:color w:val="FEFEFE"/>
              </w:rPr>
              <w:t>​ ​</w:t>
            </w:r>
          </w:p>
        </w:tc>
        <w:tc>
          <w:tcPr>
            <w:tcW w:w="20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40" w:type="dxa"/>
            <w:vAlign w:val="bottom"/>
            <w:shd w:val="clear" w:color="auto" w:fill="000000"/>
          </w:tcPr>
          <w:p>
            <w:pPr>
              <w:spacing w:after="0"/>
              <w:rPr>
                <w:sz w:val="14"/>
                <w:szCs w:val="14"/>
                <w:color w:val="auto"/>
              </w:rPr>
            </w:pPr>
          </w:p>
        </w:tc>
        <w:tc>
          <w:tcPr>
            <w:tcW w:w="330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600" w:type="dxa"/>
            <w:vAlign w:val="bottom"/>
            <w:vMerge w:val="continue"/>
            <w:shd w:val="clear" w:color="auto" w:fill="000000"/>
          </w:tcPr>
          <w:p>
            <w:pPr>
              <w:spacing w:after="0"/>
              <w:rPr>
                <w:sz w:val="14"/>
                <w:szCs w:val="14"/>
                <w:color w:val="auto"/>
              </w:rPr>
            </w:pPr>
          </w:p>
        </w:tc>
        <w:tc>
          <w:tcPr>
            <w:tcW w:w="240" w:type="dxa"/>
            <w:vAlign w:val="bottom"/>
            <w:shd w:val="clear" w:color="auto" w:fill="000000"/>
          </w:tcPr>
          <w:p>
            <w:pPr>
              <w:spacing w:after="0"/>
              <w:rPr>
                <w:sz w:val="14"/>
                <w:szCs w:val="14"/>
                <w:color w:val="auto"/>
              </w:rPr>
            </w:pPr>
          </w:p>
        </w:tc>
        <w:tc>
          <w:tcPr>
            <w:tcW w:w="1240" w:type="dxa"/>
            <w:vAlign w:val="bottom"/>
            <w:vMerge w:val="continue"/>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600" w:type="dxa"/>
            <w:vAlign w:val="bottom"/>
            <w:vMerge w:val="continue"/>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600" w:type="dxa"/>
            <w:vAlign w:val="bottom"/>
            <w:vMerge w:val="continue"/>
            <w:shd w:val="clear" w:color="auto" w:fill="000000"/>
          </w:tcPr>
          <w:p>
            <w:pPr>
              <w:spacing w:after="0"/>
              <w:rPr>
                <w:sz w:val="14"/>
                <w:szCs w:val="14"/>
                <w:color w:val="auto"/>
              </w:rPr>
            </w:pPr>
          </w:p>
        </w:tc>
        <w:tc>
          <w:tcPr>
            <w:tcW w:w="900" w:type="dxa"/>
            <w:vAlign w:val="bottom"/>
            <w:shd w:val="clear" w:color="auto" w:fill="000000"/>
          </w:tcPr>
          <w:p>
            <w:pPr>
              <w:ind w:left="360"/>
              <w:spacing w:after="0"/>
              <w:rPr>
                <w:sz w:val="20"/>
                <w:szCs w:val="20"/>
                <w:color w:val="auto"/>
              </w:rPr>
            </w:pPr>
            <w:r>
              <w:rPr>
                <w:rFonts w:ascii="Arial" w:cs="Arial" w:eastAsia="Arial" w:hAnsi="Arial"/>
                <w:sz w:val="13"/>
                <w:szCs w:val="13"/>
                <w:b w:val="1"/>
                <w:bCs w:val="1"/>
                <w:color w:val="FEFEFE"/>
              </w:rPr>
              <w:t>Target</w:t>
            </w:r>
          </w:p>
        </w:tc>
        <w:tc>
          <w:tcPr>
            <w:tcW w:w="880" w:type="dxa"/>
            <w:vAlign w:val="bottom"/>
            <w:shd w:val="clear" w:color="auto" w:fill="000000"/>
          </w:tcPr>
          <w:p>
            <w:pPr>
              <w:ind w:left="420"/>
              <w:spacing w:after="0"/>
              <w:rPr>
                <w:sz w:val="20"/>
                <w:szCs w:val="20"/>
                <w:color w:val="auto"/>
              </w:rPr>
            </w:pPr>
            <w:r>
              <w:rPr>
                <w:rFonts w:ascii="Arial" w:cs="Arial" w:eastAsia="Arial" w:hAnsi="Arial"/>
                <w:sz w:val="13"/>
                <w:szCs w:val="13"/>
                <w:b w:val="1"/>
                <w:bCs w:val="1"/>
                <w:color w:val="FEFEFE"/>
              </w:rPr>
              <w:t>Max</w:t>
            </w: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140" w:type="dxa"/>
            <w:vAlign w:val="bottom"/>
            <w:shd w:val="clear" w:color="auto" w:fill="000000"/>
          </w:tcPr>
          <w:p>
            <w:pPr>
              <w:spacing w:after="0"/>
              <w:rPr>
                <w:sz w:val="8"/>
                <w:szCs w:val="8"/>
                <w:color w:val="auto"/>
              </w:rPr>
            </w:pPr>
          </w:p>
        </w:tc>
        <w:tc>
          <w:tcPr>
            <w:tcW w:w="3300" w:type="dxa"/>
            <w:vAlign w:val="bottom"/>
            <w:shd w:val="clear" w:color="auto" w:fill="000000"/>
          </w:tcPr>
          <w:p>
            <w:pPr>
              <w:spacing w:after="0"/>
              <w:rPr>
                <w:sz w:val="8"/>
                <w:szCs w:val="8"/>
                <w:color w:val="auto"/>
              </w:rPr>
            </w:pPr>
          </w:p>
        </w:tc>
        <w:tc>
          <w:tcPr>
            <w:tcW w:w="220" w:type="dxa"/>
            <w:vAlign w:val="bottom"/>
            <w:shd w:val="clear" w:color="auto" w:fill="000000"/>
          </w:tcPr>
          <w:p>
            <w:pPr>
              <w:spacing w:after="0"/>
              <w:rPr>
                <w:sz w:val="8"/>
                <w:szCs w:val="8"/>
                <w:color w:val="auto"/>
              </w:rPr>
            </w:pPr>
          </w:p>
        </w:tc>
        <w:tc>
          <w:tcPr>
            <w:tcW w:w="600" w:type="dxa"/>
            <w:vAlign w:val="bottom"/>
            <w:shd w:val="clear" w:color="auto" w:fill="000000"/>
          </w:tcPr>
          <w:p>
            <w:pPr>
              <w:spacing w:after="0"/>
              <w:rPr>
                <w:sz w:val="8"/>
                <w:szCs w:val="8"/>
                <w:color w:val="auto"/>
              </w:rPr>
            </w:pPr>
          </w:p>
        </w:tc>
        <w:tc>
          <w:tcPr>
            <w:tcW w:w="240" w:type="dxa"/>
            <w:vAlign w:val="bottom"/>
            <w:shd w:val="clear" w:color="auto" w:fill="000000"/>
          </w:tcPr>
          <w:p>
            <w:pPr>
              <w:spacing w:after="0"/>
              <w:rPr>
                <w:sz w:val="8"/>
                <w:szCs w:val="8"/>
                <w:color w:val="auto"/>
              </w:rPr>
            </w:pPr>
          </w:p>
        </w:tc>
        <w:tc>
          <w:tcPr>
            <w:tcW w:w="1240" w:type="dxa"/>
            <w:vAlign w:val="bottom"/>
            <w:shd w:val="clear" w:color="auto" w:fill="000000"/>
          </w:tcPr>
          <w:p>
            <w:pPr>
              <w:spacing w:after="0"/>
              <w:rPr>
                <w:sz w:val="8"/>
                <w:szCs w:val="8"/>
                <w:color w:val="auto"/>
              </w:rPr>
            </w:pPr>
          </w:p>
        </w:tc>
        <w:tc>
          <w:tcPr>
            <w:tcW w:w="260" w:type="dxa"/>
            <w:vAlign w:val="bottom"/>
            <w:shd w:val="clear" w:color="auto" w:fill="000000"/>
          </w:tcPr>
          <w:p>
            <w:pPr>
              <w:spacing w:after="0"/>
              <w:rPr>
                <w:sz w:val="8"/>
                <w:szCs w:val="8"/>
                <w:color w:val="auto"/>
              </w:rPr>
            </w:pPr>
          </w:p>
        </w:tc>
        <w:tc>
          <w:tcPr>
            <w:tcW w:w="600" w:type="dxa"/>
            <w:vAlign w:val="bottom"/>
            <w:shd w:val="clear" w:color="auto" w:fill="000000"/>
          </w:tcPr>
          <w:p>
            <w:pPr>
              <w:spacing w:after="0"/>
              <w:rPr>
                <w:sz w:val="8"/>
                <w:szCs w:val="8"/>
                <w:color w:val="auto"/>
              </w:rPr>
            </w:pPr>
          </w:p>
        </w:tc>
        <w:tc>
          <w:tcPr>
            <w:tcW w:w="200" w:type="dxa"/>
            <w:vAlign w:val="bottom"/>
            <w:shd w:val="clear" w:color="auto" w:fill="000000"/>
          </w:tcPr>
          <w:p>
            <w:pPr>
              <w:spacing w:after="0"/>
              <w:rPr>
                <w:sz w:val="8"/>
                <w:szCs w:val="8"/>
                <w:color w:val="auto"/>
              </w:rPr>
            </w:pPr>
          </w:p>
        </w:tc>
        <w:tc>
          <w:tcPr>
            <w:tcW w:w="600" w:type="dxa"/>
            <w:vAlign w:val="bottom"/>
            <w:shd w:val="clear" w:color="auto" w:fill="000000"/>
          </w:tcPr>
          <w:p>
            <w:pPr>
              <w:spacing w:after="0"/>
              <w:rPr>
                <w:sz w:val="8"/>
                <w:szCs w:val="8"/>
                <w:color w:val="auto"/>
              </w:rPr>
            </w:pPr>
          </w:p>
        </w:tc>
        <w:tc>
          <w:tcPr>
            <w:tcW w:w="900" w:type="dxa"/>
            <w:vAlign w:val="bottom"/>
            <w:shd w:val="clear" w:color="auto" w:fill="000000"/>
          </w:tcPr>
          <w:p>
            <w:pPr>
              <w:spacing w:after="0"/>
              <w:rPr>
                <w:sz w:val="8"/>
                <w:szCs w:val="8"/>
                <w:color w:val="auto"/>
              </w:rPr>
            </w:pPr>
          </w:p>
        </w:tc>
        <w:tc>
          <w:tcPr>
            <w:tcW w:w="880" w:type="dxa"/>
            <w:vAlign w:val="bottom"/>
            <w:shd w:val="clear" w:color="auto" w:fill="000000"/>
          </w:tcPr>
          <w:p>
            <w:pPr>
              <w:spacing w:after="0"/>
              <w:rPr>
                <w:sz w:val="8"/>
                <w:szCs w:val="8"/>
                <w:color w:val="auto"/>
              </w:rPr>
            </w:pPr>
          </w:p>
        </w:tc>
        <w:tc>
          <w:tcPr>
            <w:tcW w:w="2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Performance Goals</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12,000</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12,500 – 13,500</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14,000</w:t>
            </w: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(4.166B)</w:t>
            </w: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($3.838B)</w:t>
            </w: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($3.770B)</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85"/>
        </w:trPr>
        <w:tc>
          <w:tcPr>
            <w:tcW w:w="14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b w:val="1"/>
                <w:bCs w:val="1"/>
                <w:color w:val="auto"/>
              </w:rPr>
              <w:t>​</w:t>
            </w:r>
          </w:p>
        </w:tc>
        <w:tc>
          <w:tcPr>
            <w:tcW w:w="330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14"/>
                <w:szCs w:val="14"/>
                <w:color w:val="auto"/>
              </w:rPr>
              <w:t>Bonus Multiplier</w:t>
            </w:r>
          </w:p>
        </w:tc>
        <w:tc>
          <w:tcPr>
            <w:tcW w:w="22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shd w:val="clear" w:color="auto" w:fill="F7F7F7"/>
          </w:tcPr>
          <w:p>
            <w:pPr>
              <w:jc w:val="right"/>
              <w:ind w:right="93"/>
              <w:spacing w:after="0"/>
              <w:rPr>
                <w:sz w:val="20"/>
                <w:szCs w:val="20"/>
                <w:color w:val="auto"/>
              </w:rPr>
            </w:pPr>
            <w:r>
              <w:rPr>
                <w:rFonts w:ascii="Arial" w:cs="Arial" w:eastAsia="Arial" w:hAnsi="Arial"/>
                <w:sz w:val="14"/>
                <w:szCs w:val="14"/>
                <w:b w:val="1"/>
                <w:bCs w:val="1"/>
                <w:color w:val="auto"/>
              </w:rPr>
              <w:t>50%</w:t>
            </w:r>
          </w:p>
        </w:tc>
        <w:tc>
          <w:tcPr>
            <w:tcW w:w="24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b w:val="1"/>
                <w:bCs w:val="1"/>
                <w:color w:val="auto"/>
              </w:rPr>
              <w:t>​ ​</w:t>
            </w:r>
          </w:p>
        </w:tc>
        <w:tc>
          <w:tcPr>
            <w:tcW w:w="124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14"/>
                <w:szCs w:val="14"/>
                <w:b w:val="1"/>
                <w:bCs w:val="1"/>
                <w:color w:val="auto"/>
              </w:rPr>
              <w:t>95% – 105%</w:t>
            </w:r>
          </w:p>
        </w:tc>
        <w:tc>
          <w:tcPr>
            <w:tcW w:w="26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b w:val="1"/>
                <w:bCs w:val="1"/>
                <w:color w:val="auto"/>
              </w:rPr>
              <w:t>​ ​</w:t>
            </w:r>
          </w:p>
        </w:tc>
        <w:tc>
          <w:tcPr>
            <w:tcW w:w="600" w:type="dxa"/>
            <w:vAlign w:val="bottom"/>
            <w:tcBorders>
              <w:bottom w:val="single" w:sz="8" w:color="auto"/>
            </w:tcBorders>
            <w:shd w:val="clear" w:color="auto" w:fill="F7F7F7"/>
          </w:tcPr>
          <w:p>
            <w:pPr>
              <w:jc w:val="right"/>
              <w:ind w:right="71"/>
              <w:spacing w:after="0"/>
              <w:rPr>
                <w:sz w:val="20"/>
                <w:szCs w:val="20"/>
                <w:color w:val="auto"/>
              </w:rPr>
            </w:pPr>
            <w:r>
              <w:rPr>
                <w:rFonts w:ascii="Arial" w:cs="Arial" w:eastAsia="Arial" w:hAnsi="Arial"/>
                <w:sz w:val="14"/>
                <w:szCs w:val="14"/>
                <w:b w:val="1"/>
                <w:bCs w:val="1"/>
                <w:color w:val="auto"/>
              </w:rPr>
              <w:t>150%</w:t>
            </w:r>
          </w:p>
        </w:tc>
        <w:tc>
          <w:tcPr>
            <w:tcW w:w="800" w:type="dxa"/>
            <w:vAlign w:val="bottom"/>
            <w:tcBorders>
              <w:bottom w:val="single" w:sz="8" w:color="auto"/>
            </w:tcBorders>
            <w:gridSpan w:val="2"/>
            <w:shd w:val="clear" w:color="auto" w:fill="F7F7F7"/>
          </w:tcPr>
          <w:p>
            <w:pPr>
              <w:ind w:left="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50%</w:t>
            </w:r>
          </w:p>
        </w:tc>
        <w:tc>
          <w:tcPr>
            <w:tcW w:w="90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100%</w:t>
            </w:r>
          </w:p>
        </w:tc>
        <w:tc>
          <w:tcPr>
            <w:tcW w:w="88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150%</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60" w:right="200"/>
        <w:spacing w:after="0" w:line="317" w:lineRule="auto"/>
        <w:rPr>
          <w:sz w:val="20"/>
          <w:szCs w:val="20"/>
          <w:color w:val="auto"/>
        </w:rPr>
      </w:pPr>
      <w:r>
        <w:rPr>
          <w:rFonts w:ascii="Arial" w:cs="Arial" w:eastAsia="Arial" w:hAnsi="Arial"/>
          <w:sz w:val="11"/>
          <w:szCs w:val="11"/>
          <w:color w:val="auto"/>
        </w:rPr>
        <w:t>*Cash Management is a non-GAAP measure under SEC rules. Cash Management represents Lucid’s Adjusted EBITDA (as defined in the next sentence), plus capital expenditures and one-time (battery capacity) payments. Adjusted EBITDA represents Lucid’s Net Loss (as set forth in the Company’s Consolidated Statement of Operations and Comprehensive Loss), excluding interest expense, interest income, provision for (benefit from) income taxes, depreciation and amortization, change in fair value of forward contracts, change in fair value of convertible preferred stock warrant liability, change in fair value of common stock warrant liability, transaction costs expensed, and stock-based compensation.</w:t>
      </w:r>
    </w:p>
    <w:p>
      <w:pPr>
        <w:spacing w:after="0" w:line="195" w:lineRule="exact"/>
        <w:rPr>
          <w:sz w:val="20"/>
          <w:szCs w:val="20"/>
          <w:color w:val="auto"/>
        </w:rPr>
      </w:pPr>
    </w:p>
    <w:p>
      <w:pPr>
        <w:jc w:val="both"/>
        <w:ind w:left="660" w:right="40"/>
        <w:spacing w:after="0" w:line="301" w:lineRule="auto"/>
        <w:rPr>
          <w:sz w:val="20"/>
          <w:szCs w:val="20"/>
          <w:color w:val="auto"/>
        </w:rPr>
      </w:pPr>
      <w:r>
        <w:rPr>
          <w:rFonts w:ascii="Arial" w:cs="Arial" w:eastAsia="Arial" w:hAnsi="Arial"/>
          <w:sz w:val="16"/>
          <w:szCs w:val="16"/>
          <w:color w:val="auto"/>
        </w:rPr>
        <w:t>The Company’s overall weighted achievement against the performance goals was 82%, based on production volume of 7,180 units (0% for below minimum achievement), cash management of  ($2.500B) (150% for above maximum achievement), and field quality results (110% for between target and maximum achievement).</w:t>
      </w:r>
    </w:p>
    <w:p>
      <w:pPr>
        <w:spacing w:after="0" w:line="172" w:lineRule="exact"/>
        <w:rPr>
          <w:sz w:val="20"/>
          <w:szCs w:val="20"/>
          <w:color w:val="auto"/>
        </w:rPr>
      </w:pPr>
    </w:p>
    <w:p>
      <w:pPr>
        <w:ind w:left="660" w:right="180"/>
        <w:spacing w:after="0" w:line="291" w:lineRule="auto"/>
        <w:rPr>
          <w:sz w:val="20"/>
          <w:szCs w:val="20"/>
          <w:color w:val="auto"/>
        </w:rPr>
      </w:pPr>
      <w:r>
        <w:rPr>
          <w:rFonts w:ascii="Arial" w:cs="Arial" w:eastAsia="Arial" w:hAnsi="Arial"/>
          <w:sz w:val="16"/>
          <w:szCs w:val="16"/>
          <w:color w:val="auto"/>
        </w:rPr>
        <w:t>Under our 2022 annual cash incentive program, bonuses are subject to adjustment based on a performance modifier of 0% to 150%. The Compensation Committee determined that, in light of the Company’s performance for 2022 in the face of both internal and external challenges (including supply chain and logistics issues and a challenging macroeconomic environment), and the desire to ensure senior leaders are aligned with the experience of stockholders, none of our senior executives (including our NEOs) would be awarded an annual cash incentive for 2022.</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Long-Term Equity Incentive Compensation</w:t>
      </w:r>
    </w:p>
    <w:p>
      <w:pPr>
        <w:spacing w:after="0" w:line="199" w:lineRule="exact"/>
        <w:rPr>
          <w:sz w:val="20"/>
          <w:szCs w:val="20"/>
          <w:color w:val="auto"/>
        </w:rPr>
      </w:pPr>
    </w:p>
    <w:p>
      <w:pPr>
        <w:ind w:left="660" w:right="160"/>
        <w:spacing w:after="0" w:line="289" w:lineRule="auto"/>
        <w:rPr>
          <w:sz w:val="20"/>
          <w:szCs w:val="20"/>
          <w:color w:val="auto"/>
        </w:rPr>
      </w:pPr>
      <w:r>
        <w:rPr>
          <w:rFonts w:ascii="Arial" w:cs="Arial" w:eastAsia="Arial" w:hAnsi="Arial"/>
          <w:sz w:val="16"/>
          <w:szCs w:val="16"/>
          <w:color w:val="auto"/>
        </w:rPr>
        <w:t>We believe that providing long-term incentive compensation in the form of equity awards is a critical element of our executive compensation program as it encourages our NEOs to take a long-term outlook and reinforces our pay for performance culture. By providing opportunities for our employees, including our NEOs, to benefit from future successes in Lucid through the appreciation of the value of their equity awards, the Compensation Committee and the Board believe that equity awards align employees’ interests and contributions with the long-term interests of Lucid’s stockholders. In addition, the Compensation Committee and the Board believe that offering meaningful equity ownership in Lucid is helpful in retaining our NEOs and other key employees.</w:t>
      </w:r>
    </w:p>
    <w:p>
      <w:pPr>
        <w:spacing w:after="0" w:line="183" w:lineRule="exact"/>
        <w:rPr>
          <w:sz w:val="20"/>
          <w:szCs w:val="20"/>
          <w:color w:val="auto"/>
        </w:rPr>
      </w:pPr>
    </w:p>
    <w:p>
      <w:pPr>
        <w:ind w:left="660" w:right="100"/>
        <w:spacing w:after="0" w:line="301" w:lineRule="auto"/>
        <w:rPr>
          <w:sz w:val="20"/>
          <w:szCs w:val="20"/>
          <w:color w:val="auto"/>
        </w:rPr>
      </w:pPr>
      <w:r>
        <w:rPr>
          <w:rFonts w:ascii="Arial" w:cs="Arial" w:eastAsia="Arial" w:hAnsi="Arial"/>
          <w:sz w:val="16"/>
          <w:szCs w:val="16"/>
          <w:color w:val="auto"/>
        </w:rPr>
        <w:t>On June 6, 2022, our executive officers, including our NEOs (other than Mr. Rawlinson), were granted awards of RSUs. In addition to further incentivizing their continued employment with the Company, awards were informed by competitive benchmark information from the peer group, individual performance, and internal equity considerations. After review of peer group data</w:t>
      </w:r>
    </w:p>
    <w:p>
      <w:pPr>
        <w:sectPr>
          <w:pgSz w:w="11900" w:h="16838" w:orient="portrait"/>
          <w:cols w:equalWidth="0" w:num="1">
            <w:col w:w="10080"/>
          </w:cols>
          <w:pgMar w:left="580" w:top="97" w:right="1239" w:bottom="1440" w:gutter="0" w:footer="0" w:header="0"/>
        </w:sectPr>
      </w:pPr>
    </w:p>
    <w:p>
      <w:pPr>
        <w:spacing w:after="0" w:line="357"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​48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92075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80"/>
        <w:spacing w:after="0" w:line="304" w:lineRule="auto"/>
        <w:rPr>
          <w:sz w:val="20"/>
          <w:szCs w:val="20"/>
          <w:color w:val="auto"/>
        </w:rPr>
      </w:pPr>
      <w:r>
        <w:rPr>
          <w:rFonts w:ascii="Arial" w:cs="Arial" w:eastAsia="Arial" w:hAnsi="Arial"/>
          <w:sz w:val="16"/>
          <w:szCs w:val="16"/>
          <w:color w:val="auto"/>
        </w:rPr>
        <w:t>provided by Pay Governance, and in view of still-outstanding value from the CEO Grant, the Compensation Committee determined not to grant Mr. Rawlinson an equity award in 2022.</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NEOs’ equity awards in 2022 are set forth in the table below:</w:t>
      </w:r>
    </w:p>
    <w:p>
      <w:pPr>
        <w:spacing w:after="0" w:line="248"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2022 Equity Awards to NEOs</w:t>
      </w:r>
    </w:p>
    <w:p>
      <w:pPr>
        <w:spacing w:after="0" w:line="270" w:lineRule="exact"/>
        <w:rPr>
          <w:sz w:val="20"/>
          <w:szCs w:val="20"/>
          <w:color w:val="auto"/>
        </w:rPr>
      </w:pPr>
    </w:p>
    <w:tbl>
      <w:tblPr>
        <w:tblLayout w:type="fixed"/>
        <w:tblInd w:w="3080" w:type="dxa"/>
        <w:tblCellMar>
          <w:top w:w="0" w:type="dxa"/>
          <w:left w:w="0" w:type="dxa"/>
          <w:bottom w:w="0" w:type="dxa"/>
          <w:right w:w="0" w:type="dxa"/>
        </w:tblCellMar>
      </w:tblPr>
      <w:tr>
        <w:trPr>
          <w:trHeight w:val="149"/>
        </w:trPr>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200" w:type="dxa"/>
            <w:vAlign w:val="bottom"/>
            <w:shd w:val="clear" w:color="auto" w:fill="000000"/>
          </w:tcPr>
          <w:p>
            <w:pPr>
              <w:spacing w:after="0"/>
              <w:rPr>
                <w:sz w:val="13"/>
                <w:szCs w:val="13"/>
                <w:color w:val="auto"/>
              </w:rPr>
            </w:pPr>
          </w:p>
        </w:tc>
        <w:tc>
          <w:tcPr>
            <w:tcW w:w="1540" w:type="dxa"/>
            <w:vAlign w:val="bottom"/>
            <w:shd w:val="clear" w:color="auto" w:fill="000000"/>
          </w:tcPr>
          <w:p>
            <w:pPr>
              <w:ind w:left="1220"/>
              <w:spacing w:after="0"/>
              <w:rPr>
                <w:sz w:val="20"/>
                <w:szCs w:val="20"/>
                <w:color w:val="auto"/>
              </w:rPr>
            </w:pPr>
            <w:r>
              <w:rPr>
                <w:rFonts w:ascii="Arial" w:cs="Arial" w:eastAsia="Arial" w:hAnsi="Arial"/>
                <w:sz w:val="13"/>
                <w:szCs w:val="13"/>
                <w:b w:val="1"/>
                <w:bCs w:val="1"/>
                <w:color w:val="FEFEFE"/>
              </w:rPr>
              <w:t>​ ​</w:t>
            </w:r>
          </w:p>
        </w:tc>
        <w:tc>
          <w:tcPr>
            <w:tcW w:w="700" w:type="dxa"/>
            <w:vAlign w:val="bottom"/>
            <w:shd w:val="clear" w:color="auto" w:fill="000000"/>
          </w:tcPr>
          <w:p>
            <w:pPr>
              <w:jc w:val="right"/>
              <w:ind w:right="114"/>
              <w:spacing w:after="0"/>
              <w:rPr>
                <w:sz w:val="20"/>
                <w:szCs w:val="20"/>
                <w:color w:val="auto"/>
              </w:rPr>
            </w:pPr>
            <w:r>
              <w:rPr>
                <w:rFonts w:ascii="Arial" w:cs="Arial" w:eastAsia="Arial" w:hAnsi="Arial"/>
                <w:sz w:val="13"/>
                <w:szCs w:val="13"/>
                <w:b w:val="1"/>
                <w:bCs w:val="1"/>
                <w:color w:val="FEFEFE"/>
              </w:rPr>
              <w:t>​</w:t>
            </w:r>
          </w:p>
        </w:tc>
      </w:tr>
      <w:tr>
        <w:trPr>
          <w:trHeight w:val="172"/>
        </w:trPr>
        <w:tc>
          <w:tcPr>
            <w:tcW w:w="100" w:type="dxa"/>
            <w:vAlign w:val="bottom"/>
            <w:shd w:val="clear" w:color="auto" w:fill="000000"/>
          </w:tcPr>
          <w:p>
            <w:pPr>
              <w:spacing w:after="0"/>
              <w:rPr>
                <w:sz w:val="14"/>
                <w:szCs w:val="14"/>
                <w:color w:val="auto"/>
              </w:rPr>
            </w:pPr>
          </w:p>
        </w:tc>
        <w:tc>
          <w:tcPr>
            <w:tcW w:w="220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Name</w:t>
            </w:r>
          </w:p>
        </w:tc>
        <w:tc>
          <w:tcPr>
            <w:tcW w:w="1540" w:type="dxa"/>
            <w:vAlign w:val="bottom"/>
            <w:shd w:val="clear" w:color="auto" w:fill="000000"/>
          </w:tcPr>
          <w:p>
            <w:pPr>
              <w:spacing w:after="0"/>
              <w:rPr>
                <w:sz w:val="14"/>
                <w:szCs w:val="14"/>
                <w:color w:val="auto"/>
              </w:rPr>
            </w:pPr>
          </w:p>
        </w:tc>
        <w:tc>
          <w:tcPr>
            <w:tcW w:w="700" w:type="dxa"/>
            <w:vAlign w:val="bottom"/>
            <w:shd w:val="clear" w:color="auto" w:fill="000000"/>
          </w:tcPr>
          <w:p>
            <w:pPr>
              <w:jc w:val="right"/>
              <w:ind w:right="274"/>
              <w:spacing w:after="0"/>
              <w:rPr>
                <w:sz w:val="20"/>
                <w:szCs w:val="20"/>
                <w:color w:val="auto"/>
              </w:rPr>
            </w:pPr>
            <w:r>
              <w:rPr>
                <w:rFonts w:ascii="Arial" w:cs="Arial" w:eastAsia="Arial" w:hAnsi="Arial"/>
                <w:sz w:val="13"/>
                <w:szCs w:val="13"/>
                <w:b w:val="1"/>
                <w:bCs w:val="1"/>
                <w:color w:val="FEFEFE"/>
                <w:w w:val="97"/>
              </w:rPr>
              <w:t>RSUs</w:t>
            </w:r>
          </w:p>
        </w:tc>
      </w:tr>
      <w:tr>
        <w:trPr>
          <w:trHeight w:val="116"/>
        </w:trPr>
        <w:tc>
          <w:tcPr>
            <w:tcW w:w="100" w:type="dxa"/>
            <w:vAlign w:val="bottom"/>
            <w:shd w:val="clear" w:color="auto" w:fill="000000"/>
          </w:tcPr>
          <w:p>
            <w:pPr>
              <w:spacing w:after="0"/>
              <w:rPr>
                <w:sz w:val="10"/>
                <w:szCs w:val="10"/>
                <w:color w:val="auto"/>
              </w:rPr>
            </w:pPr>
          </w:p>
        </w:tc>
        <w:tc>
          <w:tcPr>
            <w:tcW w:w="2200" w:type="dxa"/>
            <w:vAlign w:val="bottom"/>
            <w:shd w:val="clear" w:color="auto" w:fill="000000"/>
          </w:tcPr>
          <w:p>
            <w:pPr>
              <w:spacing w:after="0"/>
              <w:rPr>
                <w:sz w:val="10"/>
                <w:szCs w:val="10"/>
                <w:color w:val="auto"/>
              </w:rPr>
            </w:pPr>
          </w:p>
        </w:tc>
        <w:tc>
          <w:tcPr>
            <w:tcW w:w="1540" w:type="dxa"/>
            <w:vAlign w:val="bottom"/>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r>
      <w:tr>
        <w:trPr>
          <w:trHeight w:val="418"/>
        </w:trPr>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Mr. Rawlinson</w:t>
            </w:r>
          </w:p>
        </w:tc>
        <w:tc>
          <w:tcPr>
            <w:tcW w:w="154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r>
      <w:tr>
        <w:trPr>
          <w:trHeight w:val="398"/>
        </w:trPr>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Ms. House</w:t>
            </w:r>
          </w:p>
        </w:tc>
        <w:tc>
          <w:tcPr>
            <w:tcW w:w="2240" w:type="dxa"/>
            <w:vAlign w:val="bottom"/>
            <w:tcBorders>
              <w:bottom w:val="single" w:sz="8" w:color="auto"/>
            </w:tcBorders>
            <w:gridSpan w:val="2"/>
            <w:shd w:val="clear" w:color="auto" w:fill="F7F7F7"/>
          </w:tcPr>
          <w:p>
            <w:pPr>
              <w:jc w:val="right"/>
              <w:ind w:right="114"/>
              <w:spacing w:after="0"/>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​274,122</w:t>
            </w:r>
            <w:r>
              <w:rPr>
                <w:rFonts w:ascii="Arial" w:cs="Arial" w:eastAsia="Arial" w:hAnsi="Arial"/>
                <w:sz w:val="28"/>
                <w:szCs w:val="28"/>
                <w:color w:val="auto"/>
                <w:vertAlign w:val="subscript"/>
              </w:rPr>
              <w:t>​</w:t>
            </w:r>
          </w:p>
        </w:tc>
      </w:tr>
      <w:tr>
        <w:trPr>
          <w:trHeight w:val="398"/>
        </w:trPr>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Mr. Bach</w:t>
            </w:r>
          </w:p>
        </w:tc>
        <w:tc>
          <w:tcPr>
            <w:tcW w:w="224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​274,122</w:t>
            </w:r>
            <w:r>
              <w:rPr>
                <w:rFonts w:ascii="Arial" w:cs="Arial" w:eastAsia="Arial" w:hAnsi="Arial"/>
                <w:sz w:val="28"/>
                <w:szCs w:val="28"/>
                <w:color w:val="auto"/>
                <w:vertAlign w:val="subscript"/>
              </w:rPr>
              <w:t>​</w:t>
            </w:r>
          </w:p>
        </w:tc>
      </w:tr>
      <w:tr>
        <w:trPr>
          <w:trHeight w:val="398"/>
        </w:trPr>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Mr. Bell</w:t>
            </w:r>
          </w:p>
        </w:tc>
        <w:tc>
          <w:tcPr>
            <w:tcW w:w="2240" w:type="dxa"/>
            <w:vAlign w:val="bottom"/>
            <w:tcBorders>
              <w:bottom w:val="single" w:sz="8" w:color="auto"/>
            </w:tcBorders>
            <w:gridSpan w:val="2"/>
            <w:shd w:val="clear" w:color="auto" w:fill="F7F7F7"/>
          </w:tcPr>
          <w:p>
            <w:pPr>
              <w:jc w:val="right"/>
              <w:ind w:right="114"/>
              <w:spacing w:after="0"/>
              <w:rPr>
                <w:sz w:val="20"/>
                <w:szCs w:val="20"/>
                <w:color w:val="auto"/>
              </w:rPr>
            </w:pPr>
            <w:r>
              <w:rPr>
                <w:rFonts w:ascii="Arial" w:cs="Arial" w:eastAsia="Arial" w:hAnsi="Arial"/>
                <w:sz w:val="28"/>
                <w:szCs w:val="28"/>
                <w:color w:val="auto"/>
                <w:vertAlign w:val="subscript"/>
              </w:rPr>
              <w:t>​ ​ ​</w:t>
            </w:r>
            <w:r>
              <w:rPr>
                <w:rFonts w:ascii="Arial" w:cs="Arial" w:eastAsia="Arial" w:hAnsi="Arial"/>
                <w:sz w:val="14"/>
                <w:szCs w:val="14"/>
                <w:color w:val="auto"/>
              </w:rPr>
              <w:t>​274,122</w:t>
            </w:r>
            <w:r>
              <w:rPr>
                <w:rFonts w:ascii="Arial" w:cs="Arial" w:eastAsia="Arial" w:hAnsi="Arial"/>
                <w:sz w:val="28"/>
                <w:szCs w:val="28"/>
                <w:color w:val="auto"/>
                <w:vertAlign w:val="subscript"/>
              </w:rPr>
              <w:t>​</w:t>
            </w:r>
          </w:p>
        </w:tc>
      </w:tr>
    </w:tbl>
    <w:p>
      <w:pPr>
        <w:spacing w:after="0" w:line="310" w:lineRule="exact"/>
        <w:rPr>
          <w:sz w:val="20"/>
          <w:szCs w:val="20"/>
          <w:color w:val="auto"/>
        </w:rPr>
      </w:pPr>
    </w:p>
    <w:p>
      <w:pPr>
        <w:ind w:left="660" w:right="480"/>
        <w:spacing w:after="0" w:line="292" w:lineRule="auto"/>
        <w:rPr>
          <w:sz w:val="20"/>
          <w:szCs w:val="20"/>
          <w:color w:val="auto"/>
        </w:rPr>
      </w:pPr>
      <w:r>
        <w:rPr>
          <w:rFonts w:ascii="Arial" w:cs="Arial" w:eastAsia="Arial" w:hAnsi="Arial"/>
          <w:sz w:val="16"/>
          <w:szCs w:val="16"/>
          <w:color w:val="auto"/>
        </w:rPr>
        <w:t>The RSUs granted to Ms. House and Messrs. Bach and Bell are generally scheduled to vest over four years, with the first 1/8 vesting on September 5, 2022 and the remainder vesting in fourteen equal quarterly installments (of 1/16 of the total award) thereafter, subject to continued service through each applicable vesting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Compensation</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Perquisites and Other Personal Benefits</w:t>
      </w:r>
    </w:p>
    <w:p>
      <w:pPr>
        <w:spacing w:after="0" w:line="172" w:lineRule="exact"/>
        <w:rPr>
          <w:sz w:val="20"/>
          <w:szCs w:val="20"/>
          <w:color w:val="auto"/>
        </w:rPr>
      </w:pPr>
    </w:p>
    <w:p>
      <w:pPr>
        <w:ind w:left="660" w:right="140"/>
        <w:spacing w:after="0" w:line="282" w:lineRule="auto"/>
        <w:rPr>
          <w:sz w:val="20"/>
          <w:szCs w:val="20"/>
          <w:color w:val="auto"/>
        </w:rPr>
      </w:pPr>
      <w:r>
        <w:rPr>
          <w:rFonts w:ascii="Arial" w:cs="Arial" w:eastAsia="Arial" w:hAnsi="Arial"/>
          <w:sz w:val="16"/>
          <w:szCs w:val="16"/>
          <w:color w:val="auto"/>
        </w:rPr>
        <w:t>We do not view perquisites or other personal benefits as a significant component of our executive compensation program and do not provide material perquisites or personal benefits to our NEOs. In 2022, the Committee approved Mr. Rawlinson to be provided with an annual reimbursement for tax advisory and preparation fees of up to $20,000, less applicable tax deductions and withholdings, provided that he remains employed by us through the date of payment and provided further that he provides supporting documents for such expenses.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Retirement and Other Employee Benefits</w:t>
      </w:r>
    </w:p>
    <w:p>
      <w:pPr>
        <w:spacing w:after="0" w:line="185" w:lineRule="exact"/>
        <w:rPr>
          <w:sz w:val="20"/>
          <w:szCs w:val="20"/>
          <w:color w:val="auto"/>
        </w:rPr>
      </w:pPr>
    </w:p>
    <w:p>
      <w:pPr>
        <w:ind w:left="660" w:right="200"/>
        <w:spacing w:after="0" w:line="277" w:lineRule="auto"/>
        <w:rPr>
          <w:sz w:val="20"/>
          <w:szCs w:val="20"/>
          <w:color w:val="auto"/>
        </w:rPr>
      </w:pPr>
      <w:r>
        <w:rPr>
          <w:rFonts w:ascii="Arial" w:cs="Arial" w:eastAsia="Arial" w:hAnsi="Arial"/>
          <w:sz w:val="16"/>
          <w:szCs w:val="16"/>
          <w:color w:val="auto"/>
        </w:rPr>
        <w:t>We maintain a 401(k) retirement savings plan for our employees in the United States, including the NEOs, who satisfy certain eligibility requirements. Our NEOs are eligible to participate in the 401(k) plan on the same terms as other full-time employees. In addition, all of our full-time employees, including the NEOs, are eligible to participate in our health and welfare plans, including medical, dental, and vision benefits, health and dependent care flexible spending accounts, and disability and life insurance.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Employment Arrangements</w:t>
      </w:r>
    </w:p>
    <w:p>
      <w:pPr>
        <w:spacing w:after="0" w:line="172" w:lineRule="exact"/>
        <w:rPr>
          <w:sz w:val="20"/>
          <w:szCs w:val="20"/>
          <w:color w:val="auto"/>
        </w:rPr>
      </w:pPr>
    </w:p>
    <w:p>
      <w:pPr>
        <w:ind w:left="660" w:right="140"/>
        <w:spacing w:after="0" w:line="283" w:lineRule="auto"/>
        <w:rPr>
          <w:sz w:val="20"/>
          <w:szCs w:val="20"/>
          <w:color w:val="auto"/>
        </w:rPr>
      </w:pPr>
      <w:r>
        <w:rPr>
          <w:rFonts w:ascii="Arial" w:cs="Arial" w:eastAsia="Arial" w:hAnsi="Arial"/>
          <w:sz w:val="16"/>
          <w:szCs w:val="16"/>
          <w:color w:val="auto"/>
        </w:rPr>
        <w:t>Mr. Rawlinson, Ms. House, and Messrs. Bach and Bell are at-will employees with no specified term of employment. As a condition of their employment, each of the NEOs was required to sign a Confidential Information and Invention Assignment Agreement (“Restrictive Covenant Agreement”) which includes, among other provisions, a 24-month post-employment non-solicit of employees and customers, a perpetual confidentiality covenant, and an assignment of inventions provision.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Termination and Change in Control Agreements</w:t>
      </w:r>
    </w:p>
    <w:p>
      <w:pPr>
        <w:spacing w:after="0" w:line="172" w:lineRule="exact"/>
        <w:rPr>
          <w:sz w:val="20"/>
          <w:szCs w:val="20"/>
          <w:color w:val="auto"/>
        </w:rPr>
      </w:pPr>
    </w:p>
    <w:p>
      <w:pPr>
        <w:ind w:left="660" w:right="40"/>
        <w:spacing w:after="0" w:line="272" w:lineRule="auto"/>
        <w:rPr>
          <w:sz w:val="20"/>
          <w:szCs w:val="20"/>
          <w:color w:val="auto"/>
        </w:rPr>
      </w:pPr>
      <w:r>
        <w:rPr>
          <w:rFonts w:ascii="Arial" w:cs="Arial" w:eastAsia="Arial" w:hAnsi="Arial"/>
          <w:sz w:val="16"/>
          <w:szCs w:val="16"/>
          <w:color w:val="auto"/>
        </w:rPr>
        <w:t>Each of our NEOs participates in the Lucid Group, Inc. Executive Severance Benefit Plan (the “Executive Severance Plan”). Under the terms of the Executive Severance Plan, participants are entitled to receive the following in the event of a termination without “cause” or on a “constructive termination” ​(as each such term is defined in the Executive Severance Plan) that is not a Change in Control Termination (as defined below), subject to the participant’s execution of a release of claims: (i) a continuation of base salary for the number of months set forth in the participant’s participation agreement, (ii) COBRA continuation premium payments (including a gross-up for applicable taxes) for the number of months set forth in the participant’s participation agreement, and</w:t>
      </w:r>
    </w:p>
    <w:p>
      <w:pPr>
        <w:spacing w:after="0" w:line="3" w:lineRule="exact"/>
        <w:rPr>
          <w:sz w:val="20"/>
          <w:szCs w:val="20"/>
          <w:color w:val="auto"/>
        </w:rPr>
      </w:pPr>
    </w:p>
    <w:p>
      <w:pPr>
        <w:ind w:left="660" w:right="300" w:hanging="6"/>
        <w:spacing w:after="0" w:line="278" w:lineRule="auto"/>
        <w:tabs>
          <w:tab w:leader="none" w:pos="921"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accelerated vesting of a certain percentage of the participant’s outstanding equity awards granted prior to July 23, 2021 (but such accelerated vesting under the Executive Severance Plan does not apply to the CEO Grant, which contains its own terms relative to accelerated vesting under certain circumstances (as described below), nor to any equity awards granted on or after July 23, 2021).</w:t>
      </w:r>
    </w:p>
    <w:p>
      <w:pPr>
        <w:sectPr>
          <w:pgSz w:w="11900" w:h="16838" w:orient="portrait"/>
          <w:cols w:equalWidth="0" w:num="1">
            <w:col w:w="10080"/>
          </w:cols>
          <w:pgMar w:left="580" w:top="97" w:right="1239" w:bottom="1440" w:gutter="0" w:footer="0" w:header="0"/>
        </w:sectPr>
      </w:pPr>
    </w:p>
    <w:p>
      <w:pPr>
        <w:spacing w:after="0" w:line="387"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49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100"/>
        <w:spacing w:after="0" w:line="288" w:lineRule="auto"/>
        <w:rPr>
          <w:sz w:val="20"/>
          <w:szCs w:val="20"/>
          <w:color w:val="auto"/>
        </w:rPr>
      </w:pPr>
      <w:r>
        <w:rPr>
          <w:rFonts w:ascii="Arial" w:cs="Arial" w:eastAsia="Arial" w:hAnsi="Arial"/>
          <w:sz w:val="16"/>
          <w:szCs w:val="16"/>
          <w:color w:val="auto"/>
        </w:rPr>
        <w:t>In the event of a termination without “cause” or on a “constructive termination” in each case within 3 months prior to or 12 months following a change in control (a “Change in Control Termination”), participants are entitled to receive the following, subject to the participant’s execution of a release of claims: (i) a lump-sum payment equal to the sum of base salary and target annual cash incentive divided by 12, multiplied by the number of months set forth in the participant’s participation agreement, (ii) COBRA continuation premium payments (including a gross-up for applicable taxes) for the number of months set forth in the participant’s participation agreement, and (iii) accelerated vesting of 100% of the participant’s outstanding equity awards (except, as mentioned above, in the case of the CEO Grant).</w:t>
      </w:r>
    </w:p>
    <w:p>
      <w:pPr>
        <w:spacing w:after="0" w:line="183" w:lineRule="exact"/>
        <w:rPr>
          <w:sz w:val="20"/>
          <w:szCs w:val="20"/>
          <w:color w:val="auto"/>
        </w:rPr>
      </w:pPr>
    </w:p>
    <w:p>
      <w:pPr>
        <w:ind w:left="660" w:right="140"/>
        <w:spacing w:after="0" w:line="301" w:lineRule="auto"/>
        <w:rPr>
          <w:sz w:val="20"/>
          <w:szCs w:val="20"/>
          <w:color w:val="auto"/>
        </w:rPr>
      </w:pPr>
      <w:r>
        <w:rPr>
          <w:rFonts w:ascii="Arial" w:cs="Arial" w:eastAsia="Arial" w:hAnsi="Arial"/>
          <w:sz w:val="16"/>
          <w:szCs w:val="16"/>
          <w:color w:val="auto"/>
        </w:rPr>
        <w:t>Under the Executive Severance Plan, a participant’s right to receive severance benefits terminates in the event of the participant’s breach of the Restrictive Covenant Agreement or the participant utilizes our trade secrets to solicit employees to leave us or to induce any of our then-current clients, customers, or suppliers to terminate their business relationship with us.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severance levels that apply to each of the NEOs under the Executive Severance Plan are set forth in the table below.</w:t>
      </w:r>
    </w:p>
    <w:p>
      <w:pPr>
        <w:spacing w:after="0" w:line="27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276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880" w:type="dxa"/>
            <w:vAlign w:val="bottom"/>
            <w:shd w:val="clear" w:color="auto" w:fill="000000"/>
          </w:tcPr>
          <w:p>
            <w:pPr>
              <w:ind w:left="184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ind w:left="80"/>
              <w:spacing w:after="0"/>
              <w:rPr>
                <w:sz w:val="20"/>
                <w:szCs w:val="20"/>
                <w:color w:val="auto"/>
              </w:rPr>
            </w:pPr>
            <w:r>
              <w:rPr>
                <w:rFonts w:ascii="Arial" w:cs="Arial" w:eastAsia="Arial" w:hAnsi="Arial"/>
                <w:sz w:val="13"/>
                <w:szCs w:val="13"/>
                <w:b w:val="1"/>
                <w:bCs w:val="1"/>
                <w:color w:val="FEFEFE"/>
              </w:rPr>
              <w:t>​</w:t>
            </w:r>
          </w:p>
        </w:tc>
        <w:tc>
          <w:tcPr>
            <w:tcW w:w="1900" w:type="dxa"/>
            <w:vAlign w:val="bottom"/>
            <w:shd w:val="clear" w:color="auto" w:fill="000000"/>
          </w:tcPr>
          <w:p>
            <w:pPr>
              <w:spacing w:after="0"/>
              <w:rPr>
                <w:sz w:val="13"/>
                <w:szCs w:val="13"/>
                <w:color w:val="auto"/>
              </w:rPr>
            </w:pPr>
          </w:p>
        </w:tc>
        <w:tc>
          <w:tcPr>
            <w:tcW w:w="400" w:type="dxa"/>
            <w:vAlign w:val="bottom"/>
            <w:shd w:val="clear" w:color="auto" w:fill="000000"/>
          </w:tcPr>
          <w:p>
            <w:pPr>
              <w:ind w:left="34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740" w:type="dxa"/>
            <w:vAlign w:val="bottom"/>
            <w:shd w:val="clear" w:color="auto" w:fill="000000"/>
          </w:tcPr>
          <w:p>
            <w:pPr>
              <w:spacing w:after="0"/>
              <w:rPr>
                <w:sz w:val="13"/>
                <w:szCs w:val="13"/>
                <w:color w:val="auto"/>
              </w:rPr>
            </w:pPr>
          </w:p>
        </w:tc>
        <w:tc>
          <w:tcPr>
            <w:tcW w:w="420" w:type="dxa"/>
            <w:vAlign w:val="bottom"/>
            <w:shd w:val="clear" w:color="auto" w:fill="000000"/>
          </w:tcPr>
          <w:p>
            <w:pPr>
              <w:ind w:left="320"/>
              <w:spacing w:after="0"/>
              <w:rPr>
                <w:sz w:val="20"/>
                <w:szCs w:val="20"/>
                <w:color w:val="auto"/>
              </w:rPr>
            </w:pPr>
            <w:r>
              <w:rPr>
                <w:rFonts w:ascii="Arial" w:cs="Arial" w:eastAsia="Arial" w:hAnsi="Arial"/>
                <w:sz w:val="13"/>
                <w:szCs w:val="13"/>
                <w:b w:val="1"/>
                <w:bCs w:val="1"/>
                <w:color w:val="FEFEFE"/>
              </w:rPr>
              <w:t>​</w:t>
            </w:r>
          </w:p>
        </w:tc>
      </w:tr>
      <w:tr>
        <w:trPr>
          <w:trHeight w:val="135"/>
        </w:trPr>
        <w:tc>
          <w:tcPr>
            <w:tcW w:w="60" w:type="dxa"/>
            <w:vAlign w:val="bottom"/>
            <w:shd w:val="clear" w:color="auto" w:fill="000000"/>
          </w:tcPr>
          <w:p>
            <w:pPr>
              <w:spacing w:after="0"/>
              <w:rPr>
                <w:sz w:val="11"/>
                <w:szCs w:val="11"/>
                <w:color w:val="auto"/>
              </w:rPr>
            </w:pPr>
          </w:p>
        </w:tc>
        <w:tc>
          <w:tcPr>
            <w:tcW w:w="2760" w:type="dxa"/>
            <w:vAlign w:val="bottom"/>
            <w:shd w:val="clear" w:color="auto" w:fill="000000"/>
          </w:tcPr>
          <w:p>
            <w:pPr>
              <w:ind w:left="80"/>
              <w:spacing w:after="0" w:line="135" w:lineRule="exact"/>
              <w:rPr>
                <w:sz w:val="20"/>
                <w:szCs w:val="20"/>
                <w:color w:val="auto"/>
              </w:rPr>
            </w:pPr>
            <w:r>
              <w:rPr>
                <w:rFonts w:ascii="Arial" w:cs="Arial" w:eastAsia="Arial" w:hAnsi="Arial"/>
                <w:sz w:val="13"/>
                <w:szCs w:val="13"/>
                <w:b w:val="1"/>
                <w:bCs w:val="1"/>
                <w:color w:val="FEFEFE"/>
              </w:rPr>
              <w:t>Name</w:t>
            </w:r>
          </w:p>
        </w:tc>
        <w:tc>
          <w:tcPr>
            <w:tcW w:w="188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2300" w:type="dxa"/>
            <w:vAlign w:val="bottom"/>
            <w:gridSpan w:val="2"/>
            <w:shd w:val="clear" w:color="auto" w:fill="000000"/>
          </w:tcPr>
          <w:p>
            <w:pPr>
              <w:jc w:val="center"/>
              <w:ind w:right="50"/>
              <w:spacing w:after="0" w:line="135" w:lineRule="exact"/>
              <w:rPr>
                <w:sz w:val="20"/>
                <w:szCs w:val="20"/>
                <w:color w:val="auto"/>
              </w:rPr>
            </w:pPr>
            <w:r>
              <w:rPr>
                <w:rFonts w:ascii="Arial" w:cs="Arial" w:eastAsia="Arial" w:hAnsi="Arial"/>
                <w:sz w:val="13"/>
                <w:szCs w:val="13"/>
                <w:b w:val="1"/>
                <w:bCs w:val="1"/>
                <w:color w:val="FEFEFE"/>
                <w:w w:val="96"/>
              </w:rPr>
              <w:t>Severance Not in Connection with a</w:t>
            </w:r>
          </w:p>
        </w:tc>
        <w:tc>
          <w:tcPr>
            <w:tcW w:w="100" w:type="dxa"/>
            <w:vAlign w:val="bottom"/>
            <w:shd w:val="clear" w:color="auto" w:fill="000000"/>
          </w:tcPr>
          <w:p>
            <w:pPr>
              <w:spacing w:after="0"/>
              <w:rPr>
                <w:sz w:val="11"/>
                <w:szCs w:val="11"/>
                <w:color w:val="auto"/>
              </w:rPr>
            </w:pPr>
          </w:p>
        </w:tc>
        <w:tc>
          <w:tcPr>
            <w:tcW w:w="2160" w:type="dxa"/>
            <w:vAlign w:val="bottom"/>
            <w:gridSpan w:val="2"/>
            <w:shd w:val="clear" w:color="auto" w:fill="000000"/>
          </w:tcPr>
          <w:p>
            <w:pPr>
              <w:jc w:val="center"/>
              <w:ind w:right="150"/>
              <w:spacing w:after="0" w:line="135" w:lineRule="exact"/>
              <w:rPr>
                <w:sz w:val="20"/>
                <w:szCs w:val="20"/>
                <w:color w:val="auto"/>
              </w:rPr>
            </w:pPr>
            <w:r>
              <w:rPr>
                <w:rFonts w:ascii="Arial" w:cs="Arial" w:eastAsia="Arial" w:hAnsi="Arial"/>
                <w:sz w:val="13"/>
                <w:szCs w:val="13"/>
                <w:b w:val="1"/>
                <w:bCs w:val="1"/>
                <w:color w:val="FEFEFE"/>
                <w:w w:val="97"/>
              </w:rPr>
              <w:t>Severance in Connection with a</w:t>
            </w:r>
          </w:p>
        </w:tc>
      </w:tr>
      <w:tr>
        <w:trPr>
          <w:trHeight w:val="148"/>
        </w:trPr>
        <w:tc>
          <w:tcPr>
            <w:tcW w:w="60" w:type="dxa"/>
            <w:vAlign w:val="bottom"/>
            <w:shd w:val="clear" w:color="auto" w:fill="000000"/>
          </w:tcPr>
          <w:p>
            <w:pPr>
              <w:spacing w:after="0"/>
              <w:rPr>
                <w:sz w:val="12"/>
                <w:szCs w:val="12"/>
                <w:color w:val="auto"/>
              </w:rPr>
            </w:pPr>
          </w:p>
        </w:tc>
        <w:tc>
          <w:tcPr>
            <w:tcW w:w="2760" w:type="dxa"/>
            <w:vAlign w:val="bottom"/>
            <w:shd w:val="clear" w:color="auto" w:fill="000000"/>
          </w:tcPr>
          <w:p>
            <w:pPr>
              <w:spacing w:after="0"/>
              <w:rPr>
                <w:sz w:val="12"/>
                <w:szCs w:val="12"/>
                <w:color w:val="auto"/>
              </w:rPr>
            </w:pPr>
          </w:p>
        </w:tc>
        <w:tc>
          <w:tcPr>
            <w:tcW w:w="188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900" w:type="dxa"/>
            <w:vAlign w:val="bottom"/>
            <w:shd w:val="clear" w:color="auto" w:fill="000000"/>
          </w:tcPr>
          <w:p>
            <w:pPr>
              <w:jc w:val="center"/>
              <w:ind w:left="192"/>
              <w:spacing w:after="0"/>
              <w:rPr>
                <w:sz w:val="20"/>
                <w:szCs w:val="20"/>
                <w:color w:val="auto"/>
              </w:rPr>
            </w:pPr>
            <w:r>
              <w:rPr>
                <w:rFonts w:ascii="Arial" w:cs="Arial" w:eastAsia="Arial" w:hAnsi="Arial"/>
                <w:sz w:val="13"/>
                <w:szCs w:val="13"/>
                <w:b w:val="1"/>
                <w:bCs w:val="1"/>
                <w:color w:val="FEFEFE"/>
                <w:w w:val="95"/>
              </w:rPr>
              <w:t>Change in Control</w:t>
            </w:r>
          </w:p>
        </w:tc>
        <w:tc>
          <w:tcPr>
            <w:tcW w:w="4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2160" w:type="dxa"/>
            <w:vAlign w:val="bottom"/>
            <w:gridSpan w:val="2"/>
            <w:shd w:val="clear" w:color="auto" w:fill="000000"/>
          </w:tcPr>
          <w:p>
            <w:pPr>
              <w:jc w:val="center"/>
              <w:ind w:right="130"/>
              <w:spacing w:after="0"/>
              <w:rPr>
                <w:sz w:val="20"/>
                <w:szCs w:val="20"/>
                <w:color w:val="auto"/>
              </w:rPr>
            </w:pPr>
            <w:r>
              <w:rPr>
                <w:rFonts w:ascii="Arial" w:cs="Arial" w:eastAsia="Arial" w:hAnsi="Arial"/>
                <w:sz w:val="13"/>
                <w:szCs w:val="13"/>
                <w:b w:val="1"/>
                <w:bCs w:val="1"/>
                <w:color w:val="FEFEFE"/>
                <w:w w:val="96"/>
              </w:rPr>
              <w:t>Change in Control Termination</w:t>
            </w:r>
          </w:p>
        </w:tc>
      </w:tr>
      <w:tr>
        <w:trPr>
          <w:trHeight w:val="172"/>
        </w:trPr>
        <w:tc>
          <w:tcPr>
            <w:tcW w:w="60" w:type="dxa"/>
            <w:vAlign w:val="bottom"/>
            <w:shd w:val="clear" w:color="auto" w:fill="000000"/>
          </w:tcPr>
          <w:p>
            <w:pPr>
              <w:spacing w:after="0"/>
              <w:rPr>
                <w:sz w:val="14"/>
                <w:szCs w:val="14"/>
                <w:color w:val="auto"/>
              </w:rPr>
            </w:pPr>
          </w:p>
        </w:tc>
        <w:tc>
          <w:tcPr>
            <w:tcW w:w="2760" w:type="dxa"/>
            <w:vAlign w:val="bottom"/>
            <w:shd w:val="clear" w:color="auto" w:fill="000000"/>
          </w:tcPr>
          <w:p>
            <w:pPr>
              <w:spacing w:after="0"/>
              <w:rPr>
                <w:sz w:val="14"/>
                <w:szCs w:val="14"/>
                <w:color w:val="auto"/>
              </w:rPr>
            </w:pPr>
          </w:p>
        </w:tc>
        <w:tc>
          <w:tcPr>
            <w:tcW w:w="188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900" w:type="dxa"/>
            <w:vAlign w:val="bottom"/>
            <w:shd w:val="clear" w:color="auto" w:fill="000000"/>
          </w:tcPr>
          <w:p>
            <w:pPr>
              <w:jc w:val="center"/>
              <w:ind w:left="232"/>
              <w:spacing w:after="0"/>
              <w:rPr>
                <w:sz w:val="20"/>
                <w:szCs w:val="20"/>
                <w:color w:val="auto"/>
              </w:rPr>
            </w:pPr>
            <w:r>
              <w:rPr>
                <w:rFonts w:ascii="Arial" w:cs="Arial" w:eastAsia="Arial" w:hAnsi="Arial"/>
                <w:sz w:val="13"/>
                <w:szCs w:val="13"/>
                <w:b w:val="1"/>
                <w:bCs w:val="1"/>
                <w:color w:val="FEFEFE"/>
                <w:w w:val="97"/>
              </w:rPr>
              <w:t>(Number of Months)</w:t>
            </w:r>
          </w:p>
        </w:tc>
        <w:tc>
          <w:tcPr>
            <w:tcW w:w="40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740" w:type="dxa"/>
            <w:vAlign w:val="bottom"/>
            <w:shd w:val="clear" w:color="auto" w:fill="000000"/>
          </w:tcPr>
          <w:p>
            <w:pPr>
              <w:jc w:val="center"/>
              <w:ind w:left="152"/>
              <w:spacing w:after="0"/>
              <w:rPr>
                <w:sz w:val="20"/>
                <w:szCs w:val="20"/>
                <w:color w:val="auto"/>
              </w:rPr>
            </w:pPr>
            <w:r>
              <w:rPr>
                <w:rFonts w:ascii="Arial" w:cs="Arial" w:eastAsia="Arial" w:hAnsi="Arial"/>
                <w:sz w:val="13"/>
                <w:szCs w:val="13"/>
                <w:b w:val="1"/>
                <w:bCs w:val="1"/>
                <w:color w:val="FEFEFE"/>
                <w:w w:val="97"/>
              </w:rPr>
              <w:t>(Number of Months)</w:t>
            </w:r>
          </w:p>
        </w:tc>
        <w:tc>
          <w:tcPr>
            <w:tcW w:w="420" w:type="dxa"/>
            <w:vAlign w:val="bottom"/>
            <w:shd w:val="clear" w:color="auto" w:fill="000000"/>
          </w:tcPr>
          <w:p>
            <w:pPr>
              <w:spacing w:after="0"/>
              <w:rPr>
                <w:sz w:val="14"/>
                <w:szCs w:val="14"/>
                <w:color w:val="auto"/>
              </w:rPr>
            </w:pPr>
          </w:p>
        </w:tc>
      </w:tr>
      <w:tr>
        <w:trPr>
          <w:trHeight w:val="130"/>
        </w:trPr>
        <w:tc>
          <w:tcPr>
            <w:tcW w:w="60" w:type="dxa"/>
            <w:vAlign w:val="bottom"/>
            <w:shd w:val="clear" w:color="auto" w:fill="000000"/>
          </w:tcPr>
          <w:p>
            <w:pPr>
              <w:spacing w:after="0"/>
              <w:rPr>
                <w:sz w:val="11"/>
                <w:szCs w:val="11"/>
                <w:color w:val="auto"/>
              </w:rPr>
            </w:pPr>
          </w:p>
        </w:tc>
        <w:tc>
          <w:tcPr>
            <w:tcW w:w="2760" w:type="dxa"/>
            <w:vAlign w:val="bottom"/>
            <w:shd w:val="clear" w:color="auto" w:fill="000000"/>
          </w:tcPr>
          <w:p>
            <w:pPr>
              <w:spacing w:after="0"/>
              <w:rPr>
                <w:sz w:val="11"/>
                <w:szCs w:val="11"/>
                <w:color w:val="auto"/>
              </w:rPr>
            </w:pPr>
          </w:p>
        </w:tc>
        <w:tc>
          <w:tcPr>
            <w:tcW w:w="188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900" w:type="dxa"/>
            <w:vAlign w:val="bottom"/>
            <w:shd w:val="clear" w:color="auto" w:fill="000000"/>
          </w:tcPr>
          <w:p>
            <w:pPr>
              <w:spacing w:after="0"/>
              <w:rPr>
                <w:sz w:val="11"/>
                <w:szCs w:val="11"/>
                <w:color w:val="auto"/>
              </w:rPr>
            </w:pPr>
          </w:p>
        </w:tc>
        <w:tc>
          <w:tcPr>
            <w:tcW w:w="40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74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r>
      <w:tr>
        <w:trPr>
          <w:trHeight w:val="41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Mr. Rawlinson</w:t>
            </w:r>
          </w:p>
        </w:tc>
        <w:tc>
          <w:tcPr>
            <w:tcW w:w="188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center"/>
              <w:ind w:left="15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ind w:left="8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​18</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 ​</w:t>
            </w: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Ms. House</w:t>
            </w:r>
          </w:p>
        </w:tc>
        <w:tc>
          <w:tcPr>
            <w:tcW w:w="1880" w:type="dxa"/>
            <w:vAlign w:val="bottom"/>
            <w:tcBorders>
              <w:bottom w:val="single" w:sz="8" w:color="auto"/>
            </w:tcBorders>
            <w:shd w:val="clear" w:color="auto" w:fill="F7F7F7"/>
          </w:tcPr>
          <w:p>
            <w:pPr>
              <w:ind w:left="1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F7F7F7"/>
          </w:tcPr>
          <w:p>
            <w:pPr>
              <w:jc w:val="center"/>
              <w:ind w:left="15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9</w:t>
            </w:r>
          </w:p>
        </w:tc>
        <w:tc>
          <w:tcPr>
            <w:tcW w:w="400" w:type="dxa"/>
            <w:vAlign w:val="bottom"/>
            <w:tcBorders>
              <w:bottom w:val="single" w:sz="8" w:color="auto"/>
            </w:tcBorders>
            <w:shd w:val="clear" w:color="auto" w:fill="F7F7F7"/>
          </w:tcPr>
          <w:p>
            <w:pPr>
              <w:ind w:left="220"/>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F7F7F7"/>
          </w:tcPr>
          <w:p>
            <w:pPr>
              <w:ind w:left="8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w:t>
            </w:r>
          </w:p>
        </w:tc>
        <w:tc>
          <w:tcPr>
            <w:tcW w:w="4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 ​</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Mr. Bach</w:t>
            </w:r>
          </w:p>
        </w:tc>
        <w:tc>
          <w:tcPr>
            <w:tcW w:w="1880" w:type="dxa"/>
            <w:vAlign w:val="bottom"/>
            <w:tcBorders>
              <w:bottom w:val="single" w:sz="8" w:color="auto"/>
            </w:tcBorders>
          </w:tcPr>
          <w:p>
            <w:pPr>
              <w:ind w:left="1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center"/>
              <w:ind w:left="15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9</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ind w:left="8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 ​</w:t>
            </w: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76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Mr. Bell</w:t>
            </w:r>
          </w:p>
        </w:tc>
        <w:tc>
          <w:tcPr>
            <w:tcW w:w="1880" w:type="dxa"/>
            <w:vAlign w:val="bottom"/>
            <w:tcBorders>
              <w:bottom w:val="single" w:sz="8" w:color="auto"/>
            </w:tcBorders>
            <w:shd w:val="clear" w:color="auto" w:fill="F7F7F7"/>
          </w:tcPr>
          <w:p>
            <w:pPr>
              <w:ind w:left="1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F7F7F7"/>
          </w:tcPr>
          <w:p>
            <w:pPr>
              <w:jc w:val="center"/>
              <w:ind w:left="15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9</w:t>
            </w:r>
          </w:p>
        </w:tc>
        <w:tc>
          <w:tcPr>
            <w:tcW w:w="400" w:type="dxa"/>
            <w:vAlign w:val="bottom"/>
            <w:tcBorders>
              <w:bottom w:val="single" w:sz="8" w:color="auto"/>
            </w:tcBorders>
            <w:shd w:val="clear" w:color="auto" w:fill="F7F7F7"/>
          </w:tcPr>
          <w:p>
            <w:pPr>
              <w:ind w:left="220"/>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F7F7F7"/>
          </w:tcPr>
          <w:p>
            <w:pPr>
              <w:ind w:left="8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w:t>
            </w:r>
          </w:p>
        </w:tc>
        <w:tc>
          <w:tcPr>
            <w:tcW w:w="4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 ​</w:t>
            </w:r>
          </w:p>
        </w:tc>
      </w:tr>
    </w:tbl>
    <w:p>
      <w:pPr>
        <w:spacing w:after="0" w:line="215" w:lineRule="exact"/>
        <w:rPr>
          <w:sz w:val="20"/>
          <w:szCs w:val="20"/>
          <w:color w:val="auto"/>
        </w:rPr>
      </w:pPr>
    </w:p>
    <w:p>
      <w:pPr>
        <w:ind w:left="660" w:right="120"/>
        <w:spacing w:after="0" w:line="288" w:lineRule="auto"/>
        <w:rPr>
          <w:sz w:val="20"/>
          <w:szCs w:val="20"/>
          <w:color w:val="auto"/>
        </w:rPr>
      </w:pPr>
      <w:r>
        <w:rPr>
          <w:rFonts w:ascii="Arial" w:cs="Arial" w:eastAsia="Arial" w:hAnsi="Arial"/>
          <w:sz w:val="16"/>
          <w:szCs w:val="16"/>
          <w:color w:val="auto"/>
        </w:rPr>
        <w:t>Under the terms of the Lucid Group, Inc. Vesting Acceleration Policy for Death and Disability (the “Acceleration Policy”), our NEOs are also entitled to accelerated vesting of all outstanding unvested time-based and performance-based equity awards in the event of death or disability, except to the extent the policy would be inconsistent with the terms or provisions of any award agreement, employment agreement, or other plan or agreement. The Acceleration Policy also does not apply to any equity awards granted to Mr. Rawlinson prior to September 15, 2021, the date the Acceleration Policy was adopted (including the CEO Grant). Each NEO’s severance entitlements upon certain terminations of employment and/or a change in control are described in more detail below under “Potential Payments Upon Termination or Change in Control.”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2021 CEO Grant</w:t>
      </w:r>
    </w:p>
    <w:p>
      <w:pPr>
        <w:spacing w:after="0" w:line="185" w:lineRule="exact"/>
        <w:rPr>
          <w:sz w:val="20"/>
          <w:szCs w:val="20"/>
          <w:color w:val="auto"/>
        </w:rPr>
      </w:pPr>
    </w:p>
    <w:p>
      <w:pPr>
        <w:ind w:left="660" w:right="440"/>
        <w:spacing w:after="0" w:line="295" w:lineRule="auto"/>
        <w:rPr>
          <w:sz w:val="20"/>
          <w:szCs w:val="20"/>
          <w:color w:val="auto"/>
        </w:rPr>
      </w:pPr>
      <w:r>
        <w:rPr>
          <w:rFonts w:ascii="Arial" w:cs="Arial" w:eastAsia="Arial" w:hAnsi="Arial"/>
          <w:sz w:val="16"/>
          <w:szCs w:val="16"/>
          <w:color w:val="auto"/>
        </w:rPr>
        <w:t>In March 2021, shortly after Atieva and Churchill signed the agreement for the merger of a merger subsidiary of Churchill and Atieva, with Atieva surviving such merger as a wholly owned subsidiary of Churchill (the “Merger Agreement” and the consummation of such merger, the “Merger”), the Board of Directors of Atieva approved a special restricted stock unit grant to Mr. Rawlinson (“CEO Grant”), of:</w:t>
      </w:r>
    </w:p>
    <w:p>
      <w:pPr>
        <w:spacing w:after="0" w:line="94" w:lineRule="exact"/>
        <w:rPr>
          <w:sz w:val="20"/>
          <w:szCs w:val="20"/>
          <w:color w:val="auto"/>
        </w:rPr>
      </w:pPr>
    </w:p>
    <w:p>
      <w:pPr>
        <w:ind w:left="820" w:right="220" w:hanging="166"/>
        <w:spacing w:after="0" w:line="301" w:lineRule="auto"/>
        <w:tabs>
          <w:tab w:leader="none" w:pos="820" w:val="left"/>
        </w:tabs>
        <w:numPr>
          <w:ilvl w:val="0"/>
          <w:numId w:val="33"/>
        </w:numPr>
        <w:rPr>
          <w:rFonts w:ascii="Arial" w:cs="Arial" w:eastAsia="Arial" w:hAnsi="Arial"/>
          <w:sz w:val="16"/>
          <w:szCs w:val="16"/>
          <w:color w:val="8A6B24"/>
        </w:rPr>
      </w:pPr>
      <w:r>
        <w:rPr>
          <w:rFonts w:ascii="Arial" w:cs="Arial" w:eastAsia="Arial" w:hAnsi="Arial"/>
          <w:sz w:val="16"/>
          <w:szCs w:val="16"/>
          <w:color w:val="auto"/>
        </w:rPr>
        <w:t>13,834,748 time-based vesting restricted stock units, subject to ratable vesting over four years (the “CEO Time-Based RSUs”). Subject to Mr. Rawlinson’s continued employment on each vesting date, the CEO Time-Based RSUs vest in sixteen equal quarterly installments beginning on December 5, 2021.</w:t>
      </w:r>
    </w:p>
    <w:p>
      <w:pPr>
        <w:spacing w:after="0" w:line="90" w:lineRule="exact"/>
        <w:rPr>
          <w:rFonts w:ascii="Arial" w:cs="Arial" w:eastAsia="Arial" w:hAnsi="Arial"/>
          <w:sz w:val="16"/>
          <w:szCs w:val="16"/>
          <w:color w:val="8A6B24"/>
        </w:rPr>
      </w:pPr>
    </w:p>
    <w:p>
      <w:pPr>
        <w:ind w:left="820" w:right="140" w:hanging="166"/>
        <w:spacing w:after="0" w:line="286" w:lineRule="auto"/>
        <w:tabs>
          <w:tab w:leader="none" w:pos="820" w:val="left"/>
        </w:tabs>
        <w:numPr>
          <w:ilvl w:val="0"/>
          <w:numId w:val="33"/>
        </w:numPr>
        <w:rPr>
          <w:rFonts w:ascii="Arial" w:cs="Arial" w:eastAsia="Arial" w:hAnsi="Arial"/>
          <w:sz w:val="16"/>
          <w:szCs w:val="16"/>
          <w:color w:val="8A6B24"/>
        </w:rPr>
      </w:pPr>
      <w:r>
        <w:rPr>
          <w:rFonts w:ascii="Arial" w:cs="Arial" w:eastAsia="Arial" w:hAnsi="Arial"/>
          <w:sz w:val="16"/>
          <w:szCs w:val="16"/>
          <w:color w:val="auto"/>
        </w:rPr>
        <w:t>16,024,411 performance-based restricted stock units, subject to vesting in five tranches with each tranche tied to the attainment of market capitalization goals over the course of a five-year performance period as outlined below (the “CEO Performance RSUs”). Each tranche vests at higher multiples of the initial equity valuation of Atieva in connection with the Merger Agreement of  $11.75 billion and only when the multiple associated with each vesting tranche is sustained over a rolling six-month period, subject to Mr. Rawlinson’s continued employment through the applicable vesting date. The six-month market capitalization is calculated based on (i) the volume weighted average trading price per share over any six-month period multiplied by (ii) the average of the total number of outstanding shares of our Common Stock reported in a public filing for the two most recently completed quarterly reporting periods. This measurement period was designed to reward Mr. Rawlinson only if a sustained growth in Lucid’s market capitalization is achieved. The six-month market capitalization target for each tranche is as follows:</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​50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24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960" w:type="dxa"/>
            <w:vAlign w:val="bottom"/>
            <w:shd w:val="clear" w:color="auto" w:fill="000000"/>
          </w:tcPr>
          <w:p>
            <w:pPr>
              <w:spacing w:after="0"/>
              <w:rPr>
                <w:sz w:val="13"/>
                <w:szCs w:val="13"/>
                <w:color w:val="auto"/>
              </w:rPr>
            </w:pPr>
          </w:p>
        </w:tc>
        <w:tc>
          <w:tcPr>
            <w:tcW w:w="12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108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000000"/>
          </w:tcPr>
          <w:p>
            <w:pPr>
              <w:spacing w:after="0"/>
              <w:rPr>
                <w:sz w:val="13"/>
                <w:szCs w:val="13"/>
                <w:color w:val="auto"/>
              </w:rPr>
            </w:pPr>
          </w:p>
        </w:tc>
        <w:tc>
          <w:tcPr>
            <w:tcW w:w="1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 ​</w:t>
            </w:r>
          </w:p>
        </w:tc>
        <w:tc>
          <w:tcPr>
            <w:tcW w:w="1000" w:type="dxa"/>
            <w:vAlign w:val="bottom"/>
            <w:shd w:val="clear" w:color="auto" w:fill="000000"/>
          </w:tcPr>
          <w:p>
            <w:pPr>
              <w:ind w:left="96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00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Multiple of Initial</w:t>
            </w:r>
          </w:p>
        </w:tc>
        <w:tc>
          <w:tcPr>
            <w:tcW w:w="14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72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EFEFE"/>
                <w:w w:val="96"/>
              </w:rPr>
              <w:t>Cumulative</w:t>
            </w:r>
          </w:p>
        </w:tc>
        <w:tc>
          <w:tcPr>
            <w:tcW w:w="24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60" w:type="dxa"/>
            <w:vAlign w:val="bottom"/>
            <w:shd w:val="clear" w:color="auto" w:fill="000000"/>
          </w:tcPr>
          <w:p>
            <w:pPr>
              <w:spacing w:after="0"/>
              <w:rPr>
                <w:sz w:val="11"/>
                <w:szCs w:val="11"/>
                <w:color w:val="auto"/>
              </w:rPr>
            </w:pPr>
          </w:p>
        </w:tc>
        <w:tc>
          <w:tcPr>
            <w:tcW w:w="2480" w:type="dxa"/>
            <w:vAlign w:val="bottom"/>
            <w:shd w:val="clear" w:color="auto" w:fill="000000"/>
          </w:tcPr>
          <w:p>
            <w:pPr>
              <w:ind w:left="80"/>
              <w:spacing w:after="0" w:line="135" w:lineRule="exact"/>
              <w:rPr>
                <w:sz w:val="20"/>
                <w:szCs w:val="20"/>
                <w:color w:val="auto"/>
              </w:rPr>
            </w:pPr>
            <w:r>
              <w:rPr>
                <w:rFonts w:ascii="Arial" w:cs="Arial" w:eastAsia="Arial" w:hAnsi="Arial"/>
                <w:sz w:val="13"/>
                <w:szCs w:val="13"/>
                <w:b w:val="1"/>
                <w:bCs w:val="1"/>
                <w:color w:val="FEFEFE"/>
              </w:rPr>
              <w:t>Tranche</w:t>
            </w:r>
          </w:p>
        </w:tc>
        <w:tc>
          <w:tcPr>
            <w:tcW w:w="196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080" w:type="dxa"/>
            <w:vAlign w:val="bottom"/>
            <w:shd w:val="clear" w:color="auto" w:fill="000000"/>
          </w:tcPr>
          <w:p>
            <w:pPr>
              <w:jc w:val="center"/>
              <w:ind w:left="71"/>
              <w:spacing w:after="0" w:line="135" w:lineRule="exact"/>
              <w:rPr>
                <w:sz w:val="20"/>
                <w:szCs w:val="20"/>
                <w:color w:val="auto"/>
              </w:rPr>
            </w:pPr>
            <w:r>
              <w:rPr>
                <w:rFonts w:ascii="Arial" w:cs="Arial" w:eastAsia="Arial" w:hAnsi="Arial"/>
                <w:sz w:val="13"/>
                <w:szCs w:val="13"/>
                <w:b w:val="1"/>
                <w:bCs w:val="1"/>
                <w:color w:val="FEFEFE"/>
                <w:w w:val="98"/>
              </w:rPr>
              <w:t># of CEO</w:t>
            </w:r>
          </w:p>
        </w:tc>
        <w:tc>
          <w:tcPr>
            <w:tcW w:w="1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1000" w:type="dxa"/>
            <w:vAlign w:val="bottom"/>
            <w:shd w:val="clear" w:color="auto" w:fill="000000"/>
          </w:tcPr>
          <w:p>
            <w:pPr>
              <w:jc w:val="center"/>
              <w:ind w:right="52"/>
              <w:spacing w:after="0" w:line="135" w:lineRule="exact"/>
              <w:rPr>
                <w:sz w:val="20"/>
                <w:szCs w:val="20"/>
                <w:color w:val="auto"/>
              </w:rPr>
            </w:pPr>
            <w:r>
              <w:rPr>
                <w:rFonts w:ascii="Arial" w:cs="Arial" w:eastAsia="Arial" w:hAnsi="Arial"/>
                <w:sz w:val="13"/>
                <w:szCs w:val="13"/>
                <w:b w:val="1"/>
                <w:bCs w:val="1"/>
                <w:color w:val="FEFEFE"/>
                <w:w w:val="94"/>
              </w:rPr>
              <w:t>6-Month</w:t>
            </w:r>
          </w:p>
        </w:tc>
        <w:tc>
          <w:tcPr>
            <w:tcW w:w="120" w:type="dxa"/>
            <w:vAlign w:val="bottom"/>
            <w:shd w:val="clear" w:color="auto" w:fill="000000"/>
          </w:tcPr>
          <w:p>
            <w:pPr>
              <w:spacing w:after="0"/>
              <w:rPr>
                <w:sz w:val="11"/>
                <w:szCs w:val="11"/>
                <w:color w:val="auto"/>
              </w:rPr>
            </w:pPr>
          </w:p>
        </w:tc>
        <w:tc>
          <w:tcPr>
            <w:tcW w:w="1000" w:type="dxa"/>
            <w:vAlign w:val="bottom"/>
            <w:vMerge w:val="continue"/>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720" w:type="dxa"/>
            <w:vAlign w:val="bottom"/>
            <w:vMerge w:val="continue"/>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2480" w:type="dxa"/>
            <w:vAlign w:val="bottom"/>
            <w:shd w:val="clear" w:color="auto" w:fill="000000"/>
          </w:tcPr>
          <w:p>
            <w:pPr>
              <w:spacing w:after="0"/>
              <w:rPr>
                <w:sz w:val="12"/>
                <w:szCs w:val="12"/>
                <w:color w:val="auto"/>
              </w:rPr>
            </w:pPr>
          </w:p>
        </w:tc>
        <w:tc>
          <w:tcPr>
            <w:tcW w:w="196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6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Performance RSUs</w:t>
            </w:r>
          </w:p>
        </w:tc>
        <w:tc>
          <w:tcPr>
            <w:tcW w:w="160" w:type="dxa"/>
            <w:vAlign w:val="bottom"/>
            <w:shd w:val="clear" w:color="auto" w:fill="000000"/>
          </w:tcPr>
          <w:p>
            <w:pPr>
              <w:spacing w:after="0"/>
              <w:rPr>
                <w:sz w:val="12"/>
                <w:szCs w:val="12"/>
                <w:color w:val="auto"/>
              </w:rPr>
            </w:pPr>
          </w:p>
        </w:tc>
        <w:tc>
          <w:tcPr>
            <w:tcW w:w="1000" w:type="dxa"/>
            <w:vAlign w:val="bottom"/>
            <w:shd w:val="clear" w:color="auto" w:fill="000000"/>
          </w:tcPr>
          <w:p>
            <w:pPr>
              <w:jc w:val="center"/>
              <w:ind w:right="52"/>
              <w:spacing w:after="0"/>
              <w:rPr>
                <w:sz w:val="20"/>
                <w:szCs w:val="20"/>
                <w:color w:val="auto"/>
              </w:rPr>
            </w:pPr>
            <w:r>
              <w:rPr>
                <w:rFonts w:ascii="Arial" w:cs="Arial" w:eastAsia="Arial" w:hAnsi="Arial"/>
                <w:sz w:val="13"/>
                <w:szCs w:val="13"/>
                <w:b w:val="1"/>
                <w:bCs w:val="1"/>
                <w:color w:val="FEFEFE"/>
                <w:w w:val="95"/>
              </w:rPr>
              <w:t>Market</w:t>
            </w:r>
          </w:p>
        </w:tc>
        <w:tc>
          <w:tcPr>
            <w:tcW w:w="120" w:type="dxa"/>
            <w:vAlign w:val="bottom"/>
            <w:shd w:val="clear" w:color="auto" w:fill="000000"/>
          </w:tcPr>
          <w:p>
            <w:pPr>
              <w:spacing w:after="0"/>
              <w:rPr>
                <w:sz w:val="12"/>
                <w:szCs w:val="12"/>
                <w:color w:val="auto"/>
              </w:rPr>
            </w:pPr>
          </w:p>
        </w:tc>
        <w:tc>
          <w:tcPr>
            <w:tcW w:w="1000" w:type="dxa"/>
            <w:vAlign w:val="bottom"/>
            <w:shd w:val="clear" w:color="auto" w:fill="000000"/>
          </w:tcPr>
          <w:p>
            <w:pPr>
              <w:jc w:val="center"/>
              <w:spacing w:after="0" w:line="148" w:lineRule="exact"/>
              <w:rPr>
                <w:sz w:val="20"/>
                <w:szCs w:val="20"/>
                <w:color w:val="auto"/>
              </w:rPr>
            </w:pPr>
            <w:r>
              <w:rPr>
                <w:rFonts w:ascii="Arial" w:cs="Arial" w:eastAsia="Arial" w:hAnsi="Arial"/>
                <w:sz w:val="13"/>
                <w:szCs w:val="13"/>
                <w:b w:val="1"/>
                <w:bCs w:val="1"/>
                <w:color w:val="FEFEFE"/>
                <w:w w:val="92"/>
              </w:rPr>
              <w:t>Valuation</w:t>
            </w:r>
            <w:r>
              <w:rPr>
                <w:rFonts w:ascii="Arial" w:cs="Arial" w:eastAsia="Arial" w:hAnsi="Arial"/>
                <w:sz w:val="16"/>
                <w:szCs w:val="16"/>
                <w:b w:val="1"/>
                <w:bCs w:val="1"/>
                <w:color w:val="FEFEFE"/>
                <w:w w:val="92"/>
                <w:vertAlign w:val="superscript"/>
              </w:rPr>
              <w:t>(1)</w:t>
            </w:r>
          </w:p>
        </w:tc>
        <w:tc>
          <w:tcPr>
            <w:tcW w:w="14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960" w:type="dxa"/>
            <w:vAlign w:val="bottom"/>
            <w:gridSpan w:val="2"/>
            <w:shd w:val="clear" w:color="auto" w:fill="000000"/>
          </w:tcPr>
          <w:p>
            <w:pPr>
              <w:spacing w:after="0"/>
              <w:rPr>
                <w:sz w:val="20"/>
                <w:szCs w:val="20"/>
                <w:color w:val="auto"/>
              </w:rPr>
            </w:pPr>
            <w:r>
              <w:rPr>
                <w:rFonts w:ascii="Arial" w:cs="Arial" w:eastAsia="Arial" w:hAnsi="Arial"/>
                <w:sz w:val="13"/>
                <w:szCs w:val="13"/>
                <w:b w:val="1"/>
                <w:bCs w:val="1"/>
                <w:color w:val="FEFEFE"/>
              </w:rPr>
              <w:t>Growth Rate</w:t>
            </w: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2480" w:type="dxa"/>
            <w:vAlign w:val="bottom"/>
            <w:shd w:val="clear" w:color="auto" w:fill="000000"/>
          </w:tcPr>
          <w:p>
            <w:pPr>
              <w:spacing w:after="0"/>
              <w:rPr>
                <w:sz w:val="14"/>
                <w:szCs w:val="14"/>
                <w:color w:val="auto"/>
              </w:rPr>
            </w:pPr>
          </w:p>
        </w:tc>
        <w:tc>
          <w:tcPr>
            <w:tcW w:w="196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1000" w:type="dxa"/>
            <w:vAlign w:val="bottom"/>
            <w:shd w:val="clear" w:color="auto" w:fill="000000"/>
          </w:tcPr>
          <w:p>
            <w:pPr>
              <w:jc w:val="center"/>
              <w:ind w:right="32"/>
              <w:spacing w:after="0"/>
              <w:rPr>
                <w:sz w:val="20"/>
                <w:szCs w:val="20"/>
                <w:color w:val="auto"/>
              </w:rPr>
            </w:pPr>
            <w:r>
              <w:rPr>
                <w:rFonts w:ascii="Arial" w:cs="Arial" w:eastAsia="Arial" w:hAnsi="Arial"/>
                <w:sz w:val="13"/>
                <w:szCs w:val="13"/>
                <w:b w:val="1"/>
                <w:bCs w:val="1"/>
                <w:color w:val="FEFEFE"/>
                <w:w w:val="96"/>
              </w:rPr>
              <w:t>Capitalization</w:t>
            </w:r>
          </w:p>
        </w:tc>
        <w:tc>
          <w:tcPr>
            <w:tcW w:w="12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720" w:type="dxa"/>
            <w:vAlign w:val="bottom"/>
            <w:shd w:val="clear" w:color="auto" w:fill="000000"/>
          </w:tcPr>
          <w:p>
            <w:pPr>
              <w:spacing w:after="0"/>
              <w:rPr>
                <w:sz w:val="14"/>
                <w:szCs w:val="14"/>
                <w:color w:val="auto"/>
              </w:rPr>
            </w:pPr>
          </w:p>
        </w:tc>
        <w:tc>
          <w:tcPr>
            <w:tcW w:w="24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 w:type="dxa"/>
            <w:vAlign w:val="bottom"/>
            <w:shd w:val="clear" w:color="auto" w:fill="000000"/>
          </w:tcPr>
          <w:p>
            <w:pPr>
              <w:spacing w:after="0"/>
              <w:rPr>
                <w:sz w:val="11"/>
                <w:szCs w:val="11"/>
                <w:color w:val="auto"/>
              </w:rPr>
            </w:pPr>
          </w:p>
        </w:tc>
        <w:tc>
          <w:tcPr>
            <w:tcW w:w="2480" w:type="dxa"/>
            <w:vAlign w:val="bottom"/>
            <w:shd w:val="clear" w:color="auto" w:fill="000000"/>
          </w:tcPr>
          <w:p>
            <w:pPr>
              <w:spacing w:after="0"/>
              <w:rPr>
                <w:sz w:val="11"/>
                <w:szCs w:val="11"/>
                <w:color w:val="auto"/>
              </w:rPr>
            </w:pPr>
          </w:p>
        </w:tc>
        <w:tc>
          <w:tcPr>
            <w:tcW w:w="196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720" w:type="dxa"/>
            <w:vAlign w:val="bottom"/>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41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1</w:t>
            </w:r>
          </w:p>
        </w:tc>
        <w:tc>
          <w:tcPr>
            <w:tcW w:w="196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9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3,483,568</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$23.50 billion </w:t>
            </w:r>
            <w:r>
              <w:rPr>
                <w:rFonts w:ascii="Arial" w:cs="Arial" w:eastAsia="Arial" w:hAnsi="Arial"/>
                <w:sz w:val="28"/>
                <w:szCs w:val="28"/>
                <w:color w:val="auto"/>
                <w:vertAlign w:val="subscript"/>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​2X</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​100%</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b w:val="1"/>
                <w:bCs w:val="1"/>
                <w:color w:val="auto"/>
              </w:rPr>
              <w:t>2</w:t>
            </w:r>
          </w:p>
        </w:tc>
        <w:tc>
          <w:tcPr>
            <w:tcW w:w="1960" w:type="dxa"/>
            <w:vAlign w:val="bottom"/>
            <w:tcBorders>
              <w:bottom w:val="single" w:sz="8" w:color="auto"/>
            </w:tcBorders>
            <w:shd w:val="clear" w:color="auto" w:fill="F7F7F7"/>
          </w:tcPr>
          <w:p>
            <w:pPr>
              <w:ind w:left="1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jc w:val="center"/>
              <w:ind w:left="9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3,483,568</w:t>
            </w:r>
          </w:p>
        </w:tc>
        <w:tc>
          <w:tcPr>
            <w:tcW w:w="18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 xml:space="preserve">$35.25 billion </w:t>
            </w:r>
            <w:r>
              <w:rPr>
                <w:rFonts w:ascii="Arial" w:cs="Arial" w:eastAsia="Arial" w:hAnsi="Arial"/>
                <w:sz w:val="28"/>
                <w:szCs w:val="28"/>
                <w:color w:val="auto"/>
                <w:vertAlign w:val="subscript"/>
              </w:rPr>
              <w:t>​</w:t>
            </w:r>
          </w:p>
        </w:tc>
        <w:tc>
          <w:tcPr>
            <w:tcW w:w="1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​3X</w:t>
            </w:r>
          </w:p>
        </w:tc>
        <w:tc>
          <w:tcPr>
            <w:tcW w:w="14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F7F7F7"/>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​200%</w:t>
            </w:r>
          </w:p>
        </w:tc>
        <w:tc>
          <w:tcPr>
            <w:tcW w:w="2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3</w:t>
            </w:r>
          </w:p>
        </w:tc>
        <w:tc>
          <w:tcPr>
            <w:tcW w:w="196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9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3,483,568</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$47.00 billion </w:t>
            </w:r>
            <w:r>
              <w:rPr>
                <w:rFonts w:ascii="Arial" w:cs="Arial" w:eastAsia="Arial" w:hAnsi="Arial"/>
                <w:sz w:val="28"/>
                <w:szCs w:val="28"/>
                <w:color w:val="auto"/>
                <w:vertAlign w:val="subscript"/>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​4X</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​300%</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b w:val="1"/>
                <w:bCs w:val="1"/>
                <w:color w:val="auto"/>
              </w:rPr>
              <w:t>4</w:t>
            </w:r>
          </w:p>
        </w:tc>
        <w:tc>
          <w:tcPr>
            <w:tcW w:w="1960" w:type="dxa"/>
            <w:vAlign w:val="bottom"/>
            <w:tcBorders>
              <w:bottom w:val="single" w:sz="8" w:color="auto"/>
            </w:tcBorders>
            <w:shd w:val="clear" w:color="auto" w:fill="F7F7F7"/>
          </w:tcPr>
          <w:p>
            <w:pPr>
              <w:ind w:left="1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jc w:val="center"/>
              <w:ind w:left="9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3,483,568</w:t>
            </w:r>
          </w:p>
        </w:tc>
        <w:tc>
          <w:tcPr>
            <w:tcW w:w="18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 xml:space="preserve">$58.75 billion </w:t>
            </w:r>
            <w:r>
              <w:rPr>
                <w:rFonts w:ascii="Arial" w:cs="Arial" w:eastAsia="Arial" w:hAnsi="Arial"/>
                <w:sz w:val="28"/>
                <w:szCs w:val="28"/>
                <w:color w:val="auto"/>
                <w:vertAlign w:val="subscript"/>
              </w:rPr>
              <w:t>​</w:t>
            </w:r>
          </w:p>
        </w:tc>
        <w:tc>
          <w:tcPr>
            <w:tcW w:w="1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​5X</w:t>
            </w:r>
          </w:p>
        </w:tc>
        <w:tc>
          <w:tcPr>
            <w:tcW w:w="14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F7F7F7"/>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​400%</w:t>
            </w:r>
          </w:p>
        </w:tc>
        <w:tc>
          <w:tcPr>
            <w:tcW w:w="2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5</w:t>
            </w:r>
          </w:p>
        </w:tc>
        <w:tc>
          <w:tcPr>
            <w:tcW w:w="1960" w:type="dxa"/>
            <w:vAlign w:val="bottom"/>
            <w:tcBorders>
              <w:bottom w:val="single" w:sz="8" w:color="auto"/>
            </w:tcBorders>
          </w:tcPr>
          <w:p>
            <w:pPr>
              <w:ind w:left="1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center"/>
              <w:ind w:left="9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2,090,140</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$70.50 billion </w:t>
            </w:r>
            <w:r>
              <w:rPr>
                <w:rFonts w:ascii="Arial" w:cs="Arial" w:eastAsia="Arial" w:hAnsi="Arial"/>
                <w:sz w:val="28"/>
                <w:szCs w:val="28"/>
                <w:color w:val="auto"/>
                <w:vertAlign w:val="subscript"/>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​6X</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​500%</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780" w:hanging="126"/>
        <w:spacing w:after="0"/>
        <w:tabs>
          <w:tab w:leader="none" w:pos="780" w:val="left"/>
        </w:tabs>
        <w:numPr>
          <w:ilvl w:val="0"/>
          <w:numId w:val="34"/>
        </w:numPr>
        <w:rPr>
          <w:rFonts w:ascii="Arial" w:cs="Arial" w:eastAsia="Arial" w:hAnsi="Arial"/>
          <w:sz w:val="15"/>
          <w:szCs w:val="15"/>
          <w:color w:val="auto"/>
          <w:vertAlign w:val="superscript"/>
        </w:rPr>
      </w:pPr>
      <w:r>
        <w:rPr>
          <w:rFonts w:ascii="Arial" w:cs="Arial" w:eastAsia="Arial" w:hAnsi="Arial"/>
          <w:sz w:val="10"/>
          <w:szCs w:val="10"/>
          <w:color w:val="auto"/>
        </w:rPr>
        <w:t>Measured from the equity valuation of  $11.75 billion at the time of the Merger.</w:t>
      </w:r>
    </w:p>
    <w:p>
      <w:pPr>
        <w:spacing w:after="0" w:line="222" w:lineRule="exact"/>
        <w:rPr>
          <w:sz w:val="20"/>
          <w:szCs w:val="20"/>
          <w:color w:val="auto"/>
        </w:rPr>
      </w:pPr>
    </w:p>
    <w:p>
      <w:pPr>
        <w:ind w:left="660" w:right="80"/>
        <w:spacing w:after="0" w:line="291" w:lineRule="auto"/>
        <w:rPr>
          <w:sz w:val="20"/>
          <w:szCs w:val="20"/>
          <w:color w:val="auto"/>
        </w:rPr>
      </w:pPr>
      <w:r>
        <w:rPr>
          <w:rFonts w:ascii="Arial" w:cs="Arial" w:eastAsia="Arial" w:hAnsi="Arial"/>
          <w:sz w:val="16"/>
          <w:szCs w:val="16"/>
          <w:color w:val="auto"/>
        </w:rPr>
        <w:t>Any CEO Performance RSUs that do not vest within five years after the closing of the Merger, i.e., by July 23, 2026 (such period, the “Performance Period”), will be forfeited. Upon a termination without “cause” or upon a “constructive termination” ​(as each such term is defined in the CEO Grant award agreement), any unvested CEO Performance RSUs will remain outstanding and eligible to vest upon attainment of the applicable market capitalization goal for six months (or the end of the Performance Period, if sooner) following such termination of employment, subject to Mr. Rawlinson’s execution of a release of claims.</w:t>
      </w:r>
    </w:p>
    <w:p>
      <w:pPr>
        <w:spacing w:after="0" w:line="181" w:lineRule="exact"/>
        <w:rPr>
          <w:sz w:val="20"/>
          <w:szCs w:val="20"/>
          <w:color w:val="auto"/>
        </w:rPr>
      </w:pPr>
    </w:p>
    <w:p>
      <w:pPr>
        <w:ind w:left="660" w:right="60"/>
        <w:spacing w:after="0" w:line="288" w:lineRule="auto"/>
        <w:rPr>
          <w:sz w:val="20"/>
          <w:szCs w:val="20"/>
          <w:color w:val="auto"/>
        </w:rPr>
      </w:pPr>
      <w:r>
        <w:rPr>
          <w:rFonts w:ascii="Arial" w:cs="Arial" w:eastAsia="Arial" w:hAnsi="Arial"/>
          <w:sz w:val="16"/>
          <w:szCs w:val="16"/>
          <w:color w:val="auto"/>
        </w:rPr>
        <w:t>In the event of a change in control of Lucid, any unvested CEO Time-Based RSUs will vest (a) to the extent not assumed or substituted in connection with such change in control, subject to Mr. Rawlinson’s continued employment through the change in control, or (b) upon termination without “cause” or “constructive termination” within thirty days prior to the change in control, subject to Mr. Rawlinson’s execution of a release of claims. If the CEO Time-Based RSUs are assumed or substituted in connection with the change in control, any unvested CEO Time-Based RSUs will vest if Mr. Rawlinson experiences a termination without “cause” or “constructive termination” within twelve months following the change in control, subject to Mr. Rawlinson’s execution of a release of claims.</w:t>
      </w:r>
    </w:p>
    <w:p>
      <w:pPr>
        <w:spacing w:after="0" w:line="183" w:lineRule="exact"/>
        <w:rPr>
          <w:sz w:val="20"/>
          <w:szCs w:val="20"/>
          <w:color w:val="auto"/>
        </w:rPr>
      </w:pPr>
    </w:p>
    <w:p>
      <w:pPr>
        <w:ind w:left="660" w:right="140"/>
        <w:spacing w:after="0" w:line="291" w:lineRule="auto"/>
        <w:rPr>
          <w:sz w:val="20"/>
          <w:szCs w:val="20"/>
          <w:color w:val="auto"/>
        </w:rPr>
      </w:pPr>
      <w:r>
        <w:rPr>
          <w:rFonts w:ascii="Arial" w:cs="Arial" w:eastAsia="Arial" w:hAnsi="Arial"/>
          <w:sz w:val="16"/>
          <w:szCs w:val="16"/>
          <w:color w:val="auto"/>
        </w:rPr>
        <w:t>With respect to the CEO Performance RSUs, subject to Mr. Rawlinson’s continued service through the change in control, any unvested CEO Performance RSUs will vest on the change in control to the extent the per share deal price multiplied by the total number of outstanding shares of our Common Stock exceeds the applicable market capitalization goal. In addition, upon a private financing or public offering of our Common Stock with proceeds of at least $1 billion, if the price per share implied by the financing exceeds the applicable market capitalization goal, the CEO Performance RSUs associated with such goal will vest.</w:t>
      </w:r>
    </w:p>
    <w:p>
      <w:pPr>
        <w:spacing w:after="0" w:line="181" w:lineRule="exact"/>
        <w:rPr>
          <w:sz w:val="20"/>
          <w:szCs w:val="20"/>
          <w:color w:val="auto"/>
        </w:rPr>
      </w:pPr>
    </w:p>
    <w:p>
      <w:pPr>
        <w:ind w:left="660" w:right="300"/>
        <w:spacing w:after="0" w:line="295" w:lineRule="auto"/>
        <w:rPr>
          <w:sz w:val="20"/>
          <w:szCs w:val="20"/>
          <w:color w:val="auto"/>
        </w:rPr>
      </w:pPr>
      <w:r>
        <w:rPr>
          <w:rFonts w:ascii="Arial" w:cs="Arial" w:eastAsia="Arial" w:hAnsi="Arial"/>
          <w:sz w:val="16"/>
          <w:szCs w:val="16"/>
          <w:color w:val="auto"/>
        </w:rPr>
        <w:t>On March 5, 2022, the Board approved that a six-month market capitalization of  $61.98 billion of Lucid was achieved as of January 25, 2022. As a result, based on a Certification Letter provided by Aon, 13,934,272 CEO Performance RSUs relating to Tranche 1, Tranche 2, Tranche 3, and Tranche 4 vested on March 5, 2022 and were settled on March 7, 2022. As of the date of this filing, Tranche 5 is still outstanding and has not yet vested.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2022 Say-on-Pay Vote</w:t>
      </w:r>
    </w:p>
    <w:p>
      <w:pPr>
        <w:spacing w:after="0" w:line="185"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At our 2022 Annual Meeting of Stockholders, we held a non-binding advisory stockholder vote on the compensation program for our NEOs, commonly referred to as a “say-on-pay” vote. Approximately 99% of the voting power of shares voted at the 2022 Annual Meeting of Stockholders were cast in favor of our say-on-pay proposal. The Compensation Committee considered the result of this advisory vote to be an endorsement of our compensation program, policies, practices, and philosophy for our NEOs. The Compensation Committee will continue to consider the outcome of our say-on-pay votes and our stockholders’ views when making compensation decisions for our NEOs, including the outcome of Proposal No. 3 (non-binding advisory vote on the compensation of our NEOs) at the Annual Meeting. Based on the results of a separate non-binding advisory stockholder vote on the frequency of future stockholder advisory votes regarding the compensation program for our NEOs, commonly referred to as a “say on frequency” vote, held at our 2022 Annual Meeting of Stockholders, the Board determined that we will hold our say-on-pay vote every year until the next required say on frequency vote. For more information, see Proposal No. 4 (non-binding advisory vote on the frequency of future stockholder advisory votes on the compensation of our NEOs in the proxy statement for the 2022 Annual Meeting of Stockholders). We expect to hold our next advisory vote on the frequency of say-on-pay votes at our annual meeting in 2028.</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51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Stock Ownership Guidelines</w:t>
      </w:r>
    </w:p>
    <w:p>
      <w:pPr>
        <w:spacing w:after="0" w:line="172" w:lineRule="exact"/>
        <w:rPr>
          <w:sz w:val="20"/>
          <w:szCs w:val="20"/>
          <w:color w:val="auto"/>
        </w:rPr>
      </w:pPr>
    </w:p>
    <w:p>
      <w:pPr>
        <w:ind w:left="660"/>
        <w:spacing w:after="0" w:line="279" w:lineRule="auto"/>
        <w:rPr>
          <w:sz w:val="20"/>
          <w:szCs w:val="20"/>
          <w:color w:val="auto"/>
        </w:rPr>
      </w:pPr>
      <w:r>
        <w:rPr>
          <w:rFonts w:ascii="Arial" w:cs="Arial" w:eastAsia="Arial" w:hAnsi="Arial"/>
          <w:sz w:val="16"/>
          <w:szCs w:val="16"/>
          <w:color w:val="auto"/>
        </w:rPr>
        <w:t>The Board recently adopted Stock Ownership Guidelines. Under the guidelines, our non-employee directors and executives are expected to maintain a minimum equity stake in the Company. These guidelines embody the Compensation Committee’s belief that our directors and executives should maintain a significant personal financial stake in the Company to align such individuals with our stockholders’ interests, which reduces the incentive for excessive short-term risk taking. Under the guidelines, each covered individual is expected to meet the following ownership goal within five years of January 23, 2023, the effective date of the guidelines, or within five years of first election or appointment as a covered individual, whichever comes later:</w:t>
      </w:r>
    </w:p>
    <w:p>
      <w:pPr>
        <w:spacing w:after="0" w:line="21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394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700" w:type="dxa"/>
            <w:vAlign w:val="bottom"/>
            <w:shd w:val="clear" w:color="auto" w:fill="000000"/>
          </w:tcPr>
          <w:p>
            <w:pPr>
              <w:ind w:left="62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000000"/>
          </w:tcPr>
          <w:p>
            <w:pPr>
              <w:spacing w:after="0"/>
              <w:rPr>
                <w:sz w:val="13"/>
                <w:szCs w:val="13"/>
                <w:color w:val="auto"/>
              </w:rPr>
            </w:pPr>
          </w:p>
        </w:tc>
        <w:tc>
          <w:tcPr>
            <w:tcW w:w="4440" w:type="dxa"/>
            <w:vAlign w:val="bottom"/>
            <w:shd w:val="clear" w:color="auto" w:fill="000000"/>
          </w:tcPr>
          <w:p>
            <w:pPr>
              <w:ind w:left="424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72"/>
        </w:trPr>
        <w:tc>
          <w:tcPr>
            <w:tcW w:w="394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Category of Covered Individual</w:t>
            </w:r>
          </w:p>
        </w:tc>
        <w:tc>
          <w:tcPr>
            <w:tcW w:w="70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4640" w:type="dxa"/>
            <w:vAlign w:val="bottom"/>
            <w:gridSpan w:val="2"/>
            <w:shd w:val="clear" w:color="auto" w:fill="000000"/>
          </w:tcPr>
          <w:p>
            <w:pPr>
              <w:ind w:left="40"/>
              <w:spacing w:after="0"/>
              <w:rPr>
                <w:sz w:val="20"/>
                <w:szCs w:val="20"/>
                <w:color w:val="auto"/>
              </w:rPr>
            </w:pPr>
            <w:r>
              <w:rPr>
                <w:rFonts w:ascii="Arial" w:cs="Arial" w:eastAsia="Arial" w:hAnsi="Arial"/>
                <w:sz w:val="13"/>
                <w:szCs w:val="13"/>
                <w:b w:val="1"/>
                <w:bCs w:val="1"/>
                <w:color w:val="FEFEFE"/>
              </w:rPr>
              <w:t>Ownership Goal</w:t>
            </w:r>
          </w:p>
        </w:tc>
        <w:tc>
          <w:tcPr>
            <w:tcW w:w="0" w:type="dxa"/>
            <w:vAlign w:val="bottom"/>
          </w:tcPr>
          <w:p>
            <w:pPr>
              <w:spacing w:after="0"/>
              <w:rPr>
                <w:sz w:val="1"/>
                <w:szCs w:val="1"/>
                <w:color w:val="auto"/>
              </w:rPr>
            </w:pPr>
          </w:p>
        </w:tc>
      </w:tr>
      <w:tr>
        <w:trPr>
          <w:trHeight w:val="116"/>
        </w:trPr>
        <w:tc>
          <w:tcPr>
            <w:tcW w:w="3940" w:type="dxa"/>
            <w:vAlign w:val="bottom"/>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444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940" w:type="dxa"/>
            <w:vAlign w:val="bottom"/>
          </w:tcPr>
          <w:p>
            <w:pPr>
              <w:spacing w:after="0" w:line="126" w:lineRule="exact"/>
              <w:rPr>
                <w:sz w:val="20"/>
                <w:szCs w:val="20"/>
                <w:color w:val="auto"/>
              </w:rPr>
            </w:pPr>
            <w:r>
              <w:rPr>
                <w:rFonts w:ascii="Arial" w:cs="Arial" w:eastAsia="Arial" w:hAnsi="Arial"/>
                <w:sz w:val="14"/>
                <w:szCs w:val="14"/>
                <w:color w:val="auto"/>
              </w:rPr>
              <w:t>​</w:t>
            </w:r>
          </w:p>
        </w:tc>
        <w:tc>
          <w:tcPr>
            <w:tcW w:w="700" w:type="dxa"/>
            <w:vAlign w:val="bottom"/>
          </w:tcPr>
          <w:p>
            <w:pPr>
              <w:ind w:left="620"/>
              <w:spacing w:after="0" w:line="126" w:lineRule="exact"/>
              <w:rPr>
                <w:sz w:val="20"/>
                <w:szCs w:val="20"/>
                <w:color w:val="auto"/>
              </w:rPr>
            </w:pPr>
            <w:r>
              <w:rPr>
                <w:rFonts w:ascii="Arial" w:cs="Arial" w:eastAsia="Arial" w:hAnsi="Arial"/>
                <w:sz w:val="14"/>
                <w:szCs w:val="14"/>
                <w:color w:val="auto"/>
              </w:rPr>
              <w:t>​</w:t>
            </w:r>
          </w:p>
        </w:tc>
        <w:tc>
          <w:tcPr>
            <w:tcW w:w="100" w:type="dxa"/>
            <w:vAlign w:val="bottom"/>
          </w:tcPr>
          <w:p>
            <w:pPr>
              <w:ind w:left="20"/>
              <w:spacing w:after="0" w:line="126"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w w:val="94"/>
              </w:rPr>
              <w:t>5x</w:t>
            </w:r>
          </w:p>
        </w:tc>
        <w:tc>
          <w:tcPr>
            <w:tcW w:w="4440" w:type="dxa"/>
            <w:vAlign w:val="bottom"/>
          </w:tcPr>
          <w:p>
            <w:pPr>
              <w:ind w:left="4240"/>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940" w:type="dxa"/>
            <w:vAlign w:val="bottom"/>
          </w:tcPr>
          <w:p>
            <w:pPr>
              <w:ind w:left="160"/>
              <w:spacing w:after="0"/>
              <w:rPr>
                <w:sz w:val="20"/>
                <w:szCs w:val="20"/>
                <w:color w:val="auto"/>
              </w:rPr>
            </w:pPr>
            <w:r>
              <w:rPr>
                <w:rFonts w:ascii="Arial" w:cs="Arial" w:eastAsia="Arial" w:hAnsi="Arial"/>
                <w:sz w:val="14"/>
                <w:szCs w:val="14"/>
                <w:color w:val="auto"/>
              </w:rPr>
              <w:t>Non-Employee Director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4440" w:type="dxa"/>
            <w:vAlign w:val="bottom"/>
          </w:tcPr>
          <w:p>
            <w:pPr>
              <w:ind w:left="20"/>
              <w:spacing w:after="0"/>
              <w:rPr>
                <w:sz w:val="20"/>
                <w:szCs w:val="20"/>
                <w:color w:val="auto"/>
              </w:rPr>
            </w:pPr>
            <w:r>
              <w:rPr>
                <w:rFonts w:ascii="Arial" w:cs="Arial" w:eastAsia="Arial" w:hAnsi="Arial"/>
                <w:sz w:val="14"/>
                <w:szCs w:val="14"/>
                <w:color w:val="auto"/>
              </w:rPr>
              <w:t>Annual Board Cash Retainer</w:t>
            </w:r>
          </w:p>
        </w:tc>
        <w:tc>
          <w:tcPr>
            <w:tcW w:w="0" w:type="dxa"/>
            <w:vAlign w:val="bottom"/>
          </w:tcPr>
          <w:p>
            <w:pPr>
              <w:spacing w:after="0"/>
              <w:rPr>
                <w:sz w:val="1"/>
                <w:szCs w:val="1"/>
                <w:color w:val="auto"/>
              </w:rPr>
            </w:pPr>
          </w:p>
        </w:tc>
      </w:tr>
      <w:tr>
        <w:trPr>
          <w:trHeight w:val="103"/>
        </w:trPr>
        <w:tc>
          <w:tcPr>
            <w:tcW w:w="39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94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700" w:type="dxa"/>
            <w:vAlign w:val="bottom"/>
            <w:shd w:val="clear" w:color="auto" w:fill="F7F7F7"/>
          </w:tcPr>
          <w:p>
            <w:pPr>
              <w:ind w:left="620"/>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F7F7F7"/>
          </w:tcPr>
          <w:p>
            <w:pPr>
              <w:ind w:left="40"/>
              <w:spacing w:after="0"/>
              <w:rPr>
                <w:sz w:val="20"/>
                <w:szCs w:val="20"/>
                <w:color w:val="auto"/>
              </w:rPr>
            </w:pPr>
            <w:r>
              <w:rPr>
                <w:rFonts w:ascii="Arial" w:cs="Arial" w:eastAsia="Arial" w:hAnsi="Arial"/>
                <w:sz w:val="14"/>
                <w:szCs w:val="14"/>
                <w:color w:val="auto"/>
                <w:w w:val="94"/>
              </w:rPr>
              <w:t>6x</w:t>
            </w:r>
          </w:p>
        </w:tc>
        <w:tc>
          <w:tcPr>
            <w:tcW w:w="4440" w:type="dxa"/>
            <w:vAlign w:val="bottom"/>
            <w:shd w:val="clear" w:color="auto" w:fill="F7F7F7"/>
          </w:tcPr>
          <w:p>
            <w:pPr>
              <w:ind w:left="4240"/>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940" w:type="dxa"/>
            <w:vAlign w:val="bottom"/>
            <w:shd w:val="clear" w:color="auto" w:fill="F7F7F7"/>
          </w:tcPr>
          <w:p>
            <w:pPr>
              <w:ind w:left="160"/>
              <w:spacing w:after="0"/>
              <w:rPr>
                <w:sz w:val="20"/>
                <w:szCs w:val="20"/>
                <w:color w:val="auto"/>
              </w:rPr>
            </w:pPr>
            <w:r>
              <w:rPr>
                <w:rFonts w:ascii="Arial" w:cs="Arial" w:eastAsia="Arial" w:hAnsi="Arial"/>
                <w:sz w:val="14"/>
                <w:szCs w:val="14"/>
                <w:color w:val="auto"/>
              </w:rPr>
              <w:t>Chief Executive Officer</w:t>
            </w:r>
          </w:p>
        </w:tc>
        <w:tc>
          <w:tcPr>
            <w:tcW w:w="700" w:type="dxa"/>
            <w:vAlign w:val="bottom"/>
            <w:shd w:val="clear" w:color="auto" w:fill="F7F7F7"/>
          </w:tcPr>
          <w:p>
            <w:pPr>
              <w:spacing w:after="0"/>
              <w:rPr>
                <w:sz w:val="16"/>
                <w:szCs w:val="16"/>
                <w:color w:val="auto"/>
              </w:rPr>
            </w:pPr>
          </w:p>
        </w:tc>
        <w:tc>
          <w:tcPr>
            <w:tcW w:w="100" w:type="dxa"/>
            <w:vAlign w:val="bottom"/>
            <w:shd w:val="clear" w:color="auto" w:fill="F7F7F7"/>
          </w:tcPr>
          <w:p>
            <w:pPr>
              <w:spacing w:after="0"/>
              <w:rPr>
                <w:sz w:val="16"/>
                <w:szCs w:val="16"/>
                <w:color w:val="auto"/>
              </w:rPr>
            </w:pPr>
          </w:p>
        </w:tc>
        <w:tc>
          <w:tcPr>
            <w:tcW w:w="200" w:type="dxa"/>
            <w:vAlign w:val="bottom"/>
            <w:vMerge w:val="continue"/>
            <w:shd w:val="clear" w:color="auto" w:fill="F7F7F7"/>
          </w:tcPr>
          <w:p>
            <w:pPr>
              <w:spacing w:after="0"/>
              <w:rPr>
                <w:sz w:val="16"/>
                <w:szCs w:val="16"/>
                <w:color w:val="auto"/>
              </w:rPr>
            </w:pPr>
          </w:p>
        </w:tc>
        <w:tc>
          <w:tcPr>
            <w:tcW w:w="4440" w:type="dxa"/>
            <w:vAlign w:val="bottom"/>
            <w:shd w:val="clear" w:color="auto" w:fill="F7F7F7"/>
          </w:tcPr>
          <w:p>
            <w:pPr>
              <w:ind w:left="20"/>
              <w:spacing w:after="0"/>
              <w:rPr>
                <w:sz w:val="20"/>
                <w:szCs w:val="20"/>
                <w:color w:val="auto"/>
              </w:rPr>
            </w:pPr>
            <w:r>
              <w:rPr>
                <w:rFonts w:ascii="Arial" w:cs="Arial" w:eastAsia="Arial" w:hAnsi="Arial"/>
                <w:sz w:val="14"/>
                <w:szCs w:val="14"/>
                <w:color w:val="auto"/>
              </w:rPr>
              <w:t>Annual Base Salary</w:t>
            </w:r>
          </w:p>
        </w:tc>
        <w:tc>
          <w:tcPr>
            <w:tcW w:w="0" w:type="dxa"/>
            <w:vAlign w:val="bottom"/>
          </w:tcPr>
          <w:p>
            <w:pPr>
              <w:spacing w:after="0"/>
              <w:rPr>
                <w:sz w:val="1"/>
                <w:szCs w:val="1"/>
                <w:color w:val="auto"/>
              </w:rPr>
            </w:pPr>
          </w:p>
        </w:tc>
      </w:tr>
      <w:tr>
        <w:trPr>
          <w:trHeight w:val="93"/>
        </w:trPr>
        <w:tc>
          <w:tcPr>
            <w:tcW w:w="3940" w:type="dxa"/>
            <w:vAlign w:val="bottom"/>
            <w:tcBorders>
              <w:bottom w:val="single" w:sz="8" w:color="auto"/>
            </w:tcBorders>
            <w:shd w:val="clear" w:color="auto" w:fill="F7F7F7"/>
          </w:tcPr>
          <w:p>
            <w:pPr>
              <w:spacing w:after="0"/>
              <w:rPr>
                <w:sz w:val="8"/>
                <w:szCs w:val="8"/>
                <w:color w:val="auto"/>
              </w:rPr>
            </w:pPr>
          </w:p>
        </w:tc>
        <w:tc>
          <w:tcPr>
            <w:tcW w:w="70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200" w:type="dxa"/>
            <w:vAlign w:val="bottom"/>
            <w:tcBorders>
              <w:bottom w:val="single" w:sz="8" w:color="auto"/>
            </w:tcBorders>
            <w:shd w:val="clear" w:color="auto" w:fill="F7F7F7"/>
          </w:tcPr>
          <w:p>
            <w:pPr>
              <w:spacing w:after="0"/>
              <w:rPr>
                <w:sz w:val="8"/>
                <w:szCs w:val="8"/>
                <w:color w:val="auto"/>
              </w:rPr>
            </w:pPr>
          </w:p>
        </w:tc>
        <w:tc>
          <w:tcPr>
            <w:tcW w:w="444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9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ind w:left="620"/>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w w:val="94"/>
              </w:rPr>
              <w:t>3x</w:t>
            </w:r>
          </w:p>
        </w:tc>
        <w:tc>
          <w:tcPr>
            <w:tcW w:w="4440" w:type="dxa"/>
            <w:vAlign w:val="bottom"/>
          </w:tcPr>
          <w:p>
            <w:pPr>
              <w:ind w:left="4240"/>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940" w:type="dxa"/>
            <w:vAlign w:val="bottom"/>
          </w:tcPr>
          <w:p>
            <w:pPr>
              <w:ind w:left="160"/>
              <w:spacing w:after="0"/>
              <w:rPr>
                <w:sz w:val="20"/>
                <w:szCs w:val="20"/>
                <w:color w:val="auto"/>
              </w:rPr>
            </w:pPr>
            <w:r>
              <w:rPr>
                <w:rFonts w:ascii="Arial" w:cs="Arial" w:eastAsia="Arial" w:hAnsi="Arial"/>
                <w:sz w:val="14"/>
                <w:szCs w:val="14"/>
                <w:color w:val="auto"/>
              </w:rPr>
              <w:t>Chief Financial Officer and Senior Vice Presidents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4440" w:type="dxa"/>
            <w:vAlign w:val="bottom"/>
          </w:tcPr>
          <w:p>
            <w:pPr>
              <w:ind w:left="20"/>
              <w:spacing w:after="0"/>
              <w:rPr>
                <w:sz w:val="20"/>
                <w:szCs w:val="20"/>
                <w:color w:val="auto"/>
              </w:rPr>
            </w:pPr>
            <w:r>
              <w:rPr>
                <w:rFonts w:ascii="Arial" w:cs="Arial" w:eastAsia="Arial" w:hAnsi="Arial"/>
                <w:sz w:val="14"/>
                <w:szCs w:val="14"/>
                <w:color w:val="auto"/>
              </w:rPr>
              <w:t>Annual Base Salary</w:t>
            </w:r>
          </w:p>
        </w:tc>
        <w:tc>
          <w:tcPr>
            <w:tcW w:w="0" w:type="dxa"/>
            <w:vAlign w:val="bottom"/>
          </w:tcPr>
          <w:p>
            <w:pPr>
              <w:spacing w:after="0"/>
              <w:rPr>
                <w:sz w:val="1"/>
                <w:szCs w:val="1"/>
                <w:color w:val="auto"/>
              </w:rPr>
            </w:pPr>
          </w:p>
        </w:tc>
      </w:tr>
      <w:tr>
        <w:trPr>
          <w:trHeight w:val="93"/>
        </w:trPr>
        <w:tc>
          <w:tcPr>
            <w:tcW w:w="39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120"/>
        <w:spacing w:after="0" w:line="272" w:lineRule="auto"/>
        <w:rPr>
          <w:sz w:val="20"/>
          <w:szCs w:val="20"/>
          <w:color w:val="auto"/>
        </w:rPr>
      </w:pPr>
      <w:r>
        <w:rPr>
          <w:rFonts w:ascii="Arial" w:cs="Arial" w:eastAsia="Arial" w:hAnsi="Arial"/>
          <w:sz w:val="16"/>
          <w:szCs w:val="16"/>
          <w:color w:val="auto"/>
        </w:rPr>
        <w:t>The following shares subject to equity awards will be counted toward satisfaction of the ownership goal (in addition to outstanding shares of which the individual is the beneficial owner): (a) shares subject to unvested, or vested but unsettled, RSU awards; and</w:t>
      </w:r>
    </w:p>
    <w:p>
      <w:pPr>
        <w:spacing w:after="0" w:line="1" w:lineRule="exact"/>
        <w:rPr>
          <w:sz w:val="20"/>
          <w:szCs w:val="20"/>
          <w:color w:val="auto"/>
        </w:rPr>
      </w:pPr>
    </w:p>
    <w:p>
      <w:pPr>
        <w:ind w:left="660" w:right="180" w:hanging="6"/>
        <w:spacing w:after="0" w:line="278" w:lineRule="auto"/>
        <w:tabs>
          <w:tab w:leader="none" w:pos="903"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shares subject to performance-based awards for which performance conditions have been satisfied (i.e., earned performance awards at actual achievement, even if they remain subject to time-based vesting conditions). The following shares will not be counted toward satisfaction of the ownership goal: (a) shares subject to performance-based awards for which the performance conditions have not yet been satisfied; (b) shares subject to unexercised stock options or stock appreciation rights, in each case, regardless of whether vested or “in-the-money;” and (c) shares subject to equity-based awards that may only be settled in cash.</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Tax and Accounting Considerations</w:t>
      </w:r>
    </w:p>
    <w:p>
      <w:pPr>
        <w:spacing w:after="0" w:line="36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Deductibility of Executive Compensation</w:t>
      </w:r>
    </w:p>
    <w:p>
      <w:pPr>
        <w:spacing w:after="0" w:line="185" w:lineRule="exact"/>
        <w:rPr>
          <w:sz w:val="20"/>
          <w:szCs w:val="20"/>
          <w:color w:val="auto"/>
        </w:rPr>
      </w:pPr>
    </w:p>
    <w:p>
      <w:pPr>
        <w:ind w:left="660"/>
        <w:spacing w:after="0" w:line="277" w:lineRule="auto"/>
        <w:rPr>
          <w:sz w:val="20"/>
          <w:szCs w:val="20"/>
          <w:color w:val="auto"/>
        </w:rPr>
      </w:pPr>
      <w:r>
        <w:rPr>
          <w:rFonts w:ascii="Arial" w:cs="Arial" w:eastAsia="Arial" w:hAnsi="Arial"/>
          <w:sz w:val="16"/>
          <w:szCs w:val="16"/>
          <w:color w:val="auto"/>
        </w:rPr>
        <w:t>Section 162(m) of the Code generally imposes a $1 million cap on the federal income tax deduction for compensation paid to our “covered employees” during any fiscal year. While the Compensation Committee considers the deductibility of awards as one factor in determining executive compensation, the Compensation Committee also looks at other factors in making its decisions, and, in the exercise of its business judgment and in accordance with its compensation philosophy, the Compensation Committee retains the flexibility to award compensation even if the compensation is not deductible by us for tax purposes, and to modify compensation that was initially intended to be tax deductible if it determines such modifications are consistent with our business needs.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Accounting for Stock-Based Compensation</w:t>
      </w:r>
    </w:p>
    <w:p>
      <w:pPr>
        <w:spacing w:after="0" w:line="185" w:lineRule="exact"/>
        <w:rPr>
          <w:sz w:val="20"/>
          <w:szCs w:val="20"/>
          <w:color w:val="auto"/>
        </w:rPr>
      </w:pPr>
    </w:p>
    <w:p>
      <w:pPr>
        <w:jc w:val="both"/>
        <w:ind w:left="660" w:right="40"/>
        <w:spacing w:after="0" w:line="283" w:lineRule="auto"/>
        <w:rPr>
          <w:sz w:val="20"/>
          <w:szCs w:val="20"/>
          <w:color w:val="auto"/>
        </w:rPr>
      </w:pPr>
      <w:r>
        <w:rPr>
          <w:rFonts w:ascii="Arial" w:cs="Arial" w:eastAsia="Arial" w:hAnsi="Arial"/>
          <w:sz w:val="16"/>
          <w:szCs w:val="16"/>
          <w:color w:val="auto"/>
        </w:rPr>
        <w:t>The Compensation Committee takes accounting considerations into account in designing compensation plans and arrangements for our NEOs and other employees. We follow Financial Accounting Standard Board Accounting Standards Codification Topic 718 (FASB ASC Topic 718) for our stock-based compensation awards. FASB ASC Topic 718 requires us to measure the compensation expense for all share-based payment awards based on the grant date “fair value” of these awards.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Compensation Risk Assessment</w:t>
      </w:r>
    </w:p>
    <w:p>
      <w:pPr>
        <w:spacing w:after="0" w:line="185" w:lineRule="exact"/>
        <w:rPr>
          <w:sz w:val="20"/>
          <w:szCs w:val="20"/>
          <w:color w:val="auto"/>
        </w:rPr>
      </w:pPr>
    </w:p>
    <w:p>
      <w:pPr>
        <w:ind w:left="660" w:right="120"/>
        <w:spacing w:after="0" w:line="276" w:lineRule="auto"/>
        <w:rPr>
          <w:sz w:val="20"/>
          <w:szCs w:val="20"/>
          <w:color w:val="auto"/>
        </w:rPr>
      </w:pPr>
      <w:r>
        <w:rPr>
          <w:rFonts w:ascii="Arial" w:cs="Arial" w:eastAsia="Arial" w:hAnsi="Arial"/>
          <w:sz w:val="16"/>
          <w:szCs w:val="16"/>
          <w:color w:val="auto"/>
        </w:rPr>
        <w:t>The Compensation Committee believes that the design, implementation, and governance of our executive compensation program are consistent with high standards of risk management. Our executive compensation program reflects an appropriate mix of compensation elements, balancing current and long-term performance objectives, cash and equity compensation, and risks and rewards. For example, to further ensure that the interests of our NEOs are aligned with those of our stockholders, long-term incentive compensation is awarded as equity subject to vesting requirements (RSUs granted by the Company to executives typically vest and settle over a four-year period). Further, executives are expected to meet the applicable stock ownership guidelines described above under “Stock Ownership Guidelines.”</w:t>
      </w:r>
    </w:p>
    <w:p>
      <w:pPr>
        <w:spacing w:after="0" w:line="179" w:lineRule="exact"/>
        <w:rPr>
          <w:sz w:val="20"/>
          <w:szCs w:val="20"/>
          <w:color w:val="auto"/>
        </w:rPr>
      </w:pPr>
    </w:p>
    <w:p>
      <w:pPr>
        <w:ind w:left="660"/>
        <w:spacing w:after="0" w:line="292" w:lineRule="auto"/>
        <w:rPr>
          <w:sz w:val="20"/>
          <w:szCs w:val="20"/>
          <w:color w:val="auto"/>
        </w:rPr>
      </w:pPr>
      <w:r>
        <w:rPr>
          <w:rFonts w:ascii="Arial" w:cs="Arial" w:eastAsia="Arial" w:hAnsi="Arial"/>
          <w:sz w:val="16"/>
          <w:szCs w:val="16"/>
          <w:color w:val="auto"/>
        </w:rPr>
        <w:t>Pay Governance annually conducts a detailed risk assessment of our compensation programs employing a framework to assist the Compensation Committee in ascertaining any potential material adverse risks and how they may link with our compensation programs. The results of Pay Governance’s risk assessment were presented to the Compensation Committee in June 2022. Based</w:t>
      </w:r>
    </w:p>
    <w:p>
      <w:pPr>
        <w:sectPr>
          <w:pgSz w:w="11900" w:h="16838" w:orient="portrait"/>
          <w:cols w:equalWidth="0" w:num="1">
            <w:col w:w="10040"/>
          </w:cols>
          <w:pgMar w:left="580" w:top="97" w:right="1279" w:bottom="1440" w:gutter="0" w:footer="0" w:header="0"/>
        </w:sectPr>
      </w:pPr>
    </w:p>
    <w:p>
      <w:pPr>
        <w:spacing w:after="0" w:line="36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52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240"/>
        <w:spacing w:after="0" w:line="321" w:lineRule="auto"/>
        <w:rPr>
          <w:sz w:val="20"/>
          <w:szCs w:val="20"/>
          <w:color w:val="auto"/>
        </w:rPr>
      </w:pPr>
      <w:r>
        <w:rPr>
          <w:rFonts w:ascii="Arial" w:cs="Arial" w:eastAsia="Arial" w:hAnsi="Arial"/>
          <w:sz w:val="16"/>
          <w:szCs w:val="16"/>
          <w:color w:val="auto"/>
        </w:rPr>
        <w:t>on the assessment, Pay Governance concluded, and the Compensation Committee agreed, that our compensation programs do not create any potential risk that is reasonably likely to have a material adverse effect on the Company.</w:t>
      </w:r>
    </w:p>
    <w:p>
      <w:pPr>
        <w:spacing w:after="0" w:line="156" w:lineRule="exact"/>
        <w:rPr>
          <w:sz w:val="20"/>
          <w:szCs w:val="20"/>
          <w:color w:val="auto"/>
        </w:rPr>
      </w:pPr>
    </w:p>
    <w:p>
      <w:pPr>
        <w:ind w:left="660" w:right="220"/>
        <w:spacing w:after="0" w:line="301" w:lineRule="auto"/>
        <w:rPr>
          <w:sz w:val="20"/>
          <w:szCs w:val="20"/>
          <w:color w:val="auto"/>
        </w:rPr>
      </w:pPr>
      <w:r>
        <w:rPr>
          <w:rFonts w:ascii="Arial" w:cs="Arial" w:eastAsia="Arial" w:hAnsi="Arial"/>
          <w:sz w:val="16"/>
          <w:szCs w:val="16"/>
          <w:color w:val="auto"/>
        </w:rPr>
        <w:t>Based on the above, we believe our executive compensation program effectively (i) ensures that our compensation opportunities do not encourage excessive risk taking, (ii) keeps our NEOs focused on the creation of long-term, sustainable value for our stockholders, and (iii) provides competitive and appropriate levels of compensation over time.</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53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Compensation Committee Report</w:t>
      </w:r>
    </w:p>
    <w:p>
      <w:pPr>
        <w:spacing w:after="0" w:line="400" w:lineRule="exact"/>
        <w:rPr>
          <w:sz w:val="20"/>
          <w:szCs w:val="20"/>
          <w:color w:val="auto"/>
        </w:rPr>
      </w:pPr>
    </w:p>
    <w:p>
      <w:pPr>
        <w:ind w:left="660" w:right="360"/>
        <w:spacing w:after="0" w:line="301" w:lineRule="auto"/>
        <w:rPr>
          <w:sz w:val="20"/>
          <w:szCs w:val="20"/>
          <w:color w:val="auto"/>
        </w:rPr>
      </w:pPr>
      <w:r>
        <w:rPr>
          <w:rFonts w:ascii="Arial" w:cs="Arial" w:eastAsia="Arial" w:hAnsi="Arial"/>
          <w:sz w:val="16"/>
          <w:szCs w:val="16"/>
          <w:color w:val="auto"/>
        </w:rPr>
        <w:t>The Compensation Committee has reviewed and discussed this CD&amp;A with management and, based on such review and discussions, the Compensation Committee recommended to the Board that the CD&amp;A be included in this Proxy Statement and incorporated by reference into the Company’s Annual Report on Form 10-K for the fiscal year ended December 31, 2022.</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Andrew Liveris, Chair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Frank Lindenberg</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Anthony Posawatz</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​54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Summary Compensation Table</w:t>
      </w:r>
    </w:p>
    <w:p>
      <w:pPr>
        <w:spacing w:after="0" w:line="400" w:lineRule="exact"/>
        <w:rPr>
          <w:sz w:val="20"/>
          <w:szCs w:val="20"/>
          <w:color w:val="auto"/>
        </w:rPr>
      </w:pPr>
    </w:p>
    <w:p>
      <w:pPr>
        <w:ind w:left="660" w:right="480"/>
        <w:spacing w:after="0" w:line="321" w:lineRule="auto"/>
        <w:rPr>
          <w:sz w:val="20"/>
          <w:szCs w:val="20"/>
          <w:color w:val="auto"/>
        </w:rPr>
      </w:pPr>
      <w:r>
        <w:rPr>
          <w:rFonts w:ascii="Arial" w:cs="Arial" w:eastAsia="Arial" w:hAnsi="Arial"/>
          <w:sz w:val="16"/>
          <w:szCs w:val="16"/>
          <w:color w:val="auto"/>
        </w:rPr>
        <w:t>The following table sets forth the compensation awarded to or paid to our NEOs for services rendered to Lucid (or Atieva, our predecessor company) during the years ended December 31, 2022, 2021 and 2020.</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720" w:type="dxa"/>
            <w:vAlign w:val="bottom"/>
            <w:shd w:val="clear" w:color="auto" w:fill="000000"/>
          </w:tcPr>
          <w:p>
            <w:pPr>
              <w:ind w:left="80"/>
              <w:spacing w:after="0"/>
              <w:rPr>
                <w:sz w:val="20"/>
                <w:szCs w:val="20"/>
                <w:color w:val="auto"/>
              </w:rPr>
            </w:pPr>
            <w:r>
              <w:rPr>
                <w:rFonts w:ascii="Arial" w:cs="Arial" w:eastAsia="Arial" w:hAnsi="Arial"/>
                <w:sz w:val="13"/>
                <w:szCs w:val="13"/>
                <w:b w:val="1"/>
                <w:bCs w:val="1"/>
                <w:color w:val="FEFEFE"/>
              </w:rPr>
              <w:t>​</w:t>
            </w:r>
          </w:p>
        </w:tc>
        <w:tc>
          <w:tcPr>
            <w:tcW w:w="660" w:type="dxa"/>
            <w:vAlign w:val="bottom"/>
            <w:gridSpan w:val="3"/>
            <w:shd w:val="clear" w:color="auto" w:fill="000000"/>
          </w:tcPr>
          <w:p>
            <w:pPr>
              <w:ind w:left="160"/>
              <w:spacing w:after="0"/>
              <w:rPr>
                <w:sz w:val="20"/>
                <w:szCs w:val="20"/>
                <w:color w:val="auto"/>
              </w:rPr>
            </w:pPr>
            <w:r>
              <w:rPr>
                <w:rFonts w:ascii="Arial" w:cs="Arial" w:eastAsia="Arial" w:hAnsi="Arial"/>
                <w:sz w:val="13"/>
                <w:szCs w:val="13"/>
                <w:b w:val="1"/>
                <w:bCs w:val="1"/>
                <w:color w:val="FEFEFE"/>
              </w:rPr>
              <w:t>​ ​</w:t>
            </w:r>
          </w:p>
        </w:tc>
        <w:tc>
          <w:tcPr>
            <w:tcW w:w="760" w:type="dxa"/>
            <w:vAlign w:val="bottom"/>
            <w:shd w:val="clear" w:color="auto" w:fill="000000"/>
          </w:tcPr>
          <w:p>
            <w:pPr>
              <w:jc w:val="center"/>
              <w:ind w:right="473"/>
              <w:spacing w:after="0"/>
              <w:rPr>
                <w:sz w:val="20"/>
                <w:szCs w:val="20"/>
                <w:color w:val="auto"/>
              </w:rPr>
            </w:pPr>
            <w:r>
              <w:rPr>
                <w:rFonts w:ascii="Arial" w:cs="Arial" w:eastAsia="Arial" w:hAnsi="Arial"/>
                <w:sz w:val="13"/>
                <w:szCs w:val="13"/>
                <w:b w:val="1"/>
                <w:bCs w:val="1"/>
                <w:color w:val="FEFEFE"/>
              </w:rPr>
              <w:t>​ ​</w:t>
            </w:r>
          </w:p>
        </w:tc>
        <w:tc>
          <w:tcPr>
            <w:tcW w:w="3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 ​</w:t>
            </w:r>
          </w:p>
        </w:tc>
        <w:tc>
          <w:tcPr>
            <w:tcW w:w="580" w:type="dxa"/>
            <w:vAlign w:val="bottom"/>
            <w:vMerge w:val="restart"/>
            <w:shd w:val="clear" w:color="auto" w:fill="000000"/>
          </w:tcPr>
          <w:p>
            <w:pPr>
              <w:jc w:val="right"/>
              <w:ind w:right="90"/>
              <w:spacing w:after="0"/>
              <w:rPr>
                <w:sz w:val="20"/>
                <w:szCs w:val="20"/>
                <w:color w:val="auto"/>
              </w:rPr>
            </w:pPr>
            <w:r>
              <w:rPr>
                <w:rFonts w:ascii="Arial" w:cs="Arial" w:eastAsia="Arial" w:hAnsi="Arial"/>
                <w:sz w:val="13"/>
                <w:szCs w:val="13"/>
                <w:b w:val="1"/>
                <w:bCs w:val="1"/>
                <w:color w:val="FEFEFE"/>
                <w:w w:val="98"/>
              </w:rPr>
              <w:t>Bonus</w:t>
            </w:r>
          </w:p>
        </w:tc>
        <w:tc>
          <w:tcPr>
            <w:tcW w:w="320" w:type="dxa"/>
            <w:vAlign w:val="bottom"/>
            <w:shd w:val="clear" w:color="auto" w:fill="000000"/>
          </w:tcPr>
          <w:p>
            <w:pPr>
              <w:jc w:val="right"/>
              <w:ind w:right="71"/>
              <w:spacing w:after="0"/>
              <w:rPr>
                <w:sz w:val="20"/>
                <w:szCs w:val="20"/>
                <w:color w:val="auto"/>
              </w:rPr>
            </w:pPr>
            <w:r>
              <w:rPr>
                <w:rFonts w:ascii="Arial" w:cs="Arial" w:eastAsia="Arial" w:hAnsi="Arial"/>
                <w:sz w:val="13"/>
                <w:szCs w:val="13"/>
                <w:b w:val="1"/>
                <w:bCs w:val="1"/>
                <w:color w:val="FEFEFE"/>
              </w:rPr>
              <w:t>​ ​</w:t>
            </w:r>
          </w:p>
        </w:tc>
        <w:tc>
          <w:tcPr>
            <w:tcW w:w="720" w:type="dxa"/>
            <w:vAlign w:val="bottom"/>
            <w:vMerge w:val="restart"/>
            <w:shd w:val="clear" w:color="auto" w:fill="000000"/>
          </w:tcPr>
          <w:p>
            <w:pPr>
              <w:jc w:val="center"/>
              <w:ind w:right="71"/>
              <w:spacing w:after="0"/>
              <w:rPr>
                <w:sz w:val="20"/>
                <w:szCs w:val="20"/>
                <w:color w:val="auto"/>
              </w:rPr>
            </w:pPr>
            <w:r>
              <w:rPr>
                <w:rFonts w:ascii="Arial" w:cs="Arial" w:eastAsia="Arial" w:hAnsi="Arial"/>
                <w:sz w:val="13"/>
                <w:szCs w:val="13"/>
                <w:b w:val="1"/>
                <w:bCs w:val="1"/>
                <w:color w:val="FEFEFE"/>
                <w:w w:val="95"/>
              </w:rPr>
              <w:t>Stock</w:t>
            </w:r>
          </w:p>
        </w:tc>
        <w:tc>
          <w:tcPr>
            <w:tcW w:w="2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 ​</w:t>
            </w:r>
          </w:p>
        </w:tc>
        <w:tc>
          <w:tcPr>
            <w:tcW w:w="700" w:type="dxa"/>
            <w:vAlign w:val="bottom"/>
            <w:shd w:val="clear" w:color="auto" w:fill="000000"/>
          </w:tcPr>
          <w:p>
            <w:pPr>
              <w:ind w:left="540"/>
              <w:spacing w:after="0"/>
              <w:rPr>
                <w:sz w:val="20"/>
                <w:szCs w:val="20"/>
                <w:color w:val="auto"/>
              </w:rPr>
            </w:pPr>
            <w:r>
              <w:rPr>
                <w:rFonts w:ascii="Arial" w:cs="Arial" w:eastAsia="Arial" w:hAnsi="Arial"/>
                <w:sz w:val="13"/>
                <w:szCs w:val="13"/>
                <w:b w:val="1"/>
                <w:bCs w:val="1"/>
                <w:color w:val="FEFEFE"/>
              </w:rPr>
              <w:t>​ ​</w:t>
            </w:r>
          </w:p>
        </w:tc>
        <w:tc>
          <w:tcPr>
            <w:tcW w:w="260" w:type="dxa"/>
            <w:vAlign w:val="bottom"/>
            <w:shd w:val="clear" w:color="auto" w:fill="000000"/>
          </w:tcPr>
          <w:p>
            <w:pPr>
              <w:spacing w:after="0"/>
              <w:rPr>
                <w:sz w:val="13"/>
                <w:szCs w:val="13"/>
                <w:color w:val="auto"/>
              </w:rPr>
            </w:pPr>
          </w:p>
        </w:tc>
        <w:tc>
          <w:tcPr>
            <w:tcW w:w="86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140" w:type="dxa"/>
            <w:vAlign w:val="bottom"/>
            <w:shd w:val="clear" w:color="auto" w:fill="000000"/>
          </w:tcPr>
          <w:p>
            <w:pPr>
              <w:spacing w:after="0"/>
              <w:rPr>
                <w:sz w:val="13"/>
                <w:szCs w:val="13"/>
                <w:color w:val="auto"/>
              </w:rPr>
            </w:pPr>
          </w:p>
        </w:tc>
        <w:tc>
          <w:tcPr>
            <w:tcW w:w="700" w:type="dxa"/>
            <w:vAlign w:val="bottom"/>
            <w:vMerge w:val="restart"/>
            <w:shd w:val="clear" w:color="auto" w:fill="000000"/>
          </w:tcPr>
          <w:p>
            <w:pPr>
              <w:jc w:val="center"/>
              <w:ind w:right="10"/>
              <w:spacing w:after="0"/>
              <w:rPr>
                <w:sz w:val="20"/>
                <w:szCs w:val="20"/>
                <w:color w:val="auto"/>
              </w:rPr>
            </w:pPr>
            <w:r>
              <w:rPr>
                <w:rFonts w:ascii="Arial" w:cs="Arial" w:eastAsia="Arial" w:hAnsi="Arial"/>
                <w:sz w:val="13"/>
                <w:szCs w:val="13"/>
                <w:b w:val="1"/>
                <w:bCs w:val="1"/>
                <w:color w:val="FEFEFE"/>
                <w:w w:val="98"/>
              </w:rPr>
              <w:t>All Other</w:t>
            </w:r>
          </w:p>
        </w:tc>
        <w:tc>
          <w:tcPr>
            <w:tcW w:w="380" w:type="dxa"/>
            <w:vAlign w:val="bottom"/>
            <w:shd w:val="clear" w:color="auto" w:fill="000000"/>
          </w:tcPr>
          <w:p>
            <w:pPr>
              <w:jc w:val="right"/>
              <w:ind w:right="51"/>
              <w:spacing w:after="0"/>
              <w:rPr>
                <w:sz w:val="20"/>
                <w:szCs w:val="20"/>
                <w:color w:val="auto"/>
              </w:rPr>
            </w:pPr>
            <w:r>
              <w:rPr>
                <w:rFonts w:ascii="Arial" w:cs="Arial" w:eastAsia="Arial" w:hAnsi="Arial"/>
                <w:sz w:val="13"/>
                <w:szCs w:val="13"/>
                <w:b w:val="1"/>
                <w:bCs w:val="1"/>
                <w:color w:val="FEFEFE"/>
              </w:rPr>
              <w:t>​ ​</w:t>
            </w:r>
          </w:p>
        </w:tc>
        <w:tc>
          <w:tcPr>
            <w:tcW w:w="9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1720" w:type="dxa"/>
            <w:vAlign w:val="bottom"/>
            <w:shd w:val="clear" w:color="auto" w:fill="000000"/>
          </w:tcPr>
          <w:p>
            <w:pPr>
              <w:ind w:left="160"/>
              <w:spacing w:after="0" w:line="135" w:lineRule="exact"/>
              <w:rPr>
                <w:sz w:val="20"/>
                <w:szCs w:val="20"/>
                <w:color w:val="auto"/>
              </w:rPr>
            </w:pPr>
            <w:r>
              <w:rPr>
                <w:rFonts w:ascii="Arial" w:cs="Arial" w:eastAsia="Arial" w:hAnsi="Arial"/>
                <w:sz w:val="13"/>
                <w:szCs w:val="13"/>
                <w:b w:val="1"/>
                <w:bCs w:val="1"/>
                <w:color w:val="FEFEFE"/>
              </w:rPr>
              <w:t>Name and Principal</w:t>
            </w:r>
          </w:p>
        </w:tc>
        <w:tc>
          <w:tcPr>
            <w:tcW w:w="2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340" w:type="dxa"/>
            <w:vAlign w:val="bottom"/>
            <w:shd w:val="clear" w:color="auto" w:fill="000000"/>
          </w:tcPr>
          <w:p>
            <w:pPr>
              <w:ind w:left="20"/>
              <w:spacing w:after="0" w:line="135" w:lineRule="exact"/>
              <w:rPr>
                <w:sz w:val="20"/>
                <w:szCs w:val="20"/>
                <w:color w:val="auto"/>
              </w:rPr>
            </w:pPr>
            <w:r>
              <w:rPr>
                <w:rFonts w:ascii="Arial" w:cs="Arial" w:eastAsia="Arial" w:hAnsi="Arial"/>
                <w:sz w:val="13"/>
                <w:szCs w:val="13"/>
                <w:b w:val="1"/>
                <w:bCs w:val="1"/>
                <w:color w:val="FEFEFE"/>
              </w:rPr>
              <w:t>Year</w:t>
            </w:r>
          </w:p>
        </w:tc>
        <w:tc>
          <w:tcPr>
            <w:tcW w:w="760" w:type="dxa"/>
            <w:vAlign w:val="bottom"/>
            <w:shd w:val="clear" w:color="auto" w:fill="000000"/>
          </w:tcPr>
          <w:p>
            <w:pPr>
              <w:jc w:val="center"/>
              <w:ind w:left="153"/>
              <w:spacing w:after="0" w:line="135" w:lineRule="exact"/>
              <w:rPr>
                <w:sz w:val="20"/>
                <w:szCs w:val="20"/>
                <w:color w:val="auto"/>
              </w:rPr>
            </w:pPr>
            <w:r>
              <w:rPr>
                <w:rFonts w:ascii="Arial" w:cs="Arial" w:eastAsia="Arial" w:hAnsi="Arial"/>
                <w:sz w:val="13"/>
                <w:szCs w:val="13"/>
                <w:b w:val="1"/>
                <w:bCs w:val="1"/>
                <w:color w:val="FEFEFE"/>
                <w:w w:val="97"/>
              </w:rPr>
              <w:t>Salary</w:t>
            </w:r>
          </w:p>
        </w:tc>
        <w:tc>
          <w:tcPr>
            <w:tcW w:w="320" w:type="dxa"/>
            <w:vAlign w:val="bottom"/>
            <w:shd w:val="clear" w:color="auto" w:fill="000000"/>
          </w:tcPr>
          <w:p>
            <w:pPr>
              <w:spacing w:after="0"/>
              <w:rPr>
                <w:sz w:val="11"/>
                <w:szCs w:val="11"/>
                <w:color w:val="auto"/>
              </w:rPr>
            </w:pPr>
          </w:p>
        </w:tc>
        <w:tc>
          <w:tcPr>
            <w:tcW w:w="580" w:type="dxa"/>
            <w:vAlign w:val="bottom"/>
            <w:vMerge w:val="continue"/>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720" w:type="dxa"/>
            <w:vAlign w:val="bottom"/>
            <w:vMerge w:val="continue"/>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700" w:type="dxa"/>
            <w:vAlign w:val="bottom"/>
            <w:shd w:val="clear" w:color="auto" w:fill="000000"/>
          </w:tcPr>
          <w:p>
            <w:pPr>
              <w:jc w:val="center"/>
              <w:ind w:right="191"/>
              <w:spacing w:after="0" w:line="135" w:lineRule="exact"/>
              <w:rPr>
                <w:sz w:val="20"/>
                <w:szCs w:val="20"/>
                <w:color w:val="auto"/>
              </w:rPr>
            </w:pPr>
            <w:r>
              <w:rPr>
                <w:rFonts w:ascii="Arial" w:cs="Arial" w:eastAsia="Arial" w:hAnsi="Arial"/>
                <w:sz w:val="13"/>
                <w:szCs w:val="13"/>
                <w:b w:val="1"/>
                <w:bCs w:val="1"/>
                <w:color w:val="FEFEFE"/>
                <w:w w:val="95"/>
              </w:rPr>
              <w:t>Option</w:t>
            </w:r>
          </w:p>
        </w:tc>
        <w:tc>
          <w:tcPr>
            <w:tcW w:w="1120" w:type="dxa"/>
            <w:vAlign w:val="bottom"/>
            <w:gridSpan w:val="2"/>
            <w:shd w:val="clear" w:color="auto" w:fill="000000"/>
          </w:tcPr>
          <w:p>
            <w:pPr>
              <w:jc w:val="center"/>
              <w:ind w:right="132"/>
              <w:spacing w:after="0" w:line="135" w:lineRule="exact"/>
              <w:rPr>
                <w:sz w:val="20"/>
                <w:szCs w:val="20"/>
                <w:color w:val="auto"/>
              </w:rPr>
            </w:pPr>
            <w:r>
              <w:rPr>
                <w:rFonts w:ascii="Arial" w:cs="Arial" w:eastAsia="Arial" w:hAnsi="Arial"/>
                <w:sz w:val="13"/>
                <w:szCs w:val="13"/>
                <w:b w:val="1"/>
                <w:bCs w:val="1"/>
                <w:color w:val="FEFEFE"/>
                <w:w w:val="98"/>
              </w:rPr>
              <w:t>Non-Equity</w:t>
            </w:r>
          </w:p>
        </w:tc>
        <w:tc>
          <w:tcPr>
            <w:tcW w:w="140" w:type="dxa"/>
            <w:vAlign w:val="bottom"/>
            <w:shd w:val="clear" w:color="auto" w:fill="000000"/>
          </w:tcPr>
          <w:p>
            <w:pPr>
              <w:spacing w:after="0"/>
              <w:rPr>
                <w:sz w:val="11"/>
                <w:szCs w:val="11"/>
                <w:color w:val="auto"/>
              </w:rPr>
            </w:pPr>
          </w:p>
        </w:tc>
        <w:tc>
          <w:tcPr>
            <w:tcW w:w="700" w:type="dxa"/>
            <w:vAlign w:val="bottom"/>
            <w:vMerge w:val="continue"/>
            <w:shd w:val="clear" w:color="auto" w:fill="000000"/>
          </w:tcPr>
          <w:p>
            <w:pPr>
              <w:spacing w:after="0"/>
              <w:rPr>
                <w:sz w:val="11"/>
                <w:szCs w:val="11"/>
                <w:color w:val="auto"/>
              </w:rPr>
            </w:pPr>
          </w:p>
        </w:tc>
        <w:tc>
          <w:tcPr>
            <w:tcW w:w="380" w:type="dxa"/>
            <w:vAlign w:val="bottom"/>
            <w:shd w:val="clear" w:color="auto" w:fill="000000"/>
          </w:tcPr>
          <w:p>
            <w:pPr>
              <w:spacing w:after="0"/>
              <w:rPr>
                <w:sz w:val="11"/>
                <w:szCs w:val="11"/>
                <w:color w:val="auto"/>
              </w:rPr>
            </w:pPr>
          </w:p>
        </w:tc>
        <w:tc>
          <w:tcPr>
            <w:tcW w:w="980" w:type="dxa"/>
            <w:vAlign w:val="bottom"/>
            <w:shd w:val="clear" w:color="auto" w:fill="000000"/>
          </w:tcPr>
          <w:p>
            <w:pPr>
              <w:jc w:val="right"/>
              <w:ind w:right="431"/>
              <w:spacing w:after="0" w:line="135" w:lineRule="exact"/>
              <w:rPr>
                <w:sz w:val="20"/>
                <w:szCs w:val="20"/>
                <w:color w:val="auto"/>
              </w:rPr>
            </w:pPr>
            <w:r>
              <w:rPr>
                <w:rFonts w:ascii="Arial" w:cs="Arial" w:eastAsia="Arial" w:hAnsi="Arial"/>
                <w:sz w:val="13"/>
                <w:szCs w:val="13"/>
                <w:b w:val="1"/>
                <w:bCs w:val="1"/>
                <w:color w:val="FEFEFE"/>
              </w:rPr>
              <w:t>Total</w:t>
            </w:r>
          </w:p>
        </w:tc>
        <w:tc>
          <w:tcPr>
            <w:tcW w:w="0" w:type="dxa"/>
            <w:vAlign w:val="bottom"/>
          </w:tcPr>
          <w:p>
            <w:pPr>
              <w:spacing w:after="0"/>
              <w:rPr>
                <w:sz w:val="1"/>
                <w:szCs w:val="1"/>
                <w:color w:val="auto"/>
              </w:rPr>
            </w:pPr>
          </w:p>
        </w:tc>
      </w:tr>
      <w:tr>
        <w:trPr>
          <w:trHeight w:val="139"/>
        </w:trPr>
        <w:tc>
          <w:tcPr>
            <w:tcW w:w="1720" w:type="dxa"/>
            <w:vAlign w:val="bottom"/>
            <w:shd w:val="clear" w:color="auto" w:fill="000000"/>
          </w:tcPr>
          <w:p>
            <w:pPr>
              <w:ind w:left="160"/>
              <w:spacing w:after="0" w:line="139" w:lineRule="exact"/>
              <w:rPr>
                <w:sz w:val="20"/>
                <w:szCs w:val="20"/>
                <w:color w:val="auto"/>
              </w:rPr>
            </w:pPr>
            <w:r>
              <w:rPr>
                <w:rFonts w:ascii="Arial" w:cs="Arial" w:eastAsia="Arial" w:hAnsi="Arial"/>
                <w:sz w:val="13"/>
                <w:szCs w:val="13"/>
                <w:b w:val="1"/>
                <w:bCs w:val="1"/>
                <w:color w:val="FEFEFE"/>
              </w:rPr>
              <w:t>Position</w:t>
            </w:r>
          </w:p>
        </w:tc>
        <w:tc>
          <w:tcPr>
            <w:tcW w:w="2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34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left="133"/>
              <w:spacing w:after="0" w:line="139" w:lineRule="exact"/>
              <w:rPr>
                <w:sz w:val="20"/>
                <w:szCs w:val="20"/>
                <w:color w:val="auto"/>
              </w:rPr>
            </w:pPr>
            <w:r>
              <w:rPr>
                <w:rFonts w:ascii="Arial" w:cs="Arial" w:eastAsia="Arial" w:hAnsi="Arial"/>
                <w:sz w:val="16"/>
                <w:szCs w:val="16"/>
                <w:b w:val="1"/>
                <w:bCs w:val="1"/>
                <w:color w:val="FEFEFE"/>
                <w:vertAlign w:val="subscript"/>
              </w:rPr>
              <w:t>($)</w:t>
            </w:r>
            <w:r>
              <w:rPr>
                <w:rFonts w:ascii="Arial" w:cs="Arial" w:eastAsia="Arial" w:hAnsi="Arial"/>
                <w:sz w:val="7"/>
                <w:szCs w:val="7"/>
                <w:b w:val="1"/>
                <w:bCs w:val="1"/>
                <w:color w:val="FEFEFE"/>
              </w:rPr>
              <w:t>(1)</w:t>
            </w:r>
          </w:p>
        </w:tc>
        <w:tc>
          <w:tcPr>
            <w:tcW w:w="320" w:type="dxa"/>
            <w:vAlign w:val="bottom"/>
            <w:shd w:val="clear" w:color="auto" w:fill="000000"/>
          </w:tcPr>
          <w:p>
            <w:pPr>
              <w:spacing w:after="0"/>
              <w:rPr>
                <w:sz w:val="12"/>
                <w:szCs w:val="12"/>
                <w:color w:val="auto"/>
              </w:rPr>
            </w:pPr>
          </w:p>
        </w:tc>
        <w:tc>
          <w:tcPr>
            <w:tcW w:w="580" w:type="dxa"/>
            <w:vAlign w:val="bottom"/>
            <w:shd w:val="clear" w:color="auto" w:fill="000000"/>
          </w:tcPr>
          <w:p>
            <w:pPr>
              <w:jc w:val="right"/>
              <w:ind w:right="190"/>
              <w:spacing w:after="0" w:line="139" w:lineRule="exact"/>
              <w:rPr>
                <w:sz w:val="20"/>
                <w:szCs w:val="20"/>
                <w:color w:val="auto"/>
              </w:rPr>
            </w:pPr>
            <w:r>
              <w:rPr>
                <w:rFonts w:ascii="Arial" w:cs="Arial" w:eastAsia="Arial" w:hAnsi="Arial"/>
                <w:sz w:val="13"/>
                <w:szCs w:val="13"/>
                <w:b w:val="1"/>
                <w:bCs w:val="1"/>
                <w:color w:val="FEFEFE"/>
              </w:rPr>
              <w:t>($)</w:t>
            </w:r>
          </w:p>
        </w:tc>
        <w:tc>
          <w:tcPr>
            <w:tcW w:w="320" w:type="dxa"/>
            <w:vAlign w:val="bottom"/>
            <w:shd w:val="clear" w:color="auto" w:fill="000000"/>
          </w:tcPr>
          <w:p>
            <w:pPr>
              <w:spacing w:after="0"/>
              <w:rPr>
                <w:sz w:val="12"/>
                <w:szCs w:val="12"/>
                <w:color w:val="auto"/>
              </w:rPr>
            </w:pPr>
          </w:p>
        </w:tc>
        <w:tc>
          <w:tcPr>
            <w:tcW w:w="720" w:type="dxa"/>
            <w:vAlign w:val="bottom"/>
            <w:shd w:val="clear" w:color="auto" w:fill="000000"/>
          </w:tcPr>
          <w:p>
            <w:pPr>
              <w:jc w:val="center"/>
              <w:ind w:right="31"/>
              <w:spacing w:after="0" w:line="139" w:lineRule="exact"/>
              <w:rPr>
                <w:sz w:val="20"/>
                <w:szCs w:val="20"/>
                <w:color w:val="auto"/>
              </w:rPr>
            </w:pPr>
            <w:r>
              <w:rPr>
                <w:rFonts w:ascii="Arial" w:cs="Arial" w:eastAsia="Arial" w:hAnsi="Arial"/>
                <w:sz w:val="13"/>
                <w:szCs w:val="13"/>
                <w:b w:val="1"/>
                <w:bCs w:val="1"/>
                <w:color w:val="FEFEFE"/>
                <w:w w:val="97"/>
              </w:rPr>
              <w:t>Awards</w:t>
            </w:r>
          </w:p>
        </w:tc>
        <w:tc>
          <w:tcPr>
            <w:tcW w:w="980" w:type="dxa"/>
            <w:vAlign w:val="bottom"/>
            <w:gridSpan w:val="2"/>
            <w:shd w:val="clear" w:color="auto" w:fill="000000"/>
          </w:tcPr>
          <w:p>
            <w:pPr>
              <w:jc w:val="center"/>
              <w:spacing w:after="0" w:line="139" w:lineRule="exact"/>
              <w:rPr>
                <w:sz w:val="20"/>
                <w:szCs w:val="20"/>
                <w:color w:val="auto"/>
              </w:rPr>
            </w:pPr>
            <w:r>
              <w:rPr>
                <w:rFonts w:ascii="Arial" w:cs="Arial" w:eastAsia="Arial" w:hAnsi="Arial"/>
                <w:sz w:val="13"/>
                <w:szCs w:val="13"/>
                <w:b w:val="1"/>
                <w:bCs w:val="1"/>
                <w:color w:val="FEFEFE"/>
                <w:w w:val="93"/>
              </w:rPr>
              <w:t>Awards</w:t>
            </w:r>
          </w:p>
        </w:tc>
        <w:tc>
          <w:tcPr>
            <w:tcW w:w="1120" w:type="dxa"/>
            <w:vAlign w:val="bottom"/>
            <w:gridSpan w:val="2"/>
            <w:shd w:val="clear" w:color="auto" w:fill="000000"/>
          </w:tcPr>
          <w:p>
            <w:pPr>
              <w:jc w:val="center"/>
              <w:ind w:right="132"/>
              <w:spacing w:after="0" w:line="139" w:lineRule="exact"/>
              <w:rPr>
                <w:sz w:val="20"/>
                <w:szCs w:val="20"/>
                <w:color w:val="auto"/>
              </w:rPr>
            </w:pPr>
            <w:r>
              <w:rPr>
                <w:rFonts w:ascii="Arial" w:cs="Arial" w:eastAsia="Arial" w:hAnsi="Arial"/>
                <w:sz w:val="13"/>
                <w:szCs w:val="13"/>
                <w:b w:val="1"/>
                <w:bCs w:val="1"/>
                <w:color w:val="FEFEFE"/>
                <w:w w:val="96"/>
              </w:rPr>
              <w:t>Incentive Plan</w:t>
            </w:r>
          </w:p>
        </w:tc>
        <w:tc>
          <w:tcPr>
            <w:tcW w:w="1220" w:type="dxa"/>
            <w:vAlign w:val="bottom"/>
            <w:gridSpan w:val="3"/>
            <w:shd w:val="clear" w:color="auto" w:fill="000000"/>
          </w:tcPr>
          <w:p>
            <w:pPr>
              <w:jc w:val="center"/>
              <w:ind w:right="251"/>
              <w:spacing w:after="0" w:line="139" w:lineRule="exact"/>
              <w:rPr>
                <w:sz w:val="20"/>
                <w:szCs w:val="20"/>
                <w:color w:val="auto"/>
              </w:rPr>
            </w:pPr>
            <w:r>
              <w:rPr>
                <w:rFonts w:ascii="Arial" w:cs="Arial" w:eastAsia="Arial" w:hAnsi="Arial"/>
                <w:sz w:val="13"/>
                <w:szCs w:val="13"/>
                <w:b w:val="1"/>
                <w:bCs w:val="1"/>
                <w:color w:val="FEFEFE"/>
                <w:w w:val="95"/>
              </w:rPr>
              <w:t>Compensation</w:t>
            </w:r>
          </w:p>
        </w:tc>
        <w:tc>
          <w:tcPr>
            <w:tcW w:w="980" w:type="dxa"/>
            <w:vAlign w:val="bottom"/>
            <w:shd w:val="clear" w:color="auto" w:fill="000000"/>
          </w:tcPr>
          <w:p>
            <w:pPr>
              <w:jc w:val="right"/>
              <w:ind w:right="491"/>
              <w:spacing w:after="0" w:line="139" w:lineRule="exact"/>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8"/>
        </w:trPr>
        <w:tc>
          <w:tcPr>
            <w:tcW w:w="172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340" w:type="dxa"/>
            <w:vAlign w:val="bottom"/>
            <w:shd w:val="clear" w:color="auto" w:fill="000000"/>
          </w:tcPr>
          <w:p>
            <w:pPr>
              <w:spacing w:after="0"/>
              <w:rPr>
                <w:sz w:val="12"/>
                <w:szCs w:val="12"/>
                <w:color w:val="auto"/>
              </w:rPr>
            </w:pPr>
          </w:p>
        </w:tc>
        <w:tc>
          <w:tcPr>
            <w:tcW w:w="76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720" w:type="dxa"/>
            <w:vAlign w:val="bottom"/>
            <w:shd w:val="clear" w:color="auto" w:fill="000000"/>
          </w:tcPr>
          <w:p>
            <w:pPr>
              <w:jc w:val="center"/>
              <w:ind w:right="31"/>
              <w:spacing w:after="0" w:line="148" w:lineRule="exact"/>
              <w:rPr>
                <w:sz w:val="20"/>
                <w:szCs w:val="20"/>
                <w:color w:val="auto"/>
              </w:rPr>
            </w:pPr>
            <w:r>
              <w:rPr>
                <w:rFonts w:ascii="Arial" w:cs="Arial" w:eastAsia="Arial" w:hAnsi="Arial"/>
                <w:sz w:val="13"/>
                <w:szCs w:val="13"/>
                <w:b w:val="1"/>
                <w:bCs w:val="1"/>
                <w:color w:val="FEFEFE"/>
                <w:w w:val="89"/>
              </w:rPr>
              <w:t>($)</w:t>
            </w:r>
            <w:r>
              <w:rPr>
                <w:rFonts w:ascii="Arial" w:cs="Arial" w:eastAsia="Arial" w:hAnsi="Arial"/>
                <w:sz w:val="16"/>
                <w:szCs w:val="16"/>
                <w:b w:val="1"/>
                <w:bCs w:val="1"/>
                <w:color w:val="FEFEFE"/>
                <w:w w:val="89"/>
                <w:vertAlign w:val="superscript"/>
              </w:rPr>
              <w:t>(2)</w:t>
            </w:r>
          </w:p>
        </w:tc>
        <w:tc>
          <w:tcPr>
            <w:tcW w:w="280" w:type="dxa"/>
            <w:vAlign w:val="bottom"/>
            <w:shd w:val="clear" w:color="auto" w:fill="000000"/>
          </w:tcPr>
          <w:p>
            <w:pPr>
              <w:spacing w:after="0"/>
              <w:rPr>
                <w:sz w:val="12"/>
                <w:szCs w:val="12"/>
                <w:color w:val="auto"/>
              </w:rPr>
            </w:pPr>
          </w:p>
        </w:tc>
        <w:tc>
          <w:tcPr>
            <w:tcW w:w="700" w:type="dxa"/>
            <w:vAlign w:val="bottom"/>
            <w:shd w:val="clear" w:color="auto" w:fill="000000"/>
          </w:tcPr>
          <w:p>
            <w:pPr>
              <w:jc w:val="center"/>
              <w:ind w:right="191"/>
              <w:spacing w:after="0"/>
              <w:rPr>
                <w:sz w:val="20"/>
                <w:szCs w:val="20"/>
                <w:color w:val="auto"/>
              </w:rPr>
            </w:pPr>
            <w:r>
              <w:rPr>
                <w:rFonts w:ascii="Arial" w:cs="Arial" w:eastAsia="Arial" w:hAnsi="Arial"/>
                <w:sz w:val="13"/>
                <w:szCs w:val="13"/>
                <w:b w:val="1"/>
                <w:bCs w:val="1"/>
                <w:color w:val="FEFEFE"/>
              </w:rPr>
              <w:t>($)</w:t>
            </w:r>
          </w:p>
        </w:tc>
        <w:tc>
          <w:tcPr>
            <w:tcW w:w="1120" w:type="dxa"/>
            <w:vAlign w:val="bottom"/>
            <w:gridSpan w:val="2"/>
            <w:shd w:val="clear" w:color="auto" w:fill="000000"/>
          </w:tcPr>
          <w:p>
            <w:pPr>
              <w:jc w:val="center"/>
              <w:ind w:right="132"/>
              <w:spacing w:after="0"/>
              <w:rPr>
                <w:sz w:val="20"/>
                <w:szCs w:val="20"/>
                <w:color w:val="auto"/>
              </w:rPr>
            </w:pPr>
            <w:r>
              <w:rPr>
                <w:rFonts w:ascii="Arial" w:cs="Arial" w:eastAsia="Arial" w:hAnsi="Arial"/>
                <w:sz w:val="13"/>
                <w:szCs w:val="13"/>
                <w:b w:val="1"/>
                <w:bCs w:val="1"/>
                <w:color w:val="FEFEFE"/>
                <w:w w:val="97"/>
              </w:rPr>
              <w:t>Compensation</w:t>
            </w:r>
          </w:p>
        </w:tc>
        <w:tc>
          <w:tcPr>
            <w:tcW w:w="140" w:type="dxa"/>
            <w:vAlign w:val="bottom"/>
            <w:shd w:val="clear" w:color="auto" w:fill="000000"/>
          </w:tcPr>
          <w:p>
            <w:pPr>
              <w:spacing w:after="0"/>
              <w:rPr>
                <w:sz w:val="12"/>
                <w:szCs w:val="12"/>
                <w:color w:val="auto"/>
              </w:rPr>
            </w:pPr>
          </w:p>
        </w:tc>
        <w:tc>
          <w:tcPr>
            <w:tcW w:w="700" w:type="dxa"/>
            <w:vAlign w:val="bottom"/>
            <w:shd w:val="clear" w:color="auto" w:fill="000000"/>
          </w:tcPr>
          <w:p>
            <w:pPr>
              <w:jc w:val="center"/>
              <w:ind w:right="10"/>
              <w:spacing w:after="0" w:line="148" w:lineRule="exact"/>
              <w:rPr>
                <w:sz w:val="20"/>
                <w:szCs w:val="20"/>
                <w:color w:val="auto"/>
              </w:rPr>
            </w:pPr>
            <w:r>
              <w:rPr>
                <w:rFonts w:ascii="Arial" w:cs="Arial" w:eastAsia="Arial" w:hAnsi="Arial"/>
                <w:sz w:val="13"/>
                <w:szCs w:val="13"/>
                <w:b w:val="1"/>
                <w:bCs w:val="1"/>
                <w:color w:val="FEFEFE"/>
                <w:w w:val="89"/>
              </w:rPr>
              <w:t>($)</w:t>
            </w:r>
            <w:r>
              <w:rPr>
                <w:rFonts w:ascii="Arial" w:cs="Arial" w:eastAsia="Arial" w:hAnsi="Arial"/>
                <w:sz w:val="16"/>
                <w:szCs w:val="16"/>
                <w:b w:val="1"/>
                <w:bCs w:val="1"/>
                <w:color w:val="FEFEFE"/>
                <w:w w:val="89"/>
                <w:vertAlign w:val="superscript"/>
              </w:rPr>
              <w:t>(4)</w:t>
            </w:r>
          </w:p>
        </w:tc>
        <w:tc>
          <w:tcPr>
            <w:tcW w:w="380" w:type="dxa"/>
            <w:vAlign w:val="bottom"/>
            <w:shd w:val="clear" w:color="auto" w:fill="000000"/>
          </w:tcPr>
          <w:p>
            <w:pPr>
              <w:spacing w:after="0"/>
              <w:rPr>
                <w:sz w:val="12"/>
                <w:szCs w:val="12"/>
                <w:color w:val="auto"/>
              </w:rPr>
            </w:pPr>
          </w:p>
        </w:tc>
        <w:tc>
          <w:tcPr>
            <w:tcW w:w="9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720" w:type="dxa"/>
            <w:vAlign w:val="bottom"/>
            <w:shd w:val="clear" w:color="auto" w:fill="000000"/>
          </w:tcPr>
          <w:p>
            <w:pPr>
              <w:spacing w:after="0"/>
              <w:rPr>
                <w:sz w:val="19"/>
                <w:szCs w:val="19"/>
                <w:color w:val="auto"/>
              </w:rPr>
            </w:pPr>
          </w:p>
        </w:tc>
        <w:tc>
          <w:tcPr>
            <w:tcW w:w="200" w:type="dxa"/>
            <w:vAlign w:val="bottom"/>
            <w:shd w:val="clear" w:color="auto" w:fill="000000"/>
          </w:tcPr>
          <w:p>
            <w:pPr>
              <w:spacing w:after="0"/>
              <w:rPr>
                <w:sz w:val="19"/>
                <w:szCs w:val="19"/>
                <w:color w:val="auto"/>
              </w:rPr>
            </w:pPr>
          </w:p>
        </w:tc>
        <w:tc>
          <w:tcPr>
            <w:tcW w:w="120" w:type="dxa"/>
            <w:vAlign w:val="bottom"/>
            <w:shd w:val="clear" w:color="auto" w:fill="000000"/>
          </w:tcPr>
          <w:p>
            <w:pPr>
              <w:spacing w:after="0"/>
              <w:rPr>
                <w:sz w:val="19"/>
                <w:szCs w:val="19"/>
                <w:color w:val="auto"/>
              </w:rPr>
            </w:pPr>
          </w:p>
        </w:tc>
        <w:tc>
          <w:tcPr>
            <w:tcW w:w="340" w:type="dxa"/>
            <w:vAlign w:val="bottom"/>
            <w:shd w:val="clear" w:color="auto" w:fill="000000"/>
          </w:tcPr>
          <w:p>
            <w:pPr>
              <w:spacing w:after="0"/>
              <w:rPr>
                <w:sz w:val="19"/>
                <w:szCs w:val="19"/>
                <w:color w:val="auto"/>
              </w:rPr>
            </w:pPr>
          </w:p>
        </w:tc>
        <w:tc>
          <w:tcPr>
            <w:tcW w:w="760" w:type="dxa"/>
            <w:vAlign w:val="bottom"/>
            <w:shd w:val="clear" w:color="auto" w:fill="000000"/>
          </w:tcPr>
          <w:p>
            <w:pPr>
              <w:spacing w:after="0"/>
              <w:rPr>
                <w:sz w:val="19"/>
                <w:szCs w:val="19"/>
                <w:color w:val="auto"/>
              </w:rPr>
            </w:pPr>
          </w:p>
        </w:tc>
        <w:tc>
          <w:tcPr>
            <w:tcW w:w="320" w:type="dxa"/>
            <w:vAlign w:val="bottom"/>
            <w:shd w:val="clear" w:color="auto" w:fill="000000"/>
          </w:tcPr>
          <w:p>
            <w:pPr>
              <w:spacing w:after="0"/>
              <w:rPr>
                <w:sz w:val="19"/>
                <w:szCs w:val="19"/>
                <w:color w:val="auto"/>
              </w:rPr>
            </w:pPr>
          </w:p>
        </w:tc>
        <w:tc>
          <w:tcPr>
            <w:tcW w:w="580" w:type="dxa"/>
            <w:vAlign w:val="bottom"/>
            <w:shd w:val="clear" w:color="auto" w:fill="000000"/>
          </w:tcPr>
          <w:p>
            <w:pPr>
              <w:spacing w:after="0"/>
              <w:rPr>
                <w:sz w:val="19"/>
                <w:szCs w:val="19"/>
                <w:color w:val="auto"/>
              </w:rPr>
            </w:pPr>
          </w:p>
        </w:tc>
        <w:tc>
          <w:tcPr>
            <w:tcW w:w="320" w:type="dxa"/>
            <w:vAlign w:val="bottom"/>
            <w:shd w:val="clear" w:color="auto" w:fill="000000"/>
          </w:tcPr>
          <w:p>
            <w:pPr>
              <w:spacing w:after="0"/>
              <w:rPr>
                <w:sz w:val="19"/>
                <w:szCs w:val="19"/>
                <w:color w:val="auto"/>
              </w:rPr>
            </w:pPr>
          </w:p>
        </w:tc>
        <w:tc>
          <w:tcPr>
            <w:tcW w:w="720" w:type="dxa"/>
            <w:vAlign w:val="bottom"/>
            <w:shd w:val="clear" w:color="auto" w:fill="000000"/>
          </w:tcPr>
          <w:p>
            <w:pPr>
              <w:spacing w:after="0"/>
              <w:rPr>
                <w:sz w:val="19"/>
                <w:szCs w:val="19"/>
                <w:color w:val="auto"/>
              </w:rPr>
            </w:pPr>
          </w:p>
        </w:tc>
        <w:tc>
          <w:tcPr>
            <w:tcW w:w="280" w:type="dxa"/>
            <w:vAlign w:val="bottom"/>
            <w:shd w:val="clear" w:color="auto" w:fill="000000"/>
          </w:tcPr>
          <w:p>
            <w:pPr>
              <w:spacing w:after="0"/>
              <w:rPr>
                <w:sz w:val="19"/>
                <w:szCs w:val="19"/>
                <w:color w:val="auto"/>
              </w:rPr>
            </w:pPr>
          </w:p>
        </w:tc>
        <w:tc>
          <w:tcPr>
            <w:tcW w:w="700" w:type="dxa"/>
            <w:vAlign w:val="bottom"/>
            <w:shd w:val="clear" w:color="auto" w:fill="000000"/>
          </w:tcPr>
          <w:p>
            <w:pPr>
              <w:spacing w:after="0"/>
              <w:rPr>
                <w:sz w:val="19"/>
                <w:szCs w:val="19"/>
                <w:color w:val="auto"/>
              </w:rPr>
            </w:pPr>
          </w:p>
        </w:tc>
        <w:tc>
          <w:tcPr>
            <w:tcW w:w="260" w:type="dxa"/>
            <w:vAlign w:val="bottom"/>
            <w:shd w:val="clear" w:color="auto" w:fill="000000"/>
          </w:tcPr>
          <w:p>
            <w:pPr>
              <w:spacing w:after="0"/>
              <w:rPr>
                <w:sz w:val="19"/>
                <w:szCs w:val="19"/>
                <w:color w:val="auto"/>
              </w:rPr>
            </w:pPr>
          </w:p>
        </w:tc>
        <w:tc>
          <w:tcPr>
            <w:tcW w:w="860" w:type="dxa"/>
            <w:vAlign w:val="bottom"/>
            <w:shd w:val="clear" w:color="auto" w:fill="000000"/>
          </w:tcPr>
          <w:p>
            <w:pPr>
              <w:jc w:val="center"/>
              <w:ind w:right="412"/>
              <w:spacing w:after="0"/>
              <w:rPr>
                <w:sz w:val="20"/>
                <w:szCs w:val="20"/>
                <w:color w:val="auto"/>
              </w:rPr>
            </w:pPr>
            <w:r>
              <w:rPr>
                <w:rFonts w:ascii="Arial" w:cs="Arial" w:eastAsia="Arial" w:hAnsi="Arial"/>
                <w:sz w:val="13"/>
                <w:szCs w:val="13"/>
                <w:b w:val="1"/>
                <w:bCs w:val="1"/>
                <w:color w:val="FEFEFE"/>
                <w:w w:val="89"/>
              </w:rPr>
              <w:t>($)</w:t>
            </w:r>
            <w:r>
              <w:rPr>
                <w:rFonts w:ascii="Arial" w:cs="Arial" w:eastAsia="Arial" w:hAnsi="Arial"/>
                <w:sz w:val="16"/>
                <w:szCs w:val="16"/>
                <w:b w:val="1"/>
                <w:bCs w:val="1"/>
                <w:color w:val="FEFEFE"/>
                <w:w w:val="89"/>
                <w:vertAlign w:val="superscript"/>
              </w:rPr>
              <w:t>(3)</w:t>
            </w:r>
          </w:p>
        </w:tc>
        <w:tc>
          <w:tcPr>
            <w:tcW w:w="140" w:type="dxa"/>
            <w:vAlign w:val="bottom"/>
            <w:shd w:val="clear" w:color="auto" w:fill="000000"/>
          </w:tcPr>
          <w:p>
            <w:pPr>
              <w:spacing w:after="0"/>
              <w:rPr>
                <w:sz w:val="19"/>
                <w:szCs w:val="19"/>
                <w:color w:val="auto"/>
              </w:rPr>
            </w:pPr>
          </w:p>
        </w:tc>
        <w:tc>
          <w:tcPr>
            <w:tcW w:w="700" w:type="dxa"/>
            <w:vAlign w:val="bottom"/>
            <w:shd w:val="clear" w:color="auto" w:fill="000000"/>
          </w:tcPr>
          <w:p>
            <w:pPr>
              <w:spacing w:after="0"/>
              <w:rPr>
                <w:sz w:val="19"/>
                <w:szCs w:val="19"/>
                <w:color w:val="auto"/>
              </w:rPr>
            </w:pPr>
          </w:p>
        </w:tc>
        <w:tc>
          <w:tcPr>
            <w:tcW w:w="380" w:type="dxa"/>
            <w:vAlign w:val="bottom"/>
            <w:shd w:val="clear" w:color="auto" w:fill="000000"/>
          </w:tcPr>
          <w:p>
            <w:pPr>
              <w:spacing w:after="0"/>
              <w:rPr>
                <w:sz w:val="19"/>
                <w:szCs w:val="19"/>
                <w:color w:val="auto"/>
              </w:rPr>
            </w:pPr>
          </w:p>
        </w:tc>
        <w:tc>
          <w:tcPr>
            <w:tcW w:w="98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720" w:type="dxa"/>
            <w:vAlign w:val="bottom"/>
            <w:shd w:val="clear" w:color="auto" w:fill="000000"/>
          </w:tcPr>
          <w:p>
            <w:pPr>
              <w:spacing w:after="0"/>
              <w:rPr>
                <w:sz w:val="8"/>
                <w:szCs w:val="8"/>
                <w:color w:val="auto"/>
              </w:rPr>
            </w:pPr>
          </w:p>
        </w:tc>
        <w:tc>
          <w:tcPr>
            <w:tcW w:w="200" w:type="dxa"/>
            <w:vAlign w:val="bottom"/>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340" w:type="dxa"/>
            <w:vAlign w:val="bottom"/>
            <w:shd w:val="clear" w:color="auto" w:fill="000000"/>
          </w:tcPr>
          <w:p>
            <w:pPr>
              <w:spacing w:after="0"/>
              <w:rPr>
                <w:sz w:val="8"/>
                <w:szCs w:val="8"/>
                <w:color w:val="auto"/>
              </w:rPr>
            </w:pPr>
          </w:p>
        </w:tc>
        <w:tc>
          <w:tcPr>
            <w:tcW w:w="760" w:type="dxa"/>
            <w:vAlign w:val="bottom"/>
            <w:shd w:val="clear" w:color="auto" w:fill="000000"/>
          </w:tcPr>
          <w:p>
            <w:pPr>
              <w:spacing w:after="0"/>
              <w:rPr>
                <w:sz w:val="8"/>
                <w:szCs w:val="8"/>
                <w:color w:val="auto"/>
              </w:rPr>
            </w:pPr>
          </w:p>
        </w:tc>
        <w:tc>
          <w:tcPr>
            <w:tcW w:w="320" w:type="dxa"/>
            <w:vAlign w:val="bottom"/>
            <w:shd w:val="clear" w:color="auto" w:fill="000000"/>
          </w:tcPr>
          <w:p>
            <w:pPr>
              <w:spacing w:after="0"/>
              <w:rPr>
                <w:sz w:val="8"/>
                <w:szCs w:val="8"/>
                <w:color w:val="auto"/>
              </w:rPr>
            </w:pPr>
          </w:p>
        </w:tc>
        <w:tc>
          <w:tcPr>
            <w:tcW w:w="580" w:type="dxa"/>
            <w:vAlign w:val="bottom"/>
            <w:shd w:val="clear" w:color="auto" w:fill="000000"/>
          </w:tcPr>
          <w:p>
            <w:pPr>
              <w:spacing w:after="0"/>
              <w:rPr>
                <w:sz w:val="8"/>
                <w:szCs w:val="8"/>
                <w:color w:val="auto"/>
              </w:rPr>
            </w:pPr>
          </w:p>
        </w:tc>
        <w:tc>
          <w:tcPr>
            <w:tcW w:w="320" w:type="dxa"/>
            <w:vAlign w:val="bottom"/>
            <w:shd w:val="clear" w:color="auto" w:fill="000000"/>
          </w:tcPr>
          <w:p>
            <w:pPr>
              <w:spacing w:after="0"/>
              <w:rPr>
                <w:sz w:val="8"/>
                <w:szCs w:val="8"/>
                <w:color w:val="auto"/>
              </w:rPr>
            </w:pPr>
          </w:p>
        </w:tc>
        <w:tc>
          <w:tcPr>
            <w:tcW w:w="720" w:type="dxa"/>
            <w:vAlign w:val="bottom"/>
            <w:shd w:val="clear" w:color="auto" w:fill="000000"/>
          </w:tcPr>
          <w:p>
            <w:pPr>
              <w:spacing w:after="0"/>
              <w:rPr>
                <w:sz w:val="8"/>
                <w:szCs w:val="8"/>
                <w:color w:val="auto"/>
              </w:rPr>
            </w:pPr>
          </w:p>
        </w:tc>
        <w:tc>
          <w:tcPr>
            <w:tcW w:w="280" w:type="dxa"/>
            <w:vAlign w:val="bottom"/>
            <w:shd w:val="clear" w:color="auto" w:fill="000000"/>
          </w:tcPr>
          <w:p>
            <w:pPr>
              <w:spacing w:after="0"/>
              <w:rPr>
                <w:sz w:val="8"/>
                <w:szCs w:val="8"/>
                <w:color w:val="auto"/>
              </w:rPr>
            </w:pPr>
          </w:p>
        </w:tc>
        <w:tc>
          <w:tcPr>
            <w:tcW w:w="700" w:type="dxa"/>
            <w:vAlign w:val="bottom"/>
            <w:shd w:val="clear" w:color="auto" w:fill="000000"/>
          </w:tcPr>
          <w:p>
            <w:pPr>
              <w:spacing w:after="0"/>
              <w:rPr>
                <w:sz w:val="8"/>
                <w:szCs w:val="8"/>
                <w:color w:val="auto"/>
              </w:rPr>
            </w:pPr>
          </w:p>
        </w:tc>
        <w:tc>
          <w:tcPr>
            <w:tcW w:w="260" w:type="dxa"/>
            <w:vAlign w:val="bottom"/>
            <w:shd w:val="clear" w:color="auto" w:fill="000000"/>
          </w:tcPr>
          <w:p>
            <w:pPr>
              <w:spacing w:after="0"/>
              <w:rPr>
                <w:sz w:val="8"/>
                <w:szCs w:val="8"/>
                <w:color w:val="auto"/>
              </w:rPr>
            </w:pPr>
          </w:p>
        </w:tc>
        <w:tc>
          <w:tcPr>
            <w:tcW w:w="860" w:type="dxa"/>
            <w:vAlign w:val="bottom"/>
            <w:shd w:val="clear" w:color="auto" w:fill="000000"/>
          </w:tcPr>
          <w:p>
            <w:pPr>
              <w:spacing w:after="0"/>
              <w:rPr>
                <w:sz w:val="8"/>
                <w:szCs w:val="8"/>
                <w:color w:val="auto"/>
              </w:rPr>
            </w:pPr>
          </w:p>
        </w:tc>
        <w:tc>
          <w:tcPr>
            <w:tcW w:w="140" w:type="dxa"/>
            <w:vAlign w:val="bottom"/>
            <w:shd w:val="clear" w:color="auto" w:fill="000000"/>
          </w:tcPr>
          <w:p>
            <w:pPr>
              <w:spacing w:after="0"/>
              <w:rPr>
                <w:sz w:val="8"/>
                <w:szCs w:val="8"/>
                <w:color w:val="auto"/>
              </w:rPr>
            </w:pPr>
          </w:p>
        </w:tc>
        <w:tc>
          <w:tcPr>
            <w:tcW w:w="700" w:type="dxa"/>
            <w:vAlign w:val="bottom"/>
            <w:shd w:val="clear" w:color="auto" w:fill="000000"/>
          </w:tcPr>
          <w:p>
            <w:pPr>
              <w:spacing w:after="0"/>
              <w:rPr>
                <w:sz w:val="8"/>
                <w:szCs w:val="8"/>
                <w:color w:val="auto"/>
              </w:rPr>
            </w:pPr>
          </w:p>
        </w:tc>
        <w:tc>
          <w:tcPr>
            <w:tcW w:w="380" w:type="dxa"/>
            <w:vAlign w:val="bottom"/>
            <w:shd w:val="clear" w:color="auto" w:fill="000000"/>
          </w:tcPr>
          <w:p>
            <w:pPr>
              <w:spacing w:after="0"/>
              <w:rPr>
                <w:sz w:val="8"/>
                <w:szCs w:val="8"/>
                <w:color w:val="auto"/>
              </w:rPr>
            </w:pPr>
          </w:p>
        </w:tc>
        <w:tc>
          <w:tcPr>
            <w:tcW w:w="98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2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660" w:type="dxa"/>
            <w:vAlign w:val="bottom"/>
            <w:gridSpan w:val="3"/>
          </w:tcPr>
          <w:p>
            <w:pPr>
              <w:ind w:left="100"/>
              <w:spacing w:after="0" w:line="122" w:lineRule="exact"/>
              <w:rPr>
                <w:sz w:val="20"/>
                <w:szCs w:val="20"/>
                <w:color w:val="auto"/>
              </w:rPr>
            </w:pPr>
            <w:r>
              <w:rPr>
                <w:rFonts w:ascii="Arial" w:cs="Arial" w:eastAsia="Arial" w:hAnsi="Arial"/>
                <w:sz w:val="14"/>
                <w:szCs w:val="14"/>
                <w:color w:val="auto"/>
              </w:rPr>
              <w:t>​ ​ ​</w:t>
            </w:r>
          </w:p>
        </w:tc>
        <w:tc>
          <w:tcPr>
            <w:tcW w:w="760" w:type="dxa"/>
            <w:vAlign w:val="bottom"/>
          </w:tcPr>
          <w:p>
            <w:pPr>
              <w:jc w:val="center"/>
              <w:ind w:right="453"/>
              <w:spacing w:after="0" w:line="122" w:lineRule="exact"/>
              <w:rPr>
                <w:sz w:val="20"/>
                <w:szCs w:val="20"/>
                <w:color w:val="auto"/>
              </w:rPr>
            </w:pPr>
            <w:r>
              <w:rPr>
                <w:rFonts w:ascii="Arial" w:cs="Arial" w:eastAsia="Arial" w:hAnsi="Arial"/>
                <w:sz w:val="14"/>
                <w:szCs w:val="14"/>
                <w:color w:val="auto"/>
              </w:rPr>
              <w:t>​ ​ ​</w:t>
            </w:r>
          </w:p>
        </w:tc>
        <w:tc>
          <w:tcPr>
            <w:tcW w:w="320" w:type="dxa"/>
            <w:vAlign w:val="bottom"/>
          </w:tcPr>
          <w:p>
            <w:pPr>
              <w:jc w:val="center"/>
              <w:spacing w:after="0" w:line="122" w:lineRule="exact"/>
              <w:rPr>
                <w:sz w:val="20"/>
                <w:szCs w:val="20"/>
                <w:color w:val="auto"/>
              </w:rPr>
            </w:pPr>
            <w:r>
              <w:rPr>
                <w:rFonts w:ascii="Arial" w:cs="Arial" w:eastAsia="Arial" w:hAnsi="Arial"/>
                <w:sz w:val="14"/>
                <w:szCs w:val="14"/>
                <w:color w:val="auto"/>
              </w:rPr>
              <w:t>​ ​ ​</w:t>
            </w:r>
          </w:p>
        </w:tc>
        <w:tc>
          <w:tcPr>
            <w:tcW w:w="580" w:type="dxa"/>
            <w:vAlign w:val="bottom"/>
          </w:tcPr>
          <w:p>
            <w:pPr>
              <w:spacing w:after="0"/>
              <w:rPr>
                <w:sz w:val="10"/>
                <w:szCs w:val="10"/>
                <w:color w:val="auto"/>
              </w:rPr>
            </w:pPr>
          </w:p>
        </w:tc>
        <w:tc>
          <w:tcPr>
            <w:tcW w:w="320" w:type="dxa"/>
            <w:vAlign w:val="bottom"/>
          </w:tcPr>
          <w:p>
            <w:pPr>
              <w:jc w:val="right"/>
              <w:ind w:right="11"/>
              <w:spacing w:after="0" w:line="122" w:lineRule="exact"/>
              <w:rPr>
                <w:sz w:val="20"/>
                <w:szCs w:val="20"/>
                <w:color w:val="auto"/>
              </w:rPr>
            </w:pPr>
            <w:r>
              <w:rPr>
                <w:rFonts w:ascii="Arial" w:cs="Arial" w:eastAsia="Arial" w:hAnsi="Arial"/>
                <w:sz w:val="14"/>
                <w:szCs w:val="14"/>
                <w:color w:val="auto"/>
              </w:rPr>
              <w:t>​ ​ ​</w:t>
            </w:r>
          </w:p>
        </w:tc>
        <w:tc>
          <w:tcPr>
            <w:tcW w:w="720" w:type="dxa"/>
            <w:vAlign w:val="bottom"/>
          </w:tcPr>
          <w:p>
            <w:pPr>
              <w:spacing w:after="0"/>
              <w:rPr>
                <w:sz w:val="10"/>
                <w:szCs w:val="10"/>
                <w:color w:val="auto"/>
              </w:rPr>
            </w:pPr>
          </w:p>
        </w:tc>
        <w:tc>
          <w:tcPr>
            <w:tcW w:w="280" w:type="dxa"/>
            <w:vAlign w:val="bottom"/>
          </w:tcPr>
          <w:p>
            <w:pPr>
              <w:jc w:val="center"/>
              <w:spacing w:after="0" w:line="122" w:lineRule="exact"/>
              <w:rPr>
                <w:sz w:val="20"/>
                <w:szCs w:val="20"/>
                <w:color w:val="auto"/>
              </w:rPr>
            </w:pPr>
            <w:r>
              <w:rPr>
                <w:rFonts w:ascii="Arial" w:cs="Arial" w:eastAsia="Arial" w:hAnsi="Arial"/>
                <w:sz w:val="14"/>
                <w:szCs w:val="14"/>
                <w:color w:val="auto"/>
              </w:rPr>
              <w:t>​ ​ ​</w:t>
            </w:r>
          </w:p>
        </w:tc>
        <w:tc>
          <w:tcPr>
            <w:tcW w:w="700" w:type="dxa"/>
            <w:vAlign w:val="bottom"/>
          </w:tcPr>
          <w:p>
            <w:pPr>
              <w:ind w:left="500"/>
              <w:spacing w:after="0" w:line="122" w:lineRule="exact"/>
              <w:rPr>
                <w:sz w:val="20"/>
                <w:szCs w:val="20"/>
                <w:color w:val="auto"/>
              </w:rPr>
            </w:pPr>
            <w:r>
              <w:rPr>
                <w:rFonts w:ascii="Arial" w:cs="Arial" w:eastAsia="Arial" w:hAnsi="Arial"/>
                <w:sz w:val="14"/>
                <w:szCs w:val="14"/>
                <w:color w:val="auto"/>
              </w:rPr>
              <w:t>​ ​</w:t>
            </w:r>
          </w:p>
        </w:tc>
        <w:tc>
          <w:tcPr>
            <w:tcW w:w="260" w:type="dxa"/>
            <w:vAlign w:val="bottom"/>
          </w:tcPr>
          <w:p>
            <w:pPr>
              <w:ind w:left="140"/>
              <w:spacing w:after="0" w:line="122"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
              <w:spacing w:after="0" w:line="122" w:lineRule="exact"/>
              <w:rPr>
                <w:sz w:val="20"/>
                <w:szCs w:val="20"/>
                <w:color w:val="auto"/>
              </w:rPr>
            </w:pPr>
            <w:r>
              <w:rPr>
                <w:rFonts w:ascii="Arial" w:cs="Arial" w:eastAsia="Arial" w:hAnsi="Arial"/>
                <w:sz w:val="14"/>
                <w:szCs w:val="14"/>
                <w:color w:val="auto"/>
              </w:rPr>
              <w:t>​​ ​</w:t>
            </w:r>
          </w:p>
        </w:tc>
        <w:tc>
          <w:tcPr>
            <w:tcW w:w="140" w:type="dxa"/>
            <w:vAlign w:val="bottom"/>
          </w:tcPr>
          <w:p>
            <w:pPr>
              <w:ind w:left="80"/>
              <w:spacing w:after="0" w:line="122"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4"/>
                <w:szCs w:val="14"/>
                <w:color w:val="auto"/>
              </w:rPr>
              <w:t>​​ ​ ​</w:t>
            </w:r>
          </w:p>
        </w:tc>
        <w:tc>
          <w:tcPr>
            <w:tcW w:w="980" w:type="dxa"/>
            <w:vAlign w:val="bottom"/>
          </w:tcPr>
          <w:p>
            <w:pPr>
              <w:jc w:val="right"/>
              <w:ind w:right="91"/>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720" w:type="dxa"/>
            <w:vAlign w:val="bottom"/>
          </w:tcPr>
          <w:p>
            <w:pPr>
              <w:ind w:left="160"/>
              <w:spacing w:after="0"/>
              <w:rPr>
                <w:sz w:val="20"/>
                <w:szCs w:val="20"/>
                <w:color w:val="auto"/>
              </w:rPr>
            </w:pPr>
            <w:r>
              <w:rPr>
                <w:rFonts w:ascii="Arial" w:cs="Arial" w:eastAsia="Arial" w:hAnsi="Arial"/>
                <w:sz w:val="16"/>
                <w:szCs w:val="16"/>
                <w:b w:val="1"/>
                <w:bCs w:val="1"/>
                <w:color w:val="auto"/>
              </w:rPr>
              <w:t>Peter Rawlinson</w:t>
            </w: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​2022</w:t>
            </w:r>
          </w:p>
        </w:tc>
        <w:tc>
          <w:tcPr>
            <w:tcW w:w="760" w:type="dxa"/>
            <w:vAlign w:val="bottom"/>
          </w:tcPr>
          <w:p>
            <w:pPr>
              <w:jc w:val="center"/>
              <w:ind w:left="153"/>
              <w:spacing w:after="0"/>
              <w:rPr>
                <w:sz w:val="20"/>
                <w:szCs w:val="20"/>
                <w:color w:val="auto"/>
              </w:rPr>
            </w:pPr>
            <w:r>
              <w:rPr>
                <w:rFonts w:ascii="Arial" w:cs="Arial" w:eastAsia="Arial" w:hAnsi="Arial"/>
                <w:sz w:val="14"/>
                <w:szCs w:val="14"/>
                <w:color w:val="auto"/>
              </w:rPr>
              <w:t>​575,000</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240"/>
              <w:spacing w:after="0"/>
              <w:rPr>
                <w:sz w:val="20"/>
                <w:szCs w:val="20"/>
                <w:color w:val="auto"/>
              </w:rPr>
            </w:pPr>
            <w:r>
              <w:rPr>
                <w:rFonts w:ascii="Arial" w:cs="Arial" w:eastAsia="Arial" w:hAnsi="Arial"/>
                <w:sz w:val="14"/>
                <w:szCs w:val="14"/>
                <w:color w:val="auto"/>
              </w:rPr>
              <w:t>​</w:t>
            </w:r>
          </w:p>
        </w:tc>
        <w:tc>
          <w:tcPr>
            <w:tcW w:w="700" w:type="dxa"/>
            <w:vAlign w:val="bottom"/>
          </w:tcPr>
          <w:p>
            <w:pPr>
              <w:ind w:left="340"/>
              <w:spacing w:after="0"/>
              <w:rPr>
                <w:sz w:val="20"/>
                <w:szCs w:val="20"/>
                <w:color w:val="auto"/>
              </w:rPr>
            </w:pPr>
            <w:r>
              <w:rPr>
                <w:rFonts w:ascii="Arial" w:cs="Arial" w:eastAsia="Arial" w:hAnsi="Arial"/>
                <w:sz w:val="14"/>
                <w:szCs w:val="14"/>
                <w:color w:val="auto"/>
              </w:rPr>
              <w:t>—</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21,430</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596,430</w:t>
            </w:r>
          </w:p>
        </w:tc>
        <w:tc>
          <w:tcPr>
            <w:tcW w:w="0" w:type="dxa"/>
            <w:vAlign w:val="bottom"/>
          </w:tcPr>
          <w:p>
            <w:pPr>
              <w:spacing w:after="0"/>
              <w:rPr>
                <w:sz w:val="1"/>
                <w:szCs w:val="1"/>
                <w:color w:val="auto"/>
              </w:rPr>
            </w:pPr>
          </w:p>
        </w:tc>
      </w:tr>
      <w:tr>
        <w:trPr>
          <w:trHeight w:val="101"/>
        </w:trPr>
        <w:tc>
          <w:tcPr>
            <w:tcW w:w="1720" w:type="dxa"/>
            <w:vAlign w:val="bottom"/>
            <w:vMerge w:val="restart"/>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gridSpan w:val="2"/>
            <w:vMerge w:val="restart"/>
          </w:tcPr>
          <w:p>
            <w:pPr>
              <w:spacing w:after="0" w:line="115" w:lineRule="exact"/>
              <w:rPr>
                <w:sz w:val="20"/>
                <w:szCs w:val="20"/>
                <w:color w:val="auto"/>
              </w:rPr>
            </w:pPr>
            <w:r>
              <w:rPr>
                <w:rFonts w:ascii="Arial" w:cs="Arial" w:eastAsia="Arial" w:hAnsi="Arial"/>
                <w:sz w:val="13"/>
                <w:szCs w:val="13"/>
                <w:color w:val="auto"/>
              </w:rPr>
              <w:t>​ ​</w:t>
            </w:r>
          </w:p>
        </w:tc>
        <w:tc>
          <w:tcPr>
            <w:tcW w:w="760" w:type="dxa"/>
            <w:vAlign w:val="bottom"/>
            <w:vMerge w:val="restart"/>
          </w:tcPr>
          <w:p>
            <w:pPr>
              <w:jc w:val="center"/>
              <w:ind w:right="453"/>
              <w:spacing w:after="0" w:line="115" w:lineRule="exact"/>
              <w:rPr>
                <w:sz w:val="20"/>
                <w:szCs w:val="20"/>
                <w:color w:val="auto"/>
              </w:rPr>
            </w:pPr>
            <w:r>
              <w:rPr>
                <w:rFonts w:ascii="Arial" w:cs="Arial" w:eastAsia="Arial" w:hAnsi="Arial"/>
                <w:sz w:val="13"/>
                <w:szCs w:val="13"/>
                <w:color w:val="auto"/>
              </w:rPr>
              <w:t>​ ​ ​</w:t>
            </w:r>
          </w:p>
        </w:tc>
        <w:tc>
          <w:tcPr>
            <w:tcW w:w="320" w:type="dxa"/>
            <w:vAlign w:val="bottom"/>
            <w:vMerge w:val="restart"/>
          </w:tcPr>
          <w:p>
            <w:pPr>
              <w:jc w:val="center"/>
              <w:spacing w:after="0" w:line="115" w:lineRule="exact"/>
              <w:rPr>
                <w:sz w:val="20"/>
                <w:szCs w:val="20"/>
                <w:color w:val="auto"/>
              </w:rPr>
            </w:pPr>
            <w:r>
              <w:rPr>
                <w:rFonts w:ascii="Arial" w:cs="Arial" w:eastAsia="Arial" w:hAnsi="Arial"/>
                <w:sz w:val="13"/>
                <w:szCs w:val="13"/>
                <w:color w:val="auto"/>
              </w:rPr>
              <w:t>​ ​ ​</w:t>
            </w:r>
          </w:p>
        </w:tc>
        <w:tc>
          <w:tcPr>
            <w:tcW w:w="580" w:type="dxa"/>
            <w:vAlign w:val="bottom"/>
          </w:tcPr>
          <w:p>
            <w:pPr>
              <w:spacing w:after="0"/>
              <w:rPr>
                <w:sz w:val="5"/>
                <w:szCs w:val="5"/>
                <w:color w:val="auto"/>
              </w:rPr>
            </w:pPr>
          </w:p>
        </w:tc>
        <w:tc>
          <w:tcPr>
            <w:tcW w:w="320" w:type="dxa"/>
            <w:vAlign w:val="bottom"/>
            <w:vMerge w:val="restart"/>
          </w:tcPr>
          <w:p>
            <w:pPr>
              <w:jc w:val="right"/>
              <w:ind w:right="11"/>
              <w:spacing w:after="0" w:line="115" w:lineRule="exact"/>
              <w:rPr>
                <w:sz w:val="20"/>
                <w:szCs w:val="20"/>
                <w:color w:val="auto"/>
              </w:rPr>
            </w:pPr>
            <w:r>
              <w:rPr>
                <w:rFonts w:ascii="Arial" w:cs="Arial" w:eastAsia="Arial" w:hAnsi="Arial"/>
                <w:sz w:val="13"/>
                <w:szCs w:val="13"/>
                <w:color w:val="auto"/>
              </w:rPr>
              <w:t>​ ​ ​</w:t>
            </w:r>
          </w:p>
        </w:tc>
        <w:tc>
          <w:tcPr>
            <w:tcW w:w="720" w:type="dxa"/>
            <w:vAlign w:val="bottom"/>
          </w:tcPr>
          <w:p>
            <w:pPr>
              <w:spacing w:after="0"/>
              <w:rPr>
                <w:sz w:val="5"/>
                <w:szCs w:val="5"/>
                <w:color w:val="auto"/>
              </w:rPr>
            </w:pPr>
          </w:p>
        </w:tc>
        <w:tc>
          <w:tcPr>
            <w:tcW w:w="280" w:type="dxa"/>
            <w:vAlign w:val="bottom"/>
            <w:vMerge w:val="restart"/>
          </w:tcPr>
          <w:p>
            <w:pPr>
              <w:jc w:val="center"/>
              <w:spacing w:after="0" w:line="115" w:lineRule="exact"/>
              <w:rPr>
                <w:sz w:val="20"/>
                <w:szCs w:val="20"/>
                <w:color w:val="auto"/>
              </w:rPr>
            </w:pPr>
            <w:r>
              <w:rPr>
                <w:rFonts w:ascii="Arial" w:cs="Arial" w:eastAsia="Arial" w:hAnsi="Arial"/>
                <w:sz w:val="13"/>
                <w:szCs w:val="13"/>
                <w:color w:val="auto"/>
              </w:rPr>
              <w:t>​ ​ ​</w:t>
            </w:r>
          </w:p>
        </w:tc>
        <w:tc>
          <w:tcPr>
            <w:tcW w:w="700" w:type="dxa"/>
            <w:vAlign w:val="bottom"/>
            <w:vMerge w:val="restart"/>
          </w:tcPr>
          <w:p>
            <w:pPr>
              <w:ind w:left="500"/>
              <w:spacing w:after="0" w:line="115" w:lineRule="exact"/>
              <w:rPr>
                <w:sz w:val="20"/>
                <w:szCs w:val="20"/>
                <w:color w:val="auto"/>
              </w:rPr>
            </w:pPr>
            <w:r>
              <w:rPr>
                <w:rFonts w:ascii="Arial" w:cs="Arial" w:eastAsia="Arial" w:hAnsi="Arial"/>
                <w:sz w:val="13"/>
                <w:szCs w:val="13"/>
                <w:color w:val="auto"/>
              </w:rPr>
              <w:t>​ ​</w:t>
            </w:r>
          </w:p>
        </w:tc>
        <w:tc>
          <w:tcPr>
            <w:tcW w:w="260" w:type="dxa"/>
            <w:vAlign w:val="bottom"/>
            <w:vMerge w:val="restart"/>
          </w:tcPr>
          <w:p>
            <w:pPr>
              <w:ind w:left="140"/>
              <w:spacing w:after="0" w:line="115" w:lineRule="exact"/>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2"/>
              <w:spacing w:after="0" w:line="115" w:lineRule="exact"/>
              <w:rPr>
                <w:sz w:val="20"/>
                <w:szCs w:val="20"/>
                <w:color w:val="auto"/>
              </w:rPr>
            </w:pPr>
            <w:r>
              <w:rPr>
                <w:rFonts w:ascii="Arial" w:cs="Arial" w:eastAsia="Arial" w:hAnsi="Arial"/>
                <w:sz w:val="13"/>
                <w:szCs w:val="13"/>
                <w:color w:val="auto"/>
              </w:rPr>
              <w:t>​​ ​</w:t>
            </w:r>
          </w:p>
        </w:tc>
        <w:tc>
          <w:tcPr>
            <w:tcW w:w="140" w:type="dxa"/>
            <w:vAlign w:val="bottom"/>
            <w:vMerge w:val="restart"/>
          </w:tcPr>
          <w:p>
            <w:pPr>
              <w:ind w:left="80"/>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5"/>
                <w:szCs w:val="5"/>
                <w:color w:val="auto"/>
              </w:rPr>
            </w:pPr>
          </w:p>
        </w:tc>
        <w:tc>
          <w:tcPr>
            <w:tcW w:w="380" w:type="dxa"/>
            <w:vAlign w:val="bottom"/>
            <w:vMerge w:val="restart"/>
          </w:tcPr>
          <w:p>
            <w:pPr>
              <w:jc w:val="right"/>
              <w:spacing w:after="0" w:line="115" w:lineRule="exact"/>
              <w:rPr>
                <w:sz w:val="20"/>
                <w:szCs w:val="20"/>
                <w:color w:val="auto"/>
              </w:rPr>
            </w:pPr>
            <w:r>
              <w:rPr>
                <w:rFonts w:ascii="Arial" w:cs="Arial" w:eastAsia="Arial" w:hAnsi="Arial"/>
                <w:sz w:val="13"/>
                <w:szCs w:val="13"/>
                <w:color w:val="auto"/>
              </w:rPr>
              <w:t>​​ ​ ​</w:t>
            </w:r>
          </w:p>
        </w:tc>
        <w:tc>
          <w:tcPr>
            <w:tcW w:w="980" w:type="dxa"/>
            <w:vAlign w:val="bottom"/>
            <w:vMerge w:val="restart"/>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1720" w:type="dxa"/>
            <w:vAlign w:val="bottom"/>
            <w:vMerge w:val="restart"/>
          </w:tcPr>
          <w:p>
            <w:pPr>
              <w:ind w:left="160"/>
              <w:spacing w:after="0"/>
              <w:rPr>
                <w:sz w:val="20"/>
                <w:szCs w:val="20"/>
                <w:color w:val="auto"/>
              </w:rPr>
            </w:pPr>
            <w:r>
              <w:rPr>
                <w:rFonts w:ascii="Arial" w:cs="Arial" w:eastAsia="Arial" w:hAnsi="Arial"/>
                <w:sz w:val="14"/>
                <w:szCs w:val="14"/>
                <w:i w:val="1"/>
                <w:iCs w:val="1"/>
                <w:color w:val="auto"/>
              </w:rPr>
              <w:t>and Chief Technology</w:t>
            </w:r>
          </w:p>
        </w:tc>
        <w:tc>
          <w:tcPr>
            <w:tcW w:w="2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line="135" w:lineRule="exact"/>
              <w:rPr>
                <w:sz w:val="20"/>
                <w:szCs w:val="20"/>
                <w:color w:val="auto"/>
              </w:rPr>
            </w:pPr>
            <w:r>
              <w:rPr>
                <w:rFonts w:ascii="Arial" w:cs="Arial" w:eastAsia="Arial" w:hAnsi="Arial"/>
                <w:sz w:val="14"/>
                <w:szCs w:val="14"/>
                <w:color w:val="auto"/>
              </w:rPr>
              <w:t>​2021</w:t>
            </w:r>
          </w:p>
        </w:tc>
        <w:tc>
          <w:tcPr>
            <w:tcW w:w="760" w:type="dxa"/>
            <w:vAlign w:val="bottom"/>
          </w:tcPr>
          <w:p>
            <w:pPr>
              <w:jc w:val="center"/>
              <w:ind w:left="153"/>
              <w:spacing w:after="0" w:line="135" w:lineRule="exact"/>
              <w:rPr>
                <w:sz w:val="20"/>
                <w:szCs w:val="20"/>
                <w:color w:val="auto"/>
              </w:rPr>
            </w:pPr>
            <w:r>
              <w:rPr>
                <w:rFonts w:ascii="Arial" w:cs="Arial" w:eastAsia="Arial" w:hAnsi="Arial"/>
                <w:sz w:val="14"/>
                <w:szCs w:val="14"/>
                <w:color w:val="auto"/>
              </w:rPr>
              <w:t>​528,846</w:t>
            </w:r>
          </w:p>
        </w:tc>
        <w:tc>
          <w:tcPr>
            <w:tcW w:w="90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​2,190,761</w:t>
            </w:r>
          </w:p>
        </w:tc>
        <w:tc>
          <w:tcPr>
            <w:tcW w:w="104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​556,086,963</w:t>
            </w:r>
          </w:p>
        </w:tc>
        <w:tc>
          <w:tcPr>
            <w:tcW w:w="280" w:type="dxa"/>
            <w:vAlign w:val="bottom"/>
          </w:tcPr>
          <w:p>
            <w:pPr>
              <w:ind w:left="240"/>
              <w:spacing w:after="0" w:line="135" w:lineRule="exact"/>
              <w:rPr>
                <w:sz w:val="20"/>
                <w:szCs w:val="20"/>
                <w:color w:val="auto"/>
              </w:rPr>
            </w:pPr>
            <w:r>
              <w:rPr>
                <w:rFonts w:ascii="Arial" w:cs="Arial" w:eastAsia="Arial" w:hAnsi="Arial"/>
                <w:sz w:val="14"/>
                <w:szCs w:val="14"/>
                <w:color w:val="auto"/>
              </w:rPr>
              <w:t>​</w:t>
            </w:r>
          </w:p>
        </w:tc>
        <w:tc>
          <w:tcPr>
            <w:tcW w:w="700" w:type="dxa"/>
            <w:vAlign w:val="bottom"/>
          </w:tcPr>
          <w:p>
            <w:pPr>
              <w:ind w:left="340"/>
              <w:spacing w:after="0" w:line="13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12"/>
              <w:spacing w:after="0" w:line="135" w:lineRule="exact"/>
              <w:rPr>
                <w:sz w:val="20"/>
                <w:szCs w:val="20"/>
                <w:color w:val="auto"/>
              </w:rPr>
            </w:pPr>
            <w:r>
              <w:rPr>
                <w:rFonts w:ascii="Arial" w:cs="Arial" w:eastAsia="Arial" w:hAnsi="Arial"/>
                <w:sz w:val="14"/>
                <w:szCs w:val="14"/>
                <w:color w:val="auto"/>
              </w:rPr>
              <w:t>​ 215,625</w:t>
            </w:r>
          </w:p>
        </w:tc>
        <w:tc>
          <w:tcPr>
            <w:tcW w:w="840" w:type="dxa"/>
            <w:vAlign w:val="bottom"/>
            <w:gridSpan w:val="2"/>
          </w:tcPr>
          <w:p>
            <w:pPr>
              <w:ind w:left="80"/>
              <w:spacing w:after="0" w:line="135" w:lineRule="exact"/>
              <w:rPr>
                <w:sz w:val="20"/>
                <w:szCs w:val="20"/>
                <w:color w:val="auto"/>
              </w:rPr>
            </w:pPr>
            <w:r>
              <w:rPr>
                <w:rFonts w:ascii="Arial" w:cs="Arial" w:eastAsia="Arial" w:hAnsi="Arial"/>
                <w:sz w:val="14"/>
                <w:szCs w:val="14"/>
                <w:color w:val="auto"/>
              </w:rPr>
              <w:t>​ 6,569,317</w:t>
            </w:r>
          </w:p>
        </w:tc>
        <w:tc>
          <w:tcPr>
            <w:tcW w:w="1360" w:type="dxa"/>
            <w:vAlign w:val="bottom"/>
            <w:gridSpan w:val="2"/>
          </w:tcPr>
          <w:p>
            <w:pPr>
              <w:jc w:val="right"/>
              <w:ind w:right="131"/>
              <w:spacing w:after="0" w:line="135" w:lineRule="exact"/>
              <w:rPr>
                <w:sz w:val="20"/>
                <w:szCs w:val="20"/>
                <w:color w:val="auto"/>
              </w:rPr>
            </w:pPr>
            <w:r>
              <w:rPr>
                <w:rFonts w:ascii="Arial" w:cs="Arial" w:eastAsia="Arial" w:hAnsi="Arial"/>
                <w:sz w:val="14"/>
                <w:szCs w:val="14"/>
                <w:color w:val="auto"/>
              </w:rPr>
              <w:t>​ 565,591,512</w:t>
            </w:r>
          </w:p>
        </w:tc>
        <w:tc>
          <w:tcPr>
            <w:tcW w:w="0" w:type="dxa"/>
            <w:vAlign w:val="bottom"/>
          </w:tcPr>
          <w:p>
            <w:pPr>
              <w:spacing w:after="0"/>
              <w:rPr>
                <w:sz w:val="1"/>
                <w:szCs w:val="1"/>
                <w:color w:val="auto"/>
              </w:rPr>
            </w:pPr>
          </w:p>
        </w:tc>
      </w:tr>
      <w:tr>
        <w:trPr>
          <w:trHeight w:val="148"/>
        </w:trPr>
        <w:tc>
          <w:tcPr>
            <w:tcW w:w="172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Officer</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2"/>
          </w:tcPr>
          <w:p>
            <w:pPr>
              <w:spacing w:after="0" w:line="115" w:lineRule="exact"/>
              <w:rPr>
                <w:sz w:val="20"/>
                <w:szCs w:val="20"/>
                <w:color w:val="auto"/>
              </w:rPr>
            </w:pPr>
            <w:r>
              <w:rPr>
                <w:rFonts w:ascii="Arial" w:cs="Arial" w:eastAsia="Arial" w:hAnsi="Arial"/>
                <w:sz w:val="13"/>
                <w:szCs w:val="13"/>
                <w:color w:val="auto"/>
              </w:rPr>
              <w:t>​ ​</w:t>
            </w:r>
          </w:p>
        </w:tc>
        <w:tc>
          <w:tcPr>
            <w:tcW w:w="760" w:type="dxa"/>
            <w:vAlign w:val="bottom"/>
          </w:tcPr>
          <w:p>
            <w:pPr>
              <w:jc w:val="center"/>
              <w:ind w:right="453"/>
              <w:spacing w:after="0" w:line="115" w:lineRule="exact"/>
              <w:rPr>
                <w:sz w:val="20"/>
                <w:szCs w:val="20"/>
                <w:color w:val="auto"/>
              </w:rPr>
            </w:pPr>
            <w:r>
              <w:rPr>
                <w:rFonts w:ascii="Arial" w:cs="Arial" w:eastAsia="Arial" w:hAnsi="Arial"/>
                <w:sz w:val="13"/>
                <w:szCs w:val="13"/>
                <w:color w:val="auto"/>
              </w:rPr>
              <w:t>​ ​ ​</w:t>
            </w:r>
          </w:p>
        </w:tc>
        <w:tc>
          <w:tcPr>
            <w:tcW w:w="320" w:type="dxa"/>
            <w:vAlign w:val="bottom"/>
          </w:tcPr>
          <w:p>
            <w:pPr>
              <w:jc w:val="center"/>
              <w:spacing w:after="0" w:line="115" w:lineRule="exact"/>
              <w:rPr>
                <w:sz w:val="20"/>
                <w:szCs w:val="20"/>
                <w:color w:val="auto"/>
              </w:rPr>
            </w:pPr>
            <w:r>
              <w:rPr>
                <w:rFonts w:ascii="Arial" w:cs="Arial" w:eastAsia="Arial" w:hAnsi="Arial"/>
                <w:sz w:val="13"/>
                <w:szCs w:val="13"/>
                <w:color w:val="auto"/>
              </w:rPr>
              <w:t>​ ​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210,000</w:t>
            </w:r>
          </w:p>
        </w:tc>
        <w:tc>
          <w:tcPr>
            <w:tcW w:w="320" w:type="dxa"/>
            <w:vAlign w:val="bottom"/>
          </w:tcPr>
          <w:p>
            <w:pPr>
              <w:jc w:val="right"/>
              <w:ind w:right="11"/>
              <w:spacing w:after="0" w:line="115" w:lineRule="exact"/>
              <w:rPr>
                <w:sz w:val="20"/>
                <w:szCs w:val="20"/>
                <w:color w:val="auto"/>
              </w:rPr>
            </w:pPr>
            <w:r>
              <w:rPr>
                <w:rFonts w:ascii="Arial" w:cs="Arial" w:eastAsia="Arial" w:hAnsi="Arial"/>
                <w:sz w:val="13"/>
                <w:szCs w:val="13"/>
                <w:color w:val="auto"/>
              </w:rPr>
              <w:t>​ ​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line="115" w:lineRule="exact"/>
              <w:rPr>
                <w:sz w:val="20"/>
                <w:szCs w:val="20"/>
                <w:color w:val="auto"/>
              </w:rPr>
            </w:pPr>
            <w:r>
              <w:rPr>
                <w:rFonts w:ascii="Arial" w:cs="Arial" w:eastAsia="Arial" w:hAnsi="Arial"/>
                <w:sz w:val="13"/>
                <w:szCs w:val="13"/>
                <w:color w:val="auto"/>
              </w:rPr>
              <w:t>​ ​ ​</w:t>
            </w:r>
          </w:p>
        </w:tc>
        <w:tc>
          <w:tcPr>
            <w:tcW w:w="700" w:type="dxa"/>
            <w:vAlign w:val="bottom"/>
          </w:tcPr>
          <w:p>
            <w:pPr>
              <w:ind w:left="500"/>
              <w:spacing w:after="0" w:line="115" w:lineRule="exact"/>
              <w:rPr>
                <w:sz w:val="20"/>
                <w:szCs w:val="20"/>
                <w:color w:val="auto"/>
              </w:rPr>
            </w:pPr>
            <w:r>
              <w:rPr>
                <w:rFonts w:ascii="Arial" w:cs="Arial" w:eastAsia="Arial" w:hAnsi="Arial"/>
                <w:sz w:val="13"/>
                <w:szCs w:val="13"/>
                <w:color w:val="auto"/>
              </w:rPr>
              <w:t>​ ​</w:t>
            </w:r>
          </w:p>
        </w:tc>
        <w:tc>
          <w:tcPr>
            <w:tcW w:w="26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2"/>
              <w:spacing w:after="0" w:line="115" w:lineRule="exact"/>
              <w:rPr>
                <w:sz w:val="20"/>
                <w:szCs w:val="20"/>
                <w:color w:val="auto"/>
              </w:rPr>
            </w:pPr>
            <w:r>
              <w:rPr>
                <w:rFonts w:ascii="Arial" w:cs="Arial" w:eastAsia="Arial" w:hAnsi="Arial"/>
                <w:sz w:val="13"/>
                <w:szCs w:val="13"/>
                <w:color w:val="auto"/>
              </w:rPr>
              <w:t>​​ ​</w:t>
            </w:r>
          </w:p>
        </w:tc>
        <w:tc>
          <w:tcPr>
            <w:tcW w:w="140" w:type="dxa"/>
            <w:vAlign w:val="bottom"/>
          </w:tcPr>
          <w:p>
            <w:pPr>
              <w:ind w:left="80"/>
              <w:spacing w:after="0" w:line="115" w:lineRule="exact"/>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15" w:lineRule="exact"/>
              <w:rPr>
                <w:sz w:val="20"/>
                <w:szCs w:val="20"/>
                <w:color w:val="auto"/>
              </w:rPr>
            </w:pPr>
            <w:r>
              <w:rPr>
                <w:rFonts w:ascii="Arial" w:cs="Arial" w:eastAsia="Arial" w:hAnsi="Arial"/>
                <w:sz w:val="13"/>
                <w:szCs w:val="13"/>
                <w:color w:val="auto"/>
              </w:rPr>
              <w:t>​​ ​ ​</w:t>
            </w:r>
          </w:p>
        </w:tc>
        <w:tc>
          <w:tcPr>
            <w:tcW w:w="980" w:type="dxa"/>
            <w:vAlign w:val="bottom"/>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​2020</w:t>
            </w:r>
          </w:p>
        </w:tc>
        <w:tc>
          <w:tcPr>
            <w:tcW w:w="760" w:type="dxa"/>
            <w:vAlign w:val="bottom"/>
          </w:tcPr>
          <w:p>
            <w:pPr>
              <w:jc w:val="center"/>
              <w:ind w:left="153"/>
              <w:spacing w:after="0"/>
              <w:rPr>
                <w:sz w:val="20"/>
                <w:szCs w:val="20"/>
                <w:color w:val="auto"/>
              </w:rPr>
            </w:pPr>
            <w:r>
              <w:rPr>
                <w:rFonts w:ascii="Arial" w:cs="Arial" w:eastAsia="Arial" w:hAnsi="Arial"/>
                <w:sz w:val="14"/>
                <w:szCs w:val="14"/>
                <w:color w:val="auto"/>
              </w:rPr>
              <w:t>​468,077</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580" w:type="dxa"/>
            <w:vAlign w:val="bottom"/>
            <w:vMerge w:val="continue"/>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continue"/>
          </w:tcPr>
          <w:p>
            <w:pPr>
              <w:spacing w:after="0"/>
              <w:rPr>
                <w:sz w:val="16"/>
                <w:szCs w:val="16"/>
                <w:color w:val="auto"/>
              </w:rPr>
            </w:pPr>
          </w:p>
        </w:tc>
        <w:tc>
          <w:tcPr>
            <w:tcW w:w="280" w:type="dxa"/>
            <w:vAlign w:val="bottom"/>
          </w:tcPr>
          <w:p>
            <w:pPr>
              <w:ind w:left="240"/>
              <w:spacing w:after="0"/>
              <w:rPr>
                <w:sz w:val="20"/>
                <w:szCs w:val="20"/>
                <w:color w:val="auto"/>
              </w:rPr>
            </w:pPr>
            <w:r>
              <w:rPr>
                <w:rFonts w:ascii="Arial" w:cs="Arial" w:eastAsia="Arial" w:hAnsi="Arial"/>
                <w:sz w:val="14"/>
                <w:szCs w:val="14"/>
                <w:color w:val="auto"/>
              </w:rPr>
              <w:t>​</w:t>
            </w:r>
          </w:p>
        </w:tc>
        <w:tc>
          <w:tcPr>
            <w:tcW w:w="700" w:type="dxa"/>
            <w:vAlign w:val="bottom"/>
          </w:tcPr>
          <w:p>
            <w:pPr>
              <w:ind w:left="340"/>
              <w:spacing w:after="0"/>
              <w:rPr>
                <w:sz w:val="20"/>
                <w:szCs w:val="20"/>
                <w:color w:val="auto"/>
              </w:rPr>
            </w:pPr>
            <w:r>
              <w:rPr>
                <w:rFonts w:ascii="Arial" w:cs="Arial" w:eastAsia="Arial" w:hAnsi="Arial"/>
                <w:sz w:val="14"/>
                <w:szCs w:val="14"/>
                <w:color w:val="auto"/>
              </w:rPr>
              <w:t>—</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700" w:type="dxa"/>
            <w:vAlign w:val="bottom"/>
            <w:vMerge w:val="continue"/>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678,007</w:t>
            </w:r>
          </w:p>
        </w:tc>
        <w:tc>
          <w:tcPr>
            <w:tcW w:w="0" w:type="dxa"/>
            <w:vAlign w:val="bottom"/>
          </w:tcPr>
          <w:p>
            <w:pPr>
              <w:spacing w:after="0"/>
              <w:rPr>
                <w:sz w:val="1"/>
                <w:szCs w:val="1"/>
                <w:color w:val="auto"/>
              </w:rPr>
            </w:pPr>
          </w:p>
        </w:tc>
      </w:tr>
      <w:tr>
        <w:trPr>
          <w:trHeight w:val="93"/>
        </w:trPr>
        <w:tc>
          <w:tcPr>
            <w:tcW w:w="1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200" w:type="dxa"/>
            <w:vAlign w:val="bottom"/>
            <w:shd w:val="clear" w:color="auto" w:fill="F7F7F7"/>
          </w:tcPr>
          <w:p>
            <w:pPr>
              <w:ind w:left="10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4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760" w:type="dxa"/>
            <w:vAlign w:val="bottom"/>
            <w:shd w:val="clear" w:color="auto" w:fill="F7F7F7"/>
          </w:tcPr>
          <w:p>
            <w:pPr>
              <w:jc w:val="center"/>
              <w:ind w:right="453"/>
              <w:spacing w:after="0" w:line="115" w:lineRule="exact"/>
              <w:rPr>
                <w:sz w:val="20"/>
                <w:szCs w:val="20"/>
                <w:color w:val="auto"/>
              </w:rPr>
            </w:pPr>
            <w:r>
              <w:rPr>
                <w:rFonts w:ascii="Arial" w:cs="Arial" w:eastAsia="Arial" w:hAnsi="Arial"/>
                <w:sz w:val="13"/>
                <w:szCs w:val="13"/>
                <w:color w:val="auto"/>
              </w:rPr>
              <w:t>​ ​ ​</w:t>
            </w:r>
          </w:p>
        </w:tc>
        <w:tc>
          <w:tcPr>
            <w:tcW w:w="32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 ​ ​</w:t>
            </w:r>
          </w:p>
        </w:tc>
        <w:tc>
          <w:tcPr>
            <w:tcW w:w="580" w:type="dxa"/>
            <w:vAlign w:val="bottom"/>
            <w:shd w:val="clear" w:color="auto" w:fill="F7F7F7"/>
          </w:tcPr>
          <w:p>
            <w:pPr>
              <w:spacing w:after="0"/>
              <w:rPr>
                <w:sz w:val="10"/>
                <w:szCs w:val="10"/>
                <w:color w:val="auto"/>
              </w:rPr>
            </w:pPr>
          </w:p>
        </w:tc>
        <w:tc>
          <w:tcPr>
            <w:tcW w:w="320" w:type="dxa"/>
            <w:vAlign w:val="bottom"/>
            <w:shd w:val="clear" w:color="auto" w:fill="F7F7F7"/>
          </w:tcPr>
          <w:p>
            <w:pPr>
              <w:jc w:val="right"/>
              <w:ind w:right="11"/>
              <w:spacing w:after="0" w:line="115" w:lineRule="exact"/>
              <w:rPr>
                <w:sz w:val="20"/>
                <w:szCs w:val="20"/>
                <w:color w:val="auto"/>
              </w:rPr>
            </w:pPr>
            <w:r>
              <w:rPr>
                <w:rFonts w:ascii="Arial" w:cs="Arial" w:eastAsia="Arial" w:hAnsi="Arial"/>
                <w:sz w:val="13"/>
                <w:szCs w:val="13"/>
                <w:color w:val="auto"/>
              </w:rPr>
              <w:t>​ ​ ​</w:t>
            </w:r>
          </w:p>
        </w:tc>
        <w:tc>
          <w:tcPr>
            <w:tcW w:w="720" w:type="dxa"/>
            <w:vAlign w:val="bottom"/>
            <w:shd w:val="clear" w:color="auto" w:fill="F7F7F7"/>
          </w:tcPr>
          <w:p>
            <w:pPr>
              <w:spacing w:after="0"/>
              <w:rPr>
                <w:sz w:val="10"/>
                <w:szCs w:val="10"/>
                <w:color w:val="auto"/>
              </w:rPr>
            </w:pPr>
          </w:p>
        </w:tc>
        <w:tc>
          <w:tcPr>
            <w:tcW w:w="28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 ​ ​</w:t>
            </w:r>
          </w:p>
        </w:tc>
        <w:tc>
          <w:tcPr>
            <w:tcW w:w="700" w:type="dxa"/>
            <w:vAlign w:val="bottom"/>
            <w:shd w:val="clear" w:color="auto" w:fill="F7F7F7"/>
          </w:tcPr>
          <w:p>
            <w:pPr>
              <w:ind w:left="500"/>
              <w:spacing w:after="0" w:line="115" w:lineRule="exact"/>
              <w:rPr>
                <w:sz w:val="20"/>
                <w:szCs w:val="20"/>
                <w:color w:val="auto"/>
              </w:rPr>
            </w:pPr>
            <w:r>
              <w:rPr>
                <w:rFonts w:ascii="Arial" w:cs="Arial" w:eastAsia="Arial" w:hAnsi="Arial"/>
                <w:sz w:val="13"/>
                <w:szCs w:val="13"/>
                <w:color w:val="auto"/>
              </w:rPr>
              <w:t>​ ​</w:t>
            </w:r>
          </w:p>
        </w:tc>
        <w:tc>
          <w:tcPr>
            <w:tcW w:w="260" w:type="dxa"/>
            <w:vAlign w:val="bottom"/>
            <w:shd w:val="clear" w:color="auto" w:fill="F7F7F7"/>
          </w:tcPr>
          <w:p>
            <w:pPr>
              <w:ind w:left="140"/>
              <w:spacing w:after="0" w:line="115" w:lineRule="exact"/>
              <w:rPr>
                <w:sz w:val="20"/>
                <w:szCs w:val="20"/>
                <w:color w:val="auto"/>
              </w:rPr>
            </w:pPr>
            <w:r>
              <w:rPr>
                <w:rFonts w:ascii="Arial" w:cs="Arial" w:eastAsia="Arial" w:hAnsi="Arial"/>
                <w:sz w:val="13"/>
                <w:szCs w:val="13"/>
                <w:color w:val="auto"/>
              </w:rPr>
              <w:t>​</w:t>
            </w:r>
          </w:p>
        </w:tc>
        <w:tc>
          <w:tcPr>
            <w:tcW w:w="860" w:type="dxa"/>
            <w:vAlign w:val="bottom"/>
            <w:shd w:val="clear" w:color="auto" w:fill="F7F7F7"/>
          </w:tcPr>
          <w:p>
            <w:pPr>
              <w:jc w:val="right"/>
              <w:ind w:right="12"/>
              <w:spacing w:after="0" w:line="115" w:lineRule="exact"/>
              <w:rPr>
                <w:sz w:val="20"/>
                <w:szCs w:val="20"/>
                <w:color w:val="auto"/>
              </w:rPr>
            </w:pPr>
            <w:r>
              <w:rPr>
                <w:rFonts w:ascii="Arial" w:cs="Arial" w:eastAsia="Arial" w:hAnsi="Arial"/>
                <w:sz w:val="13"/>
                <w:szCs w:val="13"/>
                <w:color w:val="auto"/>
              </w:rPr>
              <w:t>​​ ​</w:t>
            </w:r>
          </w:p>
        </w:tc>
        <w:tc>
          <w:tcPr>
            <w:tcW w:w="140" w:type="dxa"/>
            <w:vAlign w:val="bottom"/>
            <w:shd w:val="clear" w:color="auto" w:fill="F7F7F7"/>
          </w:tcPr>
          <w:p>
            <w:pPr>
              <w:ind w:left="80"/>
              <w:spacing w:after="0" w:line="115" w:lineRule="exact"/>
              <w:rPr>
                <w:sz w:val="20"/>
                <w:szCs w:val="20"/>
                <w:color w:val="auto"/>
              </w:rPr>
            </w:pPr>
            <w:r>
              <w:rPr>
                <w:rFonts w:ascii="Arial" w:cs="Arial" w:eastAsia="Arial" w:hAnsi="Arial"/>
                <w:sz w:val="13"/>
                <w:szCs w:val="13"/>
                <w:color w:val="auto"/>
              </w:rPr>
              <w:t>​</w:t>
            </w:r>
          </w:p>
        </w:tc>
        <w:tc>
          <w:tcPr>
            <w:tcW w:w="700" w:type="dxa"/>
            <w:vAlign w:val="bottom"/>
            <w:shd w:val="clear" w:color="auto" w:fill="F7F7F7"/>
          </w:tcPr>
          <w:p>
            <w:pPr>
              <w:spacing w:after="0"/>
              <w:rPr>
                <w:sz w:val="10"/>
                <w:szCs w:val="10"/>
                <w:color w:val="auto"/>
              </w:rPr>
            </w:pPr>
          </w:p>
        </w:tc>
        <w:tc>
          <w:tcPr>
            <w:tcW w:w="38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 ​ ​</w:t>
            </w:r>
          </w:p>
        </w:tc>
        <w:tc>
          <w:tcPr>
            <w:tcW w:w="980" w:type="dxa"/>
            <w:vAlign w:val="bottom"/>
            <w:shd w:val="clear" w:color="auto" w:fill="F7F7F7"/>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1720" w:type="dxa"/>
            <w:vAlign w:val="bottom"/>
            <w:shd w:val="clear" w:color="auto" w:fill="F7F7F7"/>
          </w:tcPr>
          <w:p>
            <w:pPr>
              <w:ind w:left="160"/>
              <w:spacing w:after="0"/>
              <w:rPr>
                <w:sz w:val="20"/>
                <w:szCs w:val="20"/>
                <w:color w:val="auto"/>
              </w:rPr>
            </w:pPr>
            <w:r>
              <w:rPr>
                <w:rFonts w:ascii="Arial" w:cs="Arial" w:eastAsia="Arial" w:hAnsi="Arial"/>
                <w:sz w:val="16"/>
                <w:szCs w:val="16"/>
                <w:b w:val="1"/>
                <w:bCs w:val="1"/>
                <w:color w:val="auto"/>
              </w:rPr>
              <w:t>Sherry House</w:t>
            </w:r>
            <w:r>
              <w:rPr>
                <w:rFonts w:ascii="Arial" w:cs="Arial" w:eastAsia="Arial" w:hAnsi="Arial"/>
                <w:sz w:val="14"/>
                <w:szCs w:val="14"/>
                <w:color w:val="auto"/>
              </w:rPr>
              <w:t>​</w:t>
            </w:r>
          </w:p>
        </w:tc>
        <w:tc>
          <w:tcPr>
            <w:tcW w:w="200" w:type="dxa"/>
            <w:vAlign w:val="bottom"/>
            <w:shd w:val="clear" w:color="auto" w:fill="F7F7F7"/>
          </w:tcPr>
          <w:p>
            <w:pPr>
              <w:spacing w:after="0"/>
              <w:rPr>
                <w:sz w:val="19"/>
                <w:szCs w:val="19"/>
                <w:color w:val="auto"/>
              </w:rPr>
            </w:pPr>
          </w:p>
        </w:tc>
        <w:tc>
          <w:tcPr>
            <w:tcW w:w="120" w:type="dxa"/>
            <w:vAlign w:val="bottom"/>
            <w:shd w:val="clear" w:color="auto" w:fill="F7F7F7"/>
          </w:tcPr>
          <w:p>
            <w:pPr>
              <w:spacing w:after="0"/>
              <w:rPr>
                <w:sz w:val="19"/>
                <w:szCs w:val="19"/>
                <w:color w:val="auto"/>
              </w:rPr>
            </w:pPr>
          </w:p>
        </w:tc>
        <w:tc>
          <w:tcPr>
            <w:tcW w:w="340" w:type="dxa"/>
            <w:vAlign w:val="bottom"/>
            <w:shd w:val="clear" w:color="auto" w:fill="F7F7F7"/>
          </w:tcPr>
          <w:p>
            <w:pPr>
              <w:spacing w:after="0"/>
              <w:rPr>
                <w:sz w:val="20"/>
                <w:szCs w:val="20"/>
                <w:color w:val="auto"/>
              </w:rPr>
            </w:pPr>
            <w:r>
              <w:rPr>
                <w:rFonts w:ascii="Arial" w:cs="Arial" w:eastAsia="Arial" w:hAnsi="Arial"/>
                <w:sz w:val="14"/>
                <w:szCs w:val="14"/>
                <w:color w:val="auto"/>
              </w:rPr>
              <w:t>​2022</w:t>
            </w:r>
          </w:p>
        </w:tc>
        <w:tc>
          <w:tcPr>
            <w:tcW w:w="760" w:type="dxa"/>
            <w:vAlign w:val="bottom"/>
            <w:shd w:val="clear" w:color="auto" w:fill="F7F7F7"/>
          </w:tcPr>
          <w:p>
            <w:pPr>
              <w:jc w:val="center"/>
              <w:ind w:left="153"/>
              <w:spacing w:after="0"/>
              <w:rPr>
                <w:sz w:val="20"/>
                <w:szCs w:val="20"/>
                <w:color w:val="auto"/>
              </w:rPr>
            </w:pPr>
            <w:r>
              <w:rPr>
                <w:rFonts w:ascii="Arial" w:cs="Arial" w:eastAsia="Arial" w:hAnsi="Arial"/>
                <w:sz w:val="14"/>
                <w:szCs w:val="14"/>
                <w:color w:val="auto"/>
              </w:rPr>
              <w:t>​518,173</w:t>
            </w:r>
          </w:p>
        </w:tc>
        <w:tc>
          <w:tcPr>
            <w:tcW w:w="320" w:type="dxa"/>
            <w:vAlign w:val="bottom"/>
            <w:shd w:val="clear" w:color="auto" w:fill="F7F7F7"/>
          </w:tcPr>
          <w:p>
            <w:pPr>
              <w:ind w:lef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5,249,436</w:t>
            </w:r>
          </w:p>
        </w:tc>
        <w:tc>
          <w:tcPr>
            <w:tcW w:w="280" w:type="dxa"/>
            <w:vAlign w:val="bottom"/>
            <w:shd w:val="clear" w:color="auto" w:fill="F7F7F7"/>
          </w:tcPr>
          <w:p>
            <w:pPr>
              <w:ind w:lef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7F7"/>
          </w:tcPr>
          <w:p>
            <w:pPr>
              <w:ind w:lef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F7F7F7"/>
          </w:tcPr>
          <w:p>
            <w:pPr>
              <w:jc w:val="right"/>
              <w:ind w:right="312"/>
              <w:spacing w:after="0"/>
              <w:rPr>
                <w:sz w:val="20"/>
                <w:szCs w:val="20"/>
                <w:color w:val="auto"/>
              </w:rPr>
            </w:pPr>
            <w:r>
              <w:rPr>
                <w:rFonts w:ascii="Arial" w:cs="Arial" w:eastAsia="Arial" w:hAnsi="Arial"/>
                <w:sz w:val="14"/>
                <w:szCs w:val="14"/>
                <w:color w:val="auto"/>
              </w:rPr>
              <w:t>0</w:t>
            </w:r>
          </w:p>
        </w:tc>
        <w:tc>
          <w:tcPr>
            <w:tcW w:w="140" w:type="dxa"/>
            <w:vAlign w:val="bottom"/>
            <w:shd w:val="clear" w:color="auto" w:fill="F7F7F7"/>
          </w:tcPr>
          <w:p>
            <w:pPr>
              <w:ind w:lef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5,767,609</w:t>
            </w:r>
          </w:p>
        </w:tc>
        <w:tc>
          <w:tcPr>
            <w:tcW w:w="0" w:type="dxa"/>
            <w:vAlign w:val="bottom"/>
          </w:tcPr>
          <w:p>
            <w:pPr>
              <w:spacing w:after="0"/>
              <w:rPr>
                <w:sz w:val="1"/>
                <w:szCs w:val="1"/>
                <w:color w:val="auto"/>
              </w:rPr>
            </w:pPr>
          </w:p>
        </w:tc>
      </w:tr>
      <w:tr>
        <w:trPr>
          <w:trHeight w:val="101"/>
        </w:trPr>
        <w:tc>
          <w:tcPr>
            <w:tcW w:w="1720" w:type="dxa"/>
            <w:vAlign w:val="bottom"/>
            <w:tcBorders>
              <w:bottom w:val="single" w:sz="8" w:color="F7F7F7"/>
            </w:tcBorders>
            <w:vMerge w:val="restart"/>
            <w:shd w:val="clear" w:color="auto" w:fill="F7F7F7"/>
          </w:tcPr>
          <w:p>
            <w:pPr>
              <w:ind w:left="160"/>
              <w:spacing w:after="0"/>
              <w:rPr>
                <w:sz w:val="20"/>
                <w:szCs w:val="20"/>
                <w:color w:val="auto"/>
              </w:rPr>
            </w:pPr>
            <w:r>
              <w:rPr>
                <w:rFonts w:ascii="Arial" w:cs="Arial" w:eastAsia="Arial" w:hAnsi="Arial"/>
                <w:sz w:val="14"/>
                <w:szCs w:val="14"/>
                <w:i w:val="1"/>
                <w:iCs w:val="1"/>
                <w:color w:val="auto"/>
              </w:rPr>
              <w:t>Chief Financial Officer</w:t>
            </w:r>
          </w:p>
        </w:tc>
        <w:tc>
          <w:tcPr>
            <w:tcW w:w="200" w:type="dxa"/>
            <w:vAlign w:val="bottom"/>
            <w:tcBorders>
              <w:bottom w:val="single" w:sz="8" w:color="F7F7F7"/>
            </w:tcBorders>
            <w:shd w:val="clear" w:color="auto" w:fill="F7F7F7"/>
          </w:tcPr>
          <w:p>
            <w:pPr>
              <w:spacing w:after="0"/>
              <w:rPr>
                <w:sz w:val="8"/>
                <w:szCs w:val="8"/>
                <w:color w:val="auto"/>
              </w:rPr>
            </w:pPr>
          </w:p>
        </w:tc>
        <w:tc>
          <w:tcPr>
            <w:tcW w:w="120" w:type="dxa"/>
            <w:vAlign w:val="bottom"/>
            <w:tcBorders>
              <w:bottom w:val="single" w:sz="8" w:color="auto"/>
            </w:tcBorders>
            <w:shd w:val="clear" w:color="auto" w:fill="F7F7F7"/>
          </w:tcPr>
          <w:p>
            <w:pPr>
              <w:spacing w:after="0"/>
              <w:rPr>
                <w:sz w:val="8"/>
                <w:szCs w:val="8"/>
                <w:color w:val="auto"/>
              </w:rPr>
            </w:pPr>
          </w:p>
        </w:tc>
        <w:tc>
          <w:tcPr>
            <w:tcW w:w="340" w:type="dxa"/>
            <w:vAlign w:val="bottom"/>
            <w:tcBorders>
              <w:bottom w:val="single" w:sz="8" w:color="auto"/>
            </w:tcBorders>
            <w:shd w:val="clear" w:color="auto" w:fill="F7F7F7"/>
          </w:tcPr>
          <w:p>
            <w:pPr>
              <w:spacing w:after="0"/>
              <w:rPr>
                <w:sz w:val="8"/>
                <w:szCs w:val="8"/>
                <w:color w:val="auto"/>
              </w:rPr>
            </w:pPr>
          </w:p>
        </w:tc>
        <w:tc>
          <w:tcPr>
            <w:tcW w:w="760" w:type="dxa"/>
            <w:vAlign w:val="bottom"/>
            <w:tcBorders>
              <w:bottom w:val="single" w:sz="8" w:color="auto"/>
            </w:tcBorders>
            <w:shd w:val="clear" w:color="auto" w:fill="F7F7F7"/>
          </w:tcPr>
          <w:p>
            <w:pPr>
              <w:spacing w:after="0"/>
              <w:rPr>
                <w:sz w:val="8"/>
                <w:szCs w:val="8"/>
                <w:color w:val="auto"/>
              </w:rPr>
            </w:pPr>
          </w:p>
        </w:tc>
        <w:tc>
          <w:tcPr>
            <w:tcW w:w="320" w:type="dxa"/>
            <w:vAlign w:val="bottom"/>
            <w:tcBorders>
              <w:bottom w:val="single" w:sz="8" w:color="auto"/>
            </w:tcBorders>
            <w:shd w:val="clear" w:color="auto" w:fill="F7F7F7"/>
          </w:tcPr>
          <w:p>
            <w:pPr>
              <w:spacing w:after="0"/>
              <w:rPr>
                <w:sz w:val="8"/>
                <w:szCs w:val="8"/>
                <w:color w:val="auto"/>
              </w:rPr>
            </w:pPr>
          </w:p>
        </w:tc>
        <w:tc>
          <w:tcPr>
            <w:tcW w:w="580" w:type="dxa"/>
            <w:vAlign w:val="bottom"/>
            <w:tcBorders>
              <w:bottom w:val="single" w:sz="8" w:color="auto"/>
            </w:tcBorders>
            <w:shd w:val="clear" w:color="auto" w:fill="F7F7F7"/>
          </w:tcPr>
          <w:p>
            <w:pPr>
              <w:spacing w:after="0"/>
              <w:rPr>
                <w:sz w:val="8"/>
                <w:szCs w:val="8"/>
                <w:color w:val="auto"/>
              </w:rPr>
            </w:pPr>
          </w:p>
        </w:tc>
        <w:tc>
          <w:tcPr>
            <w:tcW w:w="320" w:type="dxa"/>
            <w:vAlign w:val="bottom"/>
            <w:tcBorders>
              <w:bottom w:val="single" w:sz="8" w:color="auto"/>
            </w:tcBorders>
            <w:shd w:val="clear" w:color="auto" w:fill="F7F7F7"/>
          </w:tcPr>
          <w:p>
            <w:pPr>
              <w:spacing w:after="0"/>
              <w:rPr>
                <w:sz w:val="8"/>
                <w:szCs w:val="8"/>
                <w:color w:val="auto"/>
              </w:rPr>
            </w:pPr>
          </w:p>
        </w:tc>
        <w:tc>
          <w:tcPr>
            <w:tcW w:w="720" w:type="dxa"/>
            <w:vAlign w:val="bottom"/>
            <w:tcBorders>
              <w:bottom w:val="single" w:sz="8" w:color="auto"/>
            </w:tcBorders>
            <w:shd w:val="clear" w:color="auto" w:fill="F7F7F7"/>
          </w:tcPr>
          <w:p>
            <w:pPr>
              <w:spacing w:after="0"/>
              <w:rPr>
                <w:sz w:val="8"/>
                <w:szCs w:val="8"/>
                <w:color w:val="auto"/>
              </w:rPr>
            </w:pPr>
          </w:p>
        </w:tc>
        <w:tc>
          <w:tcPr>
            <w:tcW w:w="280" w:type="dxa"/>
            <w:vAlign w:val="bottom"/>
            <w:tcBorders>
              <w:bottom w:val="single" w:sz="8" w:color="auto"/>
            </w:tcBorders>
            <w:shd w:val="clear" w:color="auto" w:fill="F7F7F7"/>
          </w:tcPr>
          <w:p>
            <w:pPr>
              <w:spacing w:after="0"/>
              <w:rPr>
                <w:sz w:val="8"/>
                <w:szCs w:val="8"/>
                <w:color w:val="auto"/>
              </w:rPr>
            </w:pPr>
          </w:p>
        </w:tc>
        <w:tc>
          <w:tcPr>
            <w:tcW w:w="700" w:type="dxa"/>
            <w:vAlign w:val="bottom"/>
            <w:tcBorders>
              <w:bottom w:val="single" w:sz="8" w:color="auto"/>
            </w:tcBorders>
            <w:shd w:val="clear" w:color="auto" w:fill="F7F7F7"/>
          </w:tcPr>
          <w:p>
            <w:pPr>
              <w:spacing w:after="0"/>
              <w:rPr>
                <w:sz w:val="8"/>
                <w:szCs w:val="8"/>
                <w:color w:val="auto"/>
              </w:rPr>
            </w:pPr>
          </w:p>
        </w:tc>
        <w:tc>
          <w:tcPr>
            <w:tcW w:w="26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140" w:type="dxa"/>
            <w:vAlign w:val="bottom"/>
            <w:tcBorders>
              <w:bottom w:val="single" w:sz="8" w:color="auto"/>
            </w:tcBorders>
            <w:shd w:val="clear" w:color="auto" w:fill="F7F7F7"/>
          </w:tcPr>
          <w:p>
            <w:pPr>
              <w:spacing w:after="0"/>
              <w:rPr>
                <w:sz w:val="8"/>
                <w:szCs w:val="8"/>
                <w:color w:val="auto"/>
              </w:rPr>
            </w:pPr>
          </w:p>
        </w:tc>
        <w:tc>
          <w:tcPr>
            <w:tcW w:w="70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20" w:type="dxa"/>
            <w:vAlign w:val="bottom"/>
            <w:vMerge w:val="continue"/>
            <w:shd w:val="clear" w:color="auto" w:fill="F7F7F7"/>
          </w:tcPr>
          <w:p>
            <w:pPr>
              <w:spacing w:after="0"/>
              <w:rPr>
                <w:sz w:val="10"/>
                <w:szCs w:val="10"/>
                <w:color w:val="auto"/>
              </w:rPr>
            </w:pPr>
          </w:p>
        </w:tc>
        <w:tc>
          <w:tcPr>
            <w:tcW w:w="200" w:type="dxa"/>
            <w:vAlign w:val="bottom"/>
            <w:shd w:val="clear" w:color="auto" w:fill="F7F7F7"/>
          </w:tcPr>
          <w:p>
            <w:pPr>
              <w:spacing w:after="0"/>
              <w:rPr>
                <w:sz w:val="10"/>
                <w:szCs w:val="10"/>
                <w:color w:val="auto"/>
              </w:rPr>
            </w:pPr>
          </w:p>
        </w:tc>
        <w:tc>
          <w:tcPr>
            <w:tcW w:w="1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4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760" w:type="dxa"/>
            <w:vAlign w:val="bottom"/>
            <w:shd w:val="clear" w:color="auto" w:fill="F7F7F7"/>
          </w:tcPr>
          <w:p>
            <w:pPr>
              <w:jc w:val="center"/>
              <w:ind w:right="453"/>
              <w:spacing w:after="0" w:line="115" w:lineRule="exact"/>
              <w:rPr>
                <w:sz w:val="20"/>
                <w:szCs w:val="20"/>
                <w:color w:val="auto"/>
              </w:rPr>
            </w:pPr>
            <w:r>
              <w:rPr>
                <w:rFonts w:ascii="Arial" w:cs="Arial" w:eastAsia="Arial" w:hAnsi="Arial"/>
                <w:sz w:val="13"/>
                <w:szCs w:val="13"/>
                <w:color w:val="auto"/>
              </w:rPr>
              <w:t>​ ​ ​</w:t>
            </w:r>
          </w:p>
        </w:tc>
        <w:tc>
          <w:tcPr>
            <w:tcW w:w="32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 ​ ​</w:t>
            </w:r>
          </w:p>
        </w:tc>
        <w:tc>
          <w:tcPr>
            <w:tcW w:w="58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141,685</w:t>
            </w:r>
          </w:p>
        </w:tc>
        <w:tc>
          <w:tcPr>
            <w:tcW w:w="320" w:type="dxa"/>
            <w:vAlign w:val="bottom"/>
            <w:shd w:val="clear" w:color="auto" w:fill="F7F7F7"/>
          </w:tcPr>
          <w:p>
            <w:pPr>
              <w:jc w:val="right"/>
              <w:ind w:right="11"/>
              <w:spacing w:after="0" w:line="115" w:lineRule="exact"/>
              <w:rPr>
                <w:sz w:val="20"/>
                <w:szCs w:val="20"/>
                <w:color w:val="auto"/>
              </w:rPr>
            </w:pPr>
            <w:r>
              <w:rPr>
                <w:rFonts w:ascii="Arial" w:cs="Arial" w:eastAsia="Arial" w:hAnsi="Arial"/>
                <w:sz w:val="13"/>
                <w:szCs w:val="13"/>
                <w:color w:val="auto"/>
              </w:rPr>
              <w:t>​ ​ ​</w:t>
            </w:r>
          </w:p>
        </w:tc>
        <w:tc>
          <w:tcPr>
            <w:tcW w:w="720" w:type="dxa"/>
            <w:vAlign w:val="bottom"/>
            <w:shd w:val="clear" w:color="auto" w:fill="F7F7F7"/>
          </w:tcPr>
          <w:p>
            <w:pPr>
              <w:spacing w:after="0"/>
              <w:rPr>
                <w:sz w:val="10"/>
                <w:szCs w:val="10"/>
                <w:color w:val="auto"/>
              </w:rPr>
            </w:pPr>
          </w:p>
        </w:tc>
        <w:tc>
          <w:tcPr>
            <w:tcW w:w="28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 ​ ​</w:t>
            </w:r>
          </w:p>
        </w:tc>
        <w:tc>
          <w:tcPr>
            <w:tcW w:w="700" w:type="dxa"/>
            <w:vAlign w:val="bottom"/>
            <w:shd w:val="clear" w:color="auto" w:fill="F7F7F7"/>
          </w:tcPr>
          <w:p>
            <w:pPr>
              <w:ind w:left="500"/>
              <w:spacing w:after="0" w:line="115" w:lineRule="exact"/>
              <w:rPr>
                <w:sz w:val="20"/>
                <w:szCs w:val="20"/>
                <w:color w:val="auto"/>
              </w:rPr>
            </w:pPr>
            <w:r>
              <w:rPr>
                <w:rFonts w:ascii="Arial" w:cs="Arial" w:eastAsia="Arial" w:hAnsi="Arial"/>
                <w:sz w:val="13"/>
                <w:szCs w:val="13"/>
                <w:color w:val="auto"/>
              </w:rPr>
              <w:t>​ ​</w:t>
            </w:r>
          </w:p>
        </w:tc>
        <w:tc>
          <w:tcPr>
            <w:tcW w:w="260" w:type="dxa"/>
            <w:vAlign w:val="bottom"/>
            <w:shd w:val="clear" w:color="auto" w:fill="F7F7F7"/>
          </w:tcPr>
          <w:p>
            <w:pPr>
              <w:ind w:left="140"/>
              <w:spacing w:after="0" w:line="115" w:lineRule="exact"/>
              <w:rPr>
                <w:sz w:val="20"/>
                <w:szCs w:val="20"/>
                <w:color w:val="auto"/>
              </w:rPr>
            </w:pPr>
            <w:r>
              <w:rPr>
                <w:rFonts w:ascii="Arial" w:cs="Arial" w:eastAsia="Arial" w:hAnsi="Arial"/>
                <w:sz w:val="13"/>
                <w:szCs w:val="13"/>
                <w:color w:val="auto"/>
              </w:rPr>
              <w:t>​</w:t>
            </w:r>
          </w:p>
        </w:tc>
        <w:tc>
          <w:tcPr>
            <w:tcW w:w="860" w:type="dxa"/>
            <w:vAlign w:val="bottom"/>
            <w:shd w:val="clear" w:color="auto" w:fill="F7F7F7"/>
          </w:tcPr>
          <w:p>
            <w:pPr>
              <w:jc w:val="right"/>
              <w:ind w:right="12"/>
              <w:spacing w:after="0" w:line="115" w:lineRule="exact"/>
              <w:rPr>
                <w:sz w:val="20"/>
                <w:szCs w:val="20"/>
                <w:color w:val="auto"/>
              </w:rPr>
            </w:pPr>
            <w:r>
              <w:rPr>
                <w:rFonts w:ascii="Arial" w:cs="Arial" w:eastAsia="Arial" w:hAnsi="Arial"/>
                <w:sz w:val="13"/>
                <w:szCs w:val="13"/>
                <w:color w:val="auto"/>
              </w:rPr>
              <w:t>​​ ​</w:t>
            </w:r>
          </w:p>
        </w:tc>
        <w:tc>
          <w:tcPr>
            <w:tcW w:w="140" w:type="dxa"/>
            <w:vAlign w:val="bottom"/>
            <w:shd w:val="clear" w:color="auto" w:fill="F7F7F7"/>
          </w:tcPr>
          <w:p>
            <w:pPr>
              <w:ind w:left="80"/>
              <w:spacing w:after="0" w:line="115" w:lineRule="exact"/>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1,160</w:t>
            </w:r>
          </w:p>
        </w:tc>
        <w:tc>
          <w:tcPr>
            <w:tcW w:w="38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 ​ ​</w:t>
            </w:r>
          </w:p>
        </w:tc>
        <w:tc>
          <w:tcPr>
            <w:tcW w:w="980" w:type="dxa"/>
            <w:vAlign w:val="bottom"/>
            <w:shd w:val="clear" w:color="auto" w:fill="F7F7F7"/>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720" w:type="dxa"/>
            <w:vAlign w:val="bottom"/>
            <w:shd w:val="clear" w:color="auto" w:fill="F7F7F7"/>
          </w:tcPr>
          <w:p>
            <w:pPr>
              <w:spacing w:after="0"/>
              <w:rPr>
                <w:sz w:val="16"/>
                <w:szCs w:val="16"/>
                <w:color w:val="auto"/>
              </w:rPr>
            </w:pPr>
          </w:p>
        </w:tc>
        <w:tc>
          <w:tcPr>
            <w:tcW w:w="200" w:type="dxa"/>
            <w:vAlign w:val="bottom"/>
            <w:shd w:val="clear" w:color="auto" w:fill="F7F7F7"/>
          </w:tcPr>
          <w:p>
            <w:pPr>
              <w:spacing w:after="0"/>
              <w:rPr>
                <w:sz w:val="16"/>
                <w:szCs w:val="16"/>
                <w:color w:val="auto"/>
              </w:rPr>
            </w:pPr>
          </w:p>
        </w:tc>
        <w:tc>
          <w:tcPr>
            <w:tcW w:w="120" w:type="dxa"/>
            <w:vAlign w:val="bottom"/>
            <w:shd w:val="clear" w:color="auto" w:fill="F7F7F7"/>
          </w:tcPr>
          <w:p>
            <w:pPr>
              <w:spacing w:after="0"/>
              <w:rPr>
                <w:sz w:val="16"/>
                <w:szCs w:val="16"/>
                <w:color w:val="auto"/>
              </w:rPr>
            </w:pPr>
          </w:p>
        </w:tc>
        <w:tc>
          <w:tcPr>
            <w:tcW w:w="340" w:type="dxa"/>
            <w:vAlign w:val="bottom"/>
            <w:shd w:val="clear" w:color="auto" w:fill="F7F7F7"/>
          </w:tcPr>
          <w:p>
            <w:pPr>
              <w:spacing w:after="0"/>
              <w:rPr>
                <w:sz w:val="20"/>
                <w:szCs w:val="20"/>
                <w:color w:val="auto"/>
              </w:rPr>
            </w:pPr>
            <w:r>
              <w:rPr>
                <w:rFonts w:ascii="Arial" w:cs="Arial" w:eastAsia="Arial" w:hAnsi="Arial"/>
                <w:sz w:val="14"/>
                <w:szCs w:val="14"/>
                <w:color w:val="auto"/>
              </w:rPr>
              <w:t>​2021</w:t>
            </w:r>
          </w:p>
        </w:tc>
        <w:tc>
          <w:tcPr>
            <w:tcW w:w="760" w:type="dxa"/>
            <w:vAlign w:val="bottom"/>
            <w:shd w:val="clear" w:color="auto" w:fill="F7F7F7"/>
          </w:tcPr>
          <w:p>
            <w:pPr>
              <w:jc w:val="center"/>
              <w:ind w:left="153"/>
              <w:spacing w:after="0"/>
              <w:rPr>
                <w:sz w:val="20"/>
                <w:szCs w:val="20"/>
                <w:color w:val="auto"/>
              </w:rPr>
            </w:pPr>
            <w:r>
              <w:rPr>
                <w:rFonts w:ascii="Arial" w:cs="Arial" w:eastAsia="Arial" w:hAnsi="Arial"/>
                <w:sz w:val="14"/>
                <w:szCs w:val="14"/>
                <w:color w:val="auto"/>
              </w:rPr>
              <w:t>​317,308</w:t>
            </w:r>
          </w:p>
        </w:tc>
        <w:tc>
          <w:tcPr>
            <w:tcW w:w="320" w:type="dxa"/>
            <w:vAlign w:val="bottom"/>
            <w:shd w:val="clear" w:color="auto" w:fill="F7F7F7"/>
          </w:tcPr>
          <w:p>
            <w:pPr>
              <w:ind w:left="220"/>
              <w:spacing w:after="0"/>
              <w:rPr>
                <w:sz w:val="20"/>
                <w:szCs w:val="20"/>
                <w:color w:val="auto"/>
              </w:rPr>
            </w:pPr>
            <w:r>
              <w:rPr>
                <w:rFonts w:ascii="Arial" w:cs="Arial" w:eastAsia="Arial" w:hAnsi="Arial"/>
                <w:sz w:val="14"/>
                <w:szCs w:val="14"/>
                <w:color w:val="auto"/>
              </w:rPr>
              <w:t>​</w:t>
            </w:r>
          </w:p>
        </w:tc>
        <w:tc>
          <w:tcPr>
            <w:tcW w:w="580" w:type="dxa"/>
            <w:vAlign w:val="bottom"/>
            <w:vMerge w:val="continue"/>
            <w:shd w:val="clear" w:color="auto" w:fill="F7F7F7"/>
          </w:tcPr>
          <w:p>
            <w:pPr>
              <w:spacing w:after="0"/>
              <w:rPr>
                <w:sz w:val="16"/>
                <w:szCs w:val="16"/>
                <w:color w:val="auto"/>
              </w:rPr>
            </w:pPr>
          </w:p>
        </w:tc>
        <w:tc>
          <w:tcPr>
            <w:tcW w:w="104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16,181,280</w:t>
            </w:r>
          </w:p>
        </w:tc>
        <w:tc>
          <w:tcPr>
            <w:tcW w:w="280" w:type="dxa"/>
            <w:vAlign w:val="bottom"/>
            <w:shd w:val="clear" w:color="auto" w:fill="F7F7F7"/>
          </w:tcPr>
          <w:p>
            <w:pPr>
              <w:ind w:lef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7F7"/>
          </w:tcPr>
          <w:p>
            <w:pPr>
              <w:ind w:left="3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7F7F7"/>
          </w:tcPr>
          <w:p>
            <w:pPr>
              <w:jc w:val="right"/>
              <w:ind w:right="312"/>
              <w:spacing w:after="0"/>
              <w:rPr>
                <w:sz w:val="20"/>
                <w:szCs w:val="20"/>
                <w:color w:val="auto"/>
              </w:rPr>
            </w:pPr>
            <w:r>
              <w:rPr>
                <w:rFonts w:ascii="Arial" w:cs="Arial" w:eastAsia="Arial" w:hAnsi="Arial"/>
                <w:sz w:val="14"/>
                <w:szCs w:val="14"/>
                <w:color w:val="auto"/>
              </w:rPr>
              <w:t>​ 124,315</w:t>
            </w:r>
          </w:p>
        </w:tc>
        <w:tc>
          <w:tcPr>
            <w:tcW w:w="140" w:type="dxa"/>
            <w:vAlign w:val="bottom"/>
            <w:shd w:val="clear" w:color="auto" w:fill="F7F7F7"/>
          </w:tcPr>
          <w:p>
            <w:pPr>
              <w:ind w:left="80"/>
              <w:spacing w:after="0"/>
              <w:rPr>
                <w:sz w:val="20"/>
                <w:szCs w:val="20"/>
                <w:color w:val="auto"/>
              </w:rPr>
            </w:pPr>
            <w:r>
              <w:rPr>
                <w:rFonts w:ascii="Arial" w:cs="Arial" w:eastAsia="Arial" w:hAnsi="Arial"/>
                <w:sz w:val="14"/>
                <w:szCs w:val="14"/>
                <w:color w:val="auto"/>
              </w:rPr>
              <w:t>​</w:t>
            </w:r>
          </w:p>
        </w:tc>
        <w:tc>
          <w:tcPr>
            <w:tcW w:w="700" w:type="dxa"/>
            <w:vAlign w:val="bottom"/>
            <w:vMerge w:val="continue"/>
            <w:shd w:val="clear" w:color="auto" w:fill="F7F7F7"/>
          </w:tcPr>
          <w:p>
            <w:pPr>
              <w:spacing w:after="0"/>
              <w:rPr>
                <w:sz w:val="16"/>
                <w:szCs w:val="16"/>
                <w:color w:val="auto"/>
              </w:rPr>
            </w:pPr>
          </w:p>
        </w:tc>
        <w:tc>
          <w:tcPr>
            <w:tcW w:w="3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16,765,748</w:t>
            </w:r>
          </w:p>
        </w:tc>
        <w:tc>
          <w:tcPr>
            <w:tcW w:w="0" w:type="dxa"/>
            <w:vAlign w:val="bottom"/>
          </w:tcPr>
          <w:p>
            <w:pPr>
              <w:spacing w:after="0"/>
              <w:rPr>
                <w:sz w:val="1"/>
                <w:szCs w:val="1"/>
                <w:color w:val="auto"/>
              </w:rPr>
            </w:pPr>
          </w:p>
        </w:tc>
      </w:tr>
      <w:tr>
        <w:trPr>
          <w:trHeight w:val="93"/>
        </w:trPr>
        <w:tc>
          <w:tcPr>
            <w:tcW w:w="1720" w:type="dxa"/>
            <w:vAlign w:val="bottom"/>
            <w:tcBorders>
              <w:bottom w:val="single" w:sz="8" w:color="auto"/>
            </w:tcBorders>
            <w:shd w:val="clear" w:color="auto" w:fill="F7F7F7"/>
          </w:tcPr>
          <w:p>
            <w:pPr>
              <w:spacing w:after="0"/>
              <w:rPr>
                <w:sz w:val="8"/>
                <w:szCs w:val="8"/>
                <w:color w:val="auto"/>
              </w:rPr>
            </w:pPr>
          </w:p>
        </w:tc>
        <w:tc>
          <w:tcPr>
            <w:tcW w:w="320" w:type="dxa"/>
            <w:vAlign w:val="bottom"/>
            <w:tcBorders>
              <w:bottom w:val="single" w:sz="8" w:color="auto"/>
            </w:tcBorders>
            <w:gridSpan w:val="2"/>
            <w:shd w:val="clear" w:color="auto" w:fill="F7F7F7"/>
          </w:tcPr>
          <w:p>
            <w:pPr>
              <w:spacing w:after="0"/>
              <w:rPr>
                <w:sz w:val="8"/>
                <w:szCs w:val="8"/>
                <w:color w:val="auto"/>
              </w:rPr>
            </w:pPr>
          </w:p>
        </w:tc>
        <w:tc>
          <w:tcPr>
            <w:tcW w:w="340" w:type="dxa"/>
            <w:vAlign w:val="bottom"/>
            <w:tcBorders>
              <w:bottom w:val="single" w:sz="8" w:color="auto"/>
            </w:tcBorders>
            <w:shd w:val="clear" w:color="auto" w:fill="F7F7F7"/>
          </w:tcPr>
          <w:p>
            <w:pPr>
              <w:spacing w:after="0"/>
              <w:rPr>
                <w:sz w:val="8"/>
                <w:szCs w:val="8"/>
                <w:color w:val="auto"/>
              </w:rPr>
            </w:pPr>
          </w:p>
        </w:tc>
        <w:tc>
          <w:tcPr>
            <w:tcW w:w="760" w:type="dxa"/>
            <w:vAlign w:val="bottom"/>
            <w:tcBorders>
              <w:bottom w:val="single" w:sz="8" w:color="auto"/>
            </w:tcBorders>
            <w:shd w:val="clear" w:color="auto" w:fill="F7F7F7"/>
          </w:tcPr>
          <w:p>
            <w:pPr>
              <w:spacing w:after="0"/>
              <w:rPr>
                <w:sz w:val="8"/>
                <w:szCs w:val="8"/>
                <w:color w:val="auto"/>
              </w:rPr>
            </w:pPr>
          </w:p>
        </w:tc>
        <w:tc>
          <w:tcPr>
            <w:tcW w:w="320" w:type="dxa"/>
            <w:vAlign w:val="bottom"/>
            <w:tcBorders>
              <w:bottom w:val="single" w:sz="8" w:color="auto"/>
            </w:tcBorders>
            <w:shd w:val="clear" w:color="auto" w:fill="F7F7F7"/>
          </w:tcPr>
          <w:p>
            <w:pPr>
              <w:spacing w:after="0"/>
              <w:rPr>
                <w:sz w:val="8"/>
                <w:szCs w:val="8"/>
                <w:color w:val="auto"/>
              </w:rPr>
            </w:pPr>
          </w:p>
        </w:tc>
        <w:tc>
          <w:tcPr>
            <w:tcW w:w="580" w:type="dxa"/>
            <w:vAlign w:val="bottom"/>
            <w:tcBorders>
              <w:bottom w:val="single" w:sz="8" w:color="auto"/>
            </w:tcBorders>
            <w:shd w:val="clear" w:color="auto" w:fill="F7F7F7"/>
          </w:tcPr>
          <w:p>
            <w:pPr>
              <w:spacing w:after="0"/>
              <w:rPr>
                <w:sz w:val="8"/>
                <w:szCs w:val="8"/>
                <w:color w:val="auto"/>
              </w:rPr>
            </w:pPr>
          </w:p>
        </w:tc>
        <w:tc>
          <w:tcPr>
            <w:tcW w:w="320" w:type="dxa"/>
            <w:vAlign w:val="bottom"/>
            <w:tcBorders>
              <w:bottom w:val="single" w:sz="8" w:color="auto"/>
            </w:tcBorders>
            <w:shd w:val="clear" w:color="auto" w:fill="F7F7F7"/>
          </w:tcPr>
          <w:p>
            <w:pPr>
              <w:spacing w:after="0"/>
              <w:rPr>
                <w:sz w:val="8"/>
                <w:szCs w:val="8"/>
                <w:color w:val="auto"/>
              </w:rPr>
            </w:pPr>
          </w:p>
        </w:tc>
        <w:tc>
          <w:tcPr>
            <w:tcW w:w="720" w:type="dxa"/>
            <w:vAlign w:val="bottom"/>
            <w:tcBorders>
              <w:bottom w:val="single" w:sz="8" w:color="auto"/>
            </w:tcBorders>
            <w:shd w:val="clear" w:color="auto" w:fill="F7F7F7"/>
          </w:tcPr>
          <w:p>
            <w:pPr>
              <w:spacing w:after="0"/>
              <w:rPr>
                <w:sz w:val="8"/>
                <w:szCs w:val="8"/>
                <w:color w:val="auto"/>
              </w:rPr>
            </w:pPr>
          </w:p>
        </w:tc>
        <w:tc>
          <w:tcPr>
            <w:tcW w:w="280" w:type="dxa"/>
            <w:vAlign w:val="bottom"/>
            <w:tcBorders>
              <w:bottom w:val="single" w:sz="8" w:color="auto"/>
            </w:tcBorders>
            <w:shd w:val="clear" w:color="auto" w:fill="F7F7F7"/>
          </w:tcPr>
          <w:p>
            <w:pPr>
              <w:spacing w:after="0"/>
              <w:rPr>
                <w:sz w:val="8"/>
                <w:szCs w:val="8"/>
                <w:color w:val="auto"/>
              </w:rPr>
            </w:pPr>
          </w:p>
        </w:tc>
        <w:tc>
          <w:tcPr>
            <w:tcW w:w="700" w:type="dxa"/>
            <w:vAlign w:val="bottom"/>
            <w:tcBorders>
              <w:bottom w:val="single" w:sz="8" w:color="auto"/>
            </w:tcBorders>
            <w:shd w:val="clear" w:color="auto" w:fill="F7F7F7"/>
          </w:tcPr>
          <w:p>
            <w:pPr>
              <w:spacing w:after="0"/>
              <w:rPr>
                <w:sz w:val="8"/>
                <w:szCs w:val="8"/>
                <w:color w:val="auto"/>
              </w:rPr>
            </w:pPr>
          </w:p>
        </w:tc>
        <w:tc>
          <w:tcPr>
            <w:tcW w:w="26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140" w:type="dxa"/>
            <w:vAlign w:val="bottom"/>
            <w:tcBorders>
              <w:bottom w:val="single" w:sz="8" w:color="auto"/>
            </w:tcBorders>
            <w:shd w:val="clear" w:color="auto" w:fill="F7F7F7"/>
          </w:tcPr>
          <w:p>
            <w:pPr>
              <w:spacing w:after="0"/>
              <w:rPr>
                <w:sz w:val="8"/>
                <w:szCs w:val="8"/>
                <w:color w:val="auto"/>
              </w:rPr>
            </w:pPr>
          </w:p>
        </w:tc>
        <w:tc>
          <w:tcPr>
            <w:tcW w:w="70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72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320" w:type="dxa"/>
            <w:vAlign w:val="bottom"/>
            <w:gridSpan w:val="2"/>
          </w:tcPr>
          <w:p>
            <w:pPr>
              <w:ind w:left="100"/>
              <w:spacing w:after="0" w:line="115" w:lineRule="exact"/>
              <w:rPr>
                <w:sz w:val="20"/>
                <w:szCs w:val="20"/>
                <w:color w:val="auto"/>
              </w:rPr>
            </w:pPr>
            <w:r>
              <w:rPr>
                <w:rFonts w:ascii="Arial" w:cs="Arial" w:eastAsia="Arial" w:hAnsi="Arial"/>
                <w:sz w:val="13"/>
                <w:szCs w:val="13"/>
                <w:color w:val="auto"/>
              </w:rPr>
              <w:t>​ ​</w:t>
            </w:r>
          </w:p>
        </w:tc>
        <w:tc>
          <w:tcPr>
            <w:tcW w:w="34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760" w:type="dxa"/>
            <w:vAlign w:val="bottom"/>
          </w:tcPr>
          <w:p>
            <w:pPr>
              <w:jc w:val="center"/>
              <w:ind w:right="453"/>
              <w:spacing w:after="0" w:line="115" w:lineRule="exact"/>
              <w:rPr>
                <w:sz w:val="20"/>
                <w:szCs w:val="20"/>
                <w:color w:val="auto"/>
              </w:rPr>
            </w:pPr>
            <w:r>
              <w:rPr>
                <w:rFonts w:ascii="Arial" w:cs="Arial" w:eastAsia="Arial" w:hAnsi="Arial"/>
                <w:sz w:val="13"/>
                <w:szCs w:val="13"/>
                <w:color w:val="auto"/>
              </w:rPr>
              <w:t>​ ​ ​</w:t>
            </w:r>
          </w:p>
        </w:tc>
        <w:tc>
          <w:tcPr>
            <w:tcW w:w="320" w:type="dxa"/>
            <w:vAlign w:val="bottom"/>
          </w:tcPr>
          <w:p>
            <w:pPr>
              <w:jc w:val="center"/>
              <w:spacing w:after="0" w:line="115" w:lineRule="exact"/>
              <w:rPr>
                <w:sz w:val="20"/>
                <w:szCs w:val="20"/>
                <w:color w:val="auto"/>
              </w:rPr>
            </w:pPr>
            <w:r>
              <w:rPr>
                <w:rFonts w:ascii="Arial" w:cs="Arial" w:eastAsia="Arial" w:hAnsi="Arial"/>
                <w:sz w:val="13"/>
                <w:szCs w:val="13"/>
                <w:color w:val="auto"/>
              </w:rPr>
              <w:t>​ ​ ​</w:t>
            </w:r>
          </w:p>
        </w:tc>
        <w:tc>
          <w:tcPr>
            <w:tcW w:w="580" w:type="dxa"/>
            <w:vAlign w:val="bottom"/>
          </w:tcPr>
          <w:p>
            <w:pPr>
              <w:spacing w:after="0"/>
              <w:rPr>
                <w:sz w:val="10"/>
                <w:szCs w:val="10"/>
                <w:color w:val="auto"/>
              </w:rPr>
            </w:pPr>
          </w:p>
        </w:tc>
        <w:tc>
          <w:tcPr>
            <w:tcW w:w="320" w:type="dxa"/>
            <w:vAlign w:val="bottom"/>
          </w:tcPr>
          <w:p>
            <w:pPr>
              <w:jc w:val="right"/>
              <w:ind w:right="11"/>
              <w:spacing w:after="0" w:line="115" w:lineRule="exact"/>
              <w:rPr>
                <w:sz w:val="20"/>
                <w:szCs w:val="20"/>
                <w:color w:val="auto"/>
              </w:rPr>
            </w:pPr>
            <w:r>
              <w:rPr>
                <w:rFonts w:ascii="Arial" w:cs="Arial" w:eastAsia="Arial" w:hAnsi="Arial"/>
                <w:sz w:val="13"/>
                <w:szCs w:val="13"/>
                <w:color w:val="auto"/>
              </w:rPr>
              <w:t>​ ​ ​</w:t>
            </w:r>
          </w:p>
        </w:tc>
        <w:tc>
          <w:tcPr>
            <w:tcW w:w="720" w:type="dxa"/>
            <w:vAlign w:val="bottom"/>
          </w:tcPr>
          <w:p>
            <w:pPr>
              <w:spacing w:after="0"/>
              <w:rPr>
                <w:sz w:val="10"/>
                <w:szCs w:val="10"/>
                <w:color w:val="auto"/>
              </w:rPr>
            </w:pPr>
          </w:p>
        </w:tc>
        <w:tc>
          <w:tcPr>
            <w:tcW w:w="280" w:type="dxa"/>
            <w:vAlign w:val="bottom"/>
          </w:tcPr>
          <w:p>
            <w:pPr>
              <w:jc w:val="center"/>
              <w:spacing w:after="0" w:line="115" w:lineRule="exact"/>
              <w:rPr>
                <w:sz w:val="20"/>
                <w:szCs w:val="20"/>
                <w:color w:val="auto"/>
              </w:rPr>
            </w:pPr>
            <w:r>
              <w:rPr>
                <w:rFonts w:ascii="Arial" w:cs="Arial" w:eastAsia="Arial" w:hAnsi="Arial"/>
                <w:sz w:val="13"/>
                <w:szCs w:val="13"/>
                <w:color w:val="auto"/>
              </w:rPr>
              <w:t>​ ​ ​</w:t>
            </w:r>
          </w:p>
        </w:tc>
        <w:tc>
          <w:tcPr>
            <w:tcW w:w="700" w:type="dxa"/>
            <w:vAlign w:val="bottom"/>
          </w:tcPr>
          <w:p>
            <w:pPr>
              <w:ind w:left="500"/>
              <w:spacing w:after="0" w:line="115" w:lineRule="exact"/>
              <w:rPr>
                <w:sz w:val="20"/>
                <w:szCs w:val="20"/>
                <w:color w:val="auto"/>
              </w:rPr>
            </w:pPr>
            <w:r>
              <w:rPr>
                <w:rFonts w:ascii="Arial" w:cs="Arial" w:eastAsia="Arial" w:hAnsi="Arial"/>
                <w:sz w:val="13"/>
                <w:szCs w:val="13"/>
                <w:color w:val="auto"/>
              </w:rPr>
              <w:t>​ ​</w:t>
            </w:r>
          </w:p>
        </w:tc>
        <w:tc>
          <w:tcPr>
            <w:tcW w:w="26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2"/>
              <w:spacing w:after="0" w:line="115" w:lineRule="exact"/>
              <w:rPr>
                <w:sz w:val="20"/>
                <w:szCs w:val="20"/>
                <w:color w:val="auto"/>
              </w:rPr>
            </w:pPr>
            <w:r>
              <w:rPr>
                <w:rFonts w:ascii="Arial" w:cs="Arial" w:eastAsia="Arial" w:hAnsi="Arial"/>
                <w:sz w:val="13"/>
                <w:szCs w:val="13"/>
                <w:color w:val="auto"/>
              </w:rPr>
              <w:t>​​ ​</w:t>
            </w:r>
          </w:p>
        </w:tc>
        <w:tc>
          <w:tcPr>
            <w:tcW w:w="140" w:type="dxa"/>
            <w:vAlign w:val="bottom"/>
          </w:tcPr>
          <w:p>
            <w:pPr>
              <w:ind w:left="80"/>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380" w:type="dxa"/>
            <w:vAlign w:val="bottom"/>
          </w:tcPr>
          <w:p>
            <w:pPr>
              <w:jc w:val="right"/>
              <w:spacing w:after="0" w:line="115" w:lineRule="exact"/>
              <w:rPr>
                <w:sz w:val="20"/>
                <w:szCs w:val="20"/>
                <w:color w:val="auto"/>
              </w:rPr>
            </w:pPr>
            <w:r>
              <w:rPr>
                <w:rFonts w:ascii="Arial" w:cs="Arial" w:eastAsia="Arial" w:hAnsi="Arial"/>
                <w:sz w:val="13"/>
                <w:szCs w:val="13"/>
                <w:color w:val="auto"/>
              </w:rPr>
              <w:t>​​ ​ ​</w:t>
            </w:r>
          </w:p>
        </w:tc>
        <w:tc>
          <w:tcPr>
            <w:tcW w:w="980" w:type="dxa"/>
            <w:vAlign w:val="bottom"/>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1720" w:type="dxa"/>
            <w:vAlign w:val="bottom"/>
          </w:tcPr>
          <w:p>
            <w:pPr>
              <w:ind w:left="160"/>
              <w:spacing w:after="0"/>
              <w:rPr>
                <w:sz w:val="20"/>
                <w:szCs w:val="20"/>
                <w:color w:val="auto"/>
              </w:rPr>
            </w:pPr>
            <w:r>
              <w:rPr>
                <w:rFonts w:ascii="Arial" w:cs="Arial" w:eastAsia="Arial" w:hAnsi="Arial"/>
                <w:sz w:val="16"/>
                <w:szCs w:val="16"/>
                <w:b w:val="1"/>
                <w:bCs w:val="1"/>
                <w:color w:val="auto"/>
              </w:rPr>
              <w:t>Eric Bach</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​2022</w:t>
            </w:r>
          </w:p>
        </w:tc>
        <w:tc>
          <w:tcPr>
            <w:tcW w:w="760" w:type="dxa"/>
            <w:vAlign w:val="bottom"/>
          </w:tcPr>
          <w:p>
            <w:pPr>
              <w:jc w:val="center"/>
              <w:ind w:left="153"/>
              <w:spacing w:after="0"/>
              <w:rPr>
                <w:sz w:val="20"/>
                <w:szCs w:val="20"/>
                <w:color w:val="auto"/>
              </w:rPr>
            </w:pPr>
            <w:r>
              <w:rPr>
                <w:rFonts w:ascii="Arial" w:cs="Arial" w:eastAsia="Arial" w:hAnsi="Arial"/>
                <w:sz w:val="14"/>
                <w:szCs w:val="14"/>
                <w:color w:val="auto"/>
              </w:rPr>
              <w:t>​488,942</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5,249,436</w:t>
            </w:r>
          </w:p>
        </w:tc>
        <w:tc>
          <w:tcPr>
            <w:tcW w:w="280" w:type="dxa"/>
            <w:vAlign w:val="bottom"/>
          </w:tcPr>
          <w:p>
            <w:pPr>
              <w:ind w:left="240"/>
              <w:spacing w:after="0"/>
              <w:rPr>
                <w:sz w:val="20"/>
                <w:szCs w:val="20"/>
                <w:color w:val="auto"/>
              </w:rPr>
            </w:pPr>
            <w:r>
              <w:rPr>
                <w:rFonts w:ascii="Arial" w:cs="Arial" w:eastAsia="Arial" w:hAnsi="Arial"/>
                <w:sz w:val="14"/>
                <w:szCs w:val="14"/>
                <w:color w:val="auto"/>
              </w:rPr>
              <w:t>​</w:t>
            </w:r>
          </w:p>
        </w:tc>
        <w:tc>
          <w:tcPr>
            <w:tcW w:w="700" w:type="dxa"/>
            <w:vAlign w:val="bottom"/>
          </w:tcPr>
          <w:p>
            <w:pPr>
              <w:ind w:left="340"/>
              <w:spacing w:after="0"/>
              <w:rPr>
                <w:sz w:val="20"/>
                <w:szCs w:val="20"/>
                <w:color w:val="auto"/>
              </w:rPr>
            </w:pPr>
            <w:r>
              <w:rPr>
                <w:rFonts w:ascii="Arial" w:cs="Arial" w:eastAsia="Arial" w:hAnsi="Arial"/>
                <w:sz w:val="14"/>
                <w:szCs w:val="14"/>
                <w:color w:val="auto"/>
              </w:rPr>
              <w:t>—</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2"/>
              <w:spacing w:after="0"/>
              <w:rPr>
                <w:sz w:val="20"/>
                <w:szCs w:val="20"/>
                <w:color w:val="auto"/>
              </w:rPr>
            </w:pPr>
            <w:r>
              <w:rPr>
                <w:rFonts w:ascii="Arial" w:cs="Arial" w:eastAsia="Arial" w:hAnsi="Arial"/>
                <w:sz w:val="14"/>
                <w:szCs w:val="14"/>
                <w:color w:val="auto"/>
              </w:rPr>
              <w:t>0</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5,738,378</w:t>
            </w:r>
          </w:p>
        </w:tc>
        <w:tc>
          <w:tcPr>
            <w:tcW w:w="0" w:type="dxa"/>
            <w:vAlign w:val="bottom"/>
          </w:tcPr>
          <w:p>
            <w:pPr>
              <w:spacing w:after="0"/>
              <w:rPr>
                <w:sz w:val="1"/>
                <w:szCs w:val="1"/>
                <w:color w:val="auto"/>
              </w:rPr>
            </w:pPr>
          </w:p>
        </w:tc>
      </w:tr>
      <w:tr>
        <w:trPr>
          <w:trHeight w:val="101"/>
        </w:trPr>
        <w:tc>
          <w:tcPr>
            <w:tcW w:w="1720" w:type="dxa"/>
            <w:vAlign w:val="bottom"/>
            <w:vMerge w:val="restart"/>
          </w:tcPr>
          <w:p>
            <w:pPr>
              <w:ind w:left="160"/>
              <w:spacing w:after="0"/>
              <w:rPr>
                <w:sz w:val="20"/>
                <w:szCs w:val="20"/>
                <w:color w:val="auto"/>
              </w:rPr>
            </w:pPr>
            <w:r>
              <w:rPr>
                <w:rFonts w:ascii="Arial" w:cs="Arial" w:eastAsia="Arial" w:hAnsi="Arial"/>
                <w:sz w:val="14"/>
                <w:szCs w:val="14"/>
                <w:i w:val="1"/>
                <w:iCs w:val="1"/>
                <w:color w:val="auto"/>
              </w:rPr>
              <w:t>Senior Vice President,</w:t>
            </w: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7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gridSpan w:val="2"/>
            <w:vMerge w:val="restart"/>
          </w:tcPr>
          <w:p>
            <w:pPr>
              <w:spacing w:after="0" w:line="115" w:lineRule="exact"/>
              <w:rPr>
                <w:sz w:val="20"/>
                <w:szCs w:val="20"/>
                <w:color w:val="auto"/>
              </w:rPr>
            </w:pPr>
            <w:r>
              <w:rPr>
                <w:rFonts w:ascii="Arial" w:cs="Arial" w:eastAsia="Arial" w:hAnsi="Arial"/>
                <w:sz w:val="13"/>
                <w:szCs w:val="13"/>
                <w:color w:val="auto"/>
              </w:rPr>
              <w:t>​ ​</w:t>
            </w:r>
          </w:p>
        </w:tc>
        <w:tc>
          <w:tcPr>
            <w:tcW w:w="760" w:type="dxa"/>
            <w:vAlign w:val="bottom"/>
            <w:vMerge w:val="restart"/>
          </w:tcPr>
          <w:p>
            <w:pPr>
              <w:jc w:val="center"/>
              <w:ind w:right="453"/>
              <w:spacing w:after="0" w:line="115" w:lineRule="exact"/>
              <w:rPr>
                <w:sz w:val="20"/>
                <w:szCs w:val="20"/>
                <w:color w:val="auto"/>
              </w:rPr>
            </w:pPr>
            <w:r>
              <w:rPr>
                <w:rFonts w:ascii="Arial" w:cs="Arial" w:eastAsia="Arial" w:hAnsi="Arial"/>
                <w:sz w:val="13"/>
                <w:szCs w:val="13"/>
                <w:color w:val="auto"/>
              </w:rPr>
              <w:t>​ ​ ​</w:t>
            </w:r>
          </w:p>
        </w:tc>
        <w:tc>
          <w:tcPr>
            <w:tcW w:w="320" w:type="dxa"/>
            <w:vAlign w:val="bottom"/>
            <w:vMerge w:val="restart"/>
          </w:tcPr>
          <w:p>
            <w:pPr>
              <w:jc w:val="center"/>
              <w:spacing w:after="0" w:line="115" w:lineRule="exact"/>
              <w:rPr>
                <w:sz w:val="20"/>
                <w:szCs w:val="20"/>
                <w:color w:val="auto"/>
              </w:rPr>
            </w:pPr>
            <w:r>
              <w:rPr>
                <w:rFonts w:ascii="Arial" w:cs="Arial" w:eastAsia="Arial" w:hAnsi="Arial"/>
                <w:sz w:val="13"/>
                <w:szCs w:val="13"/>
                <w:color w:val="auto"/>
              </w:rPr>
              <w:t>​ ​ ​</w:t>
            </w:r>
          </w:p>
        </w:tc>
        <w:tc>
          <w:tcPr>
            <w:tcW w:w="580" w:type="dxa"/>
            <w:vAlign w:val="bottom"/>
          </w:tcPr>
          <w:p>
            <w:pPr>
              <w:spacing w:after="0"/>
              <w:rPr>
                <w:sz w:val="5"/>
                <w:szCs w:val="5"/>
                <w:color w:val="auto"/>
              </w:rPr>
            </w:pPr>
          </w:p>
        </w:tc>
        <w:tc>
          <w:tcPr>
            <w:tcW w:w="320" w:type="dxa"/>
            <w:vAlign w:val="bottom"/>
            <w:vMerge w:val="restart"/>
          </w:tcPr>
          <w:p>
            <w:pPr>
              <w:jc w:val="right"/>
              <w:ind w:right="11"/>
              <w:spacing w:after="0" w:line="115" w:lineRule="exact"/>
              <w:rPr>
                <w:sz w:val="20"/>
                <w:szCs w:val="20"/>
                <w:color w:val="auto"/>
              </w:rPr>
            </w:pPr>
            <w:r>
              <w:rPr>
                <w:rFonts w:ascii="Arial" w:cs="Arial" w:eastAsia="Arial" w:hAnsi="Arial"/>
                <w:sz w:val="13"/>
                <w:szCs w:val="13"/>
                <w:color w:val="auto"/>
              </w:rPr>
              <w:t>​ ​ ​</w:t>
            </w:r>
          </w:p>
        </w:tc>
        <w:tc>
          <w:tcPr>
            <w:tcW w:w="720" w:type="dxa"/>
            <w:vAlign w:val="bottom"/>
          </w:tcPr>
          <w:p>
            <w:pPr>
              <w:spacing w:after="0"/>
              <w:rPr>
                <w:sz w:val="5"/>
                <w:szCs w:val="5"/>
                <w:color w:val="auto"/>
              </w:rPr>
            </w:pPr>
          </w:p>
        </w:tc>
        <w:tc>
          <w:tcPr>
            <w:tcW w:w="280" w:type="dxa"/>
            <w:vAlign w:val="bottom"/>
            <w:vMerge w:val="restart"/>
          </w:tcPr>
          <w:p>
            <w:pPr>
              <w:jc w:val="center"/>
              <w:spacing w:after="0" w:line="115" w:lineRule="exact"/>
              <w:rPr>
                <w:sz w:val="20"/>
                <w:szCs w:val="20"/>
                <w:color w:val="auto"/>
              </w:rPr>
            </w:pPr>
            <w:r>
              <w:rPr>
                <w:rFonts w:ascii="Arial" w:cs="Arial" w:eastAsia="Arial" w:hAnsi="Arial"/>
                <w:sz w:val="13"/>
                <w:szCs w:val="13"/>
                <w:color w:val="auto"/>
              </w:rPr>
              <w:t>​ ​ ​</w:t>
            </w:r>
          </w:p>
        </w:tc>
        <w:tc>
          <w:tcPr>
            <w:tcW w:w="700" w:type="dxa"/>
            <w:vAlign w:val="bottom"/>
            <w:vMerge w:val="restart"/>
          </w:tcPr>
          <w:p>
            <w:pPr>
              <w:ind w:left="500"/>
              <w:spacing w:after="0" w:line="115" w:lineRule="exact"/>
              <w:rPr>
                <w:sz w:val="20"/>
                <w:szCs w:val="20"/>
                <w:color w:val="auto"/>
              </w:rPr>
            </w:pPr>
            <w:r>
              <w:rPr>
                <w:rFonts w:ascii="Arial" w:cs="Arial" w:eastAsia="Arial" w:hAnsi="Arial"/>
                <w:sz w:val="13"/>
                <w:szCs w:val="13"/>
                <w:color w:val="auto"/>
              </w:rPr>
              <w:t>​ ​</w:t>
            </w:r>
          </w:p>
        </w:tc>
        <w:tc>
          <w:tcPr>
            <w:tcW w:w="260" w:type="dxa"/>
            <w:vAlign w:val="bottom"/>
            <w:vMerge w:val="restart"/>
          </w:tcPr>
          <w:p>
            <w:pPr>
              <w:ind w:left="140"/>
              <w:spacing w:after="0" w:line="115" w:lineRule="exact"/>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2"/>
              <w:spacing w:after="0" w:line="115" w:lineRule="exact"/>
              <w:rPr>
                <w:sz w:val="20"/>
                <w:szCs w:val="20"/>
                <w:color w:val="auto"/>
              </w:rPr>
            </w:pPr>
            <w:r>
              <w:rPr>
                <w:rFonts w:ascii="Arial" w:cs="Arial" w:eastAsia="Arial" w:hAnsi="Arial"/>
                <w:sz w:val="13"/>
                <w:szCs w:val="13"/>
                <w:color w:val="auto"/>
              </w:rPr>
              <w:t>​​ ​</w:t>
            </w:r>
          </w:p>
        </w:tc>
        <w:tc>
          <w:tcPr>
            <w:tcW w:w="140" w:type="dxa"/>
            <w:vAlign w:val="bottom"/>
            <w:vMerge w:val="restart"/>
          </w:tcPr>
          <w:p>
            <w:pPr>
              <w:ind w:left="80"/>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5"/>
                <w:szCs w:val="5"/>
                <w:color w:val="auto"/>
              </w:rPr>
            </w:pPr>
          </w:p>
        </w:tc>
        <w:tc>
          <w:tcPr>
            <w:tcW w:w="380" w:type="dxa"/>
            <w:vAlign w:val="bottom"/>
            <w:vMerge w:val="restart"/>
          </w:tcPr>
          <w:p>
            <w:pPr>
              <w:jc w:val="right"/>
              <w:spacing w:after="0" w:line="115" w:lineRule="exact"/>
              <w:rPr>
                <w:sz w:val="20"/>
                <w:szCs w:val="20"/>
                <w:color w:val="auto"/>
              </w:rPr>
            </w:pPr>
            <w:r>
              <w:rPr>
                <w:rFonts w:ascii="Arial" w:cs="Arial" w:eastAsia="Arial" w:hAnsi="Arial"/>
                <w:sz w:val="13"/>
                <w:szCs w:val="13"/>
                <w:color w:val="auto"/>
              </w:rPr>
              <w:t>​​ ​ ​</w:t>
            </w:r>
          </w:p>
        </w:tc>
        <w:tc>
          <w:tcPr>
            <w:tcW w:w="980" w:type="dxa"/>
            <w:vAlign w:val="bottom"/>
            <w:vMerge w:val="restart"/>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1720" w:type="dxa"/>
            <w:vAlign w:val="bottom"/>
            <w:vMerge w:val="restart"/>
          </w:tcPr>
          <w:p>
            <w:pPr>
              <w:ind w:left="160"/>
              <w:spacing w:after="0"/>
              <w:rPr>
                <w:sz w:val="20"/>
                <w:szCs w:val="20"/>
                <w:color w:val="auto"/>
              </w:rPr>
            </w:pPr>
            <w:r>
              <w:rPr>
                <w:rFonts w:ascii="Arial" w:cs="Arial" w:eastAsia="Arial" w:hAnsi="Arial"/>
                <w:sz w:val="14"/>
                <w:szCs w:val="14"/>
                <w:i w:val="1"/>
                <w:iCs w:val="1"/>
                <w:color w:val="auto"/>
              </w:rPr>
              <w:t>Product and Chief</w:t>
            </w:r>
          </w:p>
        </w:tc>
        <w:tc>
          <w:tcPr>
            <w:tcW w:w="2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118,248</w:t>
            </w:r>
          </w:p>
        </w:tc>
        <w:tc>
          <w:tcPr>
            <w:tcW w:w="32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7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line="135" w:lineRule="exact"/>
              <w:rPr>
                <w:sz w:val="20"/>
                <w:szCs w:val="20"/>
                <w:color w:val="auto"/>
              </w:rPr>
            </w:pPr>
            <w:r>
              <w:rPr>
                <w:rFonts w:ascii="Arial" w:cs="Arial" w:eastAsia="Arial" w:hAnsi="Arial"/>
                <w:sz w:val="14"/>
                <w:szCs w:val="14"/>
                <w:color w:val="auto"/>
              </w:rPr>
              <w:t>​2021</w:t>
            </w:r>
          </w:p>
        </w:tc>
        <w:tc>
          <w:tcPr>
            <w:tcW w:w="760" w:type="dxa"/>
            <w:vAlign w:val="bottom"/>
          </w:tcPr>
          <w:p>
            <w:pPr>
              <w:jc w:val="center"/>
              <w:ind w:left="153"/>
              <w:spacing w:after="0" w:line="135" w:lineRule="exact"/>
              <w:rPr>
                <w:sz w:val="20"/>
                <w:szCs w:val="20"/>
                <w:color w:val="auto"/>
              </w:rPr>
            </w:pPr>
            <w:r>
              <w:rPr>
                <w:rFonts w:ascii="Arial" w:cs="Arial" w:eastAsia="Arial" w:hAnsi="Arial"/>
                <w:sz w:val="14"/>
                <w:szCs w:val="14"/>
                <w:color w:val="auto"/>
              </w:rPr>
              <w:t>​414,423</w:t>
            </w:r>
          </w:p>
        </w:tc>
        <w:tc>
          <w:tcPr>
            <w:tcW w:w="320" w:type="dxa"/>
            <w:vAlign w:val="bottom"/>
          </w:tcPr>
          <w:p>
            <w:pPr>
              <w:ind w:left="220"/>
              <w:spacing w:after="0" w:line="135" w:lineRule="exact"/>
              <w:rPr>
                <w:sz w:val="20"/>
                <w:szCs w:val="20"/>
                <w:color w:val="auto"/>
              </w:rPr>
            </w:pPr>
            <w:r>
              <w:rPr>
                <w:rFonts w:ascii="Arial" w:cs="Arial" w:eastAsia="Arial" w:hAnsi="Arial"/>
                <w:sz w:val="14"/>
                <w:szCs w:val="14"/>
                <w:color w:val="auto"/>
              </w:rPr>
              <w:t>​</w:t>
            </w:r>
          </w:p>
        </w:tc>
        <w:tc>
          <w:tcPr>
            <w:tcW w:w="580" w:type="dxa"/>
            <w:vAlign w:val="bottom"/>
            <w:vMerge w:val="continue"/>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 10,000,930</w:t>
            </w:r>
          </w:p>
        </w:tc>
        <w:tc>
          <w:tcPr>
            <w:tcW w:w="280" w:type="dxa"/>
            <w:vAlign w:val="bottom"/>
          </w:tcPr>
          <w:p>
            <w:pPr>
              <w:ind w:left="240"/>
              <w:spacing w:after="0" w:line="135" w:lineRule="exact"/>
              <w:rPr>
                <w:sz w:val="20"/>
                <w:szCs w:val="20"/>
                <w:color w:val="auto"/>
              </w:rPr>
            </w:pPr>
            <w:r>
              <w:rPr>
                <w:rFonts w:ascii="Arial" w:cs="Arial" w:eastAsia="Arial" w:hAnsi="Arial"/>
                <w:sz w:val="14"/>
                <w:szCs w:val="14"/>
                <w:color w:val="auto"/>
              </w:rPr>
              <w:t>​</w:t>
            </w:r>
          </w:p>
        </w:tc>
        <w:tc>
          <w:tcPr>
            <w:tcW w:w="700" w:type="dxa"/>
            <w:vAlign w:val="bottom"/>
          </w:tcPr>
          <w:p>
            <w:pPr>
              <w:ind w:left="340"/>
              <w:spacing w:after="0" w:line="135"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12"/>
              <w:spacing w:after="0" w:line="135" w:lineRule="exact"/>
              <w:rPr>
                <w:sz w:val="20"/>
                <w:szCs w:val="20"/>
                <w:color w:val="auto"/>
              </w:rPr>
            </w:pPr>
            <w:r>
              <w:rPr>
                <w:rFonts w:ascii="Arial" w:cs="Arial" w:eastAsia="Arial" w:hAnsi="Arial"/>
                <w:sz w:val="14"/>
                <w:szCs w:val="14"/>
                <w:color w:val="auto"/>
              </w:rPr>
              <w:t>​ 168,750</w:t>
            </w:r>
          </w:p>
        </w:tc>
        <w:tc>
          <w:tcPr>
            <w:tcW w:w="840" w:type="dxa"/>
            <w:vAlign w:val="bottom"/>
            <w:gridSpan w:val="2"/>
          </w:tcPr>
          <w:p>
            <w:pPr>
              <w:ind w:left="80"/>
              <w:spacing w:after="0" w:line="135" w:lineRule="exact"/>
              <w:rPr>
                <w:sz w:val="20"/>
                <w:szCs w:val="20"/>
                <w:color w:val="auto"/>
              </w:rPr>
            </w:pPr>
            <w:r>
              <w:rPr>
                <w:rFonts w:ascii="Arial" w:cs="Arial" w:eastAsia="Arial" w:hAnsi="Arial"/>
                <w:sz w:val="14"/>
                <w:szCs w:val="14"/>
                <w:color w:val="auto"/>
              </w:rPr>
              <w:t>​ 7,186,933</w:t>
            </w:r>
          </w:p>
        </w:tc>
        <w:tc>
          <w:tcPr>
            <w:tcW w:w="3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line="135" w:lineRule="exact"/>
              <w:rPr>
                <w:sz w:val="20"/>
                <w:szCs w:val="20"/>
                <w:color w:val="auto"/>
              </w:rPr>
            </w:pPr>
            <w:r>
              <w:rPr>
                <w:rFonts w:ascii="Arial" w:cs="Arial" w:eastAsia="Arial" w:hAnsi="Arial"/>
                <w:sz w:val="14"/>
                <w:szCs w:val="14"/>
                <w:color w:val="auto"/>
              </w:rPr>
              <w:t>17,889,284</w:t>
            </w:r>
          </w:p>
        </w:tc>
        <w:tc>
          <w:tcPr>
            <w:tcW w:w="0" w:type="dxa"/>
            <w:vAlign w:val="bottom"/>
          </w:tcPr>
          <w:p>
            <w:pPr>
              <w:spacing w:after="0"/>
              <w:rPr>
                <w:sz w:val="1"/>
                <w:szCs w:val="1"/>
                <w:color w:val="auto"/>
              </w:rPr>
            </w:pPr>
          </w:p>
        </w:tc>
      </w:tr>
      <w:tr>
        <w:trPr>
          <w:trHeight w:val="148"/>
        </w:trPr>
        <w:tc>
          <w:tcPr>
            <w:tcW w:w="172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Engineer</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2"/>
          </w:tcPr>
          <w:p>
            <w:pPr>
              <w:spacing w:after="0" w:line="115" w:lineRule="exact"/>
              <w:rPr>
                <w:sz w:val="20"/>
                <w:szCs w:val="20"/>
                <w:color w:val="auto"/>
              </w:rPr>
            </w:pPr>
            <w:r>
              <w:rPr>
                <w:rFonts w:ascii="Arial" w:cs="Arial" w:eastAsia="Arial" w:hAnsi="Arial"/>
                <w:sz w:val="13"/>
                <w:szCs w:val="13"/>
                <w:color w:val="auto"/>
              </w:rPr>
              <w:t>​ ​</w:t>
            </w:r>
          </w:p>
        </w:tc>
        <w:tc>
          <w:tcPr>
            <w:tcW w:w="760" w:type="dxa"/>
            <w:vAlign w:val="bottom"/>
          </w:tcPr>
          <w:p>
            <w:pPr>
              <w:jc w:val="center"/>
              <w:ind w:right="453"/>
              <w:spacing w:after="0" w:line="115" w:lineRule="exact"/>
              <w:rPr>
                <w:sz w:val="20"/>
                <w:szCs w:val="20"/>
                <w:color w:val="auto"/>
              </w:rPr>
            </w:pPr>
            <w:r>
              <w:rPr>
                <w:rFonts w:ascii="Arial" w:cs="Arial" w:eastAsia="Arial" w:hAnsi="Arial"/>
                <w:sz w:val="13"/>
                <w:szCs w:val="13"/>
                <w:color w:val="auto"/>
              </w:rPr>
              <w:t>​ ​ ​</w:t>
            </w:r>
          </w:p>
        </w:tc>
        <w:tc>
          <w:tcPr>
            <w:tcW w:w="320" w:type="dxa"/>
            <w:vAlign w:val="bottom"/>
          </w:tcPr>
          <w:p>
            <w:pPr>
              <w:jc w:val="center"/>
              <w:spacing w:after="0" w:line="115" w:lineRule="exact"/>
              <w:rPr>
                <w:sz w:val="20"/>
                <w:szCs w:val="20"/>
                <w:color w:val="auto"/>
              </w:rPr>
            </w:pPr>
            <w:r>
              <w:rPr>
                <w:rFonts w:ascii="Arial" w:cs="Arial" w:eastAsia="Arial" w:hAnsi="Arial"/>
                <w:sz w:val="13"/>
                <w:szCs w:val="13"/>
                <w:color w:val="auto"/>
              </w:rPr>
              <w:t>​ ​ ​</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100,000</w:t>
            </w:r>
          </w:p>
        </w:tc>
        <w:tc>
          <w:tcPr>
            <w:tcW w:w="320" w:type="dxa"/>
            <w:vAlign w:val="bottom"/>
          </w:tcPr>
          <w:p>
            <w:pPr>
              <w:jc w:val="right"/>
              <w:ind w:right="11"/>
              <w:spacing w:after="0" w:line="115" w:lineRule="exact"/>
              <w:rPr>
                <w:sz w:val="20"/>
                <w:szCs w:val="20"/>
                <w:color w:val="auto"/>
              </w:rPr>
            </w:pPr>
            <w:r>
              <w:rPr>
                <w:rFonts w:ascii="Arial" w:cs="Arial" w:eastAsia="Arial" w:hAnsi="Arial"/>
                <w:sz w:val="13"/>
                <w:szCs w:val="13"/>
                <w:color w:val="auto"/>
              </w:rPr>
              <w:t>​ ​ ​</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jc w:val="center"/>
              <w:spacing w:after="0" w:line="115" w:lineRule="exact"/>
              <w:rPr>
                <w:sz w:val="20"/>
                <w:szCs w:val="20"/>
                <w:color w:val="auto"/>
              </w:rPr>
            </w:pPr>
            <w:r>
              <w:rPr>
                <w:rFonts w:ascii="Arial" w:cs="Arial" w:eastAsia="Arial" w:hAnsi="Arial"/>
                <w:sz w:val="13"/>
                <w:szCs w:val="13"/>
                <w:color w:val="auto"/>
              </w:rPr>
              <w:t>​ ​ ​</w:t>
            </w:r>
          </w:p>
        </w:tc>
        <w:tc>
          <w:tcPr>
            <w:tcW w:w="700" w:type="dxa"/>
            <w:vAlign w:val="bottom"/>
          </w:tcPr>
          <w:p>
            <w:pPr>
              <w:ind w:left="500"/>
              <w:spacing w:after="0" w:line="115" w:lineRule="exact"/>
              <w:rPr>
                <w:sz w:val="20"/>
                <w:szCs w:val="20"/>
                <w:color w:val="auto"/>
              </w:rPr>
            </w:pPr>
            <w:r>
              <w:rPr>
                <w:rFonts w:ascii="Arial" w:cs="Arial" w:eastAsia="Arial" w:hAnsi="Arial"/>
                <w:sz w:val="13"/>
                <w:szCs w:val="13"/>
                <w:color w:val="auto"/>
              </w:rPr>
              <w:t>​ ​</w:t>
            </w:r>
          </w:p>
        </w:tc>
        <w:tc>
          <w:tcPr>
            <w:tcW w:w="26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2"/>
              <w:spacing w:after="0" w:line="115" w:lineRule="exact"/>
              <w:rPr>
                <w:sz w:val="20"/>
                <w:szCs w:val="20"/>
                <w:color w:val="auto"/>
              </w:rPr>
            </w:pPr>
            <w:r>
              <w:rPr>
                <w:rFonts w:ascii="Arial" w:cs="Arial" w:eastAsia="Arial" w:hAnsi="Arial"/>
                <w:sz w:val="13"/>
                <w:szCs w:val="13"/>
                <w:color w:val="auto"/>
              </w:rPr>
              <w:t>​​ ​</w:t>
            </w:r>
          </w:p>
        </w:tc>
        <w:tc>
          <w:tcPr>
            <w:tcW w:w="140" w:type="dxa"/>
            <w:vAlign w:val="bottom"/>
          </w:tcPr>
          <w:p>
            <w:pPr>
              <w:ind w:left="80"/>
              <w:spacing w:after="0" w:line="115" w:lineRule="exact"/>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15" w:lineRule="exact"/>
              <w:rPr>
                <w:sz w:val="20"/>
                <w:szCs w:val="20"/>
                <w:color w:val="auto"/>
              </w:rPr>
            </w:pPr>
            <w:r>
              <w:rPr>
                <w:rFonts w:ascii="Arial" w:cs="Arial" w:eastAsia="Arial" w:hAnsi="Arial"/>
                <w:sz w:val="13"/>
                <w:szCs w:val="13"/>
                <w:color w:val="auto"/>
              </w:rPr>
              <w:t>​​ ​ ​</w:t>
            </w:r>
          </w:p>
        </w:tc>
        <w:tc>
          <w:tcPr>
            <w:tcW w:w="980" w:type="dxa"/>
            <w:vAlign w:val="bottom"/>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​2020</w:t>
            </w:r>
          </w:p>
        </w:tc>
        <w:tc>
          <w:tcPr>
            <w:tcW w:w="760" w:type="dxa"/>
            <w:vAlign w:val="bottom"/>
          </w:tcPr>
          <w:p>
            <w:pPr>
              <w:jc w:val="center"/>
              <w:ind w:left="153"/>
              <w:spacing w:after="0"/>
              <w:rPr>
                <w:sz w:val="20"/>
                <w:szCs w:val="20"/>
                <w:color w:val="auto"/>
              </w:rPr>
            </w:pPr>
            <w:r>
              <w:rPr>
                <w:rFonts w:ascii="Arial" w:cs="Arial" w:eastAsia="Arial" w:hAnsi="Arial"/>
                <w:sz w:val="14"/>
                <w:szCs w:val="14"/>
                <w:color w:val="auto"/>
              </w:rPr>
              <w:t>​346,731</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580" w:type="dxa"/>
            <w:vAlign w:val="bottom"/>
            <w:vMerge w:val="continue"/>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continue"/>
          </w:tcPr>
          <w:p>
            <w:pPr>
              <w:spacing w:after="0"/>
              <w:rPr>
                <w:sz w:val="20"/>
                <w:szCs w:val="20"/>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color w:val="auto"/>
              </w:rPr>
              <w:t>​691,220</w:t>
            </w:r>
            <w:r>
              <w:rPr>
                <w:rFonts w:ascii="Arial" w:cs="Arial" w:eastAsia="Arial" w:hAnsi="Arial"/>
                <w:sz w:val="17"/>
                <w:szCs w:val="17"/>
                <w:color w:val="auto"/>
                <w:vertAlign w:val="superscript"/>
              </w:rPr>
              <w:t>(5)</w:t>
            </w: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140" w:type="dxa"/>
            <w:vAlign w:val="bottom"/>
          </w:tcPr>
          <w:p>
            <w:pPr>
              <w:ind w:left="80"/>
              <w:spacing w:after="0"/>
              <w:rPr>
                <w:sz w:val="20"/>
                <w:szCs w:val="20"/>
                <w:color w:val="auto"/>
              </w:rPr>
            </w:pPr>
            <w:r>
              <w:rPr>
                <w:rFonts w:ascii="Arial" w:cs="Arial" w:eastAsia="Arial" w:hAnsi="Arial"/>
                <w:sz w:val="14"/>
                <w:szCs w:val="14"/>
                <w:color w:val="auto"/>
              </w:rPr>
              <w:t>​</w:t>
            </w:r>
          </w:p>
        </w:tc>
        <w:tc>
          <w:tcPr>
            <w:tcW w:w="700" w:type="dxa"/>
            <w:vAlign w:val="bottom"/>
            <w:vMerge w:val="continue"/>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1"/>
              <w:spacing w:after="0"/>
              <w:rPr>
                <w:sz w:val="20"/>
                <w:szCs w:val="20"/>
                <w:color w:val="auto"/>
              </w:rPr>
            </w:pPr>
            <w:r>
              <w:rPr>
                <w:rFonts w:ascii="Arial" w:cs="Arial" w:eastAsia="Arial" w:hAnsi="Arial"/>
                <w:sz w:val="14"/>
                <w:szCs w:val="14"/>
                <w:color w:val="auto"/>
              </w:rPr>
              <w:t>1,137,951</w:t>
            </w:r>
          </w:p>
        </w:tc>
        <w:tc>
          <w:tcPr>
            <w:tcW w:w="0" w:type="dxa"/>
            <w:vAlign w:val="bottom"/>
          </w:tcPr>
          <w:p>
            <w:pPr>
              <w:spacing w:after="0"/>
              <w:rPr>
                <w:sz w:val="1"/>
                <w:szCs w:val="1"/>
                <w:color w:val="auto"/>
              </w:rPr>
            </w:pPr>
          </w:p>
        </w:tc>
      </w:tr>
      <w:tr>
        <w:trPr>
          <w:trHeight w:val="44"/>
        </w:trPr>
        <w:tc>
          <w:tcPr>
            <w:tcW w:w="1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7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200" w:type="dxa"/>
            <w:vAlign w:val="bottom"/>
            <w:shd w:val="clear" w:color="auto" w:fill="F7F7F7"/>
          </w:tcPr>
          <w:p>
            <w:pPr>
              <w:ind w:left="10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4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760" w:type="dxa"/>
            <w:vAlign w:val="bottom"/>
            <w:shd w:val="clear" w:color="auto" w:fill="F7F7F7"/>
          </w:tcPr>
          <w:p>
            <w:pPr>
              <w:jc w:val="center"/>
              <w:ind w:right="453"/>
              <w:spacing w:after="0" w:line="115" w:lineRule="exact"/>
              <w:rPr>
                <w:sz w:val="20"/>
                <w:szCs w:val="20"/>
                <w:color w:val="auto"/>
              </w:rPr>
            </w:pPr>
            <w:r>
              <w:rPr>
                <w:rFonts w:ascii="Arial" w:cs="Arial" w:eastAsia="Arial" w:hAnsi="Arial"/>
                <w:sz w:val="13"/>
                <w:szCs w:val="13"/>
                <w:color w:val="auto"/>
              </w:rPr>
              <w:t>​ ​ ​</w:t>
            </w:r>
          </w:p>
        </w:tc>
        <w:tc>
          <w:tcPr>
            <w:tcW w:w="32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 ​ ​</w:t>
            </w:r>
          </w:p>
        </w:tc>
        <w:tc>
          <w:tcPr>
            <w:tcW w:w="580" w:type="dxa"/>
            <w:vAlign w:val="bottom"/>
            <w:shd w:val="clear" w:color="auto" w:fill="F7F7F7"/>
          </w:tcPr>
          <w:p>
            <w:pPr>
              <w:spacing w:after="0"/>
              <w:rPr>
                <w:sz w:val="10"/>
                <w:szCs w:val="10"/>
                <w:color w:val="auto"/>
              </w:rPr>
            </w:pPr>
          </w:p>
        </w:tc>
        <w:tc>
          <w:tcPr>
            <w:tcW w:w="320" w:type="dxa"/>
            <w:vAlign w:val="bottom"/>
            <w:shd w:val="clear" w:color="auto" w:fill="F7F7F7"/>
          </w:tcPr>
          <w:p>
            <w:pPr>
              <w:jc w:val="right"/>
              <w:ind w:right="11"/>
              <w:spacing w:after="0" w:line="115" w:lineRule="exact"/>
              <w:rPr>
                <w:sz w:val="20"/>
                <w:szCs w:val="20"/>
                <w:color w:val="auto"/>
              </w:rPr>
            </w:pPr>
            <w:r>
              <w:rPr>
                <w:rFonts w:ascii="Arial" w:cs="Arial" w:eastAsia="Arial" w:hAnsi="Arial"/>
                <w:sz w:val="13"/>
                <w:szCs w:val="13"/>
                <w:color w:val="auto"/>
              </w:rPr>
              <w:t>​ ​ ​</w:t>
            </w:r>
          </w:p>
        </w:tc>
        <w:tc>
          <w:tcPr>
            <w:tcW w:w="720" w:type="dxa"/>
            <w:vAlign w:val="bottom"/>
            <w:shd w:val="clear" w:color="auto" w:fill="F7F7F7"/>
          </w:tcPr>
          <w:p>
            <w:pPr>
              <w:spacing w:after="0"/>
              <w:rPr>
                <w:sz w:val="10"/>
                <w:szCs w:val="10"/>
                <w:color w:val="auto"/>
              </w:rPr>
            </w:pPr>
          </w:p>
        </w:tc>
        <w:tc>
          <w:tcPr>
            <w:tcW w:w="280" w:type="dxa"/>
            <w:vAlign w:val="bottom"/>
            <w:shd w:val="clear" w:color="auto" w:fill="F7F7F7"/>
          </w:tcPr>
          <w:p>
            <w:pPr>
              <w:jc w:val="center"/>
              <w:spacing w:after="0" w:line="115" w:lineRule="exact"/>
              <w:rPr>
                <w:sz w:val="20"/>
                <w:szCs w:val="20"/>
                <w:color w:val="auto"/>
              </w:rPr>
            </w:pPr>
            <w:r>
              <w:rPr>
                <w:rFonts w:ascii="Arial" w:cs="Arial" w:eastAsia="Arial" w:hAnsi="Arial"/>
                <w:sz w:val="13"/>
                <w:szCs w:val="13"/>
                <w:color w:val="auto"/>
              </w:rPr>
              <w:t>​ ​ ​</w:t>
            </w:r>
          </w:p>
        </w:tc>
        <w:tc>
          <w:tcPr>
            <w:tcW w:w="700" w:type="dxa"/>
            <w:vAlign w:val="bottom"/>
            <w:shd w:val="clear" w:color="auto" w:fill="F7F7F7"/>
          </w:tcPr>
          <w:p>
            <w:pPr>
              <w:ind w:left="500"/>
              <w:spacing w:after="0" w:line="115" w:lineRule="exact"/>
              <w:rPr>
                <w:sz w:val="20"/>
                <w:szCs w:val="20"/>
                <w:color w:val="auto"/>
              </w:rPr>
            </w:pPr>
            <w:r>
              <w:rPr>
                <w:rFonts w:ascii="Arial" w:cs="Arial" w:eastAsia="Arial" w:hAnsi="Arial"/>
                <w:sz w:val="13"/>
                <w:szCs w:val="13"/>
                <w:color w:val="auto"/>
              </w:rPr>
              <w:t>​ ​</w:t>
            </w:r>
          </w:p>
        </w:tc>
        <w:tc>
          <w:tcPr>
            <w:tcW w:w="260" w:type="dxa"/>
            <w:vAlign w:val="bottom"/>
            <w:shd w:val="clear" w:color="auto" w:fill="F7F7F7"/>
          </w:tcPr>
          <w:p>
            <w:pPr>
              <w:ind w:left="140"/>
              <w:spacing w:after="0" w:line="115" w:lineRule="exact"/>
              <w:rPr>
                <w:sz w:val="20"/>
                <w:szCs w:val="20"/>
                <w:color w:val="auto"/>
              </w:rPr>
            </w:pPr>
            <w:r>
              <w:rPr>
                <w:rFonts w:ascii="Arial" w:cs="Arial" w:eastAsia="Arial" w:hAnsi="Arial"/>
                <w:sz w:val="13"/>
                <w:szCs w:val="13"/>
                <w:color w:val="auto"/>
              </w:rPr>
              <w:t>​</w:t>
            </w:r>
          </w:p>
        </w:tc>
        <w:tc>
          <w:tcPr>
            <w:tcW w:w="860" w:type="dxa"/>
            <w:vAlign w:val="bottom"/>
            <w:shd w:val="clear" w:color="auto" w:fill="F7F7F7"/>
          </w:tcPr>
          <w:p>
            <w:pPr>
              <w:jc w:val="right"/>
              <w:ind w:right="12"/>
              <w:spacing w:after="0" w:line="115" w:lineRule="exact"/>
              <w:rPr>
                <w:sz w:val="20"/>
                <w:szCs w:val="20"/>
                <w:color w:val="auto"/>
              </w:rPr>
            </w:pPr>
            <w:r>
              <w:rPr>
                <w:rFonts w:ascii="Arial" w:cs="Arial" w:eastAsia="Arial" w:hAnsi="Arial"/>
                <w:sz w:val="13"/>
                <w:szCs w:val="13"/>
                <w:color w:val="auto"/>
              </w:rPr>
              <w:t>​​ ​</w:t>
            </w:r>
          </w:p>
        </w:tc>
        <w:tc>
          <w:tcPr>
            <w:tcW w:w="140" w:type="dxa"/>
            <w:vAlign w:val="bottom"/>
            <w:shd w:val="clear" w:color="auto" w:fill="F7F7F7"/>
          </w:tcPr>
          <w:p>
            <w:pPr>
              <w:ind w:left="80"/>
              <w:spacing w:after="0" w:line="115" w:lineRule="exact"/>
              <w:rPr>
                <w:sz w:val="20"/>
                <w:szCs w:val="20"/>
                <w:color w:val="auto"/>
              </w:rPr>
            </w:pPr>
            <w:r>
              <w:rPr>
                <w:rFonts w:ascii="Arial" w:cs="Arial" w:eastAsia="Arial" w:hAnsi="Arial"/>
                <w:sz w:val="13"/>
                <w:szCs w:val="13"/>
                <w:color w:val="auto"/>
              </w:rPr>
              <w:t>​</w:t>
            </w:r>
          </w:p>
        </w:tc>
        <w:tc>
          <w:tcPr>
            <w:tcW w:w="700" w:type="dxa"/>
            <w:vAlign w:val="bottom"/>
            <w:shd w:val="clear" w:color="auto" w:fill="F7F7F7"/>
          </w:tcPr>
          <w:p>
            <w:pPr>
              <w:spacing w:after="0"/>
              <w:rPr>
                <w:sz w:val="10"/>
                <w:szCs w:val="10"/>
                <w:color w:val="auto"/>
              </w:rPr>
            </w:pPr>
          </w:p>
        </w:tc>
        <w:tc>
          <w:tcPr>
            <w:tcW w:w="38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 ​ ​</w:t>
            </w:r>
          </w:p>
        </w:tc>
        <w:tc>
          <w:tcPr>
            <w:tcW w:w="980" w:type="dxa"/>
            <w:vAlign w:val="bottom"/>
            <w:shd w:val="clear" w:color="auto" w:fill="F7F7F7"/>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1720" w:type="dxa"/>
            <w:vAlign w:val="bottom"/>
            <w:shd w:val="clear" w:color="auto" w:fill="F7F7F7"/>
          </w:tcPr>
          <w:p>
            <w:pPr>
              <w:ind w:left="160"/>
              <w:spacing w:after="0"/>
              <w:rPr>
                <w:sz w:val="20"/>
                <w:szCs w:val="20"/>
                <w:color w:val="auto"/>
              </w:rPr>
            </w:pPr>
            <w:r>
              <w:rPr>
                <w:rFonts w:ascii="Arial" w:cs="Arial" w:eastAsia="Arial" w:hAnsi="Arial"/>
                <w:sz w:val="16"/>
                <w:szCs w:val="16"/>
                <w:b w:val="1"/>
                <w:bCs w:val="1"/>
                <w:color w:val="auto"/>
              </w:rPr>
              <w:t>Michael Bell</w:t>
            </w:r>
          </w:p>
        </w:tc>
        <w:tc>
          <w:tcPr>
            <w:tcW w:w="200" w:type="dxa"/>
            <w:vAlign w:val="bottom"/>
            <w:shd w:val="clear" w:color="auto" w:fill="F7F7F7"/>
          </w:tcPr>
          <w:p>
            <w:pPr>
              <w:spacing w:after="0"/>
              <w:rPr>
                <w:sz w:val="19"/>
                <w:szCs w:val="19"/>
                <w:color w:val="auto"/>
              </w:rPr>
            </w:pPr>
          </w:p>
        </w:tc>
        <w:tc>
          <w:tcPr>
            <w:tcW w:w="120" w:type="dxa"/>
            <w:vAlign w:val="bottom"/>
            <w:shd w:val="clear" w:color="auto" w:fill="F7F7F7"/>
          </w:tcPr>
          <w:p>
            <w:pPr>
              <w:spacing w:after="0"/>
              <w:rPr>
                <w:sz w:val="19"/>
                <w:szCs w:val="19"/>
                <w:color w:val="auto"/>
              </w:rPr>
            </w:pPr>
          </w:p>
        </w:tc>
        <w:tc>
          <w:tcPr>
            <w:tcW w:w="340" w:type="dxa"/>
            <w:vAlign w:val="bottom"/>
            <w:shd w:val="clear" w:color="auto" w:fill="F7F7F7"/>
          </w:tcPr>
          <w:p>
            <w:pPr>
              <w:spacing w:after="0"/>
              <w:rPr>
                <w:sz w:val="20"/>
                <w:szCs w:val="20"/>
                <w:color w:val="auto"/>
              </w:rPr>
            </w:pPr>
            <w:r>
              <w:rPr>
                <w:rFonts w:ascii="Arial" w:cs="Arial" w:eastAsia="Arial" w:hAnsi="Arial"/>
                <w:sz w:val="14"/>
                <w:szCs w:val="14"/>
                <w:color w:val="auto"/>
              </w:rPr>
              <w:t>​2022</w:t>
            </w:r>
          </w:p>
        </w:tc>
        <w:tc>
          <w:tcPr>
            <w:tcW w:w="760" w:type="dxa"/>
            <w:vAlign w:val="bottom"/>
            <w:shd w:val="clear" w:color="auto" w:fill="F7F7F7"/>
          </w:tcPr>
          <w:p>
            <w:pPr>
              <w:jc w:val="center"/>
              <w:ind w:left="153"/>
              <w:spacing w:after="0"/>
              <w:rPr>
                <w:sz w:val="20"/>
                <w:szCs w:val="20"/>
                <w:color w:val="auto"/>
              </w:rPr>
            </w:pPr>
            <w:r>
              <w:rPr>
                <w:rFonts w:ascii="Arial" w:cs="Arial" w:eastAsia="Arial" w:hAnsi="Arial"/>
                <w:sz w:val="14"/>
                <w:szCs w:val="14"/>
                <w:color w:val="auto"/>
              </w:rPr>
              <w:t>​512,981</w:t>
            </w:r>
          </w:p>
        </w:tc>
        <w:tc>
          <w:tcPr>
            <w:tcW w:w="320" w:type="dxa"/>
            <w:vAlign w:val="bottom"/>
            <w:shd w:val="clear" w:color="auto" w:fill="F7F7F7"/>
          </w:tcPr>
          <w:p>
            <w:pPr>
              <w:ind w:left="220"/>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7F7F7"/>
          </w:tcPr>
          <w:p>
            <w:pPr>
              <w:jc w:val="right"/>
              <w:spacing w:after="0"/>
              <w:rPr>
                <w:sz w:val="20"/>
                <w:szCs w:val="20"/>
                <w:color w:val="auto"/>
              </w:rPr>
            </w:pPr>
            <w:r>
              <w:rPr>
                <w:rFonts w:ascii="Arial" w:cs="Arial" w:eastAsia="Arial" w:hAnsi="Arial"/>
                <w:sz w:val="14"/>
                <w:szCs w:val="14"/>
                <w:color w:val="auto"/>
              </w:rPr>
              <w:t>5,249,436</w:t>
            </w:r>
          </w:p>
        </w:tc>
        <w:tc>
          <w:tcPr>
            <w:tcW w:w="280" w:type="dxa"/>
            <w:vAlign w:val="bottom"/>
            <w:shd w:val="clear" w:color="auto" w:fill="F7F7F7"/>
          </w:tcPr>
          <w:p>
            <w:pPr>
              <w:ind w:lef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7F7"/>
          </w:tcPr>
          <w:p>
            <w:pPr>
              <w:ind w:left="340"/>
              <w:spacing w:after="0"/>
              <w:rPr>
                <w:sz w:val="20"/>
                <w:szCs w:val="20"/>
                <w:color w:val="auto"/>
              </w:rPr>
            </w:pPr>
            <w:r>
              <w:rPr>
                <w:rFonts w:ascii="Arial" w:cs="Arial" w:eastAsia="Arial" w:hAnsi="Arial"/>
                <w:sz w:val="14"/>
                <w:szCs w:val="14"/>
                <w:color w:val="auto"/>
              </w:rPr>
              <w:t>—</w:t>
            </w:r>
          </w:p>
        </w:tc>
        <w:tc>
          <w:tcPr>
            <w:tcW w:w="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F7F7F7"/>
          </w:tcPr>
          <w:p>
            <w:pPr>
              <w:jc w:val="right"/>
              <w:ind w:right="312"/>
              <w:spacing w:after="0"/>
              <w:rPr>
                <w:sz w:val="20"/>
                <w:szCs w:val="20"/>
                <w:color w:val="auto"/>
              </w:rPr>
            </w:pPr>
            <w:r>
              <w:rPr>
                <w:rFonts w:ascii="Arial" w:cs="Arial" w:eastAsia="Arial" w:hAnsi="Arial"/>
                <w:sz w:val="14"/>
                <w:szCs w:val="14"/>
                <w:color w:val="auto"/>
              </w:rPr>
              <w:t>0</w:t>
            </w:r>
          </w:p>
        </w:tc>
        <w:tc>
          <w:tcPr>
            <w:tcW w:w="140" w:type="dxa"/>
            <w:vAlign w:val="bottom"/>
            <w:shd w:val="clear" w:color="auto" w:fill="F7F7F7"/>
          </w:tcPr>
          <w:p>
            <w:pPr>
              <w:ind w:lef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5,762,417</w:t>
            </w:r>
          </w:p>
        </w:tc>
        <w:tc>
          <w:tcPr>
            <w:tcW w:w="0" w:type="dxa"/>
            <w:vAlign w:val="bottom"/>
          </w:tcPr>
          <w:p>
            <w:pPr>
              <w:spacing w:after="0"/>
              <w:rPr>
                <w:sz w:val="1"/>
                <w:szCs w:val="1"/>
                <w:color w:val="auto"/>
              </w:rPr>
            </w:pPr>
          </w:p>
        </w:tc>
      </w:tr>
      <w:tr>
        <w:trPr>
          <w:trHeight w:val="101"/>
        </w:trPr>
        <w:tc>
          <w:tcPr>
            <w:tcW w:w="1720" w:type="dxa"/>
            <w:vAlign w:val="bottom"/>
            <w:tcBorders>
              <w:bottom w:val="single" w:sz="8" w:color="F7F7F7"/>
            </w:tcBorders>
            <w:vMerge w:val="restart"/>
            <w:shd w:val="clear" w:color="auto" w:fill="F7F7F7"/>
          </w:tcPr>
          <w:p>
            <w:pPr>
              <w:ind w:left="160"/>
              <w:spacing w:after="0"/>
              <w:rPr>
                <w:sz w:val="20"/>
                <w:szCs w:val="20"/>
                <w:color w:val="auto"/>
              </w:rPr>
            </w:pPr>
            <w:r>
              <w:rPr>
                <w:rFonts w:ascii="Arial" w:cs="Arial" w:eastAsia="Arial" w:hAnsi="Arial"/>
                <w:sz w:val="14"/>
                <w:szCs w:val="14"/>
                <w:i w:val="1"/>
                <w:iCs w:val="1"/>
                <w:color w:val="auto"/>
              </w:rPr>
              <w:t>Senior Vice President,</w:t>
            </w:r>
          </w:p>
        </w:tc>
        <w:tc>
          <w:tcPr>
            <w:tcW w:w="200" w:type="dxa"/>
            <w:vAlign w:val="bottom"/>
            <w:tcBorders>
              <w:bottom w:val="single" w:sz="8" w:color="F7F7F7"/>
            </w:tcBorders>
            <w:shd w:val="clear" w:color="auto" w:fill="F7F7F7"/>
          </w:tcPr>
          <w:p>
            <w:pPr>
              <w:spacing w:after="0"/>
              <w:rPr>
                <w:sz w:val="8"/>
                <w:szCs w:val="8"/>
                <w:color w:val="auto"/>
              </w:rPr>
            </w:pPr>
          </w:p>
        </w:tc>
        <w:tc>
          <w:tcPr>
            <w:tcW w:w="120" w:type="dxa"/>
            <w:vAlign w:val="bottom"/>
            <w:tcBorders>
              <w:bottom w:val="single" w:sz="8" w:color="auto"/>
            </w:tcBorders>
            <w:shd w:val="clear" w:color="auto" w:fill="F7F7F7"/>
          </w:tcPr>
          <w:p>
            <w:pPr>
              <w:spacing w:after="0"/>
              <w:rPr>
                <w:sz w:val="8"/>
                <w:szCs w:val="8"/>
                <w:color w:val="auto"/>
              </w:rPr>
            </w:pPr>
          </w:p>
        </w:tc>
        <w:tc>
          <w:tcPr>
            <w:tcW w:w="340" w:type="dxa"/>
            <w:vAlign w:val="bottom"/>
            <w:tcBorders>
              <w:bottom w:val="single" w:sz="8" w:color="auto"/>
            </w:tcBorders>
            <w:shd w:val="clear" w:color="auto" w:fill="F7F7F7"/>
          </w:tcPr>
          <w:p>
            <w:pPr>
              <w:spacing w:after="0"/>
              <w:rPr>
                <w:sz w:val="8"/>
                <w:szCs w:val="8"/>
                <w:color w:val="auto"/>
              </w:rPr>
            </w:pPr>
          </w:p>
        </w:tc>
        <w:tc>
          <w:tcPr>
            <w:tcW w:w="760" w:type="dxa"/>
            <w:vAlign w:val="bottom"/>
            <w:tcBorders>
              <w:bottom w:val="single" w:sz="8" w:color="auto"/>
            </w:tcBorders>
            <w:shd w:val="clear" w:color="auto" w:fill="F7F7F7"/>
          </w:tcPr>
          <w:p>
            <w:pPr>
              <w:spacing w:after="0"/>
              <w:rPr>
                <w:sz w:val="8"/>
                <w:szCs w:val="8"/>
                <w:color w:val="auto"/>
              </w:rPr>
            </w:pPr>
          </w:p>
        </w:tc>
        <w:tc>
          <w:tcPr>
            <w:tcW w:w="320" w:type="dxa"/>
            <w:vAlign w:val="bottom"/>
            <w:tcBorders>
              <w:bottom w:val="single" w:sz="8" w:color="auto"/>
            </w:tcBorders>
            <w:shd w:val="clear" w:color="auto" w:fill="F7F7F7"/>
          </w:tcPr>
          <w:p>
            <w:pPr>
              <w:spacing w:after="0"/>
              <w:rPr>
                <w:sz w:val="8"/>
                <w:szCs w:val="8"/>
                <w:color w:val="auto"/>
              </w:rPr>
            </w:pPr>
          </w:p>
        </w:tc>
        <w:tc>
          <w:tcPr>
            <w:tcW w:w="580" w:type="dxa"/>
            <w:vAlign w:val="bottom"/>
            <w:tcBorders>
              <w:bottom w:val="single" w:sz="8" w:color="auto"/>
            </w:tcBorders>
            <w:shd w:val="clear" w:color="auto" w:fill="F7F7F7"/>
          </w:tcPr>
          <w:p>
            <w:pPr>
              <w:spacing w:after="0"/>
              <w:rPr>
                <w:sz w:val="8"/>
                <w:szCs w:val="8"/>
                <w:color w:val="auto"/>
              </w:rPr>
            </w:pPr>
          </w:p>
        </w:tc>
        <w:tc>
          <w:tcPr>
            <w:tcW w:w="320" w:type="dxa"/>
            <w:vAlign w:val="bottom"/>
            <w:tcBorders>
              <w:bottom w:val="single" w:sz="8" w:color="auto"/>
            </w:tcBorders>
            <w:shd w:val="clear" w:color="auto" w:fill="F7F7F7"/>
          </w:tcPr>
          <w:p>
            <w:pPr>
              <w:spacing w:after="0"/>
              <w:rPr>
                <w:sz w:val="8"/>
                <w:szCs w:val="8"/>
                <w:color w:val="auto"/>
              </w:rPr>
            </w:pPr>
          </w:p>
        </w:tc>
        <w:tc>
          <w:tcPr>
            <w:tcW w:w="720" w:type="dxa"/>
            <w:vAlign w:val="bottom"/>
            <w:tcBorders>
              <w:bottom w:val="single" w:sz="8" w:color="auto"/>
            </w:tcBorders>
            <w:shd w:val="clear" w:color="auto" w:fill="F7F7F7"/>
          </w:tcPr>
          <w:p>
            <w:pPr>
              <w:spacing w:after="0"/>
              <w:rPr>
                <w:sz w:val="8"/>
                <w:szCs w:val="8"/>
                <w:color w:val="auto"/>
              </w:rPr>
            </w:pPr>
          </w:p>
        </w:tc>
        <w:tc>
          <w:tcPr>
            <w:tcW w:w="280" w:type="dxa"/>
            <w:vAlign w:val="bottom"/>
            <w:tcBorders>
              <w:bottom w:val="single" w:sz="8" w:color="auto"/>
            </w:tcBorders>
            <w:shd w:val="clear" w:color="auto" w:fill="F7F7F7"/>
          </w:tcPr>
          <w:p>
            <w:pPr>
              <w:spacing w:after="0"/>
              <w:rPr>
                <w:sz w:val="8"/>
                <w:szCs w:val="8"/>
                <w:color w:val="auto"/>
              </w:rPr>
            </w:pPr>
          </w:p>
        </w:tc>
        <w:tc>
          <w:tcPr>
            <w:tcW w:w="700" w:type="dxa"/>
            <w:vAlign w:val="bottom"/>
            <w:tcBorders>
              <w:bottom w:val="single" w:sz="8" w:color="auto"/>
            </w:tcBorders>
            <w:shd w:val="clear" w:color="auto" w:fill="F7F7F7"/>
          </w:tcPr>
          <w:p>
            <w:pPr>
              <w:spacing w:after="0"/>
              <w:rPr>
                <w:sz w:val="8"/>
                <w:szCs w:val="8"/>
                <w:color w:val="auto"/>
              </w:rPr>
            </w:pPr>
          </w:p>
        </w:tc>
        <w:tc>
          <w:tcPr>
            <w:tcW w:w="26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140" w:type="dxa"/>
            <w:vAlign w:val="bottom"/>
            <w:tcBorders>
              <w:bottom w:val="single" w:sz="8" w:color="auto"/>
            </w:tcBorders>
            <w:shd w:val="clear" w:color="auto" w:fill="F7F7F7"/>
          </w:tcPr>
          <w:p>
            <w:pPr>
              <w:spacing w:after="0"/>
              <w:rPr>
                <w:sz w:val="8"/>
                <w:szCs w:val="8"/>
                <w:color w:val="auto"/>
              </w:rPr>
            </w:pPr>
          </w:p>
        </w:tc>
        <w:tc>
          <w:tcPr>
            <w:tcW w:w="70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720" w:type="dxa"/>
            <w:vAlign w:val="bottom"/>
            <w:vMerge w:val="continue"/>
            <w:shd w:val="clear" w:color="auto" w:fill="F7F7F7"/>
          </w:tcPr>
          <w:p>
            <w:pPr>
              <w:spacing w:after="0"/>
              <w:rPr>
                <w:sz w:val="5"/>
                <w:szCs w:val="5"/>
                <w:color w:val="auto"/>
              </w:rPr>
            </w:pPr>
          </w:p>
        </w:tc>
        <w:tc>
          <w:tcPr>
            <w:tcW w:w="200" w:type="dxa"/>
            <w:vAlign w:val="bottom"/>
            <w:shd w:val="clear" w:color="auto" w:fill="F7F7F7"/>
          </w:tcPr>
          <w:p>
            <w:pPr>
              <w:spacing w:after="0"/>
              <w:rPr>
                <w:sz w:val="5"/>
                <w:szCs w:val="5"/>
                <w:color w:val="auto"/>
              </w:rPr>
            </w:pPr>
          </w:p>
        </w:tc>
        <w:tc>
          <w:tcPr>
            <w:tcW w:w="120" w:type="dxa"/>
            <w:vAlign w:val="bottom"/>
            <w:vMerge w:val="restart"/>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F7F7F7"/>
          </w:tcPr>
          <w:p>
            <w:pPr>
              <w:jc w:val="center"/>
              <w:ind w:right="453"/>
              <w:spacing w:after="0" w:line="115" w:lineRule="exact"/>
              <w:rPr>
                <w:sz w:val="20"/>
                <w:szCs w:val="20"/>
                <w:color w:val="auto"/>
              </w:rPr>
            </w:pPr>
            <w:r>
              <w:rPr>
                <w:rFonts w:ascii="Arial" w:cs="Arial" w:eastAsia="Arial" w:hAnsi="Arial"/>
                <w:sz w:val="13"/>
                <w:szCs w:val="13"/>
                <w:color w:val="auto"/>
              </w:rPr>
              <w:t>​ ​ ​</w:t>
            </w:r>
          </w:p>
        </w:tc>
        <w:tc>
          <w:tcPr>
            <w:tcW w:w="320" w:type="dxa"/>
            <w:vAlign w:val="bottom"/>
            <w:vMerge w:val="restart"/>
            <w:shd w:val="clear" w:color="auto" w:fill="F7F7F7"/>
          </w:tcPr>
          <w:p>
            <w:pPr>
              <w:jc w:val="center"/>
              <w:spacing w:after="0" w:line="115" w:lineRule="exact"/>
              <w:rPr>
                <w:sz w:val="20"/>
                <w:szCs w:val="20"/>
                <w:color w:val="auto"/>
              </w:rPr>
            </w:pPr>
            <w:r>
              <w:rPr>
                <w:rFonts w:ascii="Arial" w:cs="Arial" w:eastAsia="Arial" w:hAnsi="Arial"/>
                <w:sz w:val="13"/>
                <w:szCs w:val="13"/>
                <w:color w:val="auto"/>
              </w:rPr>
              <w:t>​ ​ ​</w:t>
            </w:r>
          </w:p>
        </w:tc>
        <w:tc>
          <w:tcPr>
            <w:tcW w:w="580" w:type="dxa"/>
            <w:vAlign w:val="bottom"/>
            <w:shd w:val="clear" w:color="auto" w:fill="F7F7F7"/>
          </w:tcPr>
          <w:p>
            <w:pPr>
              <w:spacing w:after="0"/>
              <w:rPr>
                <w:sz w:val="5"/>
                <w:szCs w:val="5"/>
                <w:color w:val="auto"/>
              </w:rPr>
            </w:pPr>
          </w:p>
        </w:tc>
        <w:tc>
          <w:tcPr>
            <w:tcW w:w="320" w:type="dxa"/>
            <w:vAlign w:val="bottom"/>
            <w:vMerge w:val="restart"/>
            <w:shd w:val="clear" w:color="auto" w:fill="F7F7F7"/>
          </w:tcPr>
          <w:p>
            <w:pPr>
              <w:jc w:val="right"/>
              <w:ind w:right="11"/>
              <w:spacing w:after="0" w:line="115" w:lineRule="exact"/>
              <w:rPr>
                <w:sz w:val="20"/>
                <w:szCs w:val="20"/>
                <w:color w:val="auto"/>
              </w:rPr>
            </w:pPr>
            <w:r>
              <w:rPr>
                <w:rFonts w:ascii="Arial" w:cs="Arial" w:eastAsia="Arial" w:hAnsi="Arial"/>
                <w:sz w:val="13"/>
                <w:szCs w:val="13"/>
                <w:color w:val="auto"/>
              </w:rPr>
              <w:t>​ ​ ​</w:t>
            </w:r>
          </w:p>
        </w:tc>
        <w:tc>
          <w:tcPr>
            <w:tcW w:w="720" w:type="dxa"/>
            <w:vAlign w:val="bottom"/>
            <w:shd w:val="clear" w:color="auto" w:fill="F7F7F7"/>
          </w:tcPr>
          <w:p>
            <w:pPr>
              <w:spacing w:after="0"/>
              <w:rPr>
                <w:sz w:val="5"/>
                <w:szCs w:val="5"/>
                <w:color w:val="auto"/>
              </w:rPr>
            </w:pPr>
          </w:p>
        </w:tc>
        <w:tc>
          <w:tcPr>
            <w:tcW w:w="280" w:type="dxa"/>
            <w:vAlign w:val="bottom"/>
            <w:vMerge w:val="restart"/>
            <w:shd w:val="clear" w:color="auto" w:fill="F7F7F7"/>
          </w:tcPr>
          <w:p>
            <w:pPr>
              <w:jc w:val="center"/>
              <w:spacing w:after="0" w:line="115" w:lineRule="exact"/>
              <w:rPr>
                <w:sz w:val="20"/>
                <w:szCs w:val="20"/>
                <w:color w:val="auto"/>
              </w:rPr>
            </w:pPr>
            <w:r>
              <w:rPr>
                <w:rFonts w:ascii="Arial" w:cs="Arial" w:eastAsia="Arial" w:hAnsi="Arial"/>
                <w:sz w:val="13"/>
                <w:szCs w:val="13"/>
                <w:color w:val="auto"/>
              </w:rPr>
              <w:t>​ ​ ​</w:t>
            </w:r>
          </w:p>
        </w:tc>
        <w:tc>
          <w:tcPr>
            <w:tcW w:w="700" w:type="dxa"/>
            <w:vAlign w:val="bottom"/>
            <w:vMerge w:val="restart"/>
            <w:shd w:val="clear" w:color="auto" w:fill="F7F7F7"/>
          </w:tcPr>
          <w:p>
            <w:pPr>
              <w:ind w:left="500"/>
              <w:spacing w:after="0" w:line="115" w:lineRule="exact"/>
              <w:rPr>
                <w:sz w:val="20"/>
                <w:szCs w:val="20"/>
                <w:color w:val="auto"/>
              </w:rPr>
            </w:pPr>
            <w:r>
              <w:rPr>
                <w:rFonts w:ascii="Arial" w:cs="Arial" w:eastAsia="Arial" w:hAnsi="Arial"/>
                <w:sz w:val="13"/>
                <w:szCs w:val="13"/>
                <w:color w:val="auto"/>
              </w:rPr>
              <w:t>​ ​</w:t>
            </w:r>
          </w:p>
        </w:tc>
        <w:tc>
          <w:tcPr>
            <w:tcW w:w="260" w:type="dxa"/>
            <w:vAlign w:val="bottom"/>
            <w:vMerge w:val="restart"/>
            <w:shd w:val="clear" w:color="auto" w:fill="F7F7F7"/>
          </w:tcPr>
          <w:p>
            <w:pPr>
              <w:ind w:left="140"/>
              <w:spacing w:after="0" w:line="115" w:lineRule="exact"/>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F7F7F7"/>
          </w:tcPr>
          <w:p>
            <w:pPr>
              <w:jc w:val="right"/>
              <w:ind w:right="12"/>
              <w:spacing w:after="0" w:line="115" w:lineRule="exact"/>
              <w:rPr>
                <w:sz w:val="20"/>
                <w:szCs w:val="20"/>
                <w:color w:val="auto"/>
              </w:rPr>
            </w:pPr>
            <w:r>
              <w:rPr>
                <w:rFonts w:ascii="Arial" w:cs="Arial" w:eastAsia="Arial" w:hAnsi="Arial"/>
                <w:sz w:val="13"/>
                <w:szCs w:val="13"/>
                <w:color w:val="auto"/>
              </w:rPr>
              <w:t>​​ ​</w:t>
            </w:r>
          </w:p>
        </w:tc>
        <w:tc>
          <w:tcPr>
            <w:tcW w:w="140" w:type="dxa"/>
            <w:vAlign w:val="bottom"/>
            <w:vMerge w:val="restart"/>
            <w:shd w:val="clear" w:color="auto" w:fill="F7F7F7"/>
          </w:tcPr>
          <w:p>
            <w:pPr>
              <w:ind w:left="80"/>
              <w:spacing w:after="0" w:line="115" w:lineRule="exact"/>
              <w:rPr>
                <w:sz w:val="20"/>
                <w:szCs w:val="20"/>
                <w:color w:val="auto"/>
              </w:rPr>
            </w:pPr>
            <w:r>
              <w:rPr>
                <w:rFonts w:ascii="Arial" w:cs="Arial" w:eastAsia="Arial" w:hAnsi="Arial"/>
                <w:sz w:val="13"/>
                <w:szCs w:val="13"/>
                <w:color w:val="auto"/>
              </w:rPr>
              <w:t>​</w:t>
            </w:r>
          </w:p>
        </w:tc>
        <w:tc>
          <w:tcPr>
            <w:tcW w:w="700" w:type="dxa"/>
            <w:vAlign w:val="bottom"/>
            <w:shd w:val="clear" w:color="auto" w:fill="F7F7F7"/>
          </w:tcPr>
          <w:p>
            <w:pPr>
              <w:spacing w:after="0"/>
              <w:rPr>
                <w:sz w:val="5"/>
                <w:szCs w:val="5"/>
                <w:color w:val="auto"/>
              </w:rPr>
            </w:pPr>
          </w:p>
        </w:tc>
        <w:tc>
          <w:tcPr>
            <w:tcW w:w="380" w:type="dxa"/>
            <w:vAlign w:val="bottom"/>
            <w:vMerge w:val="restart"/>
            <w:shd w:val="clear" w:color="auto" w:fill="F7F7F7"/>
          </w:tcPr>
          <w:p>
            <w:pPr>
              <w:jc w:val="right"/>
              <w:spacing w:after="0" w:line="115" w:lineRule="exact"/>
              <w:rPr>
                <w:sz w:val="20"/>
                <w:szCs w:val="20"/>
                <w:color w:val="auto"/>
              </w:rPr>
            </w:pPr>
            <w:r>
              <w:rPr>
                <w:rFonts w:ascii="Arial" w:cs="Arial" w:eastAsia="Arial" w:hAnsi="Arial"/>
                <w:sz w:val="13"/>
                <w:szCs w:val="13"/>
                <w:color w:val="auto"/>
              </w:rPr>
              <w:t>​​ ​ ​</w:t>
            </w:r>
          </w:p>
        </w:tc>
        <w:tc>
          <w:tcPr>
            <w:tcW w:w="980" w:type="dxa"/>
            <w:vAlign w:val="bottom"/>
            <w:vMerge w:val="restart"/>
            <w:shd w:val="clear" w:color="auto" w:fill="F7F7F7"/>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8"/>
        </w:trPr>
        <w:tc>
          <w:tcPr>
            <w:tcW w:w="1720" w:type="dxa"/>
            <w:vAlign w:val="bottom"/>
            <w:vMerge w:val="restart"/>
            <w:shd w:val="clear" w:color="auto" w:fill="F7F7F7"/>
          </w:tcPr>
          <w:p>
            <w:pPr>
              <w:ind w:left="160"/>
              <w:spacing w:after="0"/>
              <w:rPr>
                <w:sz w:val="20"/>
                <w:szCs w:val="20"/>
                <w:color w:val="auto"/>
              </w:rPr>
            </w:pPr>
            <w:r>
              <w:rPr>
                <w:rFonts w:ascii="Arial" w:cs="Arial" w:eastAsia="Arial" w:hAnsi="Arial"/>
                <w:sz w:val="14"/>
                <w:szCs w:val="14"/>
                <w:i w:val="1"/>
                <w:iCs w:val="1"/>
                <w:color w:val="auto"/>
              </w:rPr>
              <w:t>Digital</w:t>
            </w:r>
          </w:p>
        </w:tc>
        <w:tc>
          <w:tcPr>
            <w:tcW w:w="200" w:type="dxa"/>
            <w:vAlign w:val="bottom"/>
            <w:shd w:val="clear" w:color="auto" w:fill="F7F7F7"/>
          </w:tcPr>
          <w:p>
            <w:pPr>
              <w:spacing w:after="0"/>
              <w:rPr>
                <w:sz w:val="4"/>
                <w:szCs w:val="4"/>
                <w:color w:val="auto"/>
              </w:rPr>
            </w:pPr>
          </w:p>
        </w:tc>
        <w:tc>
          <w:tcPr>
            <w:tcW w:w="120" w:type="dxa"/>
            <w:vAlign w:val="bottom"/>
            <w:vMerge w:val="continue"/>
            <w:shd w:val="clear" w:color="auto" w:fill="F7F7F7"/>
          </w:tcPr>
          <w:p>
            <w:pPr>
              <w:spacing w:after="0"/>
              <w:rPr>
                <w:sz w:val="4"/>
                <w:szCs w:val="4"/>
                <w:color w:val="auto"/>
              </w:rPr>
            </w:pPr>
          </w:p>
        </w:tc>
        <w:tc>
          <w:tcPr>
            <w:tcW w:w="340" w:type="dxa"/>
            <w:vAlign w:val="bottom"/>
            <w:vMerge w:val="continue"/>
            <w:shd w:val="clear" w:color="auto" w:fill="F7F7F7"/>
          </w:tcPr>
          <w:p>
            <w:pPr>
              <w:spacing w:after="0"/>
              <w:rPr>
                <w:sz w:val="4"/>
                <w:szCs w:val="4"/>
                <w:color w:val="auto"/>
              </w:rPr>
            </w:pPr>
          </w:p>
        </w:tc>
        <w:tc>
          <w:tcPr>
            <w:tcW w:w="760" w:type="dxa"/>
            <w:vAlign w:val="bottom"/>
            <w:vMerge w:val="continue"/>
            <w:shd w:val="clear" w:color="auto" w:fill="F7F7F7"/>
          </w:tcPr>
          <w:p>
            <w:pPr>
              <w:spacing w:after="0"/>
              <w:rPr>
                <w:sz w:val="4"/>
                <w:szCs w:val="4"/>
                <w:color w:val="auto"/>
              </w:rPr>
            </w:pPr>
          </w:p>
        </w:tc>
        <w:tc>
          <w:tcPr>
            <w:tcW w:w="320" w:type="dxa"/>
            <w:vAlign w:val="bottom"/>
            <w:vMerge w:val="continue"/>
            <w:shd w:val="clear" w:color="auto" w:fill="F7F7F7"/>
          </w:tcPr>
          <w:p>
            <w:pPr>
              <w:spacing w:after="0"/>
              <w:rPr>
                <w:sz w:val="4"/>
                <w:szCs w:val="4"/>
                <w:color w:val="auto"/>
              </w:rPr>
            </w:pPr>
          </w:p>
        </w:tc>
        <w:tc>
          <w:tcPr>
            <w:tcW w:w="58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357,726</w:t>
            </w:r>
          </w:p>
        </w:tc>
        <w:tc>
          <w:tcPr>
            <w:tcW w:w="320" w:type="dxa"/>
            <w:vAlign w:val="bottom"/>
            <w:vMerge w:val="continue"/>
            <w:shd w:val="clear" w:color="auto" w:fill="F7F7F7"/>
          </w:tcPr>
          <w:p>
            <w:pPr>
              <w:spacing w:after="0"/>
              <w:rPr>
                <w:sz w:val="4"/>
                <w:szCs w:val="4"/>
                <w:color w:val="auto"/>
              </w:rPr>
            </w:pPr>
          </w:p>
        </w:tc>
        <w:tc>
          <w:tcPr>
            <w:tcW w:w="720" w:type="dxa"/>
            <w:vAlign w:val="bottom"/>
            <w:shd w:val="clear" w:color="auto" w:fill="F7F7F7"/>
          </w:tcPr>
          <w:p>
            <w:pPr>
              <w:spacing w:after="0"/>
              <w:rPr>
                <w:sz w:val="4"/>
                <w:szCs w:val="4"/>
                <w:color w:val="auto"/>
              </w:rPr>
            </w:pPr>
          </w:p>
        </w:tc>
        <w:tc>
          <w:tcPr>
            <w:tcW w:w="280" w:type="dxa"/>
            <w:vAlign w:val="bottom"/>
            <w:vMerge w:val="continue"/>
            <w:shd w:val="clear" w:color="auto" w:fill="F7F7F7"/>
          </w:tcPr>
          <w:p>
            <w:pPr>
              <w:spacing w:after="0"/>
              <w:rPr>
                <w:sz w:val="4"/>
                <w:szCs w:val="4"/>
                <w:color w:val="auto"/>
              </w:rPr>
            </w:pPr>
          </w:p>
        </w:tc>
        <w:tc>
          <w:tcPr>
            <w:tcW w:w="700" w:type="dxa"/>
            <w:vAlign w:val="bottom"/>
            <w:vMerge w:val="continue"/>
            <w:shd w:val="clear" w:color="auto" w:fill="F7F7F7"/>
          </w:tcPr>
          <w:p>
            <w:pPr>
              <w:spacing w:after="0"/>
              <w:rPr>
                <w:sz w:val="4"/>
                <w:szCs w:val="4"/>
                <w:color w:val="auto"/>
              </w:rPr>
            </w:pPr>
          </w:p>
        </w:tc>
        <w:tc>
          <w:tcPr>
            <w:tcW w:w="260" w:type="dxa"/>
            <w:vAlign w:val="bottom"/>
            <w:vMerge w:val="continue"/>
            <w:shd w:val="clear" w:color="auto" w:fill="F7F7F7"/>
          </w:tcPr>
          <w:p>
            <w:pPr>
              <w:spacing w:after="0"/>
              <w:rPr>
                <w:sz w:val="4"/>
                <w:szCs w:val="4"/>
                <w:color w:val="auto"/>
              </w:rPr>
            </w:pPr>
          </w:p>
        </w:tc>
        <w:tc>
          <w:tcPr>
            <w:tcW w:w="860" w:type="dxa"/>
            <w:vAlign w:val="bottom"/>
            <w:vMerge w:val="continue"/>
            <w:shd w:val="clear" w:color="auto" w:fill="F7F7F7"/>
          </w:tcPr>
          <w:p>
            <w:pPr>
              <w:spacing w:after="0"/>
              <w:rPr>
                <w:sz w:val="4"/>
                <w:szCs w:val="4"/>
                <w:color w:val="auto"/>
              </w:rPr>
            </w:pPr>
          </w:p>
        </w:tc>
        <w:tc>
          <w:tcPr>
            <w:tcW w:w="140" w:type="dxa"/>
            <w:vAlign w:val="bottom"/>
            <w:vMerge w:val="continue"/>
            <w:shd w:val="clear" w:color="auto" w:fill="F7F7F7"/>
          </w:tcPr>
          <w:p>
            <w:pPr>
              <w:spacing w:after="0"/>
              <w:rPr>
                <w:sz w:val="4"/>
                <w:szCs w:val="4"/>
                <w:color w:val="auto"/>
              </w:rPr>
            </w:pPr>
          </w:p>
        </w:tc>
        <w:tc>
          <w:tcPr>
            <w:tcW w:w="700" w:type="dxa"/>
            <w:vAlign w:val="bottom"/>
            <w:shd w:val="clear" w:color="auto" w:fill="F7F7F7"/>
          </w:tcPr>
          <w:p>
            <w:pPr>
              <w:spacing w:after="0"/>
              <w:rPr>
                <w:sz w:val="4"/>
                <w:szCs w:val="4"/>
                <w:color w:val="auto"/>
              </w:rPr>
            </w:pPr>
          </w:p>
        </w:tc>
        <w:tc>
          <w:tcPr>
            <w:tcW w:w="380" w:type="dxa"/>
            <w:vAlign w:val="bottom"/>
            <w:vMerge w:val="continue"/>
            <w:shd w:val="clear" w:color="auto" w:fill="F7F7F7"/>
          </w:tcPr>
          <w:p>
            <w:pPr>
              <w:spacing w:after="0"/>
              <w:rPr>
                <w:sz w:val="4"/>
                <w:szCs w:val="4"/>
                <w:color w:val="auto"/>
              </w:rPr>
            </w:pPr>
          </w:p>
        </w:tc>
        <w:tc>
          <w:tcPr>
            <w:tcW w:w="980" w:type="dxa"/>
            <w:vAlign w:val="bottom"/>
            <w:vMerge w:val="continue"/>
            <w:shd w:val="clear" w:color="auto" w:fill="F7F7F7"/>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720" w:type="dxa"/>
            <w:vAlign w:val="bottom"/>
            <w:vMerge w:val="continue"/>
            <w:shd w:val="clear" w:color="auto" w:fill="F7F7F7"/>
          </w:tcPr>
          <w:p>
            <w:pPr>
              <w:spacing w:after="0"/>
              <w:rPr>
                <w:sz w:val="16"/>
                <w:szCs w:val="16"/>
                <w:color w:val="auto"/>
              </w:rPr>
            </w:pPr>
          </w:p>
        </w:tc>
        <w:tc>
          <w:tcPr>
            <w:tcW w:w="200" w:type="dxa"/>
            <w:vAlign w:val="bottom"/>
            <w:shd w:val="clear" w:color="auto" w:fill="F7F7F7"/>
          </w:tcPr>
          <w:p>
            <w:pPr>
              <w:spacing w:after="0"/>
              <w:rPr>
                <w:sz w:val="16"/>
                <w:szCs w:val="16"/>
                <w:color w:val="auto"/>
              </w:rPr>
            </w:pPr>
          </w:p>
        </w:tc>
        <w:tc>
          <w:tcPr>
            <w:tcW w:w="120" w:type="dxa"/>
            <w:vAlign w:val="bottom"/>
            <w:shd w:val="clear" w:color="auto" w:fill="F7F7F7"/>
          </w:tcPr>
          <w:p>
            <w:pPr>
              <w:spacing w:after="0"/>
              <w:rPr>
                <w:sz w:val="16"/>
                <w:szCs w:val="16"/>
                <w:color w:val="auto"/>
              </w:rPr>
            </w:pPr>
          </w:p>
        </w:tc>
        <w:tc>
          <w:tcPr>
            <w:tcW w:w="340" w:type="dxa"/>
            <w:vAlign w:val="bottom"/>
            <w:shd w:val="clear" w:color="auto" w:fill="F7F7F7"/>
          </w:tcPr>
          <w:p>
            <w:pPr>
              <w:spacing w:after="0"/>
              <w:rPr>
                <w:sz w:val="20"/>
                <w:szCs w:val="20"/>
                <w:color w:val="auto"/>
              </w:rPr>
            </w:pPr>
            <w:r>
              <w:rPr>
                <w:rFonts w:ascii="Arial" w:cs="Arial" w:eastAsia="Arial" w:hAnsi="Arial"/>
                <w:sz w:val="14"/>
                <w:szCs w:val="14"/>
                <w:color w:val="auto"/>
              </w:rPr>
              <w:t>​2021</w:t>
            </w:r>
          </w:p>
        </w:tc>
        <w:tc>
          <w:tcPr>
            <w:tcW w:w="760" w:type="dxa"/>
            <w:vAlign w:val="bottom"/>
            <w:shd w:val="clear" w:color="auto" w:fill="F7F7F7"/>
          </w:tcPr>
          <w:p>
            <w:pPr>
              <w:jc w:val="center"/>
              <w:ind w:left="153"/>
              <w:spacing w:after="0"/>
              <w:rPr>
                <w:sz w:val="20"/>
                <w:szCs w:val="20"/>
                <w:color w:val="auto"/>
              </w:rPr>
            </w:pPr>
            <w:r>
              <w:rPr>
                <w:rFonts w:ascii="Arial" w:cs="Arial" w:eastAsia="Arial" w:hAnsi="Arial"/>
                <w:sz w:val="14"/>
                <w:szCs w:val="14"/>
                <w:color w:val="auto"/>
              </w:rPr>
              <w:t>​500,962</w:t>
            </w:r>
          </w:p>
        </w:tc>
        <w:tc>
          <w:tcPr>
            <w:tcW w:w="320" w:type="dxa"/>
            <w:vAlign w:val="bottom"/>
            <w:shd w:val="clear" w:color="auto" w:fill="F7F7F7"/>
          </w:tcPr>
          <w:p>
            <w:pPr>
              <w:ind w:left="220"/>
              <w:spacing w:after="0"/>
              <w:rPr>
                <w:sz w:val="20"/>
                <w:szCs w:val="20"/>
                <w:color w:val="auto"/>
              </w:rPr>
            </w:pPr>
            <w:r>
              <w:rPr>
                <w:rFonts w:ascii="Arial" w:cs="Arial" w:eastAsia="Arial" w:hAnsi="Arial"/>
                <w:sz w:val="14"/>
                <w:szCs w:val="14"/>
                <w:color w:val="auto"/>
              </w:rPr>
              <w:t>​</w:t>
            </w:r>
          </w:p>
        </w:tc>
        <w:tc>
          <w:tcPr>
            <w:tcW w:w="580" w:type="dxa"/>
            <w:vAlign w:val="bottom"/>
            <w:vMerge w:val="continue"/>
            <w:shd w:val="clear" w:color="auto" w:fill="F7F7F7"/>
          </w:tcPr>
          <w:p>
            <w:pPr>
              <w:spacing w:after="0"/>
              <w:rPr>
                <w:sz w:val="16"/>
                <w:szCs w:val="16"/>
                <w:color w:val="auto"/>
              </w:rPr>
            </w:pPr>
          </w:p>
        </w:tc>
        <w:tc>
          <w:tcPr>
            <w:tcW w:w="104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26,783,720</w:t>
            </w:r>
          </w:p>
        </w:tc>
        <w:tc>
          <w:tcPr>
            <w:tcW w:w="280" w:type="dxa"/>
            <w:vAlign w:val="bottom"/>
            <w:shd w:val="clear" w:color="auto" w:fill="F7F7F7"/>
          </w:tcPr>
          <w:p>
            <w:pPr>
              <w:ind w:lef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F7F7F7"/>
          </w:tcPr>
          <w:p>
            <w:pPr>
              <w:ind w:left="3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F7F7F7"/>
          </w:tcPr>
          <w:p>
            <w:pPr>
              <w:jc w:val="right"/>
              <w:ind w:right="312"/>
              <w:spacing w:after="0"/>
              <w:rPr>
                <w:sz w:val="20"/>
                <w:szCs w:val="20"/>
                <w:color w:val="auto"/>
              </w:rPr>
            </w:pPr>
            <w:r>
              <w:rPr>
                <w:rFonts w:ascii="Arial" w:cs="Arial" w:eastAsia="Arial" w:hAnsi="Arial"/>
                <w:sz w:val="14"/>
                <w:szCs w:val="14"/>
                <w:color w:val="auto"/>
              </w:rPr>
              <w:t>​ 160,274</w:t>
            </w:r>
          </w:p>
        </w:tc>
        <w:tc>
          <w:tcPr>
            <w:tcW w:w="840" w:type="dxa"/>
            <w:vAlign w:val="bottom"/>
            <w:gridSpan w:val="2"/>
            <w:shd w:val="clear" w:color="auto" w:fill="F7F7F7"/>
          </w:tcPr>
          <w:p>
            <w:pPr>
              <w:ind w:left="80"/>
              <w:spacing w:after="0"/>
              <w:rPr>
                <w:sz w:val="20"/>
                <w:szCs w:val="20"/>
                <w:color w:val="auto"/>
              </w:rPr>
            </w:pPr>
            <w:r>
              <w:rPr>
                <w:rFonts w:ascii="Arial" w:cs="Arial" w:eastAsia="Arial" w:hAnsi="Arial"/>
                <w:sz w:val="14"/>
                <w:szCs w:val="14"/>
                <w:color w:val="auto"/>
              </w:rPr>
              <w:t>​ 1,232,776</w:t>
            </w:r>
          </w:p>
        </w:tc>
        <w:tc>
          <w:tcPr>
            <w:tcW w:w="3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29,035,458</w:t>
            </w:r>
          </w:p>
        </w:tc>
        <w:tc>
          <w:tcPr>
            <w:tcW w:w="0" w:type="dxa"/>
            <w:vAlign w:val="bottom"/>
          </w:tcPr>
          <w:p>
            <w:pPr>
              <w:spacing w:after="0"/>
              <w:rPr>
                <w:sz w:val="1"/>
                <w:szCs w:val="1"/>
                <w:color w:val="auto"/>
              </w:rPr>
            </w:pPr>
          </w:p>
        </w:tc>
      </w:tr>
      <w:tr>
        <w:trPr>
          <w:trHeight w:val="93"/>
        </w:trPr>
        <w:tc>
          <w:tcPr>
            <w:tcW w:w="1720" w:type="dxa"/>
            <w:vAlign w:val="bottom"/>
            <w:tcBorders>
              <w:bottom w:val="single" w:sz="8" w:color="auto"/>
            </w:tcBorders>
            <w:shd w:val="clear" w:color="auto" w:fill="F7F7F7"/>
          </w:tcPr>
          <w:p>
            <w:pPr>
              <w:spacing w:after="0"/>
              <w:rPr>
                <w:sz w:val="8"/>
                <w:szCs w:val="8"/>
                <w:color w:val="auto"/>
              </w:rPr>
            </w:pPr>
          </w:p>
        </w:tc>
        <w:tc>
          <w:tcPr>
            <w:tcW w:w="200" w:type="dxa"/>
            <w:vAlign w:val="bottom"/>
            <w:tcBorders>
              <w:bottom w:val="single" w:sz="8" w:color="auto"/>
            </w:tcBorders>
            <w:shd w:val="clear" w:color="auto" w:fill="F7F7F7"/>
          </w:tcPr>
          <w:p>
            <w:pPr>
              <w:spacing w:after="0"/>
              <w:rPr>
                <w:sz w:val="8"/>
                <w:szCs w:val="8"/>
                <w:color w:val="auto"/>
              </w:rPr>
            </w:pPr>
          </w:p>
        </w:tc>
        <w:tc>
          <w:tcPr>
            <w:tcW w:w="120" w:type="dxa"/>
            <w:vAlign w:val="bottom"/>
            <w:tcBorders>
              <w:bottom w:val="single" w:sz="8" w:color="auto"/>
            </w:tcBorders>
            <w:shd w:val="clear" w:color="auto" w:fill="F7F7F7"/>
          </w:tcPr>
          <w:p>
            <w:pPr>
              <w:spacing w:after="0"/>
              <w:rPr>
                <w:sz w:val="8"/>
                <w:szCs w:val="8"/>
                <w:color w:val="auto"/>
              </w:rPr>
            </w:pPr>
          </w:p>
        </w:tc>
        <w:tc>
          <w:tcPr>
            <w:tcW w:w="340" w:type="dxa"/>
            <w:vAlign w:val="bottom"/>
            <w:tcBorders>
              <w:bottom w:val="single" w:sz="8" w:color="auto"/>
            </w:tcBorders>
            <w:shd w:val="clear" w:color="auto" w:fill="F7F7F7"/>
          </w:tcPr>
          <w:p>
            <w:pPr>
              <w:spacing w:after="0"/>
              <w:rPr>
                <w:sz w:val="8"/>
                <w:szCs w:val="8"/>
                <w:color w:val="auto"/>
              </w:rPr>
            </w:pPr>
          </w:p>
        </w:tc>
        <w:tc>
          <w:tcPr>
            <w:tcW w:w="760" w:type="dxa"/>
            <w:vAlign w:val="bottom"/>
            <w:tcBorders>
              <w:bottom w:val="single" w:sz="8" w:color="auto"/>
            </w:tcBorders>
            <w:shd w:val="clear" w:color="auto" w:fill="F7F7F7"/>
          </w:tcPr>
          <w:p>
            <w:pPr>
              <w:spacing w:after="0"/>
              <w:rPr>
                <w:sz w:val="8"/>
                <w:szCs w:val="8"/>
                <w:color w:val="auto"/>
              </w:rPr>
            </w:pPr>
          </w:p>
        </w:tc>
        <w:tc>
          <w:tcPr>
            <w:tcW w:w="320" w:type="dxa"/>
            <w:vAlign w:val="bottom"/>
            <w:tcBorders>
              <w:bottom w:val="single" w:sz="8" w:color="auto"/>
            </w:tcBorders>
            <w:shd w:val="clear" w:color="auto" w:fill="F7F7F7"/>
          </w:tcPr>
          <w:p>
            <w:pPr>
              <w:spacing w:after="0"/>
              <w:rPr>
                <w:sz w:val="8"/>
                <w:szCs w:val="8"/>
                <w:color w:val="auto"/>
              </w:rPr>
            </w:pPr>
          </w:p>
        </w:tc>
        <w:tc>
          <w:tcPr>
            <w:tcW w:w="580" w:type="dxa"/>
            <w:vAlign w:val="bottom"/>
            <w:tcBorders>
              <w:bottom w:val="single" w:sz="8" w:color="auto"/>
            </w:tcBorders>
            <w:shd w:val="clear" w:color="auto" w:fill="F7F7F7"/>
          </w:tcPr>
          <w:p>
            <w:pPr>
              <w:spacing w:after="0"/>
              <w:rPr>
                <w:sz w:val="8"/>
                <w:szCs w:val="8"/>
                <w:color w:val="auto"/>
              </w:rPr>
            </w:pPr>
          </w:p>
        </w:tc>
        <w:tc>
          <w:tcPr>
            <w:tcW w:w="320" w:type="dxa"/>
            <w:vAlign w:val="bottom"/>
            <w:tcBorders>
              <w:bottom w:val="single" w:sz="8" w:color="auto"/>
            </w:tcBorders>
            <w:shd w:val="clear" w:color="auto" w:fill="F7F7F7"/>
          </w:tcPr>
          <w:p>
            <w:pPr>
              <w:spacing w:after="0"/>
              <w:rPr>
                <w:sz w:val="8"/>
                <w:szCs w:val="8"/>
                <w:color w:val="auto"/>
              </w:rPr>
            </w:pPr>
          </w:p>
        </w:tc>
        <w:tc>
          <w:tcPr>
            <w:tcW w:w="720" w:type="dxa"/>
            <w:vAlign w:val="bottom"/>
            <w:tcBorders>
              <w:bottom w:val="single" w:sz="8" w:color="auto"/>
            </w:tcBorders>
            <w:shd w:val="clear" w:color="auto" w:fill="F7F7F7"/>
          </w:tcPr>
          <w:p>
            <w:pPr>
              <w:spacing w:after="0"/>
              <w:rPr>
                <w:sz w:val="8"/>
                <w:szCs w:val="8"/>
                <w:color w:val="auto"/>
              </w:rPr>
            </w:pPr>
          </w:p>
        </w:tc>
        <w:tc>
          <w:tcPr>
            <w:tcW w:w="280" w:type="dxa"/>
            <w:vAlign w:val="bottom"/>
            <w:tcBorders>
              <w:bottom w:val="single" w:sz="8" w:color="auto"/>
            </w:tcBorders>
            <w:shd w:val="clear" w:color="auto" w:fill="F7F7F7"/>
          </w:tcPr>
          <w:p>
            <w:pPr>
              <w:spacing w:after="0"/>
              <w:rPr>
                <w:sz w:val="8"/>
                <w:szCs w:val="8"/>
                <w:color w:val="auto"/>
              </w:rPr>
            </w:pPr>
          </w:p>
        </w:tc>
        <w:tc>
          <w:tcPr>
            <w:tcW w:w="700" w:type="dxa"/>
            <w:vAlign w:val="bottom"/>
            <w:tcBorders>
              <w:bottom w:val="single" w:sz="8" w:color="auto"/>
            </w:tcBorders>
            <w:shd w:val="clear" w:color="auto" w:fill="F7F7F7"/>
          </w:tcPr>
          <w:p>
            <w:pPr>
              <w:spacing w:after="0"/>
              <w:rPr>
                <w:sz w:val="8"/>
                <w:szCs w:val="8"/>
                <w:color w:val="auto"/>
              </w:rPr>
            </w:pPr>
          </w:p>
        </w:tc>
        <w:tc>
          <w:tcPr>
            <w:tcW w:w="260" w:type="dxa"/>
            <w:vAlign w:val="bottom"/>
            <w:tcBorders>
              <w:bottom w:val="single" w:sz="8" w:color="auto"/>
            </w:tcBorders>
            <w:shd w:val="clear" w:color="auto" w:fill="F7F7F7"/>
          </w:tcPr>
          <w:p>
            <w:pPr>
              <w:spacing w:after="0"/>
              <w:rPr>
                <w:sz w:val="8"/>
                <w:szCs w:val="8"/>
                <w:color w:val="auto"/>
              </w:rPr>
            </w:pPr>
          </w:p>
        </w:tc>
        <w:tc>
          <w:tcPr>
            <w:tcW w:w="860" w:type="dxa"/>
            <w:vAlign w:val="bottom"/>
            <w:tcBorders>
              <w:bottom w:val="single" w:sz="8" w:color="auto"/>
            </w:tcBorders>
            <w:shd w:val="clear" w:color="auto" w:fill="F7F7F7"/>
          </w:tcPr>
          <w:p>
            <w:pPr>
              <w:spacing w:after="0"/>
              <w:rPr>
                <w:sz w:val="8"/>
                <w:szCs w:val="8"/>
                <w:color w:val="auto"/>
              </w:rPr>
            </w:pPr>
          </w:p>
        </w:tc>
        <w:tc>
          <w:tcPr>
            <w:tcW w:w="140" w:type="dxa"/>
            <w:vAlign w:val="bottom"/>
            <w:tcBorders>
              <w:bottom w:val="single" w:sz="8" w:color="auto"/>
            </w:tcBorders>
            <w:shd w:val="clear" w:color="auto" w:fill="F7F7F7"/>
          </w:tcPr>
          <w:p>
            <w:pPr>
              <w:spacing w:after="0"/>
              <w:rPr>
                <w:sz w:val="8"/>
                <w:szCs w:val="8"/>
                <w:color w:val="auto"/>
              </w:rPr>
            </w:pPr>
          </w:p>
        </w:tc>
        <w:tc>
          <w:tcPr>
            <w:tcW w:w="70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c>
          <w:tcPr>
            <w:tcW w:w="9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780" w:right="100" w:hanging="126"/>
        <w:spacing w:after="0" w:line="219" w:lineRule="auto"/>
        <w:tabs>
          <w:tab w:leader="none" w:pos="780" w:val="left"/>
        </w:tabs>
        <w:numPr>
          <w:ilvl w:val="0"/>
          <w:numId w:val="36"/>
        </w:numPr>
        <w:rPr>
          <w:rFonts w:ascii="Arial" w:cs="Arial" w:eastAsia="Arial" w:hAnsi="Arial"/>
          <w:sz w:val="15"/>
          <w:szCs w:val="15"/>
          <w:color w:val="auto"/>
          <w:vertAlign w:val="superscript"/>
        </w:rPr>
      </w:pPr>
      <w:r>
        <w:rPr>
          <w:rFonts w:ascii="Arial" w:cs="Arial" w:eastAsia="Arial" w:hAnsi="Arial"/>
          <w:sz w:val="10"/>
          <w:szCs w:val="10"/>
          <w:color w:val="auto"/>
        </w:rPr>
        <w:t>Amounts reflect the base salary earned during the applicable year. For additional information, see “Analysis of 2022 Compensation — Base Salary” above. For Ms. House and Messrs. Bach and Bell, the 2022 amount includes salary increases, effective June 6, 2022, in the amounts of  $35,000, $75,000, and $25,000, respectively.</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36"/>
        </w:numPr>
        <w:rPr>
          <w:rFonts w:ascii="Arial" w:cs="Arial" w:eastAsia="Arial" w:hAnsi="Arial"/>
          <w:sz w:val="15"/>
          <w:szCs w:val="15"/>
          <w:color w:val="auto"/>
          <w:vertAlign w:val="superscript"/>
        </w:rPr>
      </w:pPr>
      <w:r>
        <w:rPr>
          <w:rFonts w:ascii="Arial" w:cs="Arial" w:eastAsia="Arial" w:hAnsi="Arial"/>
          <w:sz w:val="10"/>
          <w:szCs w:val="10"/>
          <w:color w:val="auto"/>
        </w:rPr>
        <w:t>This column reflects the aggregate grant date fair value computed in accordance with FASB ASC Topic 718.</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36"/>
        </w:numPr>
        <w:rPr>
          <w:rFonts w:ascii="Arial" w:cs="Arial" w:eastAsia="Arial" w:hAnsi="Arial"/>
          <w:sz w:val="15"/>
          <w:szCs w:val="15"/>
          <w:color w:val="auto"/>
          <w:vertAlign w:val="superscript"/>
        </w:rPr>
      </w:pPr>
      <w:r>
        <w:rPr>
          <w:rFonts w:ascii="Arial" w:cs="Arial" w:eastAsia="Arial" w:hAnsi="Arial"/>
          <w:sz w:val="10"/>
          <w:szCs w:val="10"/>
          <w:color w:val="auto"/>
        </w:rPr>
        <w:t>For 2022, reflects amounts earned under our annual cash incentive program.</w:t>
      </w:r>
    </w:p>
    <w:p>
      <w:pPr>
        <w:spacing w:after="0" w:line="74" w:lineRule="exact"/>
        <w:rPr>
          <w:rFonts w:ascii="Arial" w:cs="Arial" w:eastAsia="Arial" w:hAnsi="Arial"/>
          <w:sz w:val="15"/>
          <w:szCs w:val="15"/>
          <w:color w:val="auto"/>
          <w:vertAlign w:val="superscript"/>
        </w:rPr>
      </w:pPr>
    </w:p>
    <w:p>
      <w:pPr>
        <w:ind w:left="780" w:right="320" w:hanging="126"/>
        <w:spacing w:after="0" w:line="231" w:lineRule="auto"/>
        <w:tabs>
          <w:tab w:leader="none" w:pos="780" w:val="left"/>
        </w:tabs>
        <w:numPr>
          <w:ilvl w:val="0"/>
          <w:numId w:val="36"/>
        </w:numPr>
        <w:rPr>
          <w:rFonts w:ascii="Arial" w:cs="Arial" w:eastAsia="Arial" w:hAnsi="Arial"/>
          <w:sz w:val="15"/>
          <w:szCs w:val="15"/>
          <w:color w:val="auto"/>
          <w:vertAlign w:val="superscript"/>
        </w:rPr>
      </w:pPr>
      <w:r>
        <w:rPr>
          <w:rFonts w:ascii="Arial" w:cs="Arial" w:eastAsia="Arial" w:hAnsi="Arial"/>
          <w:sz w:val="10"/>
          <w:szCs w:val="10"/>
          <w:color w:val="auto"/>
        </w:rPr>
        <w:t>For 2022, the amount for Mr. Rawlinson includes reimbursement of tax advisory and preparation fees in the amount of  $20,000, (ii) executive disability insurance premiums in the amount of $650, and (iii) $780 in workplace communication reimbursement.</w:t>
      </w:r>
    </w:p>
    <w:p>
      <w:pPr>
        <w:spacing w:after="0" w:line="43"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36"/>
        </w:numPr>
        <w:rPr>
          <w:rFonts w:ascii="Arial" w:cs="Arial" w:eastAsia="Arial" w:hAnsi="Arial"/>
          <w:sz w:val="15"/>
          <w:szCs w:val="15"/>
          <w:color w:val="auto"/>
          <w:vertAlign w:val="superscript"/>
        </w:rPr>
      </w:pPr>
      <w:r>
        <w:rPr>
          <w:rFonts w:ascii="Arial" w:cs="Arial" w:eastAsia="Arial" w:hAnsi="Arial"/>
          <w:sz w:val="10"/>
          <w:szCs w:val="10"/>
          <w:color w:val="auto"/>
        </w:rPr>
        <w:t>The grant date fair value of Mr. Bach’s option award was erroneously reported as $515,052 in our 2022 proxy statement, due to a clerical error.</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55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Grants of Plan-Based Awards</w:t>
      </w:r>
    </w:p>
    <w:p>
      <w:pPr>
        <w:spacing w:after="0" w:line="39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1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174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Name</w:t>
            </w:r>
          </w:p>
        </w:tc>
        <w:tc>
          <w:tcPr>
            <w:tcW w:w="800" w:type="dxa"/>
            <w:vAlign w:val="bottom"/>
            <w:shd w:val="clear" w:color="auto" w:fill="000000"/>
          </w:tcPr>
          <w:p>
            <w:pPr>
              <w:jc w:val="right"/>
              <w:ind w:right="650"/>
              <w:spacing w:after="0"/>
              <w:rPr>
                <w:sz w:val="20"/>
                <w:szCs w:val="20"/>
                <w:color w:val="auto"/>
              </w:rPr>
            </w:pPr>
            <w:r>
              <w:rPr>
                <w:rFonts w:ascii="Arial" w:cs="Arial" w:eastAsia="Arial" w:hAnsi="Arial"/>
                <w:sz w:val="13"/>
                <w:szCs w:val="13"/>
                <w:b w:val="1"/>
                <w:bCs w:val="1"/>
                <w:color w:val="FEFEFE"/>
              </w:rPr>
              <w:t>​​</w:t>
            </w:r>
          </w:p>
        </w:tc>
        <w:tc>
          <w:tcPr>
            <w:tcW w:w="100" w:type="dxa"/>
            <w:vAlign w:val="bottom"/>
            <w:gridSpan w:val="2"/>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2160" w:type="dxa"/>
            <w:vAlign w:val="bottom"/>
            <w:gridSpan w:val="6"/>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w w:val="97"/>
              </w:rPr>
              <w:t>Estimated Possible Payouts Under</w:t>
            </w:r>
          </w:p>
        </w:tc>
        <w:tc>
          <w:tcPr>
            <w:tcW w:w="60" w:type="dxa"/>
            <w:vAlign w:val="bottom"/>
            <w:shd w:val="clear" w:color="auto" w:fill="000000"/>
          </w:tcPr>
          <w:p>
            <w:pPr>
              <w:spacing w:after="0"/>
              <w:rPr>
                <w:sz w:val="13"/>
                <w:szCs w:val="13"/>
                <w:color w:val="auto"/>
              </w:rPr>
            </w:pPr>
          </w:p>
        </w:tc>
        <w:tc>
          <w:tcPr>
            <w:tcW w:w="160" w:type="dxa"/>
            <w:vAlign w:val="bottom"/>
            <w:gridSpan w:val="2"/>
            <w:shd w:val="clear" w:color="auto" w:fill="000000"/>
          </w:tcPr>
          <w:p>
            <w:pPr>
              <w:jc w:val="right"/>
              <w:ind w:right="80"/>
              <w:spacing w:after="0"/>
              <w:rPr>
                <w:sz w:val="20"/>
                <w:szCs w:val="20"/>
                <w:color w:val="auto"/>
              </w:rPr>
            </w:pPr>
            <w:r>
              <w:rPr>
                <w:rFonts w:ascii="Arial" w:cs="Arial" w:eastAsia="Arial" w:hAnsi="Arial"/>
                <w:sz w:val="13"/>
                <w:szCs w:val="13"/>
                <w:b w:val="1"/>
                <w:bCs w:val="1"/>
                <w:color w:val="FEFEFE"/>
              </w:rPr>
              <w:t>​​</w:t>
            </w:r>
          </w:p>
        </w:tc>
        <w:tc>
          <w:tcPr>
            <w:tcW w:w="2100" w:type="dxa"/>
            <w:vAlign w:val="bottom"/>
            <w:gridSpan w:val="8"/>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Estimated Future Payouts Under</w:t>
            </w:r>
          </w:p>
        </w:tc>
        <w:tc>
          <w:tcPr>
            <w:tcW w:w="120" w:type="dxa"/>
            <w:vAlign w:val="bottom"/>
            <w:tcBorders>
              <w:right w:val="single" w:sz="8" w:color="auto"/>
            </w:tcBorders>
            <w:shd w:val="clear" w:color="auto" w:fill="000000"/>
          </w:tcPr>
          <w:p>
            <w:pPr>
              <w:spacing w:after="0"/>
              <w:rPr>
                <w:sz w:val="13"/>
                <w:szCs w:val="13"/>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3"/>
                <w:szCs w:val="13"/>
                <w:b w:val="1"/>
                <w:bCs w:val="1"/>
                <w:color w:val="FEFEFE"/>
              </w:rPr>
              <w:t>​​</w:t>
            </w:r>
          </w:p>
        </w:tc>
        <w:tc>
          <w:tcPr>
            <w:tcW w:w="640" w:type="dxa"/>
            <w:vAlign w:val="bottom"/>
            <w:vMerge w:val="restart"/>
          </w:tcPr>
          <w:p>
            <w:pPr>
              <w:jc w:val="center"/>
              <w:ind w:right="31"/>
              <w:spacing w:after="0"/>
              <w:rPr>
                <w:sz w:val="20"/>
                <w:szCs w:val="20"/>
                <w:color w:val="auto"/>
              </w:rPr>
            </w:pPr>
            <w:r>
              <w:rPr>
                <w:rFonts w:ascii="Arial" w:cs="Arial" w:eastAsia="Arial" w:hAnsi="Arial"/>
                <w:sz w:val="13"/>
                <w:szCs w:val="13"/>
                <w:b w:val="1"/>
                <w:bCs w:val="1"/>
                <w:color w:val="FEFEFE"/>
                <w:w w:val="98"/>
              </w:rPr>
              <w:t>All Other</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740" w:type="dxa"/>
            <w:vAlign w:val="bottom"/>
            <w:vMerge w:val="continue"/>
            <w:shd w:val="clear" w:color="auto" w:fill="000000"/>
          </w:tcPr>
          <w:p>
            <w:pPr>
              <w:spacing w:after="0"/>
              <w:rPr>
                <w:sz w:val="12"/>
                <w:szCs w:val="12"/>
                <w:color w:val="auto"/>
              </w:rPr>
            </w:pPr>
          </w:p>
        </w:tc>
        <w:tc>
          <w:tcPr>
            <w:tcW w:w="8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Grant Date</w:t>
            </w: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2160" w:type="dxa"/>
            <w:vAlign w:val="bottom"/>
            <w:gridSpan w:val="6"/>
            <w:vMerge w:val="continue"/>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2100" w:type="dxa"/>
            <w:vAlign w:val="bottom"/>
            <w:gridSpan w:val="8"/>
            <w:vMerge w:val="continue"/>
            <w:shd w:val="clear" w:color="auto" w:fill="000000"/>
          </w:tcPr>
          <w:p>
            <w:pPr>
              <w:spacing w:after="0"/>
              <w:rPr>
                <w:sz w:val="12"/>
                <w:szCs w:val="12"/>
                <w:color w:val="auto"/>
              </w:rPr>
            </w:pPr>
          </w:p>
        </w:tc>
        <w:tc>
          <w:tcPr>
            <w:tcW w:w="120" w:type="dxa"/>
            <w:vAlign w:val="bottom"/>
            <w:tcBorders>
              <w:right w:val="single" w:sz="8" w:color="auto"/>
            </w:tcBorders>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211"/>
              <w:spacing w:after="0"/>
              <w:rPr>
                <w:sz w:val="20"/>
                <w:szCs w:val="20"/>
                <w:color w:val="auto"/>
              </w:rPr>
            </w:pPr>
            <w:r>
              <w:rPr>
                <w:rFonts w:ascii="Arial" w:cs="Arial" w:eastAsia="Arial" w:hAnsi="Arial"/>
                <w:sz w:val="13"/>
                <w:szCs w:val="13"/>
                <w:b w:val="1"/>
                <w:bCs w:val="1"/>
                <w:color w:val="FEFEFE"/>
                <w:w w:val="99"/>
              </w:rPr>
              <w:t>Grant Date</w:t>
            </w:r>
          </w:p>
        </w:tc>
        <w:tc>
          <w:tcPr>
            <w:tcW w:w="0" w:type="dxa"/>
            <w:vAlign w:val="bottom"/>
          </w:tcPr>
          <w:p>
            <w:pPr>
              <w:spacing w:after="0"/>
              <w:rPr>
                <w:sz w:val="1"/>
                <w:szCs w:val="1"/>
                <w:color w:val="auto"/>
              </w:rPr>
            </w:pPr>
          </w:p>
        </w:tc>
      </w:tr>
      <w:tr>
        <w:trPr>
          <w:trHeight w:val="149"/>
        </w:trPr>
        <w:tc>
          <w:tcPr>
            <w:tcW w:w="6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740" w:type="dxa"/>
            <w:vAlign w:val="bottom"/>
            <w:shd w:val="clear" w:color="auto" w:fill="000000"/>
          </w:tcPr>
          <w:p>
            <w:pPr>
              <w:spacing w:after="0"/>
              <w:rPr>
                <w:sz w:val="12"/>
                <w:szCs w:val="12"/>
                <w:color w:val="auto"/>
              </w:rPr>
            </w:pPr>
          </w:p>
        </w:tc>
        <w:tc>
          <w:tcPr>
            <w:tcW w:w="80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2160" w:type="dxa"/>
            <w:vAlign w:val="bottom"/>
            <w:gridSpan w:val="6"/>
            <w:shd w:val="clear" w:color="auto" w:fill="000000"/>
          </w:tcPr>
          <w:p>
            <w:pPr>
              <w:ind w:left="60"/>
              <w:spacing w:after="0"/>
              <w:rPr>
                <w:sz w:val="20"/>
                <w:szCs w:val="20"/>
                <w:color w:val="auto"/>
              </w:rPr>
            </w:pPr>
            <w:r>
              <w:rPr>
                <w:rFonts w:ascii="Arial" w:cs="Arial" w:eastAsia="Arial" w:hAnsi="Arial"/>
                <w:sz w:val="13"/>
                <w:szCs w:val="13"/>
                <w:b w:val="1"/>
                <w:bCs w:val="1"/>
                <w:color w:val="FEFEFE"/>
                <w:w w:val="98"/>
              </w:rPr>
              <w:t>Non-Equity Incentive Plan Awards</w:t>
            </w:r>
          </w:p>
        </w:tc>
        <w:tc>
          <w:tcPr>
            <w:tcW w:w="6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2100" w:type="dxa"/>
            <w:vAlign w:val="bottom"/>
            <w:gridSpan w:val="8"/>
            <w:shd w:val="clear" w:color="auto" w:fill="000000"/>
          </w:tcPr>
          <w:p>
            <w:pPr>
              <w:ind w:left="160"/>
              <w:spacing w:after="0"/>
              <w:rPr>
                <w:sz w:val="20"/>
                <w:szCs w:val="20"/>
                <w:color w:val="auto"/>
              </w:rPr>
            </w:pPr>
            <w:r>
              <w:rPr>
                <w:rFonts w:ascii="Arial" w:cs="Arial" w:eastAsia="Arial" w:hAnsi="Arial"/>
                <w:sz w:val="13"/>
                <w:szCs w:val="13"/>
                <w:b w:val="1"/>
                <w:bCs w:val="1"/>
                <w:color w:val="FEFEFE"/>
              </w:rPr>
              <w:t>Equity Incentive Plan Awards</w:t>
            </w:r>
          </w:p>
        </w:tc>
        <w:tc>
          <w:tcPr>
            <w:tcW w:w="120" w:type="dxa"/>
            <w:vAlign w:val="bottom"/>
            <w:tcBorders>
              <w:right w:val="single" w:sz="8" w:color="auto"/>
            </w:tcBorders>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31"/>
              <w:spacing w:after="0"/>
              <w:rPr>
                <w:sz w:val="20"/>
                <w:szCs w:val="20"/>
                <w:color w:val="auto"/>
              </w:rPr>
            </w:pPr>
            <w:r>
              <w:rPr>
                <w:rFonts w:ascii="Arial" w:cs="Arial" w:eastAsia="Arial" w:hAnsi="Arial"/>
                <w:sz w:val="13"/>
                <w:szCs w:val="13"/>
                <w:b w:val="1"/>
                <w:bCs w:val="1"/>
                <w:color w:val="FEFEFE"/>
                <w:w w:val="95"/>
              </w:rPr>
              <w:t>Stock</w:t>
            </w:r>
          </w:p>
        </w:tc>
        <w:tc>
          <w:tcPr>
            <w:tcW w:w="1140" w:type="dxa"/>
            <w:vAlign w:val="bottom"/>
            <w:gridSpan w:val="2"/>
          </w:tcPr>
          <w:p>
            <w:pPr>
              <w:jc w:val="center"/>
              <w:ind w:right="11"/>
              <w:spacing w:after="0"/>
              <w:rPr>
                <w:sz w:val="20"/>
                <w:szCs w:val="20"/>
                <w:color w:val="auto"/>
              </w:rPr>
            </w:pPr>
            <w:r>
              <w:rPr>
                <w:rFonts w:ascii="Arial" w:cs="Arial" w:eastAsia="Arial" w:hAnsi="Arial"/>
                <w:sz w:val="13"/>
                <w:szCs w:val="13"/>
                <w:b w:val="1"/>
                <w:bCs w:val="1"/>
                <w:color w:val="FEFEFE"/>
                <w:w w:val="94"/>
              </w:rPr>
              <w:t>Fair Value of</w:t>
            </w:r>
          </w:p>
        </w:tc>
        <w:tc>
          <w:tcPr>
            <w:tcW w:w="0" w:type="dxa"/>
            <w:vAlign w:val="bottom"/>
          </w:tcPr>
          <w:p>
            <w:pPr>
              <w:spacing w:after="0"/>
              <w:rPr>
                <w:sz w:val="1"/>
                <w:szCs w:val="1"/>
                <w:color w:val="auto"/>
              </w:rPr>
            </w:pPr>
          </w:p>
        </w:tc>
      </w:tr>
      <w:tr>
        <w:trPr>
          <w:trHeight w:val="139"/>
        </w:trPr>
        <w:tc>
          <w:tcPr>
            <w:tcW w:w="60" w:type="dxa"/>
            <w:vAlign w:val="bottom"/>
            <w:tcBorders>
              <w:bottom w:val="single" w:sz="8" w:color="auto"/>
            </w:tcBorders>
            <w:shd w:val="clear" w:color="auto" w:fill="000000"/>
          </w:tcPr>
          <w:p>
            <w:pPr>
              <w:spacing w:after="0"/>
              <w:rPr>
                <w:sz w:val="12"/>
                <w:szCs w:val="12"/>
                <w:color w:val="auto"/>
              </w:rPr>
            </w:pPr>
          </w:p>
        </w:tc>
        <w:tc>
          <w:tcPr>
            <w:tcW w:w="100" w:type="dxa"/>
            <w:vAlign w:val="bottom"/>
            <w:tcBorders>
              <w:bottom w:val="single" w:sz="8" w:color="auto"/>
            </w:tcBorders>
            <w:shd w:val="clear" w:color="auto" w:fill="000000"/>
          </w:tcPr>
          <w:p>
            <w:pPr>
              <w:spacing w:after="0"/>
              <w:rPr>
                <w:sz w:val="12"/>
                <w:szCs w:val="12"/>
                <w:color w:val="auto"/>
              </w:rPr>
            </w:pPr>
          </w:p>
        </w:tc>
        <w:tc>
          <w:tcPr>
            <w:tcW w:w="1740" w:type="dxa"/>
            <w:vAlign w:val="bottom"/>
            <w:shd w:val="clear" w:color="auto" w:fill="000000"/>
          </w:tcPr>
          <w:p>
            <w:pPr>
              <w:spacing w:after="0"/>
              <w:rPr>
                <w:sz w:val="12"/>
                <w:szCs w:val="12"/>
                <w:color w:val="auto"/>
              </w:rPr>
            </w:pPr>
          </w:p>
        </w:tc>
        <w:tc>
          <w:tcPr>
            <w:tcW w:w="800" w:type="dxa"/>
            <w:vAlign w:val="bottom"/>
            <w:tcBorders>
              <w:bottom w:val="single" w:sz="8" w:color="auto"/>
            </w:tcBorders>
            <w:shd w:val="clear" w:color="auto" w:fill="000000"/>
          </w:tcPr>
          <w:p>
            <w:pPr>
              <w:spacing w:after="0"/>
              <w:rPr>
                <w:sz w:val="12"/>
                <w:szCs w:val="12"/>
                <w:color w:val="auto"/>
              </w:rPr>
            </w:pPr>
          </w:p>
        </w:tc>
        <w:tc>
          <w:tcPr>
            <w:tcW w:w="40" w:type="dxa"/>
            <w:vAlign w:val="bottom"/>
            <w:tcBorders>
              <w:bottom w:val="single" w:sz="8" w:color="auto"/>
            </w:tcBorders>
            <w:shd w:val="clear" w:color="auto" w:fill="000000"/>
          </w:tcPr>
          <w:p>
            <w:pPr>
              <w:spacing w:after="0"/>
              <w:rPr>
                <w:sz w:val="12"/>
                <w:szCs w:val="12"/>
                <w:color w:val="auto"/>
              </w:rPr>
            </w:pPr>
          </w:p>
        </w:tc>
        <w:tc>
          <w:tcPr>
            <w:tcW w:w="60" w:type="dxa"/>
            <w:vAlign w:val="bottom"/>
            <w:tcBorders>
              <w:bottom w:val="single" w:sz="8" w:color="FEFEFE"/>
            </w:tcBorders>
            <w:shd w:val="clear" w:color="auto" w:fill="000000"/>
          </w:tcPr>
          <w:p>
            <w:pPr>
              <w:spacing w:after="0"/>
              <w:rPr>
                <w:sz w:val="12"/>
                <w:szCs w:val="12"/>
                <w:color w:val="auto"/>
              </w:rPr>
            </w:pPr>
          </w:p>
        </w:tc>
        <w:tc>
          <w:tcPr>
            <w:tcW w:w="640" w:type="dxa"/>
            <w:vAlign w:val="bottom"/>
            <w:tcBorders>
              <w:bottom w:val="single" w:sz="8" w:color="FEFEFE"/>
            </w:tcBorders>
            <w:shd w:val="clear" w:color="auto" w:fill="000000"/>
          </w:tcPr>
          <w:p>
            <w:pPr>
              <w:spacing w:after="0"/>
              <w:rPr>
                <w:sz w:val="12"/>
                <w:szCs w:val="12"/>
                <w:color w:val="auto"/>
              </w:rPr>
            </w:pPr>
          </w:p>
        </w:tc>
        <w:tc>
          <w:tcPr>
            <w:tcW w:w="60" w:type="dxa"/>
            <w:vAlign w:val="bottom"/>
            <w:tcBorders>
              <w:bottom w:val="single" w:sz="8" w:color="FEFEFE"/>
            </w:tcBorders>
            <w:shd w:val="clear" w:color="auto" w:fill="000000"/>
          </w:tcPr>
          <w:p>
            <w:pPr>
              <w:spacing w:after="0"/>
              <w:rPr>
                <w:sz w:val="12"/>
                <w:szCs w:val="12"/>
                <w:color w:val="auto"/>
              </w:rPr>
            </w:pPr>
          </w:p>
        </w:tc>
        <w:tc>
          <w:tcPr>
            <w:tcW w:w="420" w:type="dxa"/>
            <w:vAlign w:val="bottom"/>
            <w:tcBorders>
              <w:bottom w:val="single" w:sz="8" w:color="FEFEFE"/>
            </w:tcBorders>
            <w:shd w:val="clear" w:color="auto" w:fill="000000"/>
          </w:tcPr>
          <w:p>
            <w:pPr>
              <w:spacing w:after="0"/>
              <w:rPr>
                <w:sz w:val="12"/>
                <w:szCs w:val="12"/>
                <w:color w:val="auto"/>
              </w:rPr>
            </w:pPr>
          </w:p>
        </w:tc>
        <w:tc>
          <w:tcPr>
            <w:tcW w:w="380" w:type="dxa"/>
            <w:vAlign w:val="bottom"/>
            <w:tcBorders>
              <w:bottom w:val="single" w:sz="8" w:color="FEFEFE"/>
            </w:tcBorders>
            <w:shd w:val="clear" w:color="auto" w:fill="000000"/>
          </w:tcPr>
          <w:p>
            <w:pPr>
              <w:spacing w:after="0"/>
              <w:rPr>
                <w:sz w:val="12"/>
                <w:szCs w:val="12"/>
                <w:color w:val="auto"/>
              </w:rPr>
            </w:pPr>
          </w:p>
        </w:tc>
        <w:tc>
          <w:tcPr>
            <w:tcW w:w="600" w:type="dxa"/>
            <w:vAlign w:val="bottom"/>
            <w:tcBorders>
              <w:bottom w:val="single" w:sz="8" w:color="FEFEFE"/>
            </w:tcBorders>
            <w:shd w:val="clear" w:color="auto" w:fill="000000"/>
          </w:tcPr>
          <w:p>
            <w:pPr>
              <w:spacing w:after="0"/>
              <w:rPr>
                <w:sz w:val="12"/>
                <w:szCs w:val="12"/>
                <w:color w:val="auto"/>
              </w:rPr>
            </w:pPr>
          </w:p>
        </w:tc>
        <w:tc>
          <w:tcPr>
            <w:tcW w:w="60" w:type="dxa"/>
            <w:vAlign w:val="bottom"/>
            <w:tcBorders>
              <w:bottom w:val="single" w:sz="8" w:color="FEFEFE"/>
            </w:tcBorders>
            <w:shd w:val="clear" w:color="auto" w:fill="000000"/>
          </w:tcPr>
          <w:p>
            <w:pPr>
              <w:spacing w:after="0"/>
              <w:rPr>
                <w:sz w:val="12"/>
                <w:szCs w:val="12"/>
                <w:color w:val="auto"/>
              </w:rPr>
            </w:pPr>
          </w:p>
        </w:tc>
        <w:tc>
          <w:tcPr>
            <w:tcW w:w="60" w:type="dxa"/>
            <w:vAlign w:val="bottom"/>
            <w:tcBorders>
              <w:bottom w:val="single" w:sz="8" w:color="FEFEFE"/>
            </w:tcBorders>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120" w:type="dxa"/>
            <w:vAlign w:val="bottom"/>
            <w:tcBorders>
              <w:bottom w:val="single" w:sz="8" w:color="FEFEFE"/>
            </w:tcBorders>
            <w:shd w:val="clear" w:color="auto" w:fill="000000"/>
          </w:tcPr>
          <w:p>
            <w:pPr>
              <w:spacing w:after="0"/>
              <w:rPr>
                <w:sz w:val="12"/>
                <w:szCs w:val="12"/>
                <w:color w:val="auto"/>
              </w:rPr>
            </w:pPr>
          </w:p>
        </w:tc>
        <w:tc>
          <w:tcPr>
            <w:tcW w:w="360" w:type="dxa"/>
            <w:vAlign w:val="bottom"/>
            <w:tcBorders>
              <w:bottom w:val="single" w:sz="8" w:color="FEFEFE"/>
            </w:tcBorders>
            <w:shd w:val="clear" w:color="auto" w:fill="000000"/>
          </w:tcPr>
          <w:p>
            <w:pPr>
              <w:spacing w:after="0"/>
              <w:rPr>
                <w:sz w:val="12"/>
                <w:szCs w:val="12"/>
                <w:color w:val="auto"/>
              </w:rPr>
            </w:pPr>
          </w:p>
        </w:tc>
        <w:tc>
          <w:tcPr>
            <w:tcW w:w="180" w:type="dxa"/>
            <w:vAlign w:val="bottom"/>
            <w:tcBorders>
              <w:bottom w:val="single" w:sz="8" w:color="FEFEFE"/>
            </w:tcBorders>
            <w:shd w:val="clear" w:color="auto" w:fill="000000"/>
          </w:tcPr>
          <w:p>
            <w:pPr>
              <w:spacing w:after="0"/>
              <w:rPr>
                <w:sz w:val="12"/>
                <w:szCs w:val="12"/>
                <w:color w:val="auto"/>
              </w:rPr>
            </w:pPr>
          </w:p>
        </w:tc>
        <w:tc>
          <w:tcPr>
            <w:tcW w:w="340" w:type="dxa"/>
            <w:vAlign w:val="bottom"/>
            <w:tcBorders>
              <w:bottom w:val="single" w:sz="8" w:color="FEFEFE"/>
            </w:tcBorders>
            <w:shd w:val="clear" w:color="auto" w:fill="000000"/>
          </w:tcPr>
          <w:p>
            <w:pPr>
              <w:spacing w:after="0"/>
              <w:rPr>
                <w:sz w:val="12"/>
                <w:szCs w:val="12"/>
                <w:color w:val="auto"/>
              </w:rPr>
            </w:pPr>
          </w:p>
        </w:tc>
        <w:tc>
          <w:tcPr>
            <w:tcW w:w="240" w:type="dxa"/>
            <w:vAlign w:val="bottom"/>
            <w:tcBorders>
              <w:bottom w:val="single" w:sz="8" w:color="FEFEFE"/>
            </w:tcBorders>
            <w:shd w:val="clear" w:color="auto" w:fill="000000"/>
          </w:tcPr>
          <w:p>
            <w:pPr>
              <w:spacing w:after="0"/>
              <w:rPr>
                <w:sz w:val="12"/>
                <w:szCs w:val="12"/>
                <w:color w:val="auto"/>
              </w:rPr>
            </w:pPr>
          </w:p>
        </w:tc>
        <w:tc>
          <w:tcPr>
            <w:tcW w:w="200" w:type="dxa"/>
            <w:vAlign w:val="bottom"/>
            <w:tcBorders>
              <w:bottom w:val="single" w:sz="8" w:color="FEFEFE"/>
            </w:tcBorders>
            <w:shd w:val="clear" w:color="auto" w:fill="000000"/>
          </w:tcPr>
          <w:p>
            <w:pPr>
              <w:spacing w:after="0"/>
              <w:rPr>
                <w:sz w:val="12"/>
                <w:szCs w:val="12"/>
                <w:color w:val="auto"/>
              </w:rPr>
            </w:pPr>
          </w:p>
        </w:tc>
        <w:tc>
          <w:tcPr>
            <w:tcW w:w="80" w:type="dxa"/>
            <w:vAlign w:val="bottom"/>
            <w:tcBorders>
              <w:bottom w:val="single" w:sz="8" w:color="FEFEFE"/>
            </w:tcBorders>
            <w:shd w:val="clear" w:color="auto" w:fill="000000"/>
          </w:tcPr>
          <w:p>
            <w:pPr>
              <w:spacing w:after="0"/>
              <w:rPr>
                <w:sz w:val="12"/>
                <w:szCs w:val="12"/>
                <w:color w:val="auto"/>
              </w:rPr>
            </w:pPr>
          </w:p>
        </w:tc>
        <w:tc>
          <w:tcPr>
            <w:tcW w:w="460" w:type="dxa"/>
            <w:vAlign w:val="bottom"/>
            <w:tcBorders>
              <w:bottom w:val="single" w:sz="8" w:color="FEFEFE"/>
            </w:tcBorders>
            <w:shd w:val="clear" w:color="auto" w:fill="000000"/>
          </w:tcPr>
          <w:p>
            <w:pPr>
              <w:spacing w:after="0"/>
              <w:rPr>
                <w:sz w:val="12"/>
                <w:szCs w:val="12"/>
                <w:color w:val="auto"/>
              </w:rPr>
            </w:pPr>
          </w:p>
        </w:tc>
        <w:tc>
          <w:tcPr>
            <w:tcW w:w="240" w:type="dxa"/>
            <w:vAlign w:val="bottom"/>
            <w:tcBorders>
              <w:bottom w:val="single" w:sz="8" w:color="FEFEFE"/>
            </w:tcBorders>
            <w:shd w:val="clear" w:color="auto" w:fill="000000"/>
          </w:tcPr>
          <w:p>
            <w:pPr>
              <w:spacing w:after="0"/>
              <w:rPr>
                <w:sz w:val="12"/>
                <w:szCs w:val="12"/>
                <w:color w:val="auto"/>
              </w:rPr>
            </w:pPr>
          </w:p>
        </w:tc>
        <w:tc>
          <w:tcPr>
            <w:tcW w:w="120" w:type="dxa"/>
            <w:vAlign w:val="bottom"/>
            <w:tcBorders>
              <w:bottom w:val="single" w:sz="8" w:color="FEFEFE"/>
              <w:right w:val="single" w:sz="8" w:color="auto"/>
            </w:tcBorders>
            <w:shd w:val="clear" w:color="auto" w:fill="000000"/>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31"/>
              <w:spacing w:after="0" w:line="139" w:lineRule="exact"/>
              <w:rPr>
                <w:sz w:val="20"/>
                <w:szCs w:val="20"/>
                <w:color w:val="auto"/>
              </w:rPr>
            </w:pPr>
            <w:r>
              <w:rPr>
                <w:rFonts w:ascii="Arial" w:cs="Arial" w:eastAsia="Arial" w:hAnsi="Arial"/>
                <w:sz w:val="13"/>
                <w:szCs w:val="13"/>
                <w:b w:val="1"/>
                <w:bCs w:val="1"/>
                <w:color w:val="FEFEFE"/>
                <w:w w:val="97"/>
              </w:rPr>
              <w:t>Awards</w:t>
            </w:r>
          </w:p>
        </w:tc>
        <w:tc>
          <w:tcPr>
            <w:tcW w:w="200" w:type="dxa"/>
            <w:vAlign w:val="bottom"/>
          </w:tcPr>
          <w:p>
            <w:pPr>
              <w:spacing w:after="0"/>
              <w:rPr>
                <w:sz w:val="12"/>
                <w:szCs w:val="12"/>
                <w:color w:val="auto"/>
              </w:rPr>
            </w:pPr>
          </w:p>
        </w:tc>
        <w:tc>
          <w:tcPr>
            <w:tcW w:w="940" w:type="dxa"/>
            <w:vAlign w:val="bottom"/>
          </w:tcPr>
          <w:p>
            <w:pPr>
              <w:jc w:val="center"/>
              <w:ind w:right="211"/>
              <w:spacing w:after="0" w:line="139" w:lineRule="exact"/>
              <w:rPr>
                <w:sz w:val="20"/>
                <w:szCs w:val="20"/>
                <w:color w:val="auto"/>
              </w:rPr>
            </w:pPr>
            <w:r>
              <w:rPr>
                <w:rFonts w:ascii="Arial" w:cs="Arial" w:eastAsia="Arial" w:hAnsi="Arial"/>
                <w:sz w:val="13"/>
                <w:szCs w:val="13"/>
                <w:b w:val="1"/>
                <w:bCs w:val="1"/>
                <w:color w:val="FEFEFE"/>
                <w:w w:val="99"/>
              </w:rPr>
              <w:t>Stock and</w:t>
            </w:r>
          </w:p>
        </w:tc>
        <w:tc>
          <w:tcPr>
            <w:tcW w:w="0" w:type="dxa"/>
            <w:vAlign w:val="bottom"/>
          </w:tcPr>
          <w:p>
            <w:pPr>
              <w:spacing w:after="0"/>
              <w:rPr>
                <w:sz w:val="1"/>
                <w:szCs w:val="1"/>
                <w:color w:val="auto"/>
              </w:rPr>
            </w:pPr>
          </w:p>
        </w:tc>
      </w:tr>
      <w:tr>
        <w:trPr>
          <w:trHeight w:val="111"/>
        </w:trPr>
        <w:tc>
          <w:tcPr>
            <w:tcW w:w="60" w:type="dxa"/>
            <w:vAlign w:val="bottom"/>
            <w:shd w:val="clear" w:color="auto" w:fill="000000"/>
          </w:tcPr>
          <w:p>
            <w:pPr>
              <w:spacing w:after="0"/>
              <w:rPr>
                <w:sz w:val="9"/>
                <w:szCs w:val="9"/>
                <w:color w:val="auto"/>
              </w:rPr>
            </w:pPr>
          </w:p>
        </w:tc>
        <w:tc>
          <w:tcPr>
            <w:tcW w:w="100" w:type="dxa"/>
            <w:vAlign w:val="bottom"/>
            <w:shd w:val="clear" w:color="auto" w:fill="000000"/>
          </w:tcPr>
          <w:p>
            <w:pPr>
              <w:ind w:left="20"/>
              <w:spacing w:after="0" w:line="111" w:lineRule="exact"/>
              <w:rPr>
                <w:sz w:val="20"/>
                <w:szCs w:val="20"/>
                <w:color w:val="auto"/>
              </w:rPr>
            </w:pPr>
            <w:r>
              <w:rPr>
                <w:rFonts w:ascii="Arial" w:cs="Arial" w:eastAsia="Arial" w:hAnsi="Arial"/>
                <w:sz w:val="12"/>
                <w:szCs w:val="12"/>
                <w:b w:val="1"/>
                <w:bCs w:val="1"/>
                <w:color w:val="FEFEFE"/>
              </w:rPr>
              <w:t>​</w:t>
            </w:r>
          </w:p>
        </w:tc>
        <w:tc>
          <w:tcPr>
            <w:tcW w:w="1740" w:type="dxa"/>
            <w:vAlign w:val="bottom"/>
          </w:tcPr>
          <w:p>
            <w:pPr>
              <w:spacing w:after="0" w:line="111" w:lineRule="exact"/>
              <w:rPr>
                <w:sz w:val="20"/>
                <w:szCs w:val="20"/>
                <w:color w:val="auto"/>
              </w:rPr>
            </w:pPr>
            <w:r>
              <w:rPr>
                <w:rFonts w:ascii="Arial" w:cs="Arial" w:eastAsia="Arial" w:hAnsi="Arial"/>
                <w:sz w:val="12"/>
                <w:szCs w:val="12"/>
                <w:b w:val="1"/>
                <w:bCs w:val="1"/>
                <w:color w:val="FEFEFE"/>
              </w:rPr>
              <w:t>​</w:t>
            </w:r>
          </w:p>
        </w:tc>
        <w:tc>
          <w:tcPr>
            <w:tcW w:w="800" w:type="dxa"/>
            <w:vAlign w:val="bottom"/>
          </w:tcPr>
          <w:p>
            <w:pPr>
              <w:jc w:val="right"/>
              <w:ind w:right="630"/>
              <w:spacing w:after="0" w:line="111" w:lineRule="exact"/>
              <w:rPr>
                <w:sz w:val="20"/>
                <w:szCs w:val="20"/>
                <w:color w:val="auto"/>
              </w:rPr>
            </w:pPr>
            <w:r>
              <w:rPr>
                <w:rFonts w:ascii="Arial" w:cs="Arial" w:eastAsia="Arial" w:hAnsi="Arial"/>
                <w:sz w:val="12"/>
                <w:szCs w:val="12"/>
                <w:b w:val="1"/>
                <w:bCs w:val="1"/>
                <w:color w:val="FEFEFE"/>
              </w:rPr>
              <w:t>​​​</w:t>
            </w:r>
          </w:p>
        </w:tc>
        <w:tc>
          <w:tcPr>
            <w:tcW w:w="100" w:type="dxa"/>
            <w:vAlign w:val="bottom"/>
            <w:gridSpan w:val="2"/>
          </w:tcPr>
          <w:p>
            <w:pPr>
              <w:jc w:val="right"/>
              <w:spacing w:after="0" w:line="111" w:lineRule="exact"/>
              <w:rPr>
                <w:sz w:val="20"/>
                <w:szCs w:val="20"/>
                <w:color w:val="auto"/>
              </w:rPr>
            </w:pPr>
            <w:r>
              <w:rPr>
                <w:rFonts w:ascii="Arial" w:cs="Arial" w:eastAsia="Arial" w:hAnsi="Arial"/>
                <w:sz w:val="12"/>
                <w:szCs w:val="12"/>
                <w:b w:val="1"/>
                <w:bCs w:val="1"/>
                <w:color w:val="FEFEFE"/>
              </w:rPr>
              <w:t>​​​</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jc w:val="right"/>
              <w:ind w:right="209"/>
              <w:spacing w:after="0" w:line="111" w:lineRule="exact"/>
              <w:rPr>
                <w:sz w:val="20"/>
                <w:szCs w:val="20"/>
                <w:color w:val="auto"/>
              </w:rPr>
            </w:pPr>
            <w:r>
              <w:rPr>
                <w:rFonts w:ascii="Arial" w:cs="Arial" w:eastAsia="Arial" w:hAnsi="Arial"/>
                <w:sz w:val="12"/>
                <w:szCs w:val="12"/>
                <w:b w:val="1"/>
                <w:bCs w:val="1"/>
                <w:color w:val="FEFEFE"/>
              </w:rPr>
              <w:t>​​</w:t>
            </w:r>
          </w:p>
        </w:tc>
        <w:tc>
          <w:tcPr>
            <w:tcW w:w="380" w:type="dxa"/>
            <w:vAlign w:val="bottom"/>
          </w:tcPr>
          <w:p>
            <w:pPr>
              <w:jc w:val="right"/>
              <w:spacing w:after="0" w:line="111" w:lineRule="exact"/>
              <w:rPr>
                <w:sz w:val="20"/>
                <w:szCs w:val="20"/>
                <w:color w:val="auto"/>
              </w:rPr>
            </w:pPr>
            <w:r>
              <w:rPr>
                <w:rFonts w:ascii="Arial" w:cs="Arial" w:eastAsia="Arial" w:hAnsi="Arial"/>
                <w:sz w:val="12"/>
                <w:szCs w:val="12"/>
                <w:b w:val="1"/>
                <w:bCs w:val="1"/>
                <w:color w:val="FEFEFE"/>
              </w:rPr>
              <w:t>​​</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gridSpan w:val="2"/>
          </w:tcPr>
          <w:p>
            <w:pPr>
              <w:jc w:val="right"/>
              <w:ind w:right="80"/>
              <w:spacing w:after="0" w:line="111" w:lineRule="exact"/>
              <w:rPr>
                <w:sz w:val="20"/>
                <w:szCs w:val="20"/>
                <w:color w:val="auto"/>
              </w:rPr>
            </w:pPr>
            <w:r>
              <w:rPr>
                <w:rFonts w:ascii="Arial" w:cs="Arial" w:eastAsia="Arial" w:hAnsi="Arial"/>
                <w:sz w:val="12"/>
                <w:szCs w:val="12"/>
                <w:b w:val="1"/>
                <w:bCs w:val="1"/>
                <w:color w:val="FEFEFE"/>
              </w:rPr>
              <w:t>​​</w:t>
            </w: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jc w:val="right"/>
              <w:ind w:right="29"/>
              <w:spacing w:after="0" w:line="111" w:lineRule="exact"/>
              <w:rPr>
                <w:sz w:val="20"/>
                <w:szCs w:val="20"/>
                <w:color w:val="auto"/>
              </w:rPr>
            </w:pPr>
            <w:r>
              <w:rPr>
                <w:rFonts w:ascii="Arial" w:cs="Arial" w:eastAsia="Arial" w:hAnsi="Arial"/>
                <w:sz w:val="12"/>
                <w:szCs w:val="12"/>
                <w:b w:val="1"/>
                <w:bCs w:val="1"/>
                <w:color w:val="FEFEFE"/>
              </w:rPr>
              <w:t>​​</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jc w:val="right"/>
              <w:spacing w:after="0" w:line="111" w:lineRule="exact"/>
              <w:rPr>
                <w:sz w:val="20"/>
                <w:szCs w:val="20"/>
                <w:color w:val="auto"/>
              </w:rPr>
            </w:pPr>
            <w:r>
              <w:rPr>
                <w:rFonts w:ascii="Arial" w:cs="Arial" w:eastAsia="Arial" w:hAnsi="Arial"/>
                <w:sz w:val="12"/>
                <w:szCs w:val="12"/>
                <w:b w:val="1"/>
                <w:bCs w:val="1"/>
                <w:color w:val="FEFEFE"/>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FEFEFE"/>
                <w:w w:val="4294942296"/>
              </w:rPr>
              <w:t>​</w:t>
            </w:r>
          </w:p>
        </w:tc>
        <w:tc>
          <w:tcPr>
            <w:tcW w:w="800" w:type="dxa"/>
            <w:vAlign w:val="bottom"/>
            <w:gridSpan w:val="2"/>
          </w:tcPr>
          <w:p>
            <w:pPr>
              <w:jc w:val="right"/>
              <w:spacing w:after="0" w:line="111" w:lineRule="exact"/>
              <w:rPr>
                <w:sz w:val="20"/>
                <w:szCs w:val="20"/>
                <w:color w:val="auto"/>
              </w:rPr>
            </w:pPr>
            <w:r>
              <w:rPr>
                <w:rFonts w:ascii="Arial" w:cs="Arial" w:eastAsia="Arial" w:hAnsi="Arial"/>
                <w:sz w:val="12"/>
                <w:szCs w:val="12"/>
                <w:b w:val="1"/>
                <w:bCs w:val="1"/>
                <w:color w:val="FEFEFE"/>
              </w:rPr>
              <w:t>Number of</w:t>
            </w:r>
          </w:p>
        </w:tc>
        <w:tc>
          <w:tcPr>
            <w:tcW w:w="200" w:type="dxa"/>
            <w:vAlign w:val="bottom"/>
          </w:tcPr>
          <w:p>
            <w:pPr>
              <w:spacing w:after="0"/>
              <w:rPr>
                <w:sz w:val="9"/>
                <w:szCs w:val="9"/>
                <w:color w:val="auto"/>
              </w:rPr>
            </w:pPr>
          </w:p>
        </w:tc>
        <w:tc>
          <w:tcPr>
            <w:tcW w:w="940" w:type="dxa"/>
            <w:vAlign w:val="bottom"/>
          </w:tcPr>
          <w:p>
            <w:pPr>
              <w:jc w:val="center"/>
              <w:ind w:right="211"/>
              <w:spacing w:after="0" w:line="111" w:lineRule="exact"/>
              <w:rPr>
                <w:sz w:val="20"/>
                <w:szCs w:val="20"/>
                <w:color w:val="auto"/>
              </w:rPr>
            </w:pPr>
            <w:r>
              <w:rPr>
                <w:rFonts w:ascii="Arial" w:cs="Arial" w:eastAsia="Arial" w:hAnsi="Arial"/>
                <w:sz w:val="12"/>
                <w:szCs w:val="12"/>
                <w:b w:val="1"/>
                <w:bCs w:val="1"/>
                <w:color w:val="FEFEFE"/>
              </w:rPr>
              <w:t>Option</w:t>
            </w:r>
          </w:p>
        </w:tc>
        <w:tc>
          <w:tcPr>
            <w:tcW w:w="0" w:type="dxa"/>
            <w:vAlign w:val="bottom"/>
          </w:tcPr>
          <w:p>
            <w:pPr>
              <w:spacing w:after="0"/>
              <w:rPr>
                <w:sz w:val="1"/>
                <w:szCs w:val="1"/>
                <w:color w:val="auto"/>
              </w:rPr>
            </w:pPr>
          </w:p>
        </w:tc>
      </w:tr>
      <w:tr>
        <w:trPr>
          <w:trHeight w:val="153"/>
        </w:trPr>
        <w:tc>
          <w:tcPr>
            <w:tcW w:w="60" w:type="dxa"/>
            <w:vAlign w:val="bottom"/>
            <w:shd w:val="clear" w:color="auto" w:fill="000000"/>
          </w:tcPr>
          <w:p>
            <w:pPr>
              <w:spacing w:after="0"/>
              <w:rPr>
                <w:sz w:val="13"/>
                <w:szCs w:val="13"/>
                <w:color w:val="auto"/>
              </w:rPr>
            </w:pPr>
          </w:p>
        </w:tc>
        <w:tc>
          <w:tcPr>
            <w:tcW w:w="100" w:type="dxa"/>
            <w:vAlign w:val="bottom"/>
            <w:shd w:val="clear" w:color="auto" w:fill="000000"/>
          </w:tcPr>
          <w:p>
            <w:pPr>
              <w:spacing w:after="0"/>
              <w:rPr>
                <w:sz w:val="13"/>
                <w:szCs w:val="13"/>
                <w:color w:val="auto"/>
              </w:rPr>
            </w:pPr>
          </w:p>
        </w:tc>
        <w:tc>
          <w:tcPr>
            <w:tcW w:w="1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60" w:type="dxa"/>
            <w:vAlign w:val="bottom"/>
            <w:gridSpan w:val="15"/>
          </w:tcPr>
          <w:p>
            <w:pPr>
              <w:ind w:left="20"/>
              <w:spacing w:after="0"/>
              <w:rPr>
                <w:sz w:val="20"/>
                <w:szCs w:val="20"/>
                <w:color w:val="auto"/>
              </w:rPr>
            </w:pPr>
            <w:r>
              <w:rPr>
                <w:rFonts w:ascii="Arial" w:cs="Arial" w:eastAsia="Arial" w:hAnsi="Arial"/>
                <w:sz w:val="13"/>
                <w:szCs w:val="13"/>
                <w:b w:val="1"/>
                <w:bCs w:val="1"/>
                <w:color w:val="FEFEFE"/>
                <w:w w:val="98"/>
              </w:rPr>
              <w:t>Threshold ($) Target ($) Maximum ($) Threshold (#) Target (#)</w:t>
            </w:r>
          </w:p>
        </w:tc>
        <w:tc>
          <w:tcPr>
            <w:tcW w:w="80" w:type="dxa"/>
            <w:vAlign w:val="bottom"/>
          </w:tcPr>
          <w:p>
            <w:pPr>
              <w:spacing w:after="0"/>
              <w:rPr>
                <w:sz w:val="13"/>
                <w:szCs w:val="13"/>
                <w:color w:val="auto"/>
              </w:rPr>
            </w:pPr>
          </w:p>
        </w:tc>
        <w:tc>
          <w:tcPr>
            <w:tcW w:w="860" w:type="dxa"/>
            <w:vAlign w:val="bottom"/>
            <w:gridSpan w:val="4"/>
          </w:tcPr>
          <w:p>
            <w:pPr>
              <w:jc w:val="right"/>
              <w:ind w:right="46"/>
              <w:spacing w:after="0"/>
              <w:rPr>
                <w:sz w:val="20"/>
                <w:szCs w:val="20"/>
                <w:color w:val="auto"/>
              </w:rPr>
            </w:pPr>
            <w:r>
              <w:rPr>
                <w:rFonts w:ascii="Arial" w:cs="Arial" w:eastAsia="Arial" w:hAnsi="Arial"/>
                <w:sz w:val="13"/>
                <w:szCs w:val="13"/>
                <w:b w:val="1"/>
                <w:bCs w:val="1"/>
                <w:color w:val="FEFEFE"/>
                <w:w w:val="95"/>
              </w:rPr>
              <w:t>Maximum (#)</w:t>
            </w: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FEFEFE"/>
                <w:w w:val="97"/>
              </w:rPr>
              <w:t>Shares of</w:t>
            </w:r>
          </w:p>
        </w:tc>
        <w:tc>
          <w:tcPr>
            <w:tcW w:w="200" w:type="dxa"/>
            <w:vAlign w:val="bottom"/>
          </w:tcPr>
          <w:p>
            <w:pPr>
              <w:spacing w:after="0"/>
              <w:rPr>
                <w:sz w:val="13"/>
                <w:szCs w:val="13"/>
                <w:color w:val="auto"/>
              </w:rPr>
            </w:pPr>
          </w:p>
        </w:tc>
        <w:tc>
          <w:tcPr>
            <w:tcW w:w="940" w:type="dxa"/>
            <w:vAlign w:val="bottom"/>
          </w:tcPr>
          <w:p>
            <w:pPr>
              <w:jc w:val="center"/>
              <w:ind w:right="211"/>
              <w:spacing w:after="0"/>
              <w:rPr>
                <w:sz w:val="20"/>
                <w:szCs w:val="20"/>
                <w:color w:val="auto"/>
              </w:rPr>
            </w:pPr>
            <w:r>
              <w:rPr>
                <w:rFonts w:ascii="Arial" w:cs="Arial" w:eastAsia="Arial" w:hAnsi="Arial"/>
                <w:sz w:val="13"/>
                <w:szCs w:val="13"/>
                <w:b w:val="1"/>
                <w:bCs w:val="1"/>
                <w:color w:val="FEFEFE"/>
                <w:w w:val="97"/>
              </w:rPr>
              <w:t>Awards</w:t>
            </w:r>
          </w:p>
        </w:tc>
        <w:tc>
          <w:tcPr>
            <w:tcW w:w="0" w:type="dxa"/>
            <w:vAlign w:val="bottom"/>
          </w:tcPr>
          <w:p>
            <w:pPr>
              <w:spacing w:after="0"/>
              <w:rPr>
                <w:sz w:val="1"/>
                <w:szCs w:val="1"/>
                <w:color w:val="auto"/>
              </w:rPr>
            </w:pPr>
          </w:p>
        </w:tc>
      </w:tr>
      <w:tr>
        <w:trPr>
          <w:trHeight w:val="144"/>
        </w:trPr>
        <w:tc>
          <w:tcPr>
            <w:tcW w:w="6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69"/>
              <w:spacing w:after="0" w:line="144" w:lineRule="exact"/>
              <w:rPr>
                <w:sz w:val="20"/>
                <w:szCs w:val="20"/>
                <w:color w:val="auto"/>
              </w:rPr>
            </w:pPr>
            <w:r>
              <w:rPr>
                <w:rFonts w:ascii="Arial" w:cs="Arial" w:eastAsia="Arial" w:hAnsi="Arial"/>
                <w:sz w:val="13"/>
                <w:szCs w:val="13"/>
                <w:b w:val="1"/>
                <w:bCs w:val="1"/>
                <w:color w:val="FEFEFE"/>
                <w:w w:val="97"/>
              </w:rPr>
              <w:t>Stock or Units</w:t>
            </w:r>
          </w:p>
        </w:tc>
        <w:tc>
          <w:tcPr>
            <w:tcW w:w="940" w:type="dxa"/>
            <w:vAlign w:val="bottom"/>
          </w:tcPr>
          <w:p>
            <w:pPr>
              <w:jc w:val="center"/>
              <w:ind w:right="211"/>
              <w:spacing w:after="0" w:line="145" w:lineRule="exact"/>
              <w:rPr>
                <w:sz w:val="20"/>
                <w:szCs w:val="20"/>
                <w:color w:val="auto"/>
              </w:rPr>
            </w:pPr>
            <w:r>
              <w:rPr>
                <w:rFonts w:ascii="Arial" w:cs="Arial" w:eastAsia="Arial" w:hAnsi="Arial"/>
                <w:sz w:val="13"/>
                <w:szCs w:val="13"/>
                <w:b w:val="1"/>
                <w:bCs w:val="1"/>
                <w:color w:val="FEFEFE"/>
                <w:w w:val="89"/>
              </w:rPr>
              <w:t>($)</w:t>
            </w:r>
            <w:r>
              <w:rPr>
                <w:rFonts w:ascii="Arial" w:cs="Arial" w:eastAsia="Arial" w:hAnsi="Arial"/>
                <w:sz w:val="16"/>
                <w:szCs w:val="16"/>
                <w:b w:val="1"/>
                <w:bCs w:val="1"/>
                <w:color w:val="FEFEFE"/>
                <w:w w:val="89"/>
                <w:vertAlign w:val="superscript"/>
              </w:rPr>
              <w:t>(2)</w:t>
            </w: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31"/>
              <w:spacing w:after="0"/>
              <w:rPr>
                <w:sz w:val="20"/>
                <w:szCs w:val="20"/>
                <w:color w:val="auto"/>
              </w:rPr>
            </w:pPr>
            <w:r>
              <w:rPr>
                <w:rFonts w:ascii="Arial" w:cs="Arial" w:eastAsia="Arial" w:hAnsi="Arial"/>
                <w:sz w:val="13"/>
                <w:szCs w:val="13"/>
                <w:b w:val="1"/>
                <w:bCs w:val="1"/>
                <w:color w:val="FEFEFE"/>
                <w:w w:val="87"/>
              </w:rPr>
              <w: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Peter Rawlinson</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vMerge w:val="continue"/>
          </w:tcPr>
          <w:p>
            <w:pPr>
              <w:spacing w:after="0"/>
              <w:rPr>
                <w:sz w:val="24"/>
                <w:szCs w:val="24"/>
                <w:color w:val="auto"/>
              </w:rPr>
            </w:pPr>
          </w:p>
        </w:tc>
        <w:tc>
          <w:tcPr>
            <w:tcW w:w="80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8"/>
        </w:trPr>
        <w:tc>
          <w:tcPr>
            <w:tcW w:w="60" w:type="dxa"/>
            <w:vAlign w:val="bottom"/>
            <w:shd w:val="clear" w:color="auto" w:fill="F7F7F7"/>
          </w:tcPr>
          <w:p>
            <w:pPr>
              <w:spacing w:after="0"/>
              <w:rPr>
                <w:sz w:val="23"/>
                <w:szCs w:val="23"/>
                <w:color w:val="auto"/>
              </w:rPr>
            </w:pPr>
          </w:p>
        </w:tc>
        <w:tc>
          <w:tcPr>
            <w:tcW w:w="100" w:type="dxa"/>
            <w:vAlign w:val="bottom"/>
            <w:shd w:val="clear" w:color="auto" w:fill="F7F7F7"/>
          </w:tcPr>
          <w:p>
            <w:pPr>
              <w:spacing w:after="0"/>
              <w:rPr>
                <w:sz w:val="23"/>
                <w:szCs w:val="23"/>
                <w:color w:val="auto"/>
              </w:rPr>
            </w:pPr>
          </w:p>
        </w:tc>
        <w:tc>
          <w:tcPr>
            <w:tcW w:w="1740" w:type="dxa"/>
            <w:vAlign w:val="bottom"/>
            <w:shd w:val="clear" w:color="auto" w:fill="F7F7F7"/>
          </w:tcPr>
          <w:p>
            <w:pPr>
              <w:spacing w:after="0"/>
              <w:rPr>
                <w:sz w:val="20"/>
                <w:szCs w:val="20"/>
                <w:color w:val="auto"/>
              </w:rPr>
            </w:pPr>
            <w:r>
              <w:rPr>
                <w:rFonts w:ascii="Arial" w:cs="Arial" w:eastAsia="Arial" w:hAnsi="Arial"/>
                <w:sz w:val="14"/>
                <w:szCs w:val="14"/>
                <w:color w:val="auto"/>
              </w:rPr>
              <w:t>2022 Annual Cash</w:t>
            </w:r>
          </w:p>
        </w:tc>
        <w:tc>
          <w:tcPr>
            <w:tcW w:w="800" w:type="dxa"/>
            <w:vAlign w:val="bottom"/>
            <w:shd w:val="clear" w:color="auto" w:fill="F7F7F7"/>
          </w:tcPr>
          <w:p>
            <w:pPr>
              <w:spacing w:after="0"/>
              <w:rPr>
                <w:sz w:val="23"/>
                <w:szCs w:val="23"/>
                <w:color w:val="auto"/>
              </w:rPr>
            </w:pPr>
          </w:p>
        </w:tc>
        <w:tc>
          <w:tcPr>
            <w:tcW w:w="4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64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420" w:type="dxa"/>
            <w:vAlign w:val="bottom"/>
            <w:shd w:val="clear" w:color="auto" w:fill="F7F7F7"/>
          </w:tcPr>
          <w:p>
            <w:pPr>
              <w:spacing w:after="0"/>
              <w:rPr>
                <w:sz w:val="23"/>
                <w:szCs w:val="23"/>
                <w:color w:val="auto"/>
              </w:rPr>
            </w:pPr>
          </w:p>
        </w:tc>
        <w:tc>
          <w:tcPr>
            <w:tcW w:w="380" w:type="dxa"/>
            <w:vAlign w:val="bottom"/>
            <w:shd w:val="clear" w:color="auto" w:fill="F7F7F7"/>
          </w:tcPr>
          <w:p>
            <w:pPr>
              <w:spacing w:after="0"/>
              <w:rPr>
                <w:sz w:val="23"/>
                <w:szCs w:val="23"/>
                <w:color w:val="auto"/>
              </w:rPr>
            </w:pPr>
          </w:p>
        </w:tc>
        <w:tc>
          <w:tcPr>
            <w:tcW w:w="60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40" w:type="dxa"/>
            <w:vAlign w:val="bottom"/>
            <w:shd w:val="clear" w:color="auto" w:fill="F7F7F7"/>
          </w:tcPr>
          <w:p>
            <w:pPr>
              <w:spacing w:after="0"/>
              <w:rPr>
                <w:sz w:val="23"/>
                <w:szCs w:val="23"/>
                <w:color w:val="auto"/>
              </w:rPr>
            </w:pPr>
          </w:p>
        </w:tc>
        <w:tc>
          <w:tcPr>
            <w:tcW w:w="120" w:type="dxa"/>
            <w:vAlign w:val="bottom"/>
            <w:shd w:val="clear" w:color="auto" w:fill="F7F7F7"/>
          </w:tcPr>
          <w:p>
            <w:pPr>
              <w:spacing w:after="0"/>
              <w:rPr>
                <w:sz w:val="23"/>
                <w:szCs w:val="23"/>
                <w:color w:val="auto"/>
              </w:rPr>
            </w:pPr>
          </w:p>
        </w:tc>
        <w:tc>
          <w:tcPr>
            <w:tcW w:w="360" w:type="dxa"/>
            <w:vAlign w:val="bottom"/>
            <w:shd w:val="clear" w:color="auto" w:fill="F7F7F7"/>
          </w:tcPr>
          <w:p>
            <w:pPr>
              <w:spacing w:after="0"/>
              <w:rPr>
                <w:sz w:val="23"/>
                <w:szCs w:val="23"/>
                <w:color w:val="auto"/>
              </w:rPr>
            </w:pPr>
          </w:p>
        </w:tc>
        <w:tc>
          <w:tcPr>
            <w:tcW w:w="180" w:type="dxa"/>
            <w:vAlign w:val="bottom"/>
            <w:shd w:val="clear" w:color="auto" w:fill="F7F7F7"/>
          </w:tcPr>
          <w:p>
            <w:pPr>
              <w:spacing w:after="0"/>
              <w:rPr>
                <w:sz w:val="23"/>
                <w:szCs w:val="23"/>
                <w:color w:val="auto"/>
              </w:rPr>
            </w:pPr>
          </w:p>
        </w:tc>
        <w:tc>
          <w:tcPr>
            <w:tcW w:w="340" w:type="dxa"/>
            <w:vAlign w:val="bottom"/>
            <w:shd w:val="clear" w:color="auto" w:fill="F7F7F7"/>
          </w:tcPr>
          <w:p>
            <w:pPr>
              <w:spacing w:after="0"/>
              <w:rPr>
                <w:sz w:val="23"/>
                <w:szCs w:val="23"/>
                <w:color w:val="auto"/>
              </w:rPr>
            </w:pPr>
          </w:p>
        </w:tc>
        <w:tc>
          <w:tcPr>
            <w:tcW w:w="240" w:type="dxa"/>
            <w:vAlign w:val="bottom"/>
            <w:shd w:val="clear" w:color="auto" w:fill="F7F7F7"/>
          </w:tcPr>
          <w:p>
            <w:pPr>
              <w:spacing w:after="0"/>
              <w:rPr>
                <w:sz w:val="23"/>
                <w:szCs w:val="23"/>
                <w:color w:val="auto"/>
              </w:rPr>
            </w:pPr>
          </w:p>
        </w:tc>
        <w:tc>
          <w:tcPr>
            <w:tcW w:w="200" w:type="dxa"/>
            <w:vAlign w:val="bottom"/>
            <w:shd w:val="clear" w:color="auto" w:fill="F7F7F7"/>
          </w:tcPr>
          <w:p>
            <w:pPr>
              <w:spacing w:after="0"/>
              <w:rPr>
                <w:sz w:val="23"/>
                <w:szCs w:val="23"/>
                <w:color w:val="auto"/>
              </w:rPr>
            </w:pPr>
          </w:p>
        </w:tc>
        <w:tc>
          <w:tcPr>
            <w:tcW w:w="80" w:type="dxa"/>
            <w:vAlign w:val="bottom"/>
            <w:shd w:val="clear" w:color="auto" w:fill="F7F7F7"/>
          </w:tcPr>
          <w:p>
            <w:pPr>
              <w:spacing w:after="0"/>
              <w:rPr>
                <w:sz w:val="23"/>
                <w:szCs w:val="23"/>
                <w:color w:val="auto"/>
              </w:rPr>
            </w:pPr>
          </w:p>
        </w:tc>
        <w:tc>
          <w:tcPr>
            <w:tcW w:w="460" w:type="dxa"/>
            <w:vAlign w:val="bottom"/>
            <w:shd w:val="clear" w:color="auto" w:fill="F7F7F7"/>
          </w:tcPr>
          <w:p>
            <w:pPr>
              <w:spacing w:after="0"/>
              <w:rPr>
                <w:sz w:val="23"/>
                <w:szCs w:val="23"/>
                <w:color w:val="auto"/>
              </w:rPr>
            </w:pPr>
          </w:p>
        </w:tc>
        <w:tc>
          <w:tcPr>
            <w:tcW w:w="240" w:type="dxa"/>
            <w:vAlign w:val="bottom"/>
            <w:shd w:val="clear" w:color="auto" w:fill="F7F7F7"/>
          </w:tcPr>
          <w:p>
            <w:pPr>
              <w:spacing w:after="0"/>
              <w:rPr>
                <w:sz w:val="23"/>
                <w:szCs w:val="23"/>
                <w:color w:val="auto"/>
              </w:rPr>
            </w:pPr>
          </w:p>
        </w:tc>
        <w:tc>
          <w:tcPr>
            <w:tcW w:w="120" w:type="dxa"/>
            <w:vAlign w:val="bottom"/>
            <w:tcBorders>
              <w:right w:val="single" w:sz="8" w:color="F7F7F7"/>
            </w:tcBorders>
            <w:shd w:val="clear" w:color="auto" w:fill="F7F7F7"/>
          </w:tcPr>
          <w:p>
            <w:pPr>
              <w:spacing w:after="0"/>
              <w:rPr>
                <w:sz w:val="23"/>
                <w:szCs w:val="23"/>
                <w:color w:val="auto"/>
              </w:rPr>
            </w:pPr>
          </w:p>
        </w:tc>
        <w:tc>
          <w:tcPr>
            <w:tcW w:w="40" w:type="dxa"/>
            <w:vAlign w:val="bottom"/>
            <w:shd w:val="clear" w:color="auto" w:fill="F7F7F7"/>
          </w:tcPr>
          <w:p>
            <w:pPr>
              <w:spacing w:after="0"/>
              <w:rPr>
                <w:sz w:val="23"/>
                <w:szCs w:val="23"/>
                <w:color w:val="auto"/>
              </w:rPr>
            </w:pPr>
          </w:p>
        </w:tc>
        <w:tc>
          <w:tcPr>
            <w:tcW w:w="160" w:type="dxa"/>
            <w:vAlign w:val="bottom"/>
            <w:shd w:val="clear" w:color="auto" w:fill="F7F7F7"/>
          </w:tcPr>
          <w:p>
            <w:pPr>
              <w:spacing w:after="0"/>
              <w:rPr>
                <w:sz w:val="23"/>
                <w:szCs w:val="23"/>
                <w:color w:val="auto"/>
              </w:rPr>
            </w:pPr>
          </w:p>
        </w:tc>
        <w:tc>
          <w:tcPr>
            <w:tcW w:w="640" w:type="dxa"/>
            <w:vAlign w:val="bottom"/>
            <w:shd w:val="clear" w:color="auto" w:fill="F7F7F7"/>
          </w:tcPr>
          <w:p>
            <w:pPr>
              <w:spacing w:after="0"/>
              <w:rPr>
                <w:sz w:val="23"/>
                <w:szCs w:val="23"/>
                <w:color w:val="auto"/>
              </w:rPr>
            </w:pPr>
          </w:p>
        </w:tc>
        <w:tc>
          <w:tcPr>
            <w:tcW w:w="200" w:type="dxa"/>
            <w:vAlign w:val="bottom"/>
            <w:shd w:val="clear" w:color="auto" w:fill="F7F7F7"/>
          </w:tcPr>
          <w:p>
            <w:pPr>
              <w:spacing w:after="0"/>
              <w:rPr>
                <w:sz w:val="23"/>
                <w:szCs w:val="23"/>
                <w:color w:val="auto"/>
              </w:rPr>
            </w:pPr>
          </w:p>
        </w:tc>
        <w:tc>
          <w:tcPr>
            <w:tcW w:w="940" w:type="dxa"/>
            <w:vAlign w:val="bottom"/>
            <w:shd w:val="clear" w:color="auto" w:fill="F7F7F7"/>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7F7F7"/>
          </w:tcPr>
          <w:p>
            <w:pPr>
              <w:spacing w:after="0"/>
              <w:rPr>
                <w:sz w:val="24"/>
                <w:szCs w:val="24"/>
                <w:color w:val="auto"/>
              </w:rPr>
            </w:pPr>
          </w:p>
        </w:tc>
        <w:tc>
          <w:tcPr>
            <w:tcW w:w="17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Incentive</w:t>
            </w:r>
          </w:p>
        </w:tc>
        <w:tc>
          <w:tcPr>
            <w:tcW w:w="800" w:type="dxa"/>
            <w:vAlign w:val="bottom"/>
            <w:tcBorders>
              <w:bottom w:val="single" w:sz="8" w:color="auto"/>
            </w:tcBorders>
            <w:shd w:val="clear" w:color="auto" w:fill="F7F7F7"/>
          </w:tcPr>
          <w:p>
            <w:pPr>
              <w:jc w:val="right"/>
              <w:ind w:right="6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F7F7F7"/>
          </w:tcPr>
          <w:p>
            <w:pPr>
              <w:ind w:left="40"/>
              <w:spacing w:after="0" w:line="29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287,500</w:t>
            </w:r>
          </w:p>
        </w:tc>
        <w:tc>
          <w:tcPr>
            <w:tcW w:w="60" w:type="dxa"/>
            <w:vAlign w:val="bottom"/>
            <w:tcBorders>
              <w:bottom w:val="single" w:sz="8" w:color="auto"/>
            </w:tcBorders>
            <w:shd w:val="clear" w:color="auto" w:fill="F7F7F7"/>
          </w:tcPr>
          <w:p>
            <w:pPr>
              <w:spacing w:after="0"/>
              <w:rPr>
                <w:sz w:val="24"/>
                <w:szCs w:val="24"/>
                <w:color w:val="auto"/>
              </w:rPr>
            </w:pPr>
          </w:p>
        </w:tc>
        <w:tc>
          <w:tcPr>
            <w:tcW w:w="800" w:type="dxa"/>
            <w:vAlign w:val="bottom"/>
            <w:tcBorders>
              <w:bottom w:val="single" w:sz="8" w:color="auto"/>
            </w:tcBorders>
            <w:gridSpan w:val="2"/>
            <w:shd w:val="clear" w:color="auto" w:fill="F7F7F7"/>
          </w:tcPr>
          <w:p>
            <w:pPr>
              <w:jc w:val="right"/>
              <w:spacing w:after="0" w:line="29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​575,000</w:t>
            </w:r>
            <w:r>
              <w:rPr>
                <w:rFonts w:ascii="Arial" w:cs="Arial" w:eastAsia="Arial" w:hAnsi="Arial"/>
                <w:sz w:val="28"/>
                <w:szCs w:val="28"/>
                <w:color w:val="auto"/>
                <w:vertAlign w:val="subscript"/>
              </w:rPr>
              <w:t>​​</w:t>
            </w:r>
          </w:p>
        </w:tc>
        <w:tc>
          <w:tcPr>
            <w:tcW w:w="600" w:type="dxa"/>
            <w:vAlign w:val="bottom"/>
            <w:tcBorders>
              <w:bottom w:val="single" w:sz="8" w:color="auto"/>
            </w:tcBorders>
            <w:shd w:val="clear" w:color="auto" w:fill="F7F7F7"/>
          </w:tcPr>
          <w:p>
            <w:pPr>
              <w:ind w:left="40"/>
              <w:spacing w:after="0" w:line="29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​862,500</w:t>
            </w:r>
          </w:p>
        </w:tc>
        <w:tc>
          <w:tcPr>
            <w:tcW w:w="60" w:type="dxa"/>
            <w:vAlign w:val="bottom"/>
            <w:tcBorders>
              <w:bottom w:val="single" w:sz="8" w:color="auto"/>
            </w:tcBorders>
            <w:shd w:val="clear" w:color="auto" w:fill="F7F7F7"/>
          </w:tcPr>
          <w:p>
            <w:pPr>
              <w:spacing w:after="0"/>
              <w:rPr>
                <w:sz w:val="24"/>
                <w:szCs w:val="24"/>
                <w:color w:val="auto"/>
              </w:rPr>
            </w:pPr>
          </w:p>
        </w:tc>
        <w:tc>
          <w:tcPr>
            <w:tcW w:w="220" w:type="dxa"/>
            <w:vAlign w:val="bottom"/>
            <w:tcBorders>
              <w:bottom w:val="single" w:sz="8" w:color="auto"/>
            </w:tcBorders>
            <w:gridSpan w:val="3"/>
            <w:shd w:val="clear" w:color="auto" w:fill="F7F7F7"/>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F7F7F7"/>
          </w:tcPr>
          <w:p>
            <w:pPr>
              <w:ind w:left="200"/>
              <w:spacing w:after="0" w:line="293"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80" w:type="dxa"/>
            <w:vAlign w:val="bottom"/>
            <w:tcBorders>
              <w:bottom w:val="single" w:sz="8" w:color="auto"/>
            </w:tcBorders>
            <w:shd w:val="clear" w:color="auto" w:fill="F7F7F7"/>
          </w:tcPr>
          <w:p>
            <w:pPr>
              <w:spacing w:after="0"/>
              <w:rPr>
                <w:sz w:val="24"/>
                <w:szCs w:val="24"/>
                <w:color w:val="auto"/>
              </w:rPr>
            </w:pPr>
          </w:p>
        </w:tc>
        <w:tc>
          <w:tcPr>
            <w:tcW w:w="340" w:type="dxa"/>
            <w:vAlign w:val="bottom"/>
            <w:tcBorders>
              <w:bottom w:val="single" w:sz="8" w:color="auto"/>
            </w:tcBorders>
            <w:shd w:val="clear" w:color="auto" w:fill="F7F7F7"/>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80"/>
              <w:spacing w:after="0" w:line="293"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00" w:type="dxa"/>
            <w:vAlign w:val="bottom"/>
            <w:tcBorders>
              <w:bottom w:val="single" w:sz="8" w:color="auto"/>
            </w:tcBorders>
            <w:shd w:val="clear" w:color="auto" w:fill="F7F7F7"/>
          </w:tcPr>
          <w:p>
            <w:pPr>
              <w:spacing w:after="0"/>
              <w:rPr>
                <w:sz w:val="24"/>
                <w:szCs w:val="24"/>
                <w:color w:val="auto"/>
              </w:rPr>
            </w:pPr>
          </w:p>
        </w:tc>
        <w:tc>
          <w:tcPr>
            <w:tcW w:w="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tcBorders>
              <w:bottom w:val="single" w:sz="8" w:color="auto"/>
            </w:tcBorders>
            <w:shd w:val="clear" w:color="auto" w:fill="F7F7F7"/>
          </w:tcPr>
          <w:p>
            <w:pPr>
              <w:ind w:left="300"/>
              <w:spacing w:after="0" w:line="293"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40" w:type="dxa"/>
            <w:vAlign w:val="bottom"/>
            <w:tcBorders>
              <w:bottom w:val="single" w:sz="8" w:color="auto"/>
            </w:tcBorders>
            <w:shd w:val="clear" w:color="auto" w:fill="F7F7F7"/>
          </w:tcPr>
          <w:p>
            <w:pPr>
              <w:spacing w:after="0"/>
              <w:rPr>
                <w:sz w:val="24"/>
                <w:szCs w:val="24"/>
                <w:color w:val="auto"/>
              </w:rPr>
            </w:pPr>
          </w:p>
        </w:tc>
        <w:tc>
          <w:tcPr>
            <w:tcW w:w="16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F7F7F7"/>
          </w:tcPr>
          <w:p>
            <w:pPr>
              <w:ind w:left="120"/>
              <w:spacing w:after="0" w:line="29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40" w:type="dxa"/>
            <w:vAlign w:val="bottom"/>
            <w:tcBorders>
              <w:bottom w:val="single" w:sz="8" w:color="auto"/>
            </w:tcBorders>
            <w:shd w:val="clear" w:color="auto" w:fill="F7F7F7"/>
          </w:tcPr>
          <w:p>
            <w:pPr>
              <w:jc w:val="right"/>
              <w:ind w:right="3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jc w:val="right"/>
              <w:spacing w:after="0" w:line="29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jc w:val="right"/>
              <w:ind w:right="91"/>
              <w:spacing w:after="0" w:line="29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Sherry House</w:t>
            </w:r>
          </w:p>
        </w:tc>
        <w:tc>
          <w:tcPr>
            <w:tcW w:w="80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8"/>
        </w:trPr>
        <w:tc>
          <w:tcPr>
            <w:tcW w:w="60" w:type="dxa"/>
            <w:vAlign w:val="bottom"/>
            <w:shd w:val="clear" w:color="auto" w:fill="F7F7F7"/>
          </w:tcPr>
          <w:p>
            <w:pPr>
              <w:spacing w:after="0"/>
              <w:rPr>
                <w:sz w:val="23"/>
                <w:szCs w:val="23"/>
                <w:color w:val="auto"/>
              </w:rPr>
            </w:pPr>
          </w:p>
        </w:tc>
        <w:tc>
          <w:tcPr>
            <w:tcW w:w="100" w:type="dxa"/>
            <w:vAlign w:val="bottom"/>
            <w:shd w:val="clear" w:color="auto" w:fill="F7F7F7"/>
          </w:tcPr>
          <w:p>
            <w:pPr>
              <w:spacing w:after="0"/>
              <w:rPr>
                <w:sz w:val="23"/>
                <w:szCs w:val="23"/>
                <w:color w:val="auto"/>
              </w:rPr>
            </w:pPr>
          </w:p>
        </w:tc>
        <w:tc>
          <w:tcPr>
            <w:tcW w:w="1740" w:type="dxa"/>
            <w:vAlign w:val="bottom"/>
            <w:shd w:val="clear" w:color="auto" w:fill="F7F7F7"/>
          </w:tcPr>
          <w:p>
            <w:pPr>
              <w:spacing w:after="0"/>
              <w:rPr>
                <w:sz w:val="20"/>
                <w:szCs w:val="20"/>
                <w:color w:val="auto"/>
              </w:rPr>
            </w:pPr>
            <w:r>
              <w:rPr>
                <w:rFonts w:ascii="Arial" w:cs="Arial" w:eastAsia="Arial" w:hAnsi="Arial"/>
                <w:sz w:val="14"/>
                <w:szCs w:val="14"/>
                <w:color w:val="auto"/>
              </w:rPr>
              <w:t>2022 Annual Cash</w:t>
            </w:r>
          </w:p>
        </w:tc>
        <w:tc>
          <w:tcPr>
            <w:tcW w:w="800" w:type="dxa"/>
            <w:vAlign w:val="bottom"/>
            <w:shd w:val="clear" w:color="auto" w:fill="F7F7F7"/>
          </w:tcPr>
          <w:p>
            <w:pPr>
              <w:spacing w:after="0"/>
              <w:rPr>
                <w:sz w:val="23"/>
                <w:szCs w:val="23"/>
                <w:color w:val="auto"/>
              </w:rPr>
            </w:pPr>
          </w:p>
        </w:tc>
        <w:tc>
          <w:tcPr>
            <w:tcW w:w="4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64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420" w:type="dxa"/>
            <w:vAlign w:val="bottom"/>
            <w:shd w:val="clear" w:color="auto" w:fill="F7F7F7"/>
          </w:tcPr>
          <w:p>
            <w:pPr>
              <w:spacing w:after="0"/>
              <w:rPr>
                <w:sz w:val="23"/>
                <w:szCs w:val="23"/>
                <w:color w:val="auto"/>
              </w:rPr>
            </w:pPr>
          </w:p>
        </w:tc>
        <w:tc>
          <w:tcPr>
            <w:tcW w:w="380" w:type="dxa"/>
            <w:vAlign w:val="bottom"/>
            <w:shd w:val="clear" w:color="auto" w:fill="F7F7F7"/>
          </w:tcPr>
          <w:p>
            <w:pPr>
              <w:spacing w:after="0"/>
              <w:rPr>
                <w:sz w:val="23"/>
                <w:szCs w:val="23"/>
                <w:color w:val="auto"/>
              </w:rPr>
            </w:pPr>
          </w:p>
        </w:tc>
        <w:tc>
          <w:tcPr>
            <w:tcW w:w="60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40" w:type="dxa"/>
            <w:vAlign w:val="bottom"/>
            <w:shd w:val="clear" w:color="auto" w:fill="F7F7F7"/>
          </w:tcPr>
          <w:p>
            <w:pPr>
              <w:spacing w:after="0"/>
              <w:rPr>
                <w:sz w:val="23"/>
                <w:szCs w:val="23"/>
                <w:color w:val="auto"/>
              </w:rPr>
            </w:pPr>
          </w:p>
        </w:tc>
        <w:tc>
          <w:tcPr>
            <w:tcW w:w="120" w:type="dxa"/>
            <w:vAlign w:val="bottom"/>
            <w:shd w:val="clear" w:color="auto" w:fill="F7F7F7"/>
          </w:tcPr>
          <w:p>
            <w:pPr>
              <w:spacing w:after="0"/>
              <w:rPr>
                <w:sz w:val="23"/>
                <w:szCs w:val="23"/>
                <w:color w:val="auto"/>
              </w:rPr>
            </w:pPr>
          </w:p>
        </w:tc>
        <w:tc>
          <w:tcPr>
            <w:tcW w:w="360" w:type="dxa"/>
            <w:vAlign w:val="bottom"/>
            <w:shd w:val="clear" w:color="auto" w:fill="F7F7F7"/>
          </w:tcPr>
          <w:p>
            <w:pPr>
              <w:spacing w:after="0"/>
              <w:rPr>
                <w:sz w:val="23"/>
                <w:szCs w:val="23"/>
                <w:color w:val="auto"/>
              </w:rPr>
            </w:pPr>
          </w:p>
        </w:tc>
        <w:tc>
          <w:tcPr>
            <w:tcW w:w="180" w:type="dxa"/>
            <w:vAlign w:val="bottom"/>
            <w:shd w:val="clear" w:color="auto" w:fill="F7F7F7"/>
          </w:tcPr>
          <w:p>
            <w:pPr>
              <w:spacing w:after="0"/>
              <w:rPr>
                <w:sz w:val="23"/>
                <w:szCs w:val="23"/>
                <w:color w:val="auto"/>
              </w:rPr>
            </w:pPr>
          </w:p>
        </w:tc>
        <w:tc>
          <w:tcPr>
            <w:tcW w:w="340" w:type="dxa"/>
            <w:vAlign w:val="bottom"/>
            <w:shd w:val="clear" w:color="auto" w:fill="F7F7F7"/>
          </w:tcPr>
          <w:p>
            <w:pPr>
              <w:spacing w:after="0"/>
              <w:rPr>
                <w:sz w:val="23"/>
                <w:szCs w:val="23"/>
                <w:color w:val="auto"/>
              </w:rPr>
            </w:pPr>
          </w:p>
        </w:tc>
        <w:tc>
          <w:tcPr>
            <w:tcW w:w="240" w:type="dxa"/>
            <w:vAlign w:val="bottom"/>
            <w:shd w:val="clear" w:color="auto" w:fill="F7F7F7"/>
          </w:tcPr>
          <w:p>
            <w:pPr>
              <w:spacing w:after="0"/>
              <w:rPr>
                <w:sz w:val="23"/>
                <w:szCs w:val="23"/>
                <w:color w:val="auto"/>
              </w:rPr>
            </w:pPr>
          </w:p>
        </w:tc>
        <w:tc>
          <w:tcPr>
            <w:tcW w:w="200" w:type="dxa"/>
            <w:vAlign w:val="bottom"/>
            <w:shd w:val="clear" w:color="auto" w:fill="F7F7F7"/>
          </w:tcPr>
          <w:p>
            <w:pPr>
              <w:spacing w:after="0"/>
              <w:rPr>
                <w:sz w:val="23"/>
                <w:szCs w:val="23"/>
                <w:color w:val="auto"/>
              </w:rPr>
            </w:pPr>
          </w:p>
        </w:tc>
        <w:tc>
          <w:tcPr>
            <w:tcW w:w="80" w:type="dxa"/>
            <w:vAlign w:val="bottom"/>
            <w:shd w:val="clear" w:color="auto" w:fill="F7F7F7"/>
          </w:tcPr>
          <w:p>
            <w:pPr>
              <w:spacing w:after="0"/>
              <w:rPr>
                <w:sz w:val="23"/>
                <w:szCs w:val="23"/>
                <w:color w:val="auto"/>
              </w:rPr>
            </w:pPr>
          </w:p>
        </w:tc>
        <w:tc>
          <w:tcPr>
            <w:tcW w:w="460" w:type="dxa"/>
            <w:vAlign w:val="bottom"/>
            <w:shd w:val="clear" w:color="auto" w:fill="F7F7F7"/>
          </w:tcPr>
          <w:p>
            <w:pPr>
              <w:spacing w:after="0"/>
              <w:rPr>
                <w:sz w:val="23"/>
                <w:szCs w:val="23"/>
                <w:color w:val="auto"/>
              </w:rPr>
            </w:pPr>
          </w:p>
        </w:tc>
        <w:tc>
          <w:tcPr>
            <w:tcW w:w="240" w:type="dxa"/>
            <w:vAlign w:val="bottom"/>
            <w:shd w:val="clear" w:color="auto" w:fill="F7F7F7"/>
          </w:tcPr>
          <w:p>
            <w:pPr>
              <w:spacing w:after="0"/>
              <w:rPr>
                <w:sz w:val="23"/>
                <w:szCs w:val="23"/>
                <w:color w:val="auto"/>
              </w:rPr>
            </w:pPr>
          </w:p>
        </w:tc>
        <w:tc>
          <w:tcPr>
            <w:tcW w:w="120" w:type="dxa"/>
            <w:vAlign w:val="bottom"/>
            <w:tcBorders>
              <w:right w:val="single" w:sz="8" w:color="F7F7F7"/>
            </w:tcBorders>
            <w:shd w:val="clear" w:color="auto" w:fill="F7F7F7"/>
          </w:tcPr>
          <w:p>
            <w:pPr>
              <w:spacing w:after="0"/>
              <w:rPr>
                <w:sz w:val="23"/>
                <w:szCs w:val="23"/>
                <w:color w:val="auto"/>
              </w:rPr>
            </w:pPr>
          </w:p>
        </w:tc>
        <w:tc>
          <w:tcPr>
            <w:tcW w:w="40" w:type="dxa"/>
            <w:vAlign w:val="bottom"/>
            <w:shd w:val="clear" w:color="auto" w:fill="F7F7F7"/>
          </w:tcPr>
          <w:p>
            <w:pPr>
              <w:spacing w:after="0"/>
              <w:rPr>
                <w:sz w:val="23"/>
                <w:szCs w:val="23"/>
                <w:color w:val="auto"/>
              </w:rPr>
            </w:pPr>
          </w:p>
        </w:tc>
        <w:tc>
          <w:tcPr>
            <w:tcW w:w="160" w:type="dxa"/>
            <w:vAlign w:val="bottom"/>
            <w:shd w:val="clear" w:color="auto" w:fill="F7F7F7"/>
          </w:tcPr>
          <w:p>
            <w:pPr>
              <w:spacing w:after="0"/>
              <w:rPr>
                <w:sz w:val="23"/>
                <w:szCs w:val="23"/>
                <w:color w:val="auto"/>
              </w:rPr>
            </w:pPr>
          </w:p>
        </w:tc>
        <w:tc>
          <w:tcPr>
            <w:tcW w:w="640" w:type="dxa"/>
            <w:vAlign w:val="bottom"/>
            <w:shd w:val="clear" w:color="auto" w:fill="F7F7F7"/>
          </w:tcPr>
          <w:p>
            <w:pPr>
              <w:spacing w:after="0"/>
              <w:rPr>
                <w:sz w:val="23"/>
                <w:szCs w:val="23"/>
                <w:color w:val="auto"/>
              </w:rPr>
            </w:pPr>
          </w:p>
        </w:tc>
        <w:tc>
          <w:tcPr>
            <w:tcW w:w="200" w:type="dxa"/>
            <w:vAlign w:val="bottom"/>
            <w:shd w:val="clear" w:color="auto" w:fill="F7F7F7"/>
          </w:tcPr>
          <w:p>
            <w:pPr>
              <w:spacing w:after="0"/>
              <w:rPr>
                <w:sz w:val="23"/>
                <w:szCs w:val="23"/>
                <w:color w:val="auto"/>
              </w:rPr>
            </w:pPr>
          </w:p>
        </w:tc>
        <w:tc>
          <w:tcPr>
            <w:tcW w:w="940" w:type="dxa"/>
            <w:vAlign w:val="bottom"/>
            <w:shd w:val="clear" w:color="auto" w:fill="F7F7F7"/>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0"/>
                <w:szCs w:val="20"/>
                <w:color w:val="auto"/>
              </w:rPr>
            </w:pPr>
          </w:p>
        </w:tc>
        <w:tc>
          <w:tcPr>
            <w:tcW w:w="1740" w:type="dxa"/>
            <w:vAlign w:val="bottom"/>
            <w:shd w:val="clear" w:color="auto" w:fill="F7F7F7"/>
          </w:tcPr>
          <w:p>
            <w:pPr>
              <w:spacing w:after="0"/>
              <w:rPr>
                <w:sz w:val="20"/>
                <w:szCs w:val="20"/>
                <w:color w:val="auto"/>
              </w:rPr>
            </w:pPr>
            <w:r>
              <w:rPr>
                <w:rFonts w:ascii="Arial" w:cs="Arial" w:eastAsia="Arial" w:hAnsi="Arial"/>
                <w:sz w:val="14"/>
                <w:szCs w:val="14"/>
                <w:color w:val="auto"/>
              </w:rPr>
              <w:t>Incentive</w:t>
            </w:r>
            <w:r>
              <w:rPr>
                <w:rFonts w:ascii="Arial" w:cs="Arial" w:eastAsia="Arial" w:hAnsi="Arial"/>
                <w:sz w:val="17"/>
                <w:szCs w:val="17"/>
                <w:color w:val="auto"/>
                <w:vertAlign w:val="superscript"/>
              </w:rPr>
              <w:t>(1)</w:t>
            </w:r>
          </w:p>
        </w:tc>
        <w:tc>
          <w:tcPr>
            <w:tcW w:w="800" w:type="dxa"/>
            <w:vAlign w:val="bottom"/>
            <w:vMerge w:val="restart"/>
            <w:shd w:val="clear" w:color="auto" w:fill="F7F7F7"/>
          </w:tcPr>
          <w:p>
            <w:pPr>
              <w:jc w:val="right"/>
              <w:ind w:right="63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F7F7F7"/>
          </w:tcPr>
          <w:p>
            <w:pPr>
              <w:ind w:left="40"/>
              <w:spacing w:after="0" w:line="32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200,625</w:t>
            </w:r>
          </w:p>
        </w:tc>
        <w:tc>
          <w:tcPr>
            <w:tcW w:w="60" w:type="dxa"/>
            <w:vAlign w:val="bottom"/>
            <w:shd w:val="clear" w:color="auto" w:fill="F7F7F7"/>
          </w:tcPr>
          <w:p>
            <w:pPr>
              <w:spacing w:after="0"/>
              <w:rPr>
                <w:sz w:val="20"/>
                <w:szCs w:val="20"/>
                <w:color w:val="auto"/>
              </w:rPr>
            </w:pPr>
          </w:p>
        </w:tc>
        <w:tc>
          <w:tcPr>
            <w:tcW w:w="800" w:type="dxa"/>
            <w:vAlign w:val="bottom"/>
            <w:gridSpan w:val="2"/>
            <w:vMerge w:val="restart"/>
            <w:shd w:val="clear" w:color="auto" w:fill="F7F7F7"/>
          </w:tcPr>
          <w:p>
            <w:pPr>
              <w:jc w:val="right"/>
              <w:spacing w:after="0" w:line="32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​401,250</w:t>
            </w:r>
            <w:r>
              <w:rPr>
                <w:rFonts w:ascii="Arial" w:cs="Arial" w:eastAsia="Arial" w:hAnsi="Arial"/>
                <w:sz w:val="28"/>
                <w:szCs w:val="28"/>
                <w:color w:val="auto"/>
                <w:vertAlign w:val="subscript"/>
              </w:rPr>
              <w:t>​​</w:t>
            </w:r>
          </w:p>
        </w:tc>
        <w:tc>
          <w:tcPr>
            <w:tcW w:w="600" w:type="dxa"/>
            <w:vAlign w:val="bottom"/>
            <w:vMerge w:val="restart"/>
            <w:shd w:val="clear" w:color="auto" w:fill="F7F7F7"/>
          </w:tcPr>
          <w:p>
            <w:pPr>
              <w:ind w:left="40"/>
              <w:spacing w:after="0" w:line="32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​610,875</w:t>
            </w:r>
          </w:p>
        </w:tc>
        <w:tc>
          <w:tcPr>
            <w:tcW w:w="60" w:type="dxa"/>
            <w:vAlign w:val="bottom"/>
            <w:shd w:val="clear" w:color="auto" w:fill="F7F7F7"/>
          </w:tcPr>
          <w:p>
            <w:pPr>
              <w:spacing w:after="0"/>
              <w:rPr>
                <w:sz w:val="20"/>
                <w:szCs w:val="20"/>
                <w:color w:val="auto"/>
              </w:rPr>
            </w:pPr>
          </w:p>
        </w:tc>
        <w:tc>
          <w:tcPr>
            <w:tcW w:w="220" w:type="dxa"/>
            <w:vAlign w:val="bottom"/>
            <w:gridSpan w:val="3"/>
            <w:vMerge w:val="restart"/>
            <w:shd w:val="clear" w:color="auto" w:fill="F7F7F7"/>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F7F7F7"/>
          </w:tcPr>
          <w:p>
            <w:pPr>
              <w:ind w:left="200"/>
              <w:spacing w:after="0" w:line="32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80" w:type="dxa"/>
            <w:vAlign w:val="bottom"/>
            <w:shd w:val="clear" w:color="auto" w:fill="F7F7F7"/>
          </w:tcPr>
          <w:p>
            <w:pPr>
              <w:spacing w:after="0"/>
              <w:rPr>
                <w:sz w:val="20"/>
                <w:szCs w:val="20"/>
                <w:color w:val="auto"/>
              </w:rPr>
            </w:pPr>
          </w:p>
        </w:tc>
        <w:tc>
          <w:tcPr>
            <w:tcW w:w="340" w:type="dxa"/>
            <w:vAlign w:val="bottom"/>
            <w:vMerge w:val="restart"/>
            <w:shd w:val="clear" w:color="auto" w:fill="F7F7F7"/>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F7F7F7"/>
          </w:tcPr>
          <w:p>
            <w:pPr>
              <w:ind w:left="80"/>
              <w:spacing w:after="0" w:line="32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00" w:type="dxa"/>
            <w:vAlign w:val="bottom"/>
            <w:shd w:val="clear" w:color="auto" w:fill="F7F7F7"/>
          </w:tcPr>
          <w:p>
            <w:pPr>
              <w:spacing w:after="0"/>
              <w:rPr>
                <w:sz w:val="20"/>
                <w:szCs w:val="20"/>
                <w:color w:val="auto"/>
              </w:rPr>
            </w:pPr>
          </w:p>
        </w:tc>
        <w:tc>
          <w:tcPr>
            <w:tcW w:w="80" w:type="dxa"/>
            <w:vAlign w:val="bottom"/>
            <w:vMerge w:val="restart"/>
            <w:shd w:val="clear" w:color="auto" w:fill="F7F7F7"/>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vMerge w:val="restart"/>
            <w:shd w:val="clear" w:color="auto" w:fill="F7F7F7"/>
          </w:tcPr>
          <w:p>
            <w:pPr>
              <w:ind w:left="300"/>
              <w:spacing w:after="0" w:line="32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40" w:type="dxa"/>
            <w:vAlign w:val="bottom"/>
            <w:shd w:val="clear" w:color="auto" w:fill="F7F7F7"/>
          </w:tcPr>
          <w:p>
            <w:pPr>
              <w:spacing w:after="0"/>
              <w:rPr>
                <w:sz w:val="20"/>
                <w:szCs w:val="20"/>
                <w:color w:val="auto"/>
              </w:rPr>
            </w:pPr>
          </w:p>
        </w:tc>
        <w:tc>
          <w:tcPr>
            <w:tcW w:w="160" w:type="dxa"/>
            <w:vAlign w:val="bottom"/>
            <w:gridSpan w:val="2"/>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F7F7F7"/>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40" w:type="dxa"/>
            <w:vAlign w:val="bottom"/>
            <w:vMerge w:val="restart"/>
            <w:shd w:val="clear" w:color="auto" w:fill="F7F7F7"/>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60" w:type="dxa"/>
            <w:vAlign w:val="bottom"/>
            <w:tcBorders>
              <w:bottom w:val="single" w:sz="8" w:color="auto"/>
            </w:tcBorders>
            <w:vMerge w:val="continue"/>
            <w:shd w:val="clear" w:color="auto" w:fill="F7F7F7"/>
          </w:tcPr>
          <w:p>
            <w:pPr>
              <w:spacing w:after="0"/>
              <w:rPr>
                <w:sz w:val="6"/>
                <w:szCs w:val="6"/>
                <w:color w:val="auto"/>
              </w:rPr>
            </w:pPr>
          </w:p>
        </w:tc>
        <w:tc>
          <w:tcPr>
            <w:tcW w:w="100" w:type="dxa"/>
            <w:vAlign w:val="bottom"/>
            <w:tcBorders>
              <w:bottom w:val="single" w:sz="8" w:color="auto"/>
            </w:tcBorders>
            <w:shd w:val="clear" w:color="auto" w:fill="F7F7F7"/>
          </w:tcPr>
          <w:p>
            <w:pPr>
              <w:spacing w:after="0"/>
              <w:rPr>
                <w:sz w:val="6"/>
                <w:szCs w:val="6"/>
                <w:color w:val="auto"/>
              </w:rPr>
            </w:pPr>
          </w:p>
        </w:tc>
        <w:tc>
          <w:tcPr>
            <w:tcW w:w="1740" w:type="dxa"/>
            <w:vAlign w:val="bottom"/>
            <w:tcBorders>
              <w:bottom w:val="single" w:sz="8" w:color="auto"/>
            </w:tcBorders>
            <w:shd w:val="clear" w:color="auto" w:fill="F7F7F7"/>
          </w:tcPr>
          <w:p>
            <w:pPr>
              <w:spacing w:after="0"/>
              <w:rPr>
                <w:sz w:val="6"/>
                <w:szCs w:val="6"/>
                <w:color w:val="auto"/>
              </w:rPr>
            </w:pPr>
          </w:p>
        </w:tc>
        <w:tc>
          <w:tcPr>
            <w:tcW w:w="800" w:type="dxa"/>
            <w:vAlign w:val="bottom"/>
            <w:tcBorders>
              <w:bottom w:val="single" w:sz="8" w:color="auto"/>
            </w:tcBorders>
            <w:vMerge w:val="continue"/>
            <w:shd w:val="clear" w:color="auto" w:fill="F7F7F7"/>
          </w:tcPr>
          <w:p>
            <w:pPr>
              <w:spacing w:after="0"/>
              <w:rPr>
                <w:sz w:val="6"/>
                <w:szCs w:val="6"/>
                <w:color w:val="auto"/>
              </w:rPr>
            </w:pPr>
          </w:p>
        </w:tc>
        <w:tc>
          <w:tcPr>
            <w:tcW w:w="100" w:type="dxa"/>
            <w:vAlign w:val="bottom"/>
            <w:tcBorders>
              <w:bottom w:val="single" w:sz="8" w:color="auto"/>
            </w:tcBorders>
            <w:gridSpan w:val="2"/>
            <w:vMerge w:val="continue"/>
            <w:shd w:val="clear" w:color="auto" w:fill="F7F7F7"/>
          </w:tcPr>
          <w:p>
            <w:pPr>
              <w:spacing w:after="0"/>
              <w:rPr>
                <w:sz w:val="6"/>
                <w:szCs w:val="6"/>
                <w:color w:val="auto"/>
              </w:rPr>
            </w:pPr>
          </w:p>
        </w:tc>
        <w:tc>
          <w:tcPr>
            <w:tcW w:w="640" w:type="dxa"/>
            <w:vAlign w:val="bottom"/>
            <w:tcBorders>
              <w:bottom w:val="single" w:sz="8" w:color="auto"/>
            </w:tcBorders>
            <w:vMerge w:val="continue"/>
            <w:shd w:val="clear" w:color="auto" w:fill="F7F7F7"/>
          </w:tcPr>
          <w:p>
            <w:pPr>
              <w:spacing w:after="0"/>
              <w:rPr>
                <w:sz w:val="6"/>
                <w:szCs w:val="6"/>
                <w:color w:val="auto"/>
              </w:rPr>
            </w:pPr>
          </w:p>
        </w:tc>
        <w:tc>
          <w:tcPr>
            <w:tcW w:w="60" w:type="dxa"/>
            <w:vAlign w:val="bottom"/>
            <w:tcBorders>
              <w:bottom w:val="single" w:sz="8" w:color="auto"/>
            </w:tcBorders>
            <w:shd w:val="clear" w:color="auto" w:fill="F7F7F7"/>
          </w:tcPr>
          <w:p>
            <w:pPr>
              <w:spacing w:after="0"/>
              <w:rPr>
                <w:sz w:val="6"/>
                <w:szCs w:val="6"/>
                <w:color w:val="auto"/>
              </w:rPr>
            </w:pPr>
          </w:p>
        </w:tc>
        <w:tc>
          <w:tcPr>
            <w:tcW w:w="800" w:type="dxa"/>
            <w:vAlign w:val="bottom"/>
            <w:tcBorders>
              <w:bottom w:val="single" w:sz="8" w:color="auto"/>
            </w:tcBorders>
            <w:gridSpan w:val="2"/>
            <w:vMerge w:val="continue"/>
            <w:shd w:val="clear" w:color="auto" w:fill="F7F7F7"/>
          </w:tcPr>
          <w:p>
            <w:pPr>
              <w:spacing w:after="0"/>
              <w:rPr>
                <w:sz w:val="6"/>
                <w:szCs w:val="6"/>
                <w:color w:val="auto"/>
              </w:rPr>
            </w:pPr>
          </w:p>
        </w:tc>
        <w:tc>
          <w:tcPr>
            <w:tcW w:w="600" w:type="dxa"/>
            <w:vAlign w:val="bottom"/>
            <w:tcBorders>
              <w:bottom w:val="single" w:sz="8" w:color="auto"/>
            </w:tcBorders>
            <w:vMerge w:val="continue"/>
            <w:shd w:val="clear" w:color="auto" w:fill="F7F7F7"/>
          </w:tcPr>
          <w:p>
            <w:pPr>
              <w:spacing w:after="0"/>
              <w:rPr>
                <w:sz w:val="6"/>
                <w:szCs w:val="6"/>
                <w:color w:val="auto"/>
              </w:rPr>
            </w:pPr>
          </w:p>
        </w:tc>
        <w:tc>
          <w:tcPr>
            <w:tcW w:w="60" w:type="dxa"/>
            <w:vAlign w:val="bottom"/>
            <w:tcBorders>
              <w:bottom w:val="single" w:sz="8" w:color="auto"/>
            </w:tcBorders>
            <w:shd w:val="clear" w:color="auto" w:fill="F7F7F7"/>
          </w:tcPr>
          <w:p>
            <w:pPr>
              <w:spacing w:after="0"/>
              <w:rPr>
                <w:sz w:val="6"/>
                <w:szCs w:val="6"/>
                <w:color w:val="auto"/>
              </w:rPr>
            </w:pPr>
          </w:p>
        </w:tc>
        <w:tc>
          <w:tcPr>
            <w:tcW w:w="220" w:type="dxa"/>
            <w:vAlign w:val="bottom"/>
            <w:tcBorders>
              <w:bottom w:val="single" w:sz="8" w:color="auto"/>
            </w:tcBorders>
            <w:gridSpan w:val="3"/>
            <w:vMerge w:val="continue"/>
            <w:shd w:val="clear" w:color="auto" w:fill="F7F7F7"/>
          </w:tcPr>
          <w:p>
            <w:pPr>
              <w:spacing w:after="0"/>
              <w:rPr>
                <w:sz w:val="6"/>
                <w:szCs w:val="6"/>
                <w:color w:val="auto"/>
              </w:rPr>
            </w:pPr>
          </w:p>
        </w:tc>
        <w:tc>
          <w:tcPr>
            <w:tcW w:w="360" w:type="dxa"/>
            <w:vAlign w:val="bottom"/>
            <w:tcBorders>
              <w:bottom w:val="single" w:sz="8" w:color="auto"/>
            </w:tcBorders>
            <w:vMerge w:val="continue"/>
            <w:shd w:val="clear" w:color="auto" w:fill="F7F7F7"/>
          </w:tcPr>
          <w:p>
            <w:pPr>
              <w:spacing w:after="0"/>
              <w:rPr>
                <w:sz w:val="6"/>
                <w:szCs w:val="6"/>
                <w:color w:val="auto"/>
              </w:rPr>
            </w:pPr>
          </w:p>
        </w:tc>
        <w:tc>
          <w:tcPr>
            <w:tcW w:w="180" w:type="dxa"/>
            <w:vAlign w:val="bottom"/>
            <w:tcBorders>
              <w:bottom w:val="single" w:sz="8" w:color="auto"/>
            </w:tcBorders>
            <w:shd w:val="clear" w:color="auto" w:fill="F7F7F7"/>
          </w:tcPr>
          <w:p>
            <w:pPr>
              <w:spacing w:after="0"/>
              <w:rPr>
                <w:sz w:val="6"/>
                <w:szCs w:val="6"/>
                <w:color w:val="auto"/>
              </w:rPr>
            </w:pPr>
          </w:p>
        </w:tc>
        <w:tc>
          <w:tcPr>
            <w:tcW w:w="340" w:type="dxa"/>
            <w:vAlign w:val="bottom"/>
            <w:tcBorders>
              <w:bottom w:val="single" w:sz="8" w:color="auto"/>
            </w:tcBorders>
            <w:vMerge w:val="continue"/>
            <w:shd w:val="clear" w:color="auto" w:fill="F7F7F7"/>
          </w:tcPr>
          <w:p>
            <w:pPr>
              <w:spacing w:after="0"/>
              <w:rPr>
                <w:sz w:val="6"/>
                <w:szCs w:val="6"/>
                <w:color w:val="auto"/>
              </w:rPr>
            </w:pPr>
          </w:p>
        </w:tc>
        <w:tc>
          <w:tcPr>
            <w:tcW w:w="240" w:type="dxa"/>
            <w:vAlign w:val="bottom"/>
            <w:tcBorders>
              <w:bottom w:val="single" w:sz="8" w:color="auto"/>
            </w:tcBorders>
            <w:vMerge w:val="continue"/>
            <w:shd w:val="clear" w:color="auto" w:fill="F7F7F7"/>
          </w:tcPr>
          <w:p>
            <w:pPr>
              <w:spacing w:after="0"/>
              <w:rPr>
                <w:sz w:val="6"/>
                <w:szCs w:val="6"/>
                <w:color w:val="auto"/>
              </w:rPr>
            </w:pPr>
          </w:p>
        </w:tc>
        <w:tc>
          <w:tcPr>
            <w:tcW w:w="200" w:type="dxa"/>
            <w:vAlign w:val="bottom"/>
            <w:tcBorders>
              <w:bottom w:val="single" w:sz="8" w:color="auto"/>
            </w:tcBorders>
            <w:shd w:val="clear" w:color="auto" w:fill="F7F7F7"/>
          </w:tcPr>
          <w:p>
            <w:pPr>
              <w:spacing w:after="0"/>
              <w:rPr>
                <w:sz w:val="6"/>
                <w:szCs w:val="6"/>
                <w:color w:val="auto"/>
              </w:rPr>
            </w:pPr>
          </w:p>
        </w:tc>
        <w:tc>
          <w:tcPr>
            <w:tcW w:w="80" w:type="dxa"/>
            <w:vAlign w:val="bottom"/>
            <w:tcBorders>
              <w:bottom w:val="single" w:sz="8" w:color="auto"/>
            </w:tcBorders>
            <w:vMerge w:val="continue"/>
            <w:shd w:val="clear" w:color="auto" w:fill="F7F7F7"/>
          </w:tcPr>
          <w:p>
            <w:pPr>
              <w:spacing w:after="0"/>
              <w:rPr>
                <w:sz w:val="6"/>
                <w:szCs w:val="6"/>
                <w:color w:val="auto"/>
              </w:rPr>
            </w:pPr>
          </w:p>
        </w:tc>
        <w:tc>
          <w:tcPr>
            <w:tcW w:w="460" w:type="dxa"/>
            <w:vAlign w:val="bottom"/>
            <w:tcBorders>
              <w:bottom w:val="single" w:sz="8" w:color="auto"/>
            </w:tcBorders>
            <w:vMerge w:val="continue"/>
            <w:shd w:val="clear" w:color="auto" w:fill="F7F7F7"/>
          </w:tcPr>
          <w:p>
            <w:pPr>
              <w:spacing w:after="0"/>
              <w:rPr>
                <w:sz w:val="6"/>
                <w:szCs w:val="6"/>
                <w:color w:val="auto"/>
              </w:rPr>
            </w:pPr>
          </w:p>
        </w:tc>
        <w:tc>
          <w:tcPr>
            <w:tcW w:w="240" w:type="dxa"/>
            <w:vAlign w:val="bottom"/>
            <w:tcBorders>
              <w:bottom w:val="single" w:sz="8" w:color="auto"/>
            </w:tcBorders>
            <w:shd w:val="clear" w:color="auto" w:fill="F7F7F7"/>
          </w:tcPr>
          <w:p>
            <w:pPr>
              <w:spacing w:after="0"/>
              <w:rPr>
                <w:sz w:val="6"/>
                <w:szCs w:val="6"/>
                <w:color w:val="auto"/>
              </w:rPr>
            </w:pPr>
          </w:p>
        </w:tc>
        <w:tc>
          <w:tcPr>
            <w:tcW w:w="160" w:type="dxa"/>
            <w:vAlign w:val="bottom"/>
            <w:tcBorders>
              <w:bottom w:val="single" w:sz="8" w:color="auto"/>
            </w:tcBorders>
            <w:gridSpan w:val="2"/>
            <w:vMerge w:val="continue"/>
            <w:shd w:val="clear" w:color="auto" w:fill="F7F7F7"/>
          </w:tcPr>
          <w:p>
            <w:pPr>
              <w:spacing w:after="0"/>
              <w:rPr>
                <w:sz w:val="6"/>
                <w:szCs w:val="6"/>
                <w:color w:val="auto"/>
              </w:rPr>
            </w:pPr>
          </w:p>
        </w:tc>
        <w:tc>
          <w:tcPr>
            <w:tcW w:w="160" w:type="dxa"/>
            <w:vAlign w:val="bottom"/>
            <w:tcBorders>
              <w:bottom w:val="single" w:sz="8" w:color="auto"/>
            </w:tcBorders>
            <w:vMerge w:val="continue"/>
            <w:shd w:val="clear" w:color="auto" w:fill="F7F7F7"/>
          </w:tcPr>
          <w:p>
            <w:pPr>
              <w:spacing w:after="0"/>
              <w:rPr>
                <w:sz w:val="6"/>
                <w:szCs w:val="6"/>
                <w:color w:val="auto"/>
              </w:rPr>
            </w:pPr>
          </w:p>
        </w:tc>
        <w:tc>
          <w:tcPr>
            <w:tcW w:w="640" w:type="dxa"/>
            <w:vAlign w:val="bottom"/>
            <w:tcBorders>
              <w:bottom w:val="single" w:sz="8" w:color="auto"/>
            </w:tcBorders>
            <w:vMerge w:val="continue"/>
            <w:shd w:val="clear" w:color="auto" w:fill="F7F7F7"/>
          </w:tcPr>
          <w:p>
            <w:pPr>
              <w:spacing w:after="0"/>
              <w:rPr>
                <w:sz w:val="6"/>
                <w:szCs w:val="6"/>
                <w:color w:val="auto"/>
              </w:rPr>
            </w:pPr>
          </w:p>
        </w:tc>
        <w:tc>
          <w:tcPr>
            <w:tcW w:w="200" w:type="dxa"/>
            <w:vAlign w:val="bottom"/>
            <w:tcBorders>
              <w:bottom w:val="single" w:sz="8" w:color="auto"/>
            </w:tcBorders>
            <w:vMerge w:val="continue"/>
            <w:shd w:val="clear" w:color="auto" w:fill="F7F7F7"/>
          </w:tcPr>
          <w:p>
            <w:pPr>
              <w:spacing w:after="0"/>
              <w:rPr>
                <w:sz w:val="6"/>
                <w:szCs w:val="6"/>
                <w:color w:val="auto"/>
              </w:rPr>
            </w:pPr>
          </w:p>
        </w:tc>
        <w:tc>
          <w:tcPr>
            <w:tcW w:w="940" w:type="dxa"/>
            <w:vAlign w:val="bottom"/>
            <w:tcBorders>
              <w:bottom w:val="single" w:sz="8" w:color="auto"/>
            </w:tcBorders>
            <w:vMerge w:val="continue"/>
            <w:shd w:val="clear" w:color="auto" w:fill="F7F7F7"/>
          </w:tcPr>
          <w:p>
            <w:pPr>
              <w:spacing w:after="0"/>
              <w:rPr>
                <w:sz w:val="6"/>
                <w:szCs w:val="6"/>
                <w:color w:val="auto"/>
              </w:rPr>
            </w:pPr>
          </w:p>
        </w:tc>
        <w:tc>
          <w:tcPr>
            <w:tcW w:w="0" w:type="dxa"/>
            <w:vAlign w:val="bottom"/>
          </w:tcPr>
          <w:p>
            <w:pPr>
              <w:spacing w:after="0"/>
              <w:rPr>
                <w:sz w:val="1"/>
                <w:szCs w:val="1"/>
                <w:color w:val="auto"/>
              </w:rPr>
            </w:pPr>
          </w:p>
        </w:tc>
      </w:tr>
      <w:tr>
        <w:trPr>
          <w:trHeight w:val="39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RSU</w:t>
            </w: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tcPr>
          <w:p>
            <w:pPr>
              <w:ind w:left="1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274,122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 xml:space="preserve">5,249,436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7F7F7"/>
          </w:tcPr>
          <w:p>
            <w:pPr>
              <w:spacing w:after="0"/>
              <w:rPr>
                <w:sz w:val="24"/>
                <w:szCs w:val="24"/>
                <w:color w:val="auto"/>
              </w:rPr>
            </w:pPr>
          </w:p>
        </w:tc>
        <w:tc>
          <w:tcPr>
            <w:tcW w:w="17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b w:val="1"/>
                <w:bCs w:val="1"/>
                <w:color w:val="auto"/>
              </w:rPr>
              <w:t>Eric Bach</w:t>
            </w:r>
          </w:p>
        </w:tc>
        <w:tc>
          <w:tcPr>
            <w:tcW w:w="800" w:type="dxa"/>
            <w:vAlign w:val="bottom"/>
            <w:tcBorders>
              <w:bottom w:val="single" w:sz="8" w:color="auto"/>
            </w:tcBorders>
            <w:shd w:val="clear" w:color="auto" w:fill="F7F7F7"/>
          </w:tcPr>
          <w:p>
            <w:pPr>
              <w:jc w:val="right"/>
              <w:ind w:right="6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gridSpan w:val="3"/>
            <w:shd w:val="clear" w:color="auto" w:fill="F7F7F7"/>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F7F7F7"/>
          </w:tcPr>
          <w:p>
            <w:pPr>
              <w:ind w:left="200"/>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80" w:type="dxa"/>
            <w:vAlign w:val="bottom"/>
            <w:tcBorders>
              <w:bottom w:val="single" w:sz="8" w:color="auto"/>
            </w:tcBorders>
            <w:shd w:val="clear" w:color="auto" w:fill="F7F7F7"/>
          </w:tcPr>
          <w:p>
            <w:pPr>
              <w:spacing w:after="0"/>
              <w:rPr>
                <w:sz w:val="24"/>
                <w:szCs w:val="24"/>
                <w:color w:val="auto"/>
              </w:rPr>
            </w:pPr>
          </w:p>
        </w:tc>
        <w:tc>
          <w:tcPr>
            <w:tcW w:w="340" w:type="dxa"/>
            <w:vAlign w:val="bottom"/>
            <w:tcBorders>
              <w:bottom w:val="single" w:sz="8" w:color="auto"/>
            </w:tcBorders>
            <w:shd w:val="clear" w:color="auto" w:fill="F7F7F7"/>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00" w:type="dxa"/>
            <w:vAlign w:val="bottom"/>
            <w:tcBorders>
              <w:bottom w:val="single" w:sz="8" w:color="auto"/>
            </w:tcBorders>
            <w:shd w:val="clear" w:color="auto" w:fill="F7F7F7"/>
          </w:tcPr>
          <w:p>
            <w:pPr>
              <w:spacing w:after="0"/>
              <w:rPr>
                <w:sz w:val="24"/>
                <w:szCs w:val="24"/>
                <w:color w:val="auto"/>
              </w:rPr>
            </w:pPr>
          </w:p>
        </w:tc>
        <w:tc>
          <w:tcPr>
            <w:tcW w:w="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tcBorders>
              <w:bottom w:val="single" w:sz="8" w:color="auto"/>
            </w:tcBorders>
            <w:shd w:val="clear" w:color="auto" w:fill="F7F7F7"/>
          </w:tcPr>
          <w:p>
            <w:pPr>
              <w:ind w:left="300"/>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40" w:type="dxa"/>
            <w:vAlign w:val="bottom"/>
            <w:tcBorders>
              <w:bottom w:val="single" w:sz="8" w:color="auto"/>
            </w:tcBorders>
            <w:shd w:val="clear" w:color="auto" w:fill="F7F7F7"/>
          </w:tcPr>
          <w:p>
            <w:pPr>
              <w:spacing w:after="0"/>
              <w:rPr>
                <w:sz w:val="24"/>
                <w:szCs w:val="24"/>
                <w:color w:val="auto"/>
              </w:rPr>
            </w:pPr>
          </w:p>
        </w:tc>
        <w:tc>
          <w:tcPr>
            <w:tcW w:w="16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F7F7F7"/>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2022 Annual Cash</w:t>
            </w: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Incentive</w:t>
            </w:r>
            <w:r>
              <w:rPr>
                <w:rFonts w:ascii="Arial" w:cs="Arial" w:eastAsia="Arial" w:hAnsi="Arial"/>
                <w:sz w:val="17"/>
                <w:szCs w:val="17"/>
                <w:color w:val="auto"/>
                <w:vertAlign w:val="superscript"/>
              </w:rPr>
              <w:t>(1)</w:t>
            </w:r>
          </w:p>
        </w:tc>
        <w:tc>
          <w:tcPr>
            <w:tcW w:w="800" w:type="dxa"/>
            <w:vAlign w:val="bottom"/>
            <w:vMerge w:val="restart"/>
          </w:tcPr>
          <w:p>
            <w:pPr>
              <w:jc w:val="right"/>
              <w:ind w:right="63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40"/>
              <w:spacing w:after="0" w:line="32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196,875</w:t>
            </w:r>
          </w:p>
        </w:tc>
        <w:tc>
          <w:tcPr>
            <w:tcW w:w="60" w:type="dxa"/>
            <w:vAlign w:val="bottom"/>
          </w:tcPr>
          <w:p>
            <w:pPr>
              <w:spacing w:after="0"/>
              <w:rPr>
                <w:sz w:val="20"/>
                <w:szCs w:val="20"/>
                <w:color w:val="auto"/>
              </w:rPr>
            </w:pPr>
          </w:p>
        </w:tc>
        <w:tc>
          <w:tcPr>
            <w:tcW w:w="800" w:type="dxa"/>
            <w:vAlign w:val="bottom"/>
            <w:gridSpan w:val="2"/>
            <w:vMerge w:val="restart"/>
          </w:tcPr>
          <w:p>
            <w:pPr>
              <w:jc w:val="right"/>
              <w:spacing w:after="0" w:line="32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​393,750</w:t>
            </w:r>
            <w:r>
              <w:rPr>
                <w:rFonts w:ascii="Arial" w:cs="Arial" w:eastAsia="Arial" w:hAnsi="Arial"/>
                <w:sz w:val="28"/>
                <w:szCs w:val="28"/>
                <w:color w:val="auto"/>
                <w:vertAlign w:val="subscript"/>
              </w:rPr>
              <w:t>​​</w:t>
            </w:r>
          </w:p>
        </w:tc>
        <w:tc>
          <w:tcPr>
            <w:tcW w:w="600" w:type="dxa"/>
            <w:vAlign w:val="bottom"/>
            <w:vMerge w:val="restart"/>
          </w:tcPr>
          <w:p>
            <w:pPr>
              <w:ind w:left="40"/>
              <w:spacing w:after="0" w:line="32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​590,625</w:t>
            </w:r>
          </w:p>
        </w:tc>
        <w:tc>
          <w:tcPr>
            <w:tcW w:w="60" w:type="dxa"/>
            <w:vAlign w:val="bottom"/>
          </w:tcPr>
          <w:p>
            <w:pPr>
              <w:spacing w:after="0"/>
              <w:rPr>
                <w:sz w:val="20"/>
                <w:szCs w:val="20"/>
                <w:color w:val="auto"/>
              </w:rPr>
            </w:pPr>
          </w:p>
        </w:tc>
        <w:tc>
          <w:tcPr>
            <w:tcW w:w="2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4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gridSpan w:val="2"/>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gridSpan w:val="2"/>
            <w:vMerge w:val="continue"/>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3"/>
            <w:vMerge w:val="continue"/>
          </w:tcPr>
          <w:p>
            <w:pPr>
              <w:spacing w:after="0"/>
              <w:rPr>
                <w:sz w:val="6"/>
                <w:szCs w:val="6"/>
                <w:color w:val="auto"/>
              </w:rPr>
            </w:pPr>
          </w:p>
        </w:tc>
        <w:tc>
          <w:tcPr>
            <w:tcW w:w="36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gridSpan w:val="2"/>
            <w:vMerge w:val="continue"/>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7F7F7"/>
          </w:tcPr>
          <w:p>
            <w:pPr>
              <w:spacing w:after="0"/>
              <w:rPr>
                <w:sz w:val="24"/>
                <w:szCs w:val="24"/>
                <w:color w:val="auto"/>
              </w:rPr>
            </w:pPr>
          </w:p>
        </w:tc>
        <w:tc>
          <w:tcPr>
            <w:tcW w:w="17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RSU</w:t>
            </w:r>
          </w:p>
        </w:tc>
        <w:tc>
          <w:tcPr>
            <w:tcW w:w="900" w:type="dxa"/>
            <w:vAlign w:val="bottom"/>
            <w:tcBorders>
              <w:bottom w:val="single" w:sz="8" w:color="auto"/>
            </w:tcBorders>
            <w:gridSpan w:val="3"/>
            <w:shd w:val="clear" w:color="auto" w:fill="F7F7F7"/>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F7F7F7"/>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gridSpan w:val="4"/>
            <w:shd w:val="clear" w:color="auto" w:fill="F7F7F7"/>
          </w:tcPr>
          <w:p>
            <w:pPr>
              <w:jc w:val="right"/>
              <w:ind w:right="100"/>
              <w:spacing w:after="0"/>
              <w:rPr>
                <w:sz w:val="20"/>
                <w:szCs w:val="20"/>
                <w:color w:val="auto"/>
              </w:rPr>
            </w:pPr>
            <w:r>
              <w:rPr>
                <w:rFonts w:ascii="Arial" w:cs="Arial" w:eastAsia="Arial" w:hAnsi="Arial"/>
                <w:sz w:val="14"/>
                <w:szCs w:val="14"/>
                <w:color w:val="auto"/>
              </w:rPr>
              <w:t>​ ​​​</w:t>
            </w:r>
          </w:p>
        </w:tc>
        <w:tc>
          <w:tcPr>
            <w:tcW w:w="360" w:type="dxa"/>
            <w:vAlign w:val="bottom"/>
            <w:tcBorders>
              <w:bottom w:val="single" w:sz="8" w:color="auto"/>
            </w:tcBorders>
            <w:shd w:val="clear" w:color="auto" w:fill="F7F7F7"/>
          </w:tcPr>
          <w:p>
            <w:pPr>
              <w:ind w:left="200"/>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80" w:type="dxa"/>
            <w:vAlign w:val="bottom"/>
            <w:tcBorders>
              <w:bottom w:val="single" w:sz="8" w:color="auto"/>
            </w:tcBorders>
            <w:shd w:val="clear" w:color="auto" w:fill="F7F7F7"/>
          </w:tcPr>
          <w:p>
            <w:pPr>
              <w:spacing w:after="0"/>
              <w:rPr>
                <w:sz w:val="24"/>
                <w:szCs w:val="24"/>
                <w:color w:val="auto"/>
              </w:rPr>
            </w:pPr>
          </w:p>
        </w:tc>
        <w:tc>
          <w:tcPr>
            <w:tcW w:w="340" w:type="dxa"/>
            <w:vAlign w:val="bottom"/>
            <w:tcBorders>
              <w:bottom w:val="single" w:sz="8" w:color="auto"/>
            </w:tcBorders>
            <w:shd w:val="clear" w:color="auto" w:fill="F7F7F7"/>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00" w:type="dxa"/>
            <w:vAlign w:val="bottom"/>
            <w:tcBorders>
              <w:bottom w:val="single" w:sz="8" w:color="auto"/>
            </w:tcBorders>
            <w:shd w:val="clear" w:color="auto" w:fill="F7F7F7"/>
          </w:tcPr>
          <w:p>
            <w:pPr>
              <w:spacing w:after="0"/>
              <w:rPr>
                <w:sz w:val="24"/>
                <w:szCs w:val="24"/>
                <w:color w:val="auto"/>
              </w:rPr>
            </w:pPr>
          </w:p>
        </w:tc>
        <w:tc>
          <w:tcPr>
            <w:tcW w:w="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tcBorders>
              <w:bottom w:val="single" w:sz="8" w:color="auto"/>
            </w:tcBorders>
            <w:shd w:val="clear" w:color="auto" w:fill="F7F7F7"/>
          </w:tcPr>
          <w:p>
            <w:pPr>
              <w:ind w:left="300"/>
              <w:spacing w:after="0"/>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40" w:type="dxa"/>
            <w:vAlign w:val="bottom"/>
            <w:tcBorders>
              <w:bottom w:val="single" w:sz="8" w:color="auto"/>
            </w:tcBorders>
            <w:shd w:val="clear" w:color="auto" w:fill="F7F7F7"/>
          </w:tcPr>
          <w:p>
            <w:pPr>
              <w:spacing w:after="0"/>
              <w:rPr>
                <w:sz w:val="24"/>
                <w:szCs w:val="24"/>
                <w:color w:val="auto"/>
              </w:rPr>
            </w:pPr>
          </w:p>
        </w:tc>
        <w:tc>
          <w:tcPr>
            <w:tcW w:w="160" w:type="dxa"/>
            <w:vAlign w:val="bottom"/>
            <w:tcBorders>
              <w:bottom w:val="single" w:sz="8" w:color="auto"/>
            </w:tcBorders>
            <w:gridSpan w:val="2"/>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F7F7F7"/>
          </w:tcPr>
          <w:p>
            <w:pPr>
              <w:ind w:left="1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274,122</w:t>
            </w:r>
          </w:p>
        </w:tc>
        <w:tc>
          <w:tcPr>
            <w:tcW w:w="2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jc w:val="right"/>
              <w:ind w:right="91"/>
              <w:spacing w:after="0"/>
              <w:rPr>
                <w:sz w:val="20"/>
                <w:szCs w:val="20"/>
                <w:color w:val="auto"/>
              </w:rPr>
            </w:pPr>
            <w:r>
              <w:rPr>
                <w:rFonts w:ascii="Arial" w:cs="Arial" w:eastAsia="Arial" w:hAnsi="Arial"/>
                <w:sz w:val="14"/>
                <w:szCs w:val="14"/>
                <w:color w:val="auto"/>
              </w:rPr>
              <w:t xml:space="preserve">5,249,436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Michael Bell</w:t>
            </w:r>
          </w:p>
        </w:tc>
        <w:tc>
          <w:tcPr>
            <w:tcW w:w="80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8"/>
        </w:trPr>
        <w:tc>
          <w:tcPr>
            <w:tcW w:w="60" w:type="dxa"/>
            <w:vAlign w:val="bottom"/>
            <w:shd w:val="clear" w:color="auto" w:fill="F7F7F7"/>
          </w:tcPr>
          <w:p>
            <w:pPr>
              <w:spacing w:after="0"/>
              <w:rPr>
                <w:sz w:val="23"/>
                <w:szCs w:val="23"/>
                <w:color w:val="auto"/>
              </w:rPr>
            </w:pPr>
          </w:p>
        </w:tc>
        <w:tc>
          <w:tcPr>
            <w:tcW w:w="100" w:type="dxa"/>
            <w:vAlign w:val="bottom"/>
            <w:shd w:val="clear" w:color="auto" w:fill="F7F7F7"/>
          </w:tcPr>
          <w:p>
            <w:pPr>
              <w:spacing w:after="0"/>
              <w:rPr>
                <w:sz w:val="23"/>
                <w:szCs w:val="23"/>
                <w:color w:val="auto"/>
              </w:rPr>
            </w:pPr>
          </w:p>
        </w:tc>
        <w:tc>
          <w:tcPr>
            <w:tcW w:w="1740" w:type="dxa"/>
            <w:vAlign w:val="bottom"/>
            <w:shd w:val="clear" w:color="auto" w:fill="F7F7F7"/>
          </w:tcPr>
          <w:p>
            <w:pPr>
              <w:spacing w:after="0"/>
              <w:rPr>
                <w:sz w:val="20"/>
                <w:szCs w:val="20"/>
                <w:color w:val="auto"/>
              </w:rPr>
            </w:pPr>
            <w:r>
              <w:rPr>
                <w:rFonts w:ascii="Arial" w:cs="Arial" w:eastAsia="Arial" w:hAnsi="Arial"/>
                <w:sz w:val="14"/>
                <w:szCs w:val="14"/>
                <w:color w:val="auto"/>
              </w:rPr>
              <w:t>2022 Annual Cash</w:t>
            </w:r>
          </w:p>
        </w:tc>
        <w:tc>
          <w:tcPr>
            <w:tcW w:w="800" w:type="dxa"/>
            <w:vAlign w:val="bottom"/>
            <w:shd w:val="clear" w:color="auto" w:fill="F7F7F7"/>
          </w:tcPr>
          <w:p>
            <w:pPr>
              <w:spacing w:after="0"/>
              <w:rPr>
                <w:sz w:val="23"/>
                <w:szCs w:val="23"/>
                <w:color w:val="auto"/>
              </w:rPr>
            </w:pPr>
          </w:p>
        </w:tc>
        <w:tc>
          <w:tcPr>
            <w:tcW w:w="4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64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420" w:type="dxa"/>
            <w:vAlign w:val="bottom"/>
            <w:shd w:val="clear" w:color="auto" w:fill="F7F7F7"/>
          </w:tcPr>
          <w:p>
            <w:pPr>
              <w:spacing w:after="0"/>
              <w:rPr>
                <w:sz w:val="23"/>
                <w:szCs w:val="23"/>
                <w:color w:val="auto"/>
              </w:rPr>
            </w:pPr>
          </w:p>
        </w:tc>
        <w:tc>
          <w:tcPr>
            <w:tcW w:w="380" w:type="dxa"/>
            <w:vAlign w:val="bottom"/>
            <w:shd w:val="clear" w:color="auto" w:fill="F7F7F7"/>
          </w:tcPr>
          <w:p>
            <w:pPr>
              <w:spacing w:after="0"/>
              <w:rPr>
                <w:sz w:val="23"/>
                <w:szCs w:val="23"/>
                <w:color w:val="auto"/>
              </w:rPr>
            </w:pPr>
          </w:p>
        </w:tc>
        <w:tc>
          <w:tcPr>
            <w:tcW w:w="60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40" w:type="dxa"/>
            <w:vAlign w:val="bottom"/>
            <w:shd w:val="clear" w:color="auto" w:fill="F7F7F7"/>
          </w:tcPr>
          <w:p>
            <w:pPr>
              <w:spacing w:after="0"/>
              <w:rPr>
                <w:sz w:val="23"/>
                <w:szCs w:val="23"/>
                <w:color w:val="auto"/>
              </w:rPr>
            </w:pPr>
          </w:p>
        </w:tc>
        <w:tc>
          <w:tcPr>
            <w:tcW w:w="120" w:type="dxa"/>
            <w:vAlign w:val="bottom"/>
            <w:shd w:val="clear" w:color="auto" w:fill="F7F7F7"/>
          </w:tcPr>
          <w:p>
            <w:pPr>
              <w:spacing w:after="0"/>
              <w:rPr>
                <w:sz w:val="23"/>
                <w:szCs w:val="23"/>
                <w:color w:val="auto"/>
              </w:rPr>
            </w:pPr>
          </w:p>
        </w:tc>
        <w:tc>
          <w:tcPr>
            <w:tcW w:w="360" w:type="dxa"/>
            <w:vAlign w:val="bottom"/>
            <w:shd w:val="clear" w:color="auto" w:fill="F7F7F7"/>
          </w:tcPr>
          <w:p>
            <w:pPr>
              <w:spacing w:after="0"/>
              <w:rPr>
                <w:sz w:val="23"/>
                <w:szCs w:val="23"/>
                <w:color w:val="auto"/>
              </w:rPr>
            </w:pPr>
          </w:p>
        </w:tc>
        <w:tc>
          <w:tcPr>
            <w:tcW w:w="180" w:type="dxa"/>
            <w:vAlign w:val="bottom"/>
            <w:shd w:val="clear" w:color="auto" w:fill="F7F7F7"/>
          </w:tcPr>
          <w:p>
            <w:pPr>
              <w:spacing w:after="0"/>
              <w:rPr>
                <w:sz w:val="23"/>
                <w:szCs w:val="23"/>
                <w:color w:val="auto"/>
              </w:rPr>
            </w:pPr>
          </w:p>
        </w:tc>
        <w:tc>
          <w:tcPr>
            <w:tcW w:w="340" w:type="dxa"/>
            <w:vAlign w:val="bottom"/>
            <w:shd w:val="clear" w:color="auto" w:fill="F7F7F7"/>
          </w:tcPr>
          <w:p>
            <w:pPr>
              <w:spacing w:after="0"/>
              <w:rPr>
                <w:sz w:val="23"/>
                <w:szCs w:val="23"/>
                <w:color w:val="auto"/>
              </w:rPr>
            </w:pPr>
          </w:p>
        </w:tc>
        <w:tc>
          <w:tcPr>
            <w:tcW w:w="240" w:type="dxa"/>
            <w:vAlign w:val="bottom"/>
            <w:shd w:val="clear" w:color="auto" w:fill="F7F7F7"/>
          </w:tcPr>
          <w:p>
            <w:pPr>
              <w:spacing w:after="0"/>
              <w:rPr>
                <w:sz w:val="23"/>
                <w:szCs w:val="23"/>
                <w:color w:val="auto"/>
              </w:rPr>
            </w:pPr>
          </w:p>
        </w:tc>
        <w:tc>
          <w:tcPr>
            <w:tcW w:w="200" w:type="dxa"/>
            <w:vAlign w:val="bottom"/>
            <w:shd w:val="clear" w:color="auto" w:fill="F7F7F7"/>
          </w:tcPr>
          <w:p>
            <w:pPr>
              <w:spacing w:after="0"/>
              <w:rPr>
                <w:sz w:val="23"/>
                <w:szCs w:val="23"/>
                <w:color w:val="auto"/>
              </w:rPr>
            </w:pPr>
          </w:p>
        </w:tc>
        <w:tc>
          <w:tcPr>
            <w:tcW w:w="80" w:type="dxa"/>
            <w:vAlign w:val="bottom"/>
            <w:shd w:val="clear" w:color="auto" w:fill="F7F7F7"/>
          </w:tcPr>
          <w:p>
            <w:pPr>
              <w:spacing w:after="0"/>
              <w:rPr>
                <w:sz w:val="23"/>
                <w:szCs w:val="23"/>
                <w:color w:val="auto"/>
              </w:rPr>
            </w:pPr>
          </w:p>
        </w:tc>
        <w:tc>
          <w:tcPr>
            <w:tcW w:w="460" w:type="dxa"/>
            <w:vAlign w:val="bottom"/>
            <w:shd w:val="clear" w:color="auto" w:fill="F7F7F7"/>
          </w:tcPr>
          <w:p>
            <w:pPr>
              <w:spacing w:after="0"/>
              <w:rPr>
                <w:sz w:val="23"/>
                <w:szCs w:val="23"/>
                <w:color w:val="auto"/>
              </w:rPr>
            </w:pPr>
          </w:p>
        </w:tc>
        <w:tc>
          <w:tcPr>
            <w:tcW w:w="240" w:type="dxa"/>
            <w:vAlign w:val="bottom"/>
            <w:shd w:val="clear" w:color="auto" w:fill="F7F7F7"/>
          </w:tcPr>
          <w:p>
            <w:pPr>
              <w:spacing w:after="0"/>
              <w:rPr>
                <w:sz w:val="23"/>
                <w:szCs w:val="23"/>
                <w:color w:val="auto"/>
              </w:rPr>
            </w:pPr>
          </w:p>
        </w:tc>
        <w:tc>
          <w:tcPr>
            <w:tcW w:w="120" w:type="dxa"/>
            <w:vAlign w:val="bottom"/>
            <w:tcBorders>
              <w:right w:val="single" w:sz="8" w:color="F7F7F7"/>
            </w:tcBorders>
            <w:shd w:val="clear" w:color="auto" w:fill="F7F7F7"/>
          </w:tcPr>
          <w:p>
            <w:pPr>
              <w:spacing w:after="0"/>
              <w:rPr>
                <w:sz w:val="23"/>
                <w:szCs w:val="23"/>
                <w:color w:val="auto"/>
              </w:rPr>
            </w:pPr>
          </w:p>
        </w:tc>
        <w:tc>
          <w:tcPr>
            <w:tcW w:w="40" w:type="dxa"/>
            <w:vAlign w:val="bottom"/>
            <w:shd w:val="clear" w:color="auto" w:fill="F7F7F7"/>
          </w:tcPr>
          <w:p>
            <w:pPr>
              <w:spacing w:after="0"/>
              <w:rPr>
                <w:sz w:val="23"/>
                <w:szCs w:val="23"/>
                <w:color w:val="auto"/>
              </w:rPr>
            </w:pPr>
          </w:p>
        </w:tc>
        <w:tc>
          <w:tcPr>
            <w:tcW w:w="160" w:type="dxa"/>
            <w:vAlign w:val="bottom"/>
            <w:shd w:val="clear" w:color="auto" w:fill="F7F7F7"/>
          </w:tcPr>
          <w:p>
            <w:pPr>
              <w:spacing w:after="0"/>
              <w:rPr>
                <w:sz w:val="23"/>
                <w:szCs w:val="23"/>
                <w:color w:val="auto"/>
              </w:rPr>
            </w:pPr>
          </w:p>
        </w:tc>
        <w:tc>
          <w:tcPr>
            <w:tcW w:w="640" w:type="dxa"/>
            <w:vAlign w:val="bottom"/>
            <w:shd w:val="clear" w:color="auto" w:fill="F7F7F7"/>
          </w:tcPr>
          <w:p>
            <w:pPr>
              <w:spacing w:after="0"/>
              <w:rPr>
                <w:sz w:val="23"/>
                <w:szCs w:val="23"/>
                <w:color w:val="auto"/>
              </w:rPr>
            </w:pPr>
          </w:p>
        </w:tc>
        <w:tc>
          <w:tcPr>
            <w:tcW w:w="200" w:type="dxa"/>
            <w:vAlign w:val="bottom"/>
            <w:shd w:val="clear" w:color="auto" w:fill="F7F7F7"/>
          </w:tcPr>
          <w:p>
            <w:pPr>
              <w:spacing w:after="0"/>
              <w:rPr>
                <w:sz w:val="23"/>
                <w:szCs w:val="23"/>
                <w:color w:val="auto"/>
              </w:rPr>
            </w:pPr>
          </w:p>
        </w:tc>
        <w:tc>
          <w:tcPr>
            <w:tcW w:w="940" w:type="dxa"/>
            <w:vAlign w:val="bottom"/>
            <w:shd w:val="clear" w:color="auto" w:fill="F7F7F7"/>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0"/>
                <w:szCs w:val="20"/>
                <w:color w:val="auto"/>
              </w:rPr>
            </w:pPr>
          </w:p>
        </w:tc>
        <w:tc>
          <w:tcPr>
            <w:tcW w:w="1740" w:type="dxa"/>
            <w:vAlign w:val="bottom"/>
            <w:shd w:val="clear" w:color="auto" w:fill="F7F7F7"/>
          </w:tcPr>
          <w:p>
            <w:pPr>
              <w:spacing w:after="0"/>
              <w:rPr>
                <w:sz w:val="20"/>
                <w:szCs w:val="20"/>
                <w:color w:val="auto"/>
              </w:rPr>
            </w:pPr>
            <w:r>
              <w:rPr>
                <w:rFonts w:ascii="Arial" w:cs="Arial" w:eastAsia="Arial" w:hAnsi="Arial"/>
                <w:sz w:val="14"/>
                <w:szCs w:val="14"/>
                <w:color w:val="auto"/>
              </w:rPr>
              <w:t>Incentive</w:t>
            </w:r>
            <w:r>
              <w:rPr>
                <w:rFonts w:ascii="Arial" w:cs="Arial" w:eastAsia="Arial" w:hAnsi="Arial"/>
                <w:sz w:val="17"/>
                <w:szCs w:val="17"/>
                <w:color w:val="auto"/>
                <w:vertAlign w:val="superscript"/>
              </w:rPr>
              <w:t>(1)</w:t>
            </w:r>
          </w:p>
        </w:tc>
        <w:tc>
          <w:tcPr>
            <w:tcW w:w="800" w:type="dxa"/>
            <w:vAlign w:val="bottom"/>
            <w:vMerge w:val="restart"/>
            <w:shd w:val="clear" w:color="auto" w:fill="F7F7F7"/>
          </w:tcPr>
          <w:p>
            <w:pPr>
              <w:jc w:val="right"/>
              <w:ind w:right="63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F7F7F7"/>
          </w:tcPr>
          <w:p>
            <w:pPr>
              <w:ind w:left="40"/>
              <w:spacing w:after="0" w:line="32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196,875</w:t>
            </w:r>
          </w:p>
        </w:tc>
        <w:tc>
          <w:tcPr>
            <w:tcW w:w="60" w:type="dxa"/>
            <w:vAlign w:val="bottom"/>
            <w:shd w:val="clear" w:color="auto" w:fill="F7F7F7"/>
          </w:tcPr>
          <w:p>
            <w:pPr>
              <w:spacing w:after="0"/>
              <w:rPr>
                <w:sz w:val="20"/>
                <w:szCs w:val="20"/>
                <w:color w:val="auto"/>
              </w:rPr>
            </w:pPr>
          </w:p>
        </w:tc>
        <w:tc>
          <w:tcPr>
            <w:tcW w:w="800" w:type="dxa"/>
            <w:vAlign w:val="bottom"/>
            <w:gridSpan w:val="2"/>
            <w:vMerge w:val="restart"/>
            <w:shd w:val="clear" w:color="auto" w:fill="F7F7F7"/>
          </w:tcPr>
          <w:p>
            <w:pPr>
              <w:jc w:val="right"/>
              <w:spacing w:after="0" w:line="32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​393,750</w:t>
            </w:r>
            <w:r>
              <w:rPr>
                <w:rFonts w:ascii="Arial" w:cs="Arial" w:eastAsia="Arial" w:hAnsi="Arial"/>
                <w:sz w:val="28"/>
                <w:szCs w:val="28"/>
                <w:color w:val="auto"/>
                <w:vertAlign w:val="subscript"/>
              </w:rPr>
              <w:t>​​</w:t>
            </w:r>
          </w:p>
        </w:tc>
        <w:tc>
          <w:tcPr>
            <w:tcW w:w="600" w:type="dxa"/>
            <w:vAlign w:val="bottom"/>
            <w:vMerge w:val="restart"/>
            <w:shd w:val="clear" w:color="auto" w:fill="F7F7F7"/>
          </w:tcPr>
          <w:p>
            <w:pPr>
              <w:ind w:left="40"/>
              <w:spacing w:after="0" w:line="32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​590,625</w:t>
            </w:r>
          </w:p>
        </w:tc>
        <w:tc>
          <w:tcPr>
            <w:tcW w:w="60" w:type="dxa"/>
            <w:vAlign w:val="bottom"/>
            <w:shd w:val="clear" w:color="auto" w:fill="F7F7F7"/>
          </w:tcPr>
          <w:p>
            <w:pPr>
              <w:spacing w:after="0"/>
              <w:rPr>
                <w:sz w:val="20"/>
                <w:szCs w:val="20"/>
                <w:color w:val="auto"/>
              </w:rPr>
            </w:pPr>
          </w:p>
        </w:tc>
        <w:tc>
          <w:tcPr>
            <w:tcW w:w="220" w:type="dxa"/>
            <w:vAlign w:val="bottom"/>
            <w:gridSpan w:val="3"/>
            <w:vMerge w:val="restart"/>
            <w:shd w:val="clear" w:color="auto" w:fill="F7F7F7"/>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F7F7F7"/>
          </w:tcPr>
          <w:p>
            <w:pPr>
              <w:ind w:left="200"/>
              <w:spacing w:after="0" w:line="32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180" w:type="dxa"/>
            <w:vAlign w:val="bottom"/>
            <w:shd w:val="clear" w:color="auto" w:fill="F7F7F7"/>
          </w:tcPr>
          <w:p>
            <w:pPr>
              <w:spacing w:after="0"/>
              <w:rPr>
                <w:sz w:val="20"/>
                <w:szCs w:val="20"/>
                <w:color w:val="auto"/>
              </w:rPr>
            </w:pPr>
          </w:p>
        </w:tc>
        <w:tc>
          <w:tcPr>
            <w:tcW w:w="340" w:type="dxa"/>
            <w:vAlign w:val="bottom"/>
            <w:vMerge w:val="restart"/>
            <w:shd w:val="clear" w:color="auto" w:fill="F7F7F7"/>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F7F7F7"/>
          </w:tcPr>
          <w:p>
            <w:pPr>
              <w:ind w:left="80"/>
              <w:spacing w:after="0" w:line="32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00" w:type="dxa"/>
            <w:vAlign w:val="bottom"/>
            <w:shd w:val="clear" w:color="auto" w:fill="F7F7F7"/>
          </w:tcPr>
          <w:p>
            <w:pPr>
              <w:spacing w:after="0"/>
              <w:rPr>
                <w:sz w:val="20"/>
                <w:szCs w:val="20"/>
                <w:color w:val="auto"/>
              </w:rPr>
            </w:pPr>
          </w:p>
        </w:tc>
        <w:tc>
          <w:tcPr>
            <w:tcW w:w="80" w:type="dxa"/>
            <w:vAlign w:val="bottom"/>
            <w:vMerge w:val="restart"/>
            <w:shd w:val="clear" w:color="auto" w:fill="F7F7F7"/>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vMerge w:val="restart"/>
            <w:shd w:val="clear" w:color="auto" w:fill="F7F7F7"/>
          </w:tcPr>
          <w:p>
            <w:pPr>
              <w:ind w:left="300"/>
              <w:spacing w:after="0" w:line="320" w:lineRule="exact"/>
              <w:rPr>
                <w:sz w:val="20"/>
                <w:szCs w:val="20"/>
                <w:color w:val="auto"/>
              </w:rPr>
            </w:pPr>
            <w:r>
              <w:rPr>
                <w:rFonts w:ascii="Arial" w:cs="Arial" w:eastAsia="Arial" w:hAnsi="Arial"/>
                <w:sz w:val="28"/>
                <w:szCs w:val="28"/>
                <w:color w:val="auto"/>
                <w:w w:val="99"/>
                <w:vertAlign w:val="subscript"/>
              </w:rPr>
              <w:t>​</w:t>
            </w:r>
            <w:r>
              <w:rPr>
                <w:rFonts w:ascii="Arial" w:cs="Arial" w:eastAsia="Arial" w:hAnsi="Arial"/>
                <w:sz w:val="14"/>
                <w:szCs w:val="14"/>
                <w:color w:val="auto"/>
                <w:w w:val="99"/>
              </w:rPr>
              <w:t>​—</w:t>
            </w:r>
          </w:p>
        </w:tc>
        <w:tc>
          <w:tcPr>
            <w:tcW w:w="240" w:type="dxa"/>
            <w:vAlign w:val="bottom"/>
            <w:shd w:val="clear" w:color="auto" w:fill="F7F7F7"/>
          </w:tcPr>
          <w:p>
            <w:pPr>
              <w:spacing w:after="0"/>
              <w:rPr>
                <w:sz w:val="20"/>
                <w:szCs w:val="20"/>
                <w:color w:val="auto"/>
              </w:rPr>
            </w:pPr>
          </w:p>
        </w:tc>
        <w:tc>
          <w:tcPr>
            <w:tcW w:w="160" w:type="dxa"/>
            <w:vAlign w:val="bottom"/>
            <w:gridSpan w:val="2"/>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F7F7F7"/>
          </w:tcPr>
          <w:p>
            <w:pPr>
              <w:ind w:left="120"/>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940" w:type="dxa"/>
            <w:vAlign w:val="bottom"/>
            <w:vMerge w:val="restart"/>
            <w:shd w:val="clear" w:color="auto" w:fill="F7F7F7"/>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60" w:type="dxa"/>
            <w:vAlign w:val="bottom"/>
            <w:tcBorders>
              <w:bottom w:val="single" w:sz="8" w:color="auto"/>
            </w:tcBorders>
            <w:vMerge w:val="continue"/>
            <w:shd w:val="clear" w:color="auto" w:fill="F7F7F7"/>
          </w:tcPr>
          <w:p>
            <w:pPr>
              <w:spacing w:after="0"/>
              <w:rPr>
                <w:sz w:val="6"/>
                <w:szCs w:val="6"/>
                <w:color w:val="auto"/>
              </w:rPr>
            </w:pPr>
          </w:p>
        </w:tc>
        <w:tc>
          <w:tcPr>
            <w:tcW w:w="100" w:type="dxa"/>
            <w:vAlign w:val="bottom"/>
            <w:tcBorders>
              <w:bottom w:val="single" w:sz="8" w:color="auto"/>
            </w:tcBorders>
            <w:shd w:val="clear" w:color="auto" w:fill="F7F7F7"/>
          </w:tcPr>
          <w:p>
            <w:pPr>
              <w:spacing w:after="0"/>
              <w:rPr>
                <w:sz w:val="6"/>
                <w:szCs w:val="6"/>
                <w:color w:val="auto"/>
              </w:rPr>
            </w:pPr>
          </w:p>
        </w:tc>
        <w:tc>
          <w:tcPr>
            <w:tcW w:w="1740" w:type="dxa"/>
            <w:vAlign w:val="bottom"/>
            <w:tcBorders>
              <w:bottom w:val="single" w:sz="8" w:color="auto"/>
            </w:tcBorders>
            <w:shd w:val="clear" w:color="auto" w:fill="F7F7F7"/>
          </w:tcPr>
          <w:p>
            <w:pPr>
              <w:spacing w:after="0"/>
              <w:rPr>
                <w:sz w:val="6"/>
                <w:szCs w:val="6"/>
                <w:color w:val="auto"/>
              </w:rPr>
            </w:pPr>
          </w:p>
        </w:tc>
        <w:tc>
          <w:tcPr>
            <w:tcW w:w="800" w:type="dxa"/>
            <w:vAlign w:val="bottom"/>
            <w:tcBorders>
              <w:bottom w:val="single" w:sz="8" w:color="auto"/>
            </w:tcBorders>
            <w:vMerge w:val="continue"/>
            <w:shd w:val="clear" w:color="auto" w:fill="F7F7F7"/>
          </w:tcPr>
          <w:p>
            <w:pPr>
              <w:spacing w:after="0"/>
              <w:rPr>
                <w:sz w:val="6"/>
                <w:szCs w:val="6"/>
                <w:color w:val="auto"/>
              </w:rPr>
            </w:pPr>
          </w:p>
        </w:tc>
        <w:tc>
          <w:tcPr>
            <w:tcW w:w="100" w:type="dxa"/>
            <w:vAlign w:val="bottom"/>
            <w:tcBorders>
              <w:bottom w:val="single" w:sz="8" w:color="auto"/>
            </w:tcBorders>
            <w:gridSpan w:val="2"/>
            <w:vMerge w:val="continue"/>
            <w:shd w:val="clear" w:color="auto" w:fill="F7F7F7"/>
          </w:tcPr>
          <w:p>
            <w:pPr>
              <w:spacing w:after="0"/>
              <w:rPr>
                <w:sz w:val="6"/>
                <w:szCs w:val="6"/>
                <w:color w:val="auto"/>
              </w:rPr>
            </w:pPr>
          </w:p>
        </w:tc>
        <w:tc>
          <w:tcPr>
            <w:tcW w:w="640" w:type="dxa"/>
            <w:vAlign w:val="bottom"/>
            <w:tcBorders>
              <w:bottom w:val="single" w:sz="8" w:color="auto"/>
            </w:tcBorders>
            <w:vMerge w:val="continue"/>
            <w:shd w:val="clear" w:color="auto" w:fill="F7F7F7"/>
          </w:tcPr>
          <w:p>
            <w:pPr>
              <w:spacing w:after="0"/>
              <w:rPr>
                <w:sz w:val="6"/>
                <w:szCs w:val="6"/>
                <w:color w:val="auto"/>
              </w:rPr>
            </w:pPr>
          </w:p>
        </w:tc>
        <w:tc>
          <w:tcPr>
            <w:tcW w:w="60" w:type="dxa"/>
            <w:vAlign w:val="bottom"/>
            <w:tcBorders>
              <w:bottom w:val="single" w:sz="8" w:color="auto"/>
            </w:tcBorders>
            <w:shd w:val="clear" w:color="auto" w:fill="F7F7F7"/>
          </w:tcPr>
          <w:p>
            <w:pPr>
              <w:spacing w:after="0"/>
              <w:rPr>
                <w:sz w:val="6"/>
                <w:szCs w:val="6"/>
                <w:color w:val="auto"/>
              </w:rPr>
            </w:pPr>
          </w:p>
        </w:tc>
        <w:tc>
          <w:tcPr>
            <w:tcW w:w="800" w:type="dxa"/>
            <w:vAlign w:val="bottom"/>
            <w:tcBorders>
              <w:bottom w:val="single" w:sz="8" w:color="auto"/>
            </w:tcBorders>
            <w:gridSpan w:val="2"/>
            <w:vMerge w:val="continue"/>
            <w:shd w:val="clear" w:color="auto" w:fill="F7F7F7"/>
          </w:tcPr>
          <w:p>
            <w:pPr>
              <w:spacing w:after="0"/>
              <w:rPr>
                <w:sz w:val="6"/>
                <w:szCs w:val="6"/>
                <w:color w:val="auto"/>
              </w:rPr>
            </w:pPr>
          </w:p>
        </w:tc>
        <w:tc>
          <w:tcPr>
            <w:tcW w:w="600" w:type="dxa"/>
            <w:vAlign w:val="bottom"/>
            <w:tcBorders>
              <w:bottom w:val="single" w:sz="8" w:color="auto"/>
            </w:tcBorders>
            <w:vMerge w:val="continue"/>
            <w:shd w:val="clear" w:color="auto" w:fill="F7F7F7"/>
          </w:tcPr>
          <w:p>
            <w:pPr>
              <w:spacing w:after="0"/>
              <w:rPr>
                <w:sz w:val="6"/>
                <w:szCs w:val="6"/>
                <w:color w:val="auto"/>
              </w:rPr>
            </w:pPr>
          </w:p>
        </w:tc>
        <w:tc>
          <w:tcPr>
            <w:tcW w:w="60" w:type="dxa"/>
            <w:vAlign w:val="bottom"/>
            <w:tcBorders>
              <w:bottom w:val="single" w:sz="8" w:color="auto"/>
            </w:tcBorders>
            <w:shd w:val="clear" w:color="auto" w:fill="F7F7F7"/>
          </w:tcPr>
          <w:p>
            <w:pPr>
              <w:spacing w:after="0"/>
              <w:rPr>
                <w:sz w:val="6"/>
                <w:szCs w:val="6"/>
                <w:color w:val="auto"/>
              </w:rPr>
            </w:pPr>
          </w:p>
        </w:tc>
        <w:tc>
          <w:tcPr>
            <w:tcW w:w="220" w:type="dxa"/>
            <w:vAlign w:val="bottom"/>
            <w:tcBorders>
              <w:bottom w:val="single" w:sz="8" w:color="auto"/>
            </w:tcBorders>
            <w:gridSpan w:val="3"/>
            <w:vMerge w:val="continue"/>
            <w:shd w:val="clear" w:color="auto" w:fill="F7F7F7"/>
          </w:tcPr>
          <w:p>
            <w:pPr>
              <w:spacing w:after="0"/>
              <w:rPr>
                <w:sz w:val="6"/>
                <w:szCs w:val="6"/>
                <w:color w:val="auto"/>
              </w:rPr>
            </w:pPr>
          </w:p>
        </w:tc>
        <w:tc>
          <w:tcPr>
            <w:tcW w:w="360" w:type="dxa"/>
            <w:vAlign w:val="bottom"/>
            <w:tcBorders>
              <w:bottom w:val="single" w:sz="8" w:color="auto"/>
            </w:tcBorders>
            <w:vMerge w:val="continue"/>
            <w:shd w:val="clear" w:color="auto" w:fill="F7F7F7"/>
          </w:tcPr>
          <w:p>
            <w:pPr>
              <w:spacing w:after="0"/>
              <w:rPr>
                <w:sz w:val="6"/>
                <w:szCs w:val="6"/>
                <w:color w:val="auto"/>
              </w:rPr>
            </w:pPr>
          </w:p>
        </w:tc>
        <w:tc>
          <w:tcPr>
            <w:tcW w:w="180" w:type="dxa"/>
            <w:vAlign w:val="bottom"/>
            <w:tcBorders>
              <w:bottom w:val="single" w:sz="8" w:color="auto"/>
            </w:tcBorders>
            <w:shd w:val="clear" w:color="auto" w:fill="F7F7F7"/>
          </w:tcPr>
          <w:p>
            <w:pPr>
              <w:spacing w:after="0"/>
              <w:rPr>
                <w:sz w:val="6"/>
                <w:szCs w:val="6"/>
                <w:color w:val="auto"/>
              </w:rPr>
            </w:pPr>
          </w:p>
        </w:tc>
        <w:tc>
          <w:tcPr>
            <w:tcW w:w="340" w:type="dxa"/>
            <w:vAlign w:val="bottom"/>
            <w:tcBorders>
              <w:bottom w:val="single" w:sz="8" w:color="auto"/>
            </w:tcBorders>
            <w:vMerge w:val="continue"/>
            <w:shd w:val="clear" w:color="auto" w:fill="F7F7F7"/>
          </w:tcPr>
          <w:p>
            <w:pPr>
              <w:spacing w:after="0"/>
              <w:rPr>
                <w:sz w:val="6"/>
                <w:szCs w:val="6"/>
                <w:color w:val="auto"/>
              </w:rPr>
            </w:pPr>
          </w:p>
        </w:tc>
        <w:tc>
          <w:tcPr>
            <w:tcW w:w="240" w:type="dxa"/>
            <w:vAlign w:val="bottom"/>
            <w:tcBorders>
              <w:bottom w:val="single" w:sz="8" w:color="auto"/>
            </w:tcBorders>
            <w:vMerge w:val="continue"/>
            <w:shd w:val="clear" w:color="auto" w:fill="F7F7F7"/>
          </w:tcPr>
          <w:p>
            <w:pPr>
              <w:spacing w:after="0"/>
              <w:rPr>
                <w:sz w:val="6"/>
                <w:szCs w:val="6"/>
                <w:color w:val="auto"/>
              </w:rPr>
            </w:pPr>
          </w:p>
        </w:tc>
        <w:tc>
          <w:tcPr>
            <w:tcW w:w="200" w:type="dxa"/>
            <w:vAlign w:val="bottom"/>
            <w:tcBorders>
              <w:bottom w:val="single" w:sz="8" w:color="auto"/>
            </w:tcBorders>
            <w:shd w:val="clear" w:color="auto" w:fill="F7F7F7"/>
          </w:tcPr>
          <w:p>
            <w:pPr>
              <w:spacing w:after="0"/>
              <w:rPr>
                <w:sz w:val="6"/>
                <w:szCs w:val="6"/>
                <w:color w:val="auto"/>
              </w:rPr>
            </w:pPr>
          </w:p>
        </w:tc>
        <w:tc>
          <w:tcPr>
            <w:tcW w:w="80" w:type="dxa"/>
            <w:vAlign w:val="bottom"/>
            <w:tcBorders>
              <w:bottom w:val="single" w:sz="8" w:color="auto"/>
            </w:tcBorders>
            <w:vMerge w:val="continue"/>
            <w:shd w:val="clear" w:color="auto" w:fill="F7F7F7"/>
          </w:tcPr>
          <w:p>
            <w:pPr>
              <w:spacing w:after="0"/>
              <w:rPr>
                <w:sz w:val="6"/>
                <w:szCs w:val="6"/>
                <w:color w:val="auto"/>
              </w:rPr>
            </w:pPr>
          </w:p>
        </w:tc>
        <w:tc>
          <w:tcPr>
            <w:tcW w:w="460" w:type="dxa"/>
            <w:vAlign w:val="bottom"/>
            <w:tcBorders>
              <w:bottom w:val="single" w:sz="8" w:color="auto"/>
            </w:tcBorders>
            <w:vMerge w:val="continue"/>
            <w:shd w:val="clear" w:color="auto" w:fill="F7F7F7"/>
          </w:tcPr>
          <w:p>
            <w:pPr>
              <w:spacing w:after="0"/>
              <w:rPr>
                <w:sz w:val="6"/>
                <w:szCs w:val="6"/>
                <w:color w:val="auto"/>
              </w:rPr>
            </w:pPr>
          </w:p>
        </w:tc>
        <w:tc>
          <w:tcPr>
            <w:tcW w:w="240" w:type="dxa"/>
            <w:vAlign w:val="bottom"/>
            <w:tcBorders>
              <w:bottom w:val="single" w:sz="8" w:color="auto"/>
            </w:tcBorders>
            <w:shd w:val="clear" w:color="auto" w:fill="F7F7F7"/>
          </w:tcPr>
          <w:p>
            <w:pPr>
              <w:spacing w:after="0"/>
              <w:rPr>
                <w:sz w:val="6"/>
                <w:szCs w:val="6"/>
                <w:color w:val="auto"/>
              </w:rPr>
            </w:pPr>
          </w:p>
        </w:tc>
        <w:tc>
          <w:tcPr>
            <w:tcW w:w="160" w:type="dxa"/>
            <w:vAlign w:val="bottom"/>
            <w:tcBorders>
              <w:bottom w:val="single" w:sz="8" w:color="auto"/>
            </w:tcBorders>
            <w:gridSpan w:val="2"/>
            <w:vMerge w:val="continue"/>
            <w:shd w:val="clear" w:color="auto" w:fill="F7F7F7"/>
          </w:tcPr>
          <w:p>
            <w:pPr>
              <w:spacing w:after="0"/>
              <w:rPr>
                <w:sz w:val="6"/>
                <w:szCs w:val="6"/>
                <w:color w:val="auto"/>
              </w:rPr>
            </w:pPr>
          </w:p>
        </w:tc>
        <w:tc>
          <w:tcPr>
            <w:tcW w:w="160" w:type="dxa"/>
            <w:vAlign w:val="bottom"/>
            <w:tcBorders>
              <w:bottom w:val="single" w:sz="8" w:color="auto"/>
            </w:tcBorders>
            <w:vMerge w:val="continue"/>
            <w:shd w:val="clear" w:color="auto" w:fill="F7F7F7"/>
          </w:tcPr>
          <w:p>
            <w:pPr>
              <w:spacing w:after="0"/>
              <w:rPr>
                <w:sz w:val="6"/>
                <w:szCs w:val="6"/>
                <w:color w:val="auto"/>
              </w:rPr>
            </w:pPr>
          </w:p>
        </w:tc>
        <w:tc>
          <w:tcPr>
            <w:tcW w:w="640" w:type="dxa"/>
            <w:vAlign w:val="bottom"/>
            <w:tcBorders>
              <w:bottom w:val="single" w:sz="8" w:color="auto"/>
            </w:tcBorders>
            <w:vMerge w:val="continue"/>
            <w:shd w:val="clear" w:color="auto" w:fill="F7F7F7"/>
          </w:tcPr>
          <w:p>
            <w:pPr>
              <w:spacing w:after="0"/>
              <w:rPr>
                <w:sz w:val="6"/>
                <w:szCs w:val="6"/>
                <w:color w:val="auto"/>
              </w:rPr>
            </w:pPr>
          </w:p>
        </w:tc>
        <w:tc>
          <w:tcPr>
            <w:tcW w:w="200" w:type="dxa"/>
            <w:vAlign w:val="bottom"/>
            <w:tcBorders>
              <w:bottom w:val="single" w:sz="8" w:color="auto"/>
            </w:tcBorders>
            <w:vMerge w:val="continue"/>
            <w:shd w:val="clear" w:color="auto" w:fill="F7F7F7"/>
          </w:tcPr>
          <w:p>
            <w:pPr>
              <w:spacing w:after="0"/>
              <w:rPr>
                <w:sz w:val="6"/>
                <w:szCs w:val="6"/>
                <w:color w:val="auto"/>
              </w:rPr>
            </w:pPr>
          </w:p>
        </w:tc>
        <w:tc>
          <w:tcPr>
            <w:tcW w:w="940" w:type="dxa"/>
            <w:vAlign w:val="bottom"/>
            <w:tcBorders>
              <w:bottom w:val="single" w:sz="8" w:color="auto"/>
            </w:tcBorders>
            <w:vMerge w:val="continue"/>
            <w:shd w:val="clear" w:color="auto" w:fill="F7F7F7"/>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RSU</w:t>
            </w:r>
          </w:p>
        </w:tc>
        <w:tc>
          <w:tcPr>
            <w:tcW w:w="800" w:type="dxa"/>
            <w:vAlign w:val="bottom"/>
          </w:tcPr>
          <w:p>
            <w:pPr>
              <w:jc w:val="right"/>
              <w:spacing w:after="0"/>
              <w:rPr>
                <w:sz w:val="20"/>
                <w:szCs w:val="20"/>
                <w:color w:val="auto"/>
              </w:rPr>
            </w:pPr>
            <w:r>
              <w:rPr>
                <w:rFonts w:ascii="Arial" w:cs="Arial" w:eastAsia="Arial" w:hAnsi="Arial"/>
                <w:sz w:val="14"/>
                <w:szCs w:val="14"/>
                <w:color w:val="auto"/>
              </w:rPr>
              <w:t>​06/06/2022</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0" w:type="dxa"/>
            <w:vAlign w:val="bottom"/>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Pr>
          <w:p>
            <w:pPr>
              <w:ind w:lef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460" w:type="dxa"/>
            <w:vAlign w:val="bottom"/>
          </w:tcPr>
          <w:p>
            <w:pPr>
              <w:ind w:lef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1"/>
              <w:spacing w:after="0"/>
              <w:rPr>
                <w:sz w:val="20"/>
                <w:szCs w:val="20"/>
                <w:color w:val="auto"/>
              </w:rPr>
            </w:pPr>
            <w:r>
              <w:rPr>
                <w:rFonts w:ascii="Arial" w:cs="Arial" w:eastAsia="Arial" w:hAnsi="Arial"/>
                <w:sz w:val="14"/>
                <w:szCs w:val="14"/>
                <w:color w:val="auto"/>
              </w:rPr>
              <w:t>​ 274,122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91"/>
              <w:spacing w:after="0"/>
              <w:rPr>
                <w:sz w:val="20"/>
                <w:szCs w:val="20"/>
                <w:color w:val="auto"/>
              </w:rPr>
            </w:pPr>
            <w:r>
              <w:rPr>
                <w:rFonts w:ascii="Arial" w:cs="Arial" w:eastAsia="Arial" w:hAnsi="Arial"/>
                <w:sz w:val="14"/>
                <w:szCs w:val="14"/>
                <w:color w:val="auto"/>
              </w:rPr>
              <w:t>5,249,436</w:t>
            </w:r>
          </w:p>
        </w:tc>
        <w:tc>
          <w:tcPr>
            <w:tcW w:w="0" w:type="dxa"/>
            <w:vAlign w:val="bottom"/>
          </w:tcPr>
          <w:p>
            <w:pPr>
              <w:spacing w:after="0"/>
              <w:rPr>
                <w:sz w:val="1"/>
                <w:szCs w:val="1"/>
                <w:color w:val="auto"/>
              </w:rPr>
            </w:pPr>
          </w:p>
        </w:tc>
      </w:tr>
      <w:tr>
        <w:trPr>
          <w:trHeight w:val="148"/>
        </w:trPr>
        <w:tc>
          <w:tcPr>
            <w:tcW w:w="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3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gridSpan w:val="2"/>
            <w:vMerge w:val="continue"/>
          </w:tcPr>
          <w:p>
            <w:pPr>
              <w:spacing w:after="0"/>
              <w:rPr>
                <w:sz w:val="12"/>
                <w:szCs w:val="12"/>
                <w:color w:val="auto"/>
              </w:rPr>
            </w:pPr>
          </w:p>
        </w:tc>
        <w:tc>
          <w:tcPr>
            <w:tcW w:w="64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89"/>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gridSpan w:val="3"/>
            <w:vMerge w:val="continue"/>
          </w:tcPr>
          <w:p>
            <w:pPr>
              <w:spacing w:after="0"/>
              <w:rPr>
                <w:sz w:val="12"/>
                <w:szCs w:val="12"/>
                <w:color w:val="auto"/>
              </w:rPr>
            </w:pPr>
          </w:p>
        </w:tc>
        <w:tc>
          <w:tcPr>
            <w:tcW w:w="36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tcPr>
          <w:p>
            <w:pPr>
              <w:ind w:left="30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-4208145</wp:posOffset>
            </wp:positionV>
            <wp:extent cx="5863590" cy="814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63590" cy="814705"/>
                    </a:xfrm>
                    <a:prstGeom prst="rect">
                      <a:avLst/>
                    </a:prstGeom>
                    <a:noFill/>
                  </pic:spPr>
                </pic:pic>
              </a:graphicData>
            </a:graphic>
          </wp:anchor>
        </w:drawing>
      </w:r>
    </w:p>
    <w:p>
      <w:pPr>
        <w:spacing w:after="0" w:line="247" w:lineRule="exact"/>
        <w:rPr>
          <w:sz w:val="20"/>
          <w:szCs w:val="20"/>
          <w:color w:val="auto"/>
        </w:rPr>
      </w:pPr>
    </w:p>
    <w:p>
      <w:pPr>
        <w:ind w:left="780" w:hanging="126"/>
        <w:spacing w:after="0"/>
        <w:tabs>
          <w:tab w:leader="none" w:pos="780" w:val="left"/>
        </w:tabs>
        <w:numPr>
          <w:ilvl w:val="0"/>
          <w:numId w:val="37"/>
        </w:numPr>
        <w:rPr>
          <w:rFonts w:ascii="Arial" w:cs="Arial" w:eastAsia="Arial" w:hAnsi="Arial"/>
          <w:sz w:val="15"/>
          <w:szCs w:val="15"/>
          <w:color w:val="auto"/>
          <w:vertAlign w:val="superscript"/>
        </w:rPr>
      </w:pPr>
      <w:r>
        <w:rPr>
          <w:rFonts w:ascii="Arial" w:cs="Arial" w:eastAsia="Arial" w:hAnsi="Arial"/>
          <w:sz w:val="10"/>
          <w:szCs w:val="10"/>
          <w:color w:val="auto"/>
        </w:rPr>
        <w:t>For Ms. House and Messrs. Bach and Bell, amounts adjusted to reflect base salary increases effective June 6, 2022.</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37"/>
        </w:numPr>
        <w:rPr>
          <w:rFonts w:ascii="Arial" w:cs="Arial" w:eastAsia="Arial" w:hAnsi="Arial"/>
          <w:sz w:val="15"/>
          <w:szCs w:val="15"/>
          <w:color w:val="auto"/>
          <w:vertAlign w:val="superscript"/>
        </w:rPr>
      </w:pPr>
      <w:r>
        <w:rPr>
          <w:rFonts w:ascii="Arial" w:cs="Arial" w:eastAsia="Arial" w:hAnsi="Arial"/>
          <w:sz w:val="10"/>
          <w:szCs w:val="10"/>
          <w:color w:val="auto"/>
        </w:rPr>
        <w:t>Represents the grant date fair value of RSUs granted during 2022, calculated in accordance with FASB ASC Topic 718.</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​56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EFEFE"/>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Outstanding Equity Awards at Fiscal Year-End</w:t>
      </w:r>
    </w:p>
    <w:p>
      <w:pPr>
        <w:spacing w:after="0" w:line="200" w:lineRule="exact"/>
        <w:rPr>
          <w:sz w:val="20"/>
          <w:szCs w:val="20"/>
          <w:color w:val="auto"/>
        </w:rPr>
      </w:pP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14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4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60" w:type="dxa"/>
            <w:vAlign w:val="bottom"/>
            <w:gridSpan w:val="2"/>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20" w:type="dxa"/>
            <w:vAlign w:val="bottom"/>
            <w:gridSpan w:val="2"/>
            <w:shd w:val="clear" w:color="auto" w:fill="000000"/>
          </w:tcPr>
          <w:p>
            <w:pPr>
              <w:jc w:val="center"/>
              <w:ind w:right="12"/>
              <w:spacing w:after="0"/>
              <w:rPr>
                <w:sz w:val="20"/>
                <w:szCs w:val="20"/>
                <w:color w:val="auto"/>
              </w:rPr>
            </w:pPr>
            <w:r>
              <w:rPr>
                <w:rFonts w:ascii="Arial" w:cs="Arial" w:eastAsia="Arial" w:hAnsi="Arial"/>
                <w:sz w:val="13"/>
                <w:szCs w:val="13"/>
                <w:b w:val="1"/>
                <w:bCs w:val="1"/>
                <w:color w:val="FEFEFE"/>
              </w:rPr>
              <w:t>​</w:t>
            </w:r>
          </w:p>
        </w:tc>
        <w:tc>
          <w:tcPr>
            <w:tcW w:w="740" w:type="dxa"/>
            <w:vAlign w:val="bottom"/>
            <w:shd w:val="clear" w:color="auto" w:fill="000000"/>
          </w:tcPr>
          <w:p>
            <w:pPr>
              <w:spacing w:after="0"/>
              <w:rPr>
                <w:sz w:val="16"/>
                <w:szCs w:val="16"/>
                <w:color w:val="auto"/>
              </w:rPr>
            </w:pPr>
          </w:p>
        </w:tc>
        <w:tc>
          <w:tcPr>
            <w:tcW w:w="160" w:type="dxa"/>
            <w:vAlign w:val="bottom"/>
            <w:shd w:val="clear" w:color="auto" w:fill="000000"/>
          </w:tcPr>
          <w:p>
            <w:pPr>
              <w:spacing w:after="0"/>
              <w:rPr>
                <w:sz w:val="16"/>
                <w:szCs w:val="16"/>
                <w:color w:val="auto"/>
              </w:rPr>
            </w:pPr>
          </w:p>
        </w:tc>
        <w:tc>
          <w:tcPr>
            <w:tcW w:w="280" w:type="dxa"/>
            <w:vAlign w:val="bottom"/>
            <w:shd w:val="clear" w:color="auto" w:fill="000000"/>
          </w:tcPr>
          <w:p>
            <w:pPr>
              <w:spacing w:after="0"/>
              <w:rPr>
                <w:sz w:val="16"/>
                <w:szCs w:val="16"/>
                <w:color w:val="auto"/>
              </w:rPr>
            </w:pPr>
          </w:p>
        </w:tc>
        <w:tc>
          <w:tcPr>
            <w:tcW w:w="1220" w:type="dxa"/>
            <w:vAlign w:val="bottom"/>
            <w:gridSpan w:val="4"/>
            <w:vMerge w:val="restart"/>
            <w:shd w:val="clear" w:color="auto" w:fill="000000"/>
          </w:tcPr>
          <w:p>
            <w:pPr>
              <w:ind w:left="80"/>
              <w:spacing w:after="0"/>
              <w:rPr>
                <w:sz w:val="20"/>
                <w:szCs w:val="20"/>
                <w:color w:val="auto"/>
              </w:rPr>
            </w:pPr>
            <w:r>
              <w:rPr>
                <w:rFonts w:ascii="Arial" w:cs="Arial" w:eastAsia="Arial" w:hAnsi="Arial"/>
                <w:sz w:val="13"/>
                <w:szCs w:val="13"/>
                <w:b w:val="1"/>
                <w:bCs w:val="1"/>
                <w:color w:val="FEFEFE"/>
              </w:rPr>
              <w:t>Option Awards</w:t>
            </w:r>
          </w:p>
        </w:tc>
        <w:tc>
          <w:tcPr>
            <w:tcW w:w="8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6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680" w:type="dxa"/>
            <w:vAlign w:val="bottom"/>
            <w:shd w:val="clear" w:color="auto" w:fill="000000"/>
          </w:tcPr>
          <w:p>
            <w:pPr>
              <w:spacing w:after="0"/>
              <w:rPr>
                <w:sz w:val="16"/>
                <w:szCs w:val="16"/>
                <w:color w:val="auto"/>
              </w:rPr>
            </w:pPr>
          </w:p>
        </w:tc>
        <w:tc>
          <w:tcPr>
            <w:tcW w:w="10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000000"/>
          </w:tcPr>
          <w:p>
            <w:pPr>
              <w:spacing w:after="0"/>
              <w:rPr>
                <w:sz w:val="16"/>
                <w:szCs w:val="16"/>
                <w:color w:val="auto"/>
              </w:rPr>
            </w:pPr>
          </w:p>
        </w:tc>
        <w:tc>
          <w:tcPr>
            <w:tcW w:w="680" w:type="dxa"/>
            <w:vAlign w:val="bottom"/>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760" w:type="dxa"/>
            <w:vAlign w:val="bottom"/>
            <w:gridSpan w:val="4"/>
            <w:vMerge w:val="restart"/>
            <w:shd w:val="clear" w:color="auto" w:fill="000000"/>
          </w:tcPr>
          <w:p>
            <w:pPr>
              <w:ind w:left="440"/>
              <w:spacing w:after="0"/>
              <w:rPr>
                <w:sz w:val="20"/>
                <w:szCs w:val="20"/>
                <w:color w:val="auto"/>
              </w:rPr>
            </w:pPr>
            <w:r>
              <w:rPr>
                <w:rFonts w:ascii="Arial" w:cs="Arial" w:eastAsia="Arial" w:hAnsi="Arial"/>
                <w:sz w:val="13"/>
                <w:szCs w:val="13"/>
                <w:b w:val="1"/>
                <w:bCs w:val="1"/>
                <w:color w:val="FEFEFE"/>
              </w:rPr>
              <w:t>Stock Awards</w:t>
            </w:r>
          </w:p>
        </w:tc>
        <w:tc>
          <w:tcPr>
            <w:tcW w:w="16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700" w:type="dxa"/>
            <w:vAlign w:val="bottom"/>
            <w:shd w:val="clear" w:color="auto" w:fill="000000"/>
          </w:tcPr>
          <w:p>
            <w:pPr>
              <w:spacing w:after="0"/>
              <w:rPr>
                <w:sz w:val="16"/>
                <w:szCs w:val="16"/>
                <w:color w:val="auto"/>
              </w:rPr>
            </w:pPr>
          </w:p>
        </w:tc>
        <w:tc>
          <w:tcPr>
            <w:tcW w:w="20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17"/>
        </w:trPr>
        <w:tc>
          <w:tcPr>
            <w:tcW w:w="140" w:type="dxa"/>
            <w:vAlign w:val="bottom"/>
            <w:shd w:val="clear" w:color="auto" w:fill="000000"/>
          </w:tcPr>
          <w:p>
            <w:pPr>
              <w:spacing w:after="0"/>
              <w:rPr>
                <w:sz w:val="10"/>
                <w:szCs w:val="10"/>
                <w:color w:val="auto"/>
              </w:rPr>
            </w:pPr>
          </w:p>
        </w:tc>
        <w:tc>
          <w:tcPr>
            <w:tcW w:w="14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74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280" w:type="dxa"/>
            <w:vAlign w:val="bottom"/>
            <w:shd w:val="clear" w:color="auto" w:fill="000000"/>
          </w:tcPr>
          <w:p>
            <w:pPr>
              <w:spacing w:after="0"/>
              <w:rPr>
                <w:sz w:val="10"/>
                <w:szCs w:val="10"/>
                <w:color w:val="auto"/>
              </w:rPr>
            </w:pPr>
          </w:p>
        </w:tc>
        <w:tc>
          <w:tcPr>
            <w:tcW w:w="1220" w:type="dxa"/>
            <w:vAlign w:val="bottom"/>
            <w:gridSpan w:val="4"/>
            <w:vMerge w:val="continue"/>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68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68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760" w:type="dxa"/>
            <w:vAlign w:val="bottom"/>
            <w:gridSpan w:val="4"/>
            <w:vMerge w:val="continue"/>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400" w:type="dxa"/>
            <w:vAlign w:val="bottom"/>
            <w:shd w:val="clear" w:color="auto" w:fill="000000"/>
          </w:tcPr>
          <w:p>
            <w:pPr>
              <w:spacing w:after="0"/>
              <w:rPr>
                <w:sz w:val="10"/>
                <w:szCs w:val="10"/>
                <w:color w:val="auto"/>
              </w:rPr>
            </w:pPr>
          </w:p>
        </w:tc>
        <w:tc>
          <w:tcPr>
            <w:tcW w:w="220" w:type="dxa"/>
            <w:vAlign w:val="bottom"/>
            <w:gridSpan w:val="3"/>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 ​</w:t>
            </w:r>
          </w:p>
        </w:tc>
        <w:tc>
          <w:tcPr>
            <w:tcW w:w="60" w:type="dxa"/>
            <w:vAlign w:val="bottom"/>
            <w:shd w:val="clear" w:color="auto" w:fill="000000"/>
          </w:tcPr>
          <w:p>
            <w:pPr>
              <w:spacing w:after="0"/>
              <w:rPr>
                <w:sz w:val="10"/>
                <w:szCs w:val="10"/>
                <w:color w:val="auto"/>
              </w:rPr>
            </w:pPr>
          </w:p>
        </w:tc>
        <w:tc>
          <w:tcPr>
            <w:tcW w:w="74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280" w:type="dxa"/>
            <w:vAlign w:val="bottom"/>
            <w:shd w:val="clear" w:color="auto" w:fill="000000"/>
          </w:tcPr>
          <w:p>
            <w:pPr>
              <w:spacing w:after="0"/>
              <w:rPr>
                <w:sz w:val="10"/>
                <w:szCs w:val="10"/>
                <w:color w:val="auto"/>
              </w:rPr>
            </w:pPr>
          </w:p>
        </w:tc>
        <w:tc>
          <w:tcPr>
            <w:tcW w:w="56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42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680" w:type="dxa"/>
            <w:vAlign w:val="bottom"/>
            <w:shd w:val="clear" w:color="auto" w:fill="000000"/>
          </w:tcPr>
          <w:p>
            <w:pPr>
              <w:spacing w:after="0"/>
              <w:rPr>
                <w:sz w:val="10"/>
                <w:szCs w:val="10"/>
                <w:color w:val="auto"/>
              </w:rPr>
            </w:pPr>
          </w:p>
        </w:tc>
        <w:tc>
          <w:tcPr>
            <w:tcW w:w="220" w:type="dxa"/>
            <w:vAlign w:val="bottom"/>
            <w:gridSpan w:val="2"/>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rPr>
              <w:t>​ ​</w:t>
            </w:r>
          </w:p>
        </w:tc>
        <w:tc>
          <w:tcPr>
            <w:tcW w:w="80" w:type="dxa"/>
            <w:vAlign w:val="bottom"/>
            <w:shd w:val="clear" w:color="auto" w:fill="000000"/>
          </w:tcPr>
          <w:p>
            <w:pPr>
              <w:spacing w:after="0"/>
              <w:rPr>
                <w:sz w:val="10"/>
                <w:szCs w:val="10"/>
                <w:color w:val="auto"/>
              </w:rPr>
            </w:pPr>
          </w:p>
        </w:tc>
        <w:tc>
          <w:tcPr>
            <w:tcW w:w="780" w:type="dxa"/>
            <w:vAlign w:val="bottom"/>
            <w:gridSpan w:val="2"/>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78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76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200" w:type="dxa"/>
            <w:vAlign w:val="bottom"/>
            <w:vMerge w:val="restart"/>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24"/>
        </w:trPr>
        <w:tc>
          <w:tcPr>
            <w:tcW w:w="140" w:type="dxa"/>
            <w:vAlign w:val="bottom"/>
            <w:vMerge w:val="continue"/>
            <w:shd w:val="clear" w:color="auto" w:fill="000000"/>
          </w:tcPr>
          <w:p>
            <w:pPr>
              <w:spacing w:after="0"/>
              <w:rPr>
                <w:sz w:val="10"/>
                <w:szCs w:val="10"/>
                <w:color w:val="auto"/>
              </w:rPr>
            </w:pPr>
          </w:p>
        </w:tc>
        <w:tc>
          <w:tcPr>
            <w:tcW w:w="140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Name</w:t>
            </w:r>
          </w:p>
        </w:tc>
        <w:tc>
          <w:tcPr>
            <w:tcW w:w="220" w:type="dxa"/>
            <w:vAlign w:val="bottom"/>
            <w:gridSpan w:val="3"/>
            <w:vMerge w:val="continue"/>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740" w:type="dxa"/>
            <w:vAlign w:val="bottom"/>
            <w:vMerge w:val="restart"/>
            <w:shd w:val="clear" w:color="auto" w:fill="000000"/>
          </w:tcPr>
          <w:p>
            <w:pPr>
              <w:jc w:val="center"/>
              <w:ind w:right="32"/>
              <w:spacing w:after="0"/>
              <w:rPr>
                <w:sz w:val="20"/>
                <w:szCs w:val="20"/>
                <w:color w:val="auto"/>
              </w:rPr>
            </w:pPr>
            <w:r>
              <w:rPr>
                <w:rFonts w:ascii="Arial" w:cs="Arial" w:eastAsia="Arial" w:hAnsi="Arial"/>
                <w:sz w:val="13"/>
                <w:szCs w:val="13"/>
                <w:b w:val="1"/>
                <w:bCs w:val="1"/>
                <w:color w:val="FEFEFE"/>
                <w:w w:val="98"/>
              </w:rPr>
              <w:t>Number of</w:t>
            </w:r>
          </w:p>
        </w:tc>
        <w:tc>
          <w:tcPr>
            <w:tcW w:w="160" w:type="dxa"/>
            <w:vAlign w:val="bottom"/>
            <w:shd w:val="clear" w:color="auto" w:fill="000000"/>
          </w:tcPr>
          <w:p>
            <w:pPr>
              <w:jc w:val="right"/>
              <w:spacing w:after="0" w:line="124" w:lineRule="exact"/>
              <w:rPr>
                <w:sz w:val="20"/>
                <w:szCs w:val="20"/>
                <w:color w:val="auto"/>
              </w:rPr>
            </w:pPr>
            <w:r>
              <w:rPr>
                <w:rFonts w:ascii="Arial" w:cs="Arial" w:eastAsia="Arial" w:hAnsi="Arial"/>
                <w:sz w:val="13"/>
                <w:szCs w:val="13"/>
                <w:b w:val="1"/>
                <w:bCs w:val="1"/>
                <w:color w:val="FEFEFE"/>
              </w:rPr>
              <w:t>​ ​</w:t>
            </w:r>
          </w:p>
        </w:tc>
        <w:tc>
          <w:tcPr>
            <w:tcW w:w="840" w:type="dxa"/>
            <w:vAlign w:val="bottom"/>
            <w:gridSpan w:val="2"/>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Number of</w:t>
            </w:r>
          </w:p>
        </w:tc>
        <w:tc>
          <w:tcPr>
            <w:tcW w:w="80" w:type="dxa"/>
            <w:vAlign w:val="bottom"/>
            <w:shd w:val="clear" w:color="auto" w:fill="000000"/>
          </w:tcPr>
          <w:p>
            <w:pPr>
              <w:spacing w:after="0"/>
              <w:rPr>
                <w:sz w:val="10"/>
                <w:szCs w:val="10"/>
                <w:color w:val="auto"/>
              </w:rPr>
            </w:pPr>
          </w:p>
        </w:tc>
        <w:tc>
          <w:tcPr>
            <w:tcW w:w="160" w:type="dxa"/>
            <w:vAlign w:val="bottom"/>
            <w:shd w:val="clear" w:color="auto" w:fill="000000"/>
          </w:tcPr>
          <w:p>
            <w:pPr>
              <w:jc w:val="right"/>
              <w:spacing w:after="0" w:line="124" w:lineRule="exact"/>
              <w:rPr>
                <w:sz w:val="20"/>
                <w:szCs w:val="20"/>
                <w:color w:val="auto"/>
              </w:rPr>
            </w:pPr>
            <w:r>
              <w:rPr>
                <w:rFonts w:ascii="Arial" w:cs="Arial" w:eastAsia="Arial" w:hAnsi="Arial"/>
                <w:sz w:val="13"/>
                <w:szCs w:val="13"/>
                <w:b w:val="1"/>
                <w:bCs w:val="1"/>
                <w:color w:val="FEFEFE"/>
              </w:rPr>
              <w:t>​ ​</w:t>
            </w:r>
          </w:p>
        </w:tc>
        <w:tc>
          <w:tcPr>
            <w:tcW w:w="500" w:type="dxa"/>
            <w:vAlign w:val="bottom"/>
            <w:gridSpan w:val="2"/>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Option</w:t>
            </w:r>
          </w:p>
        </w:tc>
        <w:tc>
          <w:tcPr>
            <w:tcW w:w="80" w:type="dxa"/>
            <w:vAlign w:val="bottom"/>
            <w:shd w:val="clear" w:color="auto" w:fill="000000"/>
          </w:tcPr>
          <w:p>
            <w:pPr>
              <w:spacing w:after="0"/>
              <w:rPr>
                <w:sz w:val="10"/>
                <w:szCs w:val="10"/>
                <w:color w:val="auto"/>
              </w:rPr>
            </w:pPr>
          </w:p>
        </w:tc>
        <w:tc>
          <w:tcPr>
            <w:tcW w:w="160" w:type="dxa"/>
            <w:vAlign w:val="bottom"/>
            <w:shd w:val="clear" w:color="auto" w:fill="000000"/>
          </w:tcPr>
          <w:p>
            <w:pPr>
              <w:jc w:val="center"/>
              <w:spacing w:after="0" w:line="124" w:lineRule="exact"/>
              <w:rPr>
                <w:sz w:val="20"/>
                <w:szCs w:val="20"/>
                <w:color w:val="auto"/>
              </w:rPr>
            </w:pPr>
            <w:r>
              <w:rPr>
                <w:rFonts w:ascii="Arial" w:cs="Arial" w:eastAsia="Arial" w:hAnsi="Arial"/>
                <w:sz w:val="13"/>
                <w:szCs w:val="13"/>
                <w:b w:val="1"/>
                <w:bCs w:val="1"/>
                <w:color w:val="FEFEFE"/>
              </w:rPr>
              <w:t>​ ​</w:t>
            </w:r>
          </w:p>
        </w:tc>
        <w:tc>
          <w:tcPr>
            <w:tcW w:w="80" w:type="dxa"/>
            <w:vAlign w:val="bottom"/>
            <w:shd w:val="clear" w:color="auto" w:fill="000000"/>
          </w:tcPr>
          <w:p>
            <w:pPr>
              <w:spacing w:after="0"/>
              <w:rPr>
                <w:sz w:val="10"/>
                <w:szCs w:val="10"/>
                <w:color w:val="auto"/>
              </w:rPr>
            </w:pPr>
          </w:p>
        </w:tc>
        <w:tc>
          <w:tcPr>
            <w:tcW w:w="680" w:type="dxa"/>
            <w:vAlign w:val="bottom"/>
            <w:shd w:val="clear" w:color="auto" w:fill="000000"/>
          </w:tcPr>
          <w:p>
            <w:pPr>
              <w:spacing w:after="0"/>
              <w:rPr>
                <w:sz w:val="10"/>
                <w:szCs w:val="10"/>
                <w:color w:val="auto"/>
              </w:rPr>
            </w:pPr>
          </w:p>
        </w:tc>
        <w:tc>
          <w:tcPr>
            <w:tcW w:w="220" w:type="dxa"/>
            <w:vAlign w:val="bottom"/>
            <w:gridSpan w:val="2"/>
            <w:vMerge w:val="continue"/>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780" w:type="dxa"/>
            <w:vAlign w:val="bottom"/>
            <w:gridSpan w:val="2"/>
            <w:shd w:val="clear" w:color="auto" w:fill="000000"/>
          </w:tcPr>
          <w:p>
            <w:pPr>
              <w:jc w:val="center"/>
              <w:ind w:left="572"/>
              <w:spacing w:after="0" w:line="124" w:lineRule="exact"/>
              <w:rPr>
                <w:sz w:val="20"/>
                <w:szCs w:val="20"/>
                <w:color w:val="auto"/>
              </w:rPr>
            </w:pPr>
            <w:r>
              <w:rPr>
                <w:rFonts w:ascii="Arial" w:cs="Arial" w:eastAsia="Arial" w:hAnsi="Arial"/>
                <w:sz w:val="13"/>
                <w:szCs w:val="13"/>
                <w:b w:val="1"/>
                <w:bCs w:val="1"/>
                <w:color w:val="FEFEFE"/>
              </w:rPr>
              <w:t>​ ​</w:t>
            </w:r>
          </w:p>
        </w:tc>
        <w:tc>
          <w:tcPr>
            <w:tcW w:w="880" w:type="dxa"/>
            <w:vAlign w:val="bottom"/>
            <w:gridSpan w:val="2"/>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w w:val="94"/>
              </w:rPr>
              <w:t>Market Value</w:t>
            </w:r>
          </w:p>
        </w:tc>
        <w:tc>
          <w:tcPr>
            <w:tcW w:w="160" w:type="dxa"/>
            <w:vAlign w:val="bottom"/>
            <w:shd w:val="clear" w:color="auto" w:fill="000000"/>
          </w:tcPr>
          <w:p>
            <w:pPr>
              <w:jc w:val="center"/>
              <w:spacing w:after="0" w:line="124" w:lineRule="exact"/>
              <w:rPr>
                <w:sz w:val="20"/>
                <w:szCs w:val="20"/>
                <w:color w:val="auto"/>
              </w:rPr>
            </w:pPr>
            <w:r>
              <w:rPr>
                <w:rFonts w:ascii="Arial" w:cs="Arial" w:eastAsia="Arial" w:hAnsi="Arial"/>
                <w:sz w:val="13"/>
                <w:szCs w:val="13"/>
                <w:b w:val="1"/>
                <w:bCs w:val="1"/>
                <w:color w:val="FEFEFE"/>
              </w:rPr>
              <w:t>​ ​</w:t>
            </w:r>
          </w:p>
        </w:tc>
        <w:tc>
          <w:tcPr>
            <w:tcW w:w="60" w:type="dxa"/>
            <w:vAlign w:val="bottom"/>
            <w:shd w:val="clear" w:color="auto" w:fill="000000"/>
          </w:tcPr>
          <w:p>
            <w:pPr>
              <w:spacing w:after="0"/>
              <w:rPr>
                <w:sz w:val="10"/>
                <w:szCs w:val="10"/>
                <w:color w:val="auto"/>
              </w:rPr>
            </w:pPr>
          </w:p>
        </w:tc>
        <w:tc>
          <w:tcPr>
            <w:tcW w:w="760" w:type="dxa"/>
            <w:vAlign w:val="bottom"/>
            <w:vMerge w:val="restart"/>
            <w:shd w:val="clear" w:color="auto" w:fill="000000"/>
          </w:tcPr>
          <w:p>
            <w:pPr>
              <w:jc w:val="center"/>
              <w:ind w:right="34"/>
              <w:spacing w:after="0"/>
              <w:rPr>
                <w:sz w:val="20"/>
                <w:szCs w:val="20"/>
                <w:color w:val="auto"/>
              </w:rPr>
            </w:pPr>
            <w:r>
              <w:rPr>
                <w:rFonts w:ascii="Arial" w:cs="Arial" w:eastAsia="Arial" w:hAnsi="Arial"/>
                <w:sz w:val="13"/>
                <w:szCs w:val="13"/>
                <w:b w:val="1"/>
                <w:bCs w:val="1"/>
                <w:color w:val="FEFEFE"/>
                <w:w w:val="95"/>
              </w:rPr>
              <w:t>Equity</w:t>
            </w:r>
          </w:p>
        </w:tc>
        <w:tc>
          <w:tcPr>
            <w:tcW w:w="160" w:type="dxa"/>
            <w:vAlign w:val="bottom"/>
            <w:shd w:val="clear" w:color="auto" w:fill="000000"/>
          </w:tcPr>
          <w:p>
            <w:pPr>
              <w:jc w:val="center"/>
              <w:spacing w:after="0" w:line="124" w:lineRule="exact"/>
              <w:rPr>
                <w:sz w:val="20"/>
                <w:szCs w:val="20"/>
                <w:color w:val="auto"/>
              </w:rPr>
            </w:pPr>
            <w:r>
              <w:rPr>
                <w:rFonts w:ascii="Arial" w:cs="Arial" w:eastAsia="Arial" w:hAnsi="Arial"/>
                <w:sz w:val="13"/>
                <w:szCs w:val="13"/>
                <w:b w:val="1"/>
                <w:bCs w:val="1"/>
                <w:color w:val="FEFEFE"/>
              </w:rPr>
              <w:t>​ ​</w:t>
            </w:r>
          </w:p>
        </w:tc>
        <w:tc>
          <w:tcPr>
            <w:tcW w:w="80" w:type="dxa"/>
            <w:vAlign w:val="bottom"/>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20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 w:type="dxa"/>
            <w:vAlign w:val="bottom"/>
            <w:shd w:val="clear" w:color="auto" w:fill="000000"/>
          </w:tcPr>
          <w:p>
            <w:pPr>
              <w:spacing w:after="0"/>
              <w:rPr>
                <w:sz w:val="12"/>
                <w:szCs w:val="12"/>
                <w:color w:val="auto"/>
              </w:rPr>
            </w:pPr>
          </w:p>
        </w:tc>
        <w:tc>
          <w:tcPr>
            <w:tcW w:w="1400" w:type="dxa"/>
            <w:vAlign w:val="bottom"/>
            <w:vMerge w:val="continue"/>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vMerge w:val="continue"/>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40" w:type="dxa"/>
            <w:vAlign w:val="bottom"/>
            <w:gridSpan w:val="2"/>
            <w:vMerge w:val="continue"/>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500" w:type="dxa"/>
            <w:vAlign w:val="bottom"/>
            <w:gridSpan w:val="2"/>
            <w:vMerge w:val="continue"/>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780" w:type="dxa"/>
            <w:vAlign w:val="bottom"/>
            <w:gridSpan w:val="2"/>
            <w:shd w:val="clear" w:color="auto" w:fill="000000"/>
          </w:tcPr>
          <w:p>
            <w:pPr>
              <w:jc w:val="center"/>
              <w:ind w:right="93"/>
              <w:spacing w:after="0"/>
              <w:rPr>
                <w:sz w:val="20"/>
                <w:szCs w:val="20"/>
                <w:color w:val="auto"/>
              </w:rPr>
            </w:pPr>
            <w:r>
              <w:rPr>
                <w:rFonts w:ascii="Arial" w:cs="Arial" w:eastAsia="Arial" w:hAnsi="Arial"/>
                <w:sz w:val="13"/>
                <w:szCs w:val="13"/>
                <w:b w:val="1"/>
                <w:bCs w:val="1"/>
                <w:color w:val="FEFEFE"/>
              </w:rPr>
              <w:t>Option</w:t>
            </w:r>
          </w:p>
        </w:tc>
        <w:tc>
          <w:tcPr>
            <w:tcW w:w="120" w:type="dxa"/>
            <w:vAlign w:val="bottom"/>
            <w:shd w:val="clear" w:color="auto" w:fill="000000"/>
          </w:tcPr>
          <w:p>
            <w:pPr>
              <w:spacing w:after="0"/>
              <w:rPr>
                <w:sz w:val="12"/>
                <w:szCs w:val="12"/>
                <w:color w:val="auto"/>
              </w:rPr>
            </w:pPr>
          </w:p>
        </w:tc>
        <w:tc>
          <w:tcPr>
            <w:tcW w:w="760" w:type="dxa"/>
            <w:vAlign w:val="bottom"/>
            <w:gridSpan w:val="2"/>
            <w:shd w:val="clear" w:color="auto" w:fill="000000"/>
          </w:tcPr>
          <w:p>
            <w:pPr>
              <w:ind w:left="20"/>
              <w:spacing w:after="0"/>
              <w:rPr>
                <w:sz w:val="20"/>
                <w:szCs w:val="20"/>
                <w:color w:val="auto"/>
              </w:rPr>
            </w:pPr>
            <w:r>
              <w:rPr>
                <w:rFonts w:ascii="Arial" w:cs="Arial" w:eastAsia="Arial" w:hAnsi="Arial"/>
                <w:sz w:val="13"/>
                <w:szCs w:val="13"/>
                <w:b w:val="1"/>
                <w:bCs w:val="1"/>
                <w:color w:val="FEFEFE"/>
              </w:rPr>
              <w:t>Number of</w:t>
            </w:r>
          </w:p>
        </w:tc>
        <w:tc>
          <w:tcPr>
            <w:tcW w:w="100" w:type="dxa"/>
            <w:vAlign w:val="bottom"/>
            <w:shd w:val="clear" w:color="auto" w:fill="000000"/>
          </w:tcPr>
          <w:p>
            <w:pPr>
              <w:spacing w:after="0"/>
              <w:rPr>
                <w:sz w:val="12"/>
                <w:szCs w:val="12"/>
                <w:color w:val="auto"/>
              </w:rPr>
            </w:pPr>
          </w:p>
        </w:tc>
        <w:tc>
          <w:tcPr>
            <w:tcW w:w="880" w:type="dxa"/>
            <w:vAlign w:val="bottom"/>
            <w:gridSpan w:val="2"/>
            <w:vMerge w:val="continue"/>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vMerge w:val="continue"/>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5"/>
              </w:rPr>
              <w:t>Equity</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jc w:val="center"/>
              <w:ind w:right="32"/>
              <w:spacing w:after="0"/>
              <w:rPr>
                <w:sz w:val="20"/>
                <w:szCs w:val="20"/>
                <w:color w:val="auto"/>
              </w:rPr>
            </w:pPr>
            <w:r>
              <w:rPr>
                <w:rFonts w:ascii="Arial" w:cs="Arial" w:eastAsia="Arial" w:hAnsi="Arial"/>
                <w:sz w:val="13"/>
                <w:szCs w:val="13"/>
                <w:b w:val="1"/>
                <w:bCs w:val="1"/>
                <w:color w:val="FEFEFE"/>
                <w:w w:val="96"/>
              </w:rPr>
              <w:t>Securities</w:t>
            </w:r>
          </w:p>
        </w:tc>
        <w:tc>
          <w:tcPr>
            <w:tcW w:w="160" w:type="dxa"/>
            <w:vAlign w:val="bottom"/>
            <w:shd w:val="clear" w:color="auto" w:fill="000000"/>
          </w:tcPr>
          <w:p>
            <w:pPr>
              <w:spacing w:after="0"/>
              <w:rPr>
                <w:sz w:val="12"/>
                <w:szCs w:val="12"/>
                <w:color w:val="auto"/>
              </w:rPr>
            </w:pPr>
          </w:p>
        </w:tc>
        <w:tc>
          <w:tcPr>
            <w:tcW w:w="8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Securities</w:t>
            </w: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580" w:type="dxa"/>
            <w:vAlign w:val="bottom"/>
            <w:gridSpan w:val="3"/>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Exercise</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780" w:type="dxa"/>
            <w:vAlign w:val="bottom"/>
            <w:gridSpan w:val="2"/>
            <w:shd w:val="clear" w:color="auto" w:fill="000000"/>
          </w:tcPr>
          <w:p>
            <w:pPr>
              <w:jc w:val="center"/>
              <w:ind w:right="93"/>
              <w:spacing w:after="0"/>
              <w:rPr>
                <w:sz w:val="20"/>
                <w:szCs w:val="20"/>
                <w:color w:val="auto"/>
              </w:rPr>
            </w:pPr>
            <w:r>
              <w:rPr>
                <w:rFonts w:ascii="Arial" w:cs="Arial" w:eastAsia="Arial" w:hAnsi="Arial"/>
                <w:sz w:val="13"/>
                <w:szCs w:val="13"/>
                <w:b w:val="1"/>
                <w:bCs w:val="1"/>
                <w:color w:val="FEFEFE"/>
                <w:w w:val="97"/>
              </w:rPr>
              <w:t>Expiration</w:t>
            </w:r>
          </w:p>
        </w:tc>
        <w:tc>
          <w:tcPr>
            <w:tcW w:w="120" w:type="dxa"/>
            <w:vAlign w:val="bottom"/>
            <w:shd w:val="clear" w:color="auto" w:fill="000000"/>
          </w:tcPr>
          <w:p>
            <w:pPr>
              <w:spacing w:after="0"/>
              <w:rPr>
                <w:sz w:val="12"/>
                <w:szCs w:val="12"/>
                <w:color w:val="auto"/>
              </w:rPr>
            </w:pPr>
          </w:p>
        </w:tc>
        <w:tc>
          <w:tcPr>
            <w:tcW w:w="760" w:type="dxa"/>
            <w:vAlign w:val="bottom"/>
            <w:gridSpan w:val="2"/>
            <w:shd w:val="clear" w:color="auto" w:fill="000000"/>
          </w:tcPr>
          <w:p>
            <w:pPr>
              <w:jc w:val="center"/>
              <w:ind w:right="32"/>
              <w:spacing w:after="0"/>
              <w:rPr>
                <w:sz w:val="20"/>
                <w:szCs w:val="20"/>
                <w:color w:val="auto"/>
              </w:rPr>
            </w:pPr>
            <w:r>
              <w:rPr>
                <w:rFonts w:ascii="Arial" w:cs="Arial" w:eastAsia="Arial" w:hAnsi="Arial"/>
                <w:sz w:val="13"/>
                <w:szCs w:val="13"/>
                <w:b w:val="1"/>
                <w:bCs w:val="1"/>
                <w:color w:val="FEFEFE"/>
                <w:w w:val="96"/>
              </w:rPr>
              <w:t>Shares or</w:t>
            </w: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jc w:val="center"/>
              <w:ind w:right="72"/>
              <w:spacing w:after="0"/>
              <w:rPr>
                <w:sz w:val="20"/>
                <w:szCs w:val="20"/>
                <w:color w:val="auto"/>
              </w:rPr>
            </w:pPr>
            <w:r>
              <w:rPr>
                <w:rFonts w:ascii="Arial" w:cs="Arial" w:eastAsia="Arial" w:hAnsi="Arial"/>
                <w:sz w:val="13"/>
                <w:szCs w:val="13"/>
                <w:b w:val="1"/>
                <w:bCs w:val="1"/>
                <w:color w:val="FEFEFE"/>
                <w:w w:val="94"/>
              </w:rPr>
              <w:t>of Shares</w:t>
            </w: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34"/>
              <w:spacing w:after="0"/>
              <w:rPr>
                <w:sz w:val="20"/>
                <w:szCs w:val="20"/>
                <w:color w:val="auto"/>
              </w:rPr>
            </w:pPr>
            <w:r>
              <w:rPr>
                <w:rFonts w:ascii="Arial" w:cs="Arial" w:eastAsia="Arial" w:hAnsi="Arial"/>
                <w:sz w:val="13"/>
                <w:szCs w:val="13"/>
                <w:b w:val="1"/>
                <w:bCs w:val="1"/>
                <w:color w:val="FEFEFE"/>
                <w:w w:val="95"/>
              </w:rPr>
              <w:t>Incentive</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5"/>
              </w:rPr>
              <w:t>Incentive</w:t>
            </w:r>
          </w:p>
        </w:tc>
        <w:tc>
          <w:tcPr>
            <w:tcW w:w="0" w:type="dxa"/>
            <w:vAlign w:val="bottom"/>
          </w:tcPr>
          <w:p>
            <w:pPr>
              <w:spacing w:after="0"/>
              <w:rPr>
                <w:sz w:val="1"/>
                <w:szCs w:val="1"/>
                <w:color w:val="auto"/>
              </w:rPr>
            </w:pPr>
          </w:p>
        </w:tc>
      </w:tr>
      <w:tr>
        <w:trPr>
          <w:trHeight w:val="135"/>
        </w:trPr>
        <w:tc>
          <w:tcPr>
            <w:tcW w:w="140" w:type="dxa"/>
            <w:vAlign w:val="bottom"/>
            <w:shd w:val="clear" w:color="auto" w:fill="000000"/>
          </w:tcPr>
          <w:p>
            <w:pPr>
              <w:spacing w:after="0"/>
              <w:rPr>
                <w:sz w:val="11"/>
                <w:szCs w:val="11"/>
                <w:color w:val="auto"/>
              </w:rPr>
            </w:pPr>
          </w:p>
        </w:tc>
        <w:tc>
          <w:tcPr>
            <w:tcW w:w="14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80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4"/>
              </w:rPr>
              <w:t>Underlying</w:t>
            </w:r>
          </w:p>
        </w:tc>
        <w:tc>
          <w:tcPr>
            <w:tcW w:w="160" w:type="dxa"/>
            <w:vAlign w:val="bottom"/>
            <w:shd w:val="clear" w:color="auto" w:fill="000000"/>
          </w:tcPr>
          <w:p>
            <w:pPr>
              <w:spacing w:after="0"/>
              <w:rPr>
                <w:sz w:val="11"/>
                <w:szCs w:val="11"/>
                <w:color w:val="auto"/>
              </w:rPr>
            </w:pPr>
          </w:p>
        </w:tc>
        <w:tc>
          <w:tcPr>
            <w:tcW w:w="84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Underlying</w:t>
            </w: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50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rPr>
              <w:t>Price</w:t>
            </w: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780" w:type="dxa"/>
            <w:vAlign w:val="bottom"/>
            <w:gridSpan w:val="2"/>
            <w:shd w:val="clear" w:color="auto" w:fill="000000"/>
          </w:tcPr>
          <w:p>
            <w:pPr>
              <w:jc w:val="center"/>
              <w:ind w:right="93"/>
              <w:spacing w:after="0" w:line="135" w:lineRule="exact"/>
              <w:rPr>
                <w:sz w:val="20"/>
                <w:szCs w:val="20"/>
                <w:color w:val="auto"/>
              </w:rPr>
            </w:pPr>
            <w:r>
              <w:rPr>
                <w:rFonts w:ascii="Arial" w:cs="Arial" w:eastAsia="Arial" w:hAnsi="Arial"/>
                <w:sz w:val="13"/>
                <w:szCs w:val="13"/>
                <w:b w:val="1"/>
                <w:bCs w:val="1"/>
                <w:color w:val="FEFEFE"/>
                <w:w w:val="92"/>
              </w:rPr>
              <w:t>Date</w:t>
            </w:r>
          </w:p>
        </w:tc>
        <w:tc>
          <w:tcPr>
            <w:tcW w:w="1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jc w:val="center"/>
              <w:ind w:right="112"/>
              <w:spacing w:after="0" w:line="135" w:lineRule="exact"/>
              <w:rPr>
                <w:sz w:val="20"/>
                <w:szCs w:val="20"/>
                <w:color w:val="auto"/>
              </w:rPr>
            </w:pPr>
            <w:r>
              <w:rPr>
                <w:rFonts w:ascii="Arial" w:cs="Arial" w:eastAsia="Arial" w:hAnsi="Arial"/>
                <w:sz w:val="13"/>
                <w:szCs w:val="13"/>
                <w:b w:val="1"/>
                <w:bCs w:val="1"/>
                <w:color w:val="FEFEFE"/>
                <w:w w:val="94"/>
              </w:rPr>
              <w:t>Units of</w:t>
            </w:r>
          </w:p>
        </w:tc>
        <w:tc>
          <w:tcPr>
            <w:tcW w:w="10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780" w:type="dxa"/>
            <w:vAlign w:val="bottom"/>
            <w:shd w:val="clear" w:color="auto" w:fill="000000"/>
          </w:tcPr>
          <w:p>
            <w:pPr>
              <w:jc w:val="center"/>
              <w:ind w:right="72"/>
              <w:spacing w:after="0" w:line="135" w:lineRule="exact"/>
              <w:rPr>
                <w:sz w:val="20"/>
                <w:szCs w:val="20"/>
                <w:color w:val="auto"/>
              </w:rPr>
            </w:pPr>
            <w:r>
              <w:rPr>
                <w:rFonts w:ascii="Arial" w:cs="Arial" w:eastAsia="Arial" w:hAnsi="Arial"/>
                <w:sz w:val="13"/>
                <w:szCs w:val="13"/>
                <w:b w:val="1"/>
                <w:bCs w:val="1"/>
                <w:color w:val="FEFEFE"/>
                <w:w w:val="97"/>
              </w:rPr>
              <w:t>or Units</w:t>
            </w: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760" w:type="dxa"/>
            <w:vAlign w:val="bottom"/>
            <w:shd w:val="clear" w:color="auto" w:fill="000000"/>
          </w:tcPr>
          <w:p>
            <w:pPr>
              <w:jc w:val="center"/>
              <w:ind w:right="34"/>
              <w:spacing w:after="0" w:line="135" w:lineRule="exact"/>
              <w:rPr>
                <w:sz w:val="20"/>
                <w:szCs w:val="20"/>
                <w:color w:val="auto"/>
              </w:rPr>
            </w:pPr>
            <w:r>
              <w:rPr>
                <w:rFonts w:ascii="Arial" w:cs="Arial" w:eastAsia="Arial" w:hAnsi="Arial"/>
                <w:sz w:val="13"/>
                <w:szCs w:val="13"/>
                <w:b w:val="1"/>
                <w:bCs w:val="1"/>
                <w:color w:val="FEFEFE"/>
                <w:w w:val="94"/>
              </w:rPr>
              <w:t>Plan</w:t>
            </w: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900" w:type="dxa"/>
            <w:vAlign w:val="bottom"/>
            <w:gridSpan w:val="2"/>
            <w:shd w:val="clear" w:color="auto" w:fill="000000"/>
          </w:tcPr>
          <w:p>
            <w:pPr>
              <w:jc w:val="center"/>
              <w:ind w:right="213"/>
              <w:spacing w:after="0" w:line="135" w:lineRule="exact"/>
              <w:rPr>
                <w:sz w:val="20"/>
                <w:szCs w:val="20"/>
                <w:color w:val="auto"/>
              </w:rPr>
            </w:pPr>
            <w:r>
              <w:rPr>
                <w:rFonts w:ascii="Arial" w:cs="Arial" w:eastAsia="Arial" w:hAnsi="Arial"/>
                <w:sz w:val="13"/>
                <w:szCs w:val="13"/>
                <w:b w:val="1"/>
                <w:bCs w:val="1"/>
                <w:color w:val="FEFEFE"/>
                <w:w w:val="94"/>
              </w:rPr>
              <w:t>Plan</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80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Unexercised</w:t>
            </w:r>
          </w:p>
        </w:tc>
        <w:tc>
          <w:tcPr>
            <w:tcW w:w="160" w:type="dxa"/>
            <w:vAlign w:val="bottom"/>
            <w:shd w:val="clear" w:color="auto" w:fill="000000"/>
          </w:tcPr>
          <w:p>
            <w:pPr>
              <w:spacing w:after="0"/>
              <w:rPr>
                <w:sz w:val="12"/>
                <w:szCs w:val="12"/>
                <w:color w:val="auto"/>
              </w:rPr>
            </w:pPr>
          </w:p>
        </w:tc>
        <w:tc>
          <w:tcPr>
            <w:tcW w:w="8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5"/>
              </w:rPr>
              <w:t>Unexercised</w:t>
            </w: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jc w:val="center"/>
              <w:ind w:left="72"/>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jc w:val="center"/>
              <w:ind w:right="112"/>
              <w:spacing w:after="0"/>
              <w:rPr>
                <w:sz w:val="20"/>
                <w:szCs w:val="20"/>
                <w:color w:val="auto"/>
              </w:rPr>
            </w:pPr>
            <w:r>
              <w:rPr>
                <w:rFonts w:ascii="Arial" w:cs="Arial" w:eastAsia="Arial" w:hAnsi="Arial"/>
                <w:sz w:val="13"/>
                <w:szCs w:val="13"/>
                <w:b w:val="1"/>
                <w:bCs w:val="1"/>
                <w:color w:val="FEFEFE"/>
                <w:w w:val="95"/>
              </w:rPr>
              <w:t>Stock</w:t>
            </w:r>
          </w:p>
        </w:tc>
        <w:tc>
          <w:tcPr>
            <w:tcW w:w="100" w:type="dxa"/>
            <w:vAlign w:val="bottom"/>
            <w:shd w:val="clear" w:color="auto" w:fill="000000"/>
          </w:tcPr>
          <w:p>
            <w:pPr>
              <w:spacing w:after="0"/>
              <w:rPr>
                <w:sz w:val="12"/>
                <w:szCs w:val="12"/>
                <w:color w:val="auto"/>
              </w:rPr>
            </w:pPr>
          </w:p>
        </w:tc>
        <w:tc>
          <w:tcPr>
            <w:tcW w:w="88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of Stock That</w:t>
            </w: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74"/>
              <w:spacing w:after="0"/>
              <w:rPr>
                <w:sz w:val="20"/>
                <w:szCs w:val="20"/>
                <w:color w:val="auto"/>
              </w:rPr>
            </w:pPr>
            <w:r>
              <w:rPr>
                <w:rFonts w:ascii="Arial" w:cs="Arial" w:eastAsia="Arial" w:hAnsi="Arial"/>
                <w:sz w:val="13"/>
                <w:szCs w:val="13"/>
                <w:b w:val="1"/>
                <w:bCs w:val="1"/>
                <w:color w:val="FEFEFE"/>
                <w:w w:val="97"/>
              </w:rPr>
              <w:t>Awards:</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7"/>
              </w:rPr>
              <w:t>Awards:</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80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9"/>
              </w:rPr>
              <w:t>Options (#)</w:t>
            </w:r>
          </w:p>
        </w:tc>
        <w:tc>
          <w:tcPr>
            <w:tcW w:w="160" w:type="dxa"/>
            <w:vAlign w:val="bottom"/>
            <w:shd w:val="clear" w:color="auto" w:fill="000000"/>
          </w:tcPr>
          <w:p>
            <w:pPr>
              <w:spacing w:after="0"/>
              <w:rPr>
                <w:sz w:val="12"/>
                <w:szCs w:val="12"/>
                <w:color w:val="auto"/>
              </w:rPr>
            </w:pPr>
          </w:p>
        </w:tc>
        <w:tc>
          <w:tcPr>
            <w:tcW w:w="8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Options (#)</w:t>
            </w: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760" w:type="dxa"/>
            <w:vAlign w:val="bottom"/>
            <w:gridSpan w:val="2"/>
            <w:shd w:val="clear" w:color="auto" w:fill="000000"/>
          </w:tcPr>
          <w:p>
            <w:pPr>
              <w:ind w:left="20"/>
              <w:spacing w:after="0"/>
              <w:rPr>
                <w:sz w:val="20"/>
                <w:szCs w:val="20"/>
                <w:color w:val="auto"/>
              </w:rPr>
            </w:pPr>
            <w:r>
              <w:rPr>
                <w:rFonts w:ascii="Arial" w:cs="Arial" w:eastAsia="Arial" w:hAnsi="Arial"/>
                <w:sz w:val="13"/>
                <w:szCs w:val="13"/>
                <w:b w:val="1"/>
                <w:bCs w:val="1"/>
                <w:color w:val="FEFEFE"/>
              </w:rPr>
              <w:t>That Have</w:t>
            </w: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jc w:val="center"/>
              <w:ind w:right="72"/>
              <w:spacing w:after="0"/>
              <w:rPr>
                <w:sz w:val="20"/>
                <w:szCs w:val="20"/>
                <w:color w:val="auto"/>
              </w:rPr>
            </w:pPr>
            <w:r>
              <w:rPr>
                <w:rFonts w:ascii="Arial" w:cs="Arial" w:eastAsia="Arial" w:hAnsi="Arial"/>
                <w:sz w:val="13"/>
                <w:szCs w:val="13"/>
                <w:b w:val="1"/>
                <w:bCs w:val="1"/>
                <w:color w:val="FEFEFE"/>
                <w:w w:val="99"/>
              </w:rPr>
              <w:t>Have Not</w:t>
            </w: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54"/>
              <w:spacing w:after="0"/>
              <w:rPr>
                <w:sz w:val="20"/>
                <w:szCs w:val="20"/>
                <w:color w:val="auto"/>
              </w:rPr>
            </w:pPr>
            <w:r>
              <w:rPr>
                <w:rFonts w:ascii="Arial" w:cs="Arial" w:eastAsia="Arial" w:hAnsi="Arial"/>
                <w:sz w:val="13"/>
                <w:szCs w:val="13"/>
                <w:b w:val="1"/>
                <w:bCs w:val="1"/>
                <w:color w:val="FEFEFE"/>
                <w:w w:val="98"/>
              </w:rPr>
              <w:t>Number of</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9"/>
              </w:rPr>
              <w:t>Market or</w:t>
            </w:r>
          </w:p>
        </w:tc>
        <w:tc>
          <w:tcPr>
            <w:tcW w:w="0" w:type="dxa"/>
            <w:vAlign w:val="bottom"/>
          </w:tcPr>
          <w:p>
            <w:pPr>
              <w:spacing w:after="0"/>
              <w:rPr>
                <w:sz w:val="1"/>
                <w:szCs w:val="1"/>
                <w:color w:val="auto"/>
              </w:rPr>
            </w:pPr>
          </w:p>
        </w:tc>
      </w:tr>
      <w:tr>
        <w:trPr>
          <w:trHeight w:val="135"/>
        </w:trPr>
        <w:tc>
          <w:tcPr>
            <w:tcW w:w="140" w:type="dxa"/>
            <w:vAlign w:val="bottom"/>
            <w:shd w:val="clear" w:color="auto" w:fill="000000"/>
          </w:tcPr>
          <w:p>
            <w:pPr>
              <w:spacing w:after="0"/>
              <w:rPr>
                <w:sz w:val="11"/>
                <w:szCs w:val="11"/>
                <w:color w:val="auto"/>
              </w:rPr>
            </w:pPr>
          </w:p>
        </w:tc>
        <w:tc>
          <w:tcPr>
            <w:tcW w:w="14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80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Exercisable</w:t>
            </w:r>
          </w:p>
        </w:tc>
        <w:tc>
          <w:tcPr>
            <w:tcW w:w="160" w:type="dxa"/>
            <w:vAlign w:val="bottom"/>
            <w:shd w:val="clear" w:color="auto" w:fill="000000"/>
          </w:tcPr>
          <w:p>
            <w:pPr>
              <w:spacing w:after="0"/>
              <w:rPr>
                <w:sz w:val="11"/>
                <w:szCs w:val="11"/>
                <w:color w:val="auto"/>
              </w:rPr>
            </w:pPr>
          </w:p>
        </w:tc>
        <w:tc>
          <w:tcPr>
            <w:tcW w:w="920" w:type="dxa"/>
            <w:vAlign w:val="bottom"/>
            <w:gridSpan w:val="3"/>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7"/>
              </w:rPr>
              <w:t>Unexercisable</w:t>
            </w:r>
          </w:p>
        </w:tc>
        <w:tc>
          <w:tcPr>
            <w:tcW w:w="16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760" w:type="dxa"/>
            <w:vAlign w:val="bottom"/>
            <w:gridSpan w:val="2"/>
            <w:shd w:val="clear" w:color="auto" w:fill="000000"/>
          </w:tcPr>
          <w:p>
            <w:pPr>
              <w:spacing w:after="0" w:line="135" w:lineRule="exact"/>
              <w:rPr>
                <w:sz w:val="20"/>
                <w:szCs w:val="20"/>
                <w:color w:val="auto"/>
              </w:rPr>
            </w:pPr>
            <w:r>
              <w:rPr>
                <w:rFonts w:ascii="Arial" w:cs="Arial" w:eastAsia="Arial" w:hAnsi="Arial"/>
                <w:sz w:val="13"/>
                <w:szCs w:val="13"/>
                <w:b w:val="1"/>
                <w:bCs w:val="1"/>
                <w:color w:val="FEFEFE"/>
              </w:rPr>
              <w:t>Not Vested</w:t>
            </w:r>
          </w:p>
        </w:tc>
        <w:tc>
          <w:tcPr>
            <w:tcW w:w="10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780" w:type="dxa"/>
            <w:vAlign w:val="bottom"/>
            <w:shd w:val="clear" w:color="auto" w:fill="000000"/>
          </w:tcPr>
          <w:p>
            <w:pPr>
              <w:jc w:val="center"/>
              <w:ind w:right="72"/>
              <w:spacing w:after="0" w:line="135" w:lineRule="exact"/>
              <w:rPr>
                <w:sz w:val="20"/>
                <w:szCs w:val="20"/>
                <w:color w:val="auto"/>
              </w:rPr>
            </w:pPr>
            <w:r>
              <w:rPr>
                <w:rFonts w:ascii="Arial" w:cs="Arial" w:eastAsia="Arial" w:hAnsi="Arial"/>
                <w:sz w:val="13"/>
                <w:szCs w:val="13"/>
                <w:b w:val="1"/>
                <w:bCs w:val="1"/>
                <w:color w:val="FEFEFE"/>
                <w:w w:val="93"/>
              </w:rPr>
              <w:t>Vested</w:t>
            </w: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760" w:type="dxa"/>
            <w:vAlign w:val="bottom"/>
            <w:shd w:val="clear" w:color="auto" w:fill="000000"/>
          </w:tcPr>
          <w:p>
            <w:pPr>
              <w:jc w:val="center"/>
              <w:ind w:right="34"/>
              <w:spacing w:after="0" w:line="135" w:lineRule="exact"/>
              <w:rPr>
                <w:sz w:val="20"/>
                <w:szCs w:val="20"/>
                <w:color w:val="auto"/>
              </w:rPr>
            </w:pPr>
            <w:r>
              <w:rPr>
                <w:rFonts w:ascii="Arial" w:cs="Arial" w:eastAsia="Arial" w:hAnsi="Arial"/>
                <w:sz w:val="13"/>
                <w:szCs w:val="13"/>
                <w:b w:val="1"/>
                <w:bCs w:val="1"/>
                <w:color w:val="FEFEFE"/>
                <w:w w:val="96"/>
              </w:rPr>
              <w:t>Unearned</w:t>
            </w: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900" w:type="dxa"/>
            <w:vAlign w:val="bottom"/>
            <w:gridSpan w:val="2"/>
            <w:shd w:val="clear" w:color="auto" w:fill="000000"/>
          </w:tcPr>
          <w:p>
            <w:pPr>
              <w:jc w:val="center"/>
              <w:ind w:right="213"/>
              <w:spacing w:after="0" w:line="135" w:lineRule="exact"/>
              <w:rPr>
                <w:sz w:val="20"/>
                <w:szCs w:val="20"/>
                <w:color w:val="auto"/>
              </w:rPr>
            </w:pPr>
            <w:r>
              <w:rPr>
                <w:rFonts w:ascii="Arial" w:cs="Arial" w:eastAsia="Arial" w:hAnsi="Arial"/>
                <w:sz w:val="13"/>
                <w:szCs w:val="13"/>
                <w:b w:val="1"/>
                <w:bCs w:val="1"/>
                <w:color w:val="FEFEFE"/>
                <w:w w:val="96"/>
              </w:rPr>
              <w:t>Payout</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jc w:val="center"/>
              <w:ind w:right="32"/>
              <w:spacing w:after="0"/>
              <w:rPr>
                <w:sz w:val="20"/>
                <w:szCs w:val="20"/>
                <w:color w:val="auto"/>
              </w:rPr>
            </w:pPr>
            <w:r>
              <w:rPr>
                <w:rFonts w:ascii="Arial" w:cs="Arial" w:eastAsia="Arial" w:hAnsi="Arial"/>
                <w:sz w:val="13"/>
                <w:szCs w:val="13"/>
                <w:b w:val="1"/>
                <w:bCs w:val="1"/>
                <w:color w:val="FEFEFE"/>
              </w:rPr>
              <w:t>(#)</w:t>
            </w:r>
          </w:p>
        </w:tc>
        <w:tc>
          <w:tcPr>
            <w:tcW w:w="1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560" w:type="dxa"/>
            <w:vAlign w:val="bottom"/>
            <w:shd w:val="clear" w:color="auto" w:fill="000000"/>
          </w:tcPr>
          <w:p>
            <w:pPr>
              <w:jc w:val="center"/>
              <w:ind w:right="172"/>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jc w:val="center"/>
              <w:ind w:right="132"/>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jc w:val="center"/>
              <w:ind w:right="72"/>
              <w:spacing w:after="0"/>
              <w:rPr>
                <w:sz w:val="20"/>
                <w:szCs w:val="20"/>
                <w:color w:val="auto"/>
              </w:rPr>
            </w:pPr>
            <w:r>
              <w:rPr>
                <w:rFonts w:ascii="Arial" w:cs="Arial" w:eastAsia="Arial" w:hAnsi="Arial"/>
                <w:sz w:val="13"/>
                <w:szCs w:val="13"/>
                <w:b w:val="1"/>
                <w:bCs w:val="1"/>
                <w:color w:val="FEFEFE"/>
              </w:rPr>
              <w:t>(#)</w:t>
            </w: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34"/>
              <w:spacing w:after="0"/>
              <w:rPr>
                <w:sz w:val="20"/>
                <w:szCs w:val="20"/>
                <w:color w:val="auto"/>
              </w:rPr>
            </w:pPr>
            <w:r>
              <w:rPr>
                <w:rFonts w:ascii="Arial" w:cs="Arial" w:eastAsia="Arial" w:hAnsi="Arial"/>
                <w:sz w:val="13"/>
                <w:szCs w:val="13"/>
                <w:b w:val="1"/>
                <w:bCs w:val="1"/>
                <w:color w:val="FEFEFE"/>
                <w:w w:val="97"/>
              </w:rPr>
              <w:t>Shares,</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8"/>
              </w:rPr>
              <w:t>Value of</w:t>
            </w:r>
          </w:p>
        </w:tc>
        <w:tc>
          <w:tcPr>
            <w:tcW w:w="0" w:type="dxa"/>
            <w:vAlign w:val="bottom"/>
          </w:tcPr>
          <w:p>
            <w:pPr>
              <w:spacing w:after="0"/>
              <w:rPr>
                <w:sz w:val="1"/>
                <w:szCs w:val="1"/>
                <w:color w:val="auto"/>
              </w:rPr>
            </w:pPr>
          </w:p>
        </w:tc>
      </w:tr>
      <w:tr>
        <w:trPr>
          <w:trHeight w:val="149"/>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5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54"/>
              <w:spacing w:after="0"/>
              <w:rPr>
                <w:sz w:val="20"/>
                <w:szCs w:val="20"/>
                <w:color w:val="auto"/>
              </w:rPr>
            </w:pPr>
            <w:r>
              <w:rPr>
                <w:rFonts w:ascii="Arial" w:cs="Arial" w:eastAsia="Arial" w:hAnsi="Arial"/>
                <w:sz w:val="13"/>
                <w:szCs w:val="13"/>
                <w:b w:val="1"/>
                <w:bCs w:val="1"/>
                <w:color w:val="FEFEFE"/>
                <w:w w:val="97"/>
              </w:rPr>
              <w:t>Units or</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6"/>
              </w:rPr>
              <w:t>Unearned</w:t>
            </w:r>
          </w:p>
        </w:tc>
        <w:tc>
          <w:tcPr>
            <w:tcW w:w="0" w:type="dxa"/>
            <w:vAlign w:val="bottom"/>
          </w:tcPr>
          <w:p>
            <w:pPr>
              <w:spacing w:after="0"/>
              <w:rPr>
                <w:sz w:val="1"/>
                <w:szCs w:val="1"/>
                <w:color w:val="auto"/>
              </w:rPr>
            </w:pPr>
          </w:p>
        </w:tc>
      </w:tr>
      <w:tr>
        <w:trPr>
          <w:trHeight w:val="135"/>
        </w:trPr>
        <w:tc>
          <w:tcPr>
            <w:tcW w:w="140" w:type="dxa"/>
            <w:vAlign w:val="bottom"/>
            <w:shd w:val="clear" w:color="auto" w:fill="000000"/>
          </w:tcPr>
          <w:p>
            <w:pPr>
              <w:spacing w:after="0"/>
              <w:rPr>
                <w:sz w:val="11"/>
                <w:szCs w:val="11"/>
                <w:color w:val="auto"/>
              </w:rPr>
            </w:pPr>
          </w:p>
        </w:tc>
        <w:tc>
          <w:tcPr>
            <w:tcW w:w="14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5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820" w:type="dxa"/>
            <w:vAlign w:val="bottom"/>
            <w:gridSpan w:val="2"/>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Other Rights</w:t>
            </w: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900" w:type="dxa"/>
            <w:vAlign w:val="bottom"/>
            <w:gridSpan w:val="2"/>
            <w:shd w:val="clear" w:color="auto" w:fill="000000"/>
          </w:tcPr>
          <w:p>
            <w:pPr>
              <w:jc w:val="center"/>
              <w:ind w:right="213"/>
              <w:spacing w:after="0" w:line="135" w:lineRule="exact"/>
              <w:rPr>
                <w:sz w:val="20"/>
                <w:szCs w:val="20"/>
                <w:color w:val="auto"/>
              </w:rPr>
            </w:pPr>
            <w:r>
              <w:rPr>
                <w:rFonts w:ascii="Arial" w:cs="Arial" w:eastAsia="Arial" w:hAnsi="Arial"/>
                <w:sz w:val="13"/>
                <w:szCs w:val="13"/>
                <w:b w:val="1"/>
                <w:bCs w:val="1"/>
                <w:color w:val="FEFEFE"/>
                <w:w w:val="97"/>
              </w:rPr>
              <w:t>Shares,</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5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jc w:val="center"/>
              <w:ind w:right="54"/>
              <w:spacing w:after="0"/>
              <w:rPr>
                <w:sz w:val="20"/>
                <w:szCs w:val="20"/>
                <w:color w:val="auto"/>
              </w:rPr>
            </w:pPr>
            <w:r>
              <w:rPr>
                <w:rFonts w:ascii="Arial" w:cs="Arial" w:eastAsia="Arial" w:hAnsi="Arial"/>
                <w:sz w:val="13"/>
                <w:szCs w:val="13"/>
                <w:b w:val="1"/>
                <w:bCs w:val="1"/>
                <w:color w:val="FEFEFE"/>
                <w:w w:val="96"/>
              </w:rPr>
              <w:t>That Have</w:t>
            </w: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3"/>
              </w:rPr>
              <w:t>Units or</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5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2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4"/>
              </w:rPr>
              <w:t>Not Vested</w:t>
            </w:r>
          </w:p>
        </w:tc>
        <w:tc>
          <w:tcPr>
            <w:tcW w:w="160" w:type="dxa"/>
            <w:vAlign w:val="bottom"/>
            <w:shd w:val="clear" w:color="auto" w:fill="000000"/>
          </w:tcPr>
          <w:p>
            <w:pPr>
              <w:spacing w:after="0"/>
              <w:rPr>
                <w:sz w:val="12"/>
                <w:szCs w:val="12"/>
                <w:color w:val="auto"/>
              </w:rPr>
            </w:pPr>
          </w:p>
        </w:tc>
        <w:tc>
          <w:tcPr>
            <w:tcW w:w="980" w:type="dxa"/>
            <w:vAlign w:val="bottom"/>
            <w:gridSpan w:val="3"/>
            <w:shd w:val="clear" w:color="auto" w:fill="000000"/>
          </w:tcPr>
          <w:p>
            <w:pPr>
              <w:jc w:val="center"/>
              <w:ind w:right="133"/>
              <w:spacing w:after="0"/>
              <w:rPr>
                <w:sz w:val="20"/>
                <w:szCs w:val="20"/>
                <w:color w:val="auto"/>
              </w:rPr>
            </w:pPr>
            <w:r>
              <w:rPr>
                <w:rFonts w:ascii="Arial" w:cs="Arial" w:eastAsia="Arial" w:hAnsi="Arial"/>
                <w:sz w:val="13"/>
                <w:szCs w:val="13"/>
                <w:b w:val="1"/>
                <w:bCs w:val="1"/>
                <w:color w:val="FEFEFE"/>
                <w:w w:val="99"/>
              </w:rPr>
              <w:t>Other Rights</w:t>
            </w:r>
          </w:p>
        </w:tc>
        <w:tc>
          <w:tcPr>
            <w:tcW w:w="0" w:type="dxa"/>
            <w:vAlign w:val="bottom"/>
          </w:tcPr>
          <w:p>
            <w:pPr>
              <w:spacing w:after="0"/>
              <w:rPr>
                <w:sz w:val="1"/>
                <w:szCs w:val="1"/>
                <w:color w:val="auto"/>
              </w:rPr>
            </w:pPr>
          </w:p>
        </w:tc>
      </w:tr>
      <w:tr>
        <w:trPr>
          <w:trHeight w:val="135"/>
        </w:trPr>
        <w:tc>
          <w:tcPr>
            <w:tcW w:w="140" w:type="dxa"/>
            <w:vAlign w:val="bottom"/>
            <w:shd w:val="clear" w:color="auto" w:fill="000000"/>
          </w:tcPr>
          <w:p>
            <w:pPr>
              <w:spacing w:after="0"/>
              <w:rPr>
                <w:sz w:val="11"/>
                <w:szCs w:val="11"/>
                <w:color w:val="auto"/>
              </w:rPr>
            </w:pPr>
          </w:p>
        </w:tc>
        <w:tc>
          <w:tcPr>
            <w:tcW w:w="14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74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5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68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760" w:type="dxa"/>
            <w:vAlign w:val="bottom"/>
            <w:shd w:val="clear" w:color="auto" w:fill="000000"/>
          </w:tcPr>
          <w:p>
            <w:pPr>
              <w:jc w:val="center"/>
              <w:ind w:right="54"/>
              <w:spacing w:after="0" w:line="135" w:lineRule="exact"/>
              <w:rPr>
                <w:sz w:val="20"/>
                <w:szCs w:val="20"/>
                <w:color w:val="auto"/>
              </w:rPr>
            </w:pPr>
            <w:r>
              <w:rPr>
                <w:rFonts w:ascii="Arial" w:cs="Arial" w:eastAsia="Arial" w:hAnsi="Arial"/>
                <w:sz w:val="13"/>
                <w:szCs w:val="13"/>
                <w:b w:val="1"/>
                <w:bCs w:val="1"/>
                <w:color w:val="FEFEFE"/>
              </w:rPr>
              <w:t>(#)</w:t>
            </w:r>
          </w:p>
        </w:tc>
        <w:tc>
          <w:tcPr>
            <w:tcW w:w="16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900" w:type="dxa"/>
            <w:vAlign w:val="bottom"/>
            <w:gridSpan w:val="2"/>
            <w:shd w:val="clear" w:color="auto" w:fill="000000"/>
          </w:tcPr>
          <w:p>
            <w:pPr>
              <w:jc w:val="center"/>
              <w:ind w:right="213"/>
              <w:spacing w:after="0" w:line="135" w:lineRule="exact"/>
              <w:rPr>
                <w:sz w:val="20"/>
                <w:szCs w:val="20"/>
                <w:color w:val="auto"/>
              </w:rPr>
            </w:pPr>
            <w:r>
              <w:rPr>
                <w:rFonts w:ascii="Arial" w:cs="Arial" w:eastAsia="Arial" w:hAnsi="Arial"/>
                <w:sz w:val="13"/>
                <w:szCs w:val="13"/>
                <w:b w:val="1"/>
                <w:bCs w:val="1"/>
                <w:color w:val="FEFEFE"/>
                <w:w w:val="94"/>
              </w:rPr>
              <w:t>That</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5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5"/>
              </w:rPr>
              <w:t>Have Not</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4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5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68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76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right="213"/>
              <w:spacing w:after="0"/>
              <w:rPr>
                <w:sz w:val="20"/>
                <w:szCs w:val="20"/>
                <w:color w:val="auto"/>
              </w:rPr>
            </w:pPr>
            <w:r>
              <w:rPr>
                <w:rFonts w:ascii="Arial" w:cs="Arial" w:eastAsia="Arial" w:hAnsi="Arial"/>
                <w:sz w:val="13"/>
                <w:szCs w:val="13"/>
                <w:b w:val="1"/>
                <w:bCs w:val="1"/>
                <w:color w:val="FEFEFE"/>
                <w:w w:val="98"/>
              </w:rPr>
              <w:t>Vested</w:t>
            </w:r>
          </w:p>
        </w:tc>
        <w:tc>
          <w:tcPr>
            <w:tcW w:w="0" w:type="dxa"/>
            <w:vAlign w:val="bottom"/>
          </w:tcPr>
          <w:p>
            <w:pPr>
              <w:spacing w:after="0"/>
              <w:rPr>
                <w:sz w:val="1"/>
                <w:szCs w:val="1"/>
                <w:color w:val="auto"/>
              </w:rPr>
            </w:pPr>
          </w:p>
        </w:tc>
      </w:tr>
      <w:tr>
        <w:trPr>
          <w:trHeight w:val="172"/>
        </w:trPr>
        <w:tc>
          <w:tcPr>
            <w:tcW w:w="140" w:type="dxa"/>
            <w:vAlign w:val="bottom"/>
            <w:shd w:val="clear" w:color="auto" w:fill="000000"/>
          </w:tcPr>
          <w:p>
            <w:pPr>
              <w:spacing w:after="0"/>
              <w:rPr>
                <w:sz w:val="14"/>
                <w:szCs w:val="14"/>
                <w:color w:val="auto"/>
              </w:rPr>
            </w:pPr>
          </w:p>
        </w:tc>
        <w:tc>
          <w:tcPr>
            <w:tcW w:w="14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74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280" w:type="dxa"/>
            <w:vAlign w:val="bottom"/>
            <w:shd w:val="clear" w:color="auto" w:fill="000000"/>
          </w:tcPr>
          <w:p>
            <w:pPr>
              <w:spacing w:after="0"/>
              <w:rPr>
                <w:sz w:val="14"/>
                <w:szCs w:val="14"/>
                <w:color w:val="auto"/>
              </w:rPr>
            </w:pPr>
          </w:p>
        </w:tc>
        <w:tc>
          <w:tcPr>
            <w:tcW w:w="5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42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68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68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7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700" w:type="dxa"/>
            <w:vAlign w:val="bottom"/>
            <w:shd w:val="clear" w:color="auto" w:fill="000000"/>
          </w:tcPr>
          <w:p>
            <w:pPr>
              <w:jc w:val="center"/>
              <w:ind w:right="17"/>
              <w:spacing w:after="0"/>
              <w:rPr>
                <w:sz w:val="20"/>
                <w:szCs w:val="20"/>
                <w:color w:val="auto"/>
              </w:rPr>
            </w:pPr>
            <w:r>
              <w:rPr>
                <w:rFonts w:ascii="Arial" w:cs="Arial" w:eastAsia="Arial" w:hAnsi="Arial"/>
                <w:sz w:val="13"/>
                <w:szCs w:val="13"/>
                <w:b w:val="1"/>
                <w:bCs w:val="1"/>
                <w:color w:val="FEFEFE"/>
                <w:w w:val="87"/>
              </w:rPr>
              <w:t>($)</w:t>
            </w: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40" w:type="dxa"/>
            <w:vAlign w:val="bottom"/>
            <w:shd w:val="clear" w:color="auto" w:fill="000000"/>
          </w:tcPr>
          <w:p>
            <w:pPr>
              <w:spacing w:after="0"/>
              <w:rPr>
                <w:sz w:val="10"/>
                <w:szCs w:val="10"/>
                <w:color w:val="auto"/>
              </w:rPr>
            </w:pPr>
          </w:p>
        </w:tc>
        <w:tc>
          <w:tcPr>
            <w:tcW w:w="14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00" w:type="dxa"/>
            <w:vAlign w:val="bottom"/>
            <w:gridSpan w:val="2"/>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900" w:type="dxa"/>
            <w:vAlign w:val="bottom"/>
            <w:gridSpan w:val="2"/>
            <w:shd w:val="clear" w:color="auto" w:fill="000000"/>
          </w:tcPr>
          <w:p>
            <w:pPr>
              <w:spacing w:after="0"/>
              <w:rPr>
                <w:sz w:val="10"/>
                <w:szCs w:val="10"/>
                <w:color w:val="auto"/>
              </w:rPr>
            </w:pPr>
          </w:p>
        </w:tc>
        <w:tc>
          <w:tcPr>
            <w:tcW w:w="280" w:type="dxa"/>
            <w:vAlign w:val="bottom"/>
            <w:shd w:val="clear" w:color="auto" w:fill="000000"/>
          </w:tcPr>
          <w:p>
            <w:pPr>
              <w:spacing w:after="0"/>
              <w:rPr>
                <w:sz w:val="10"/>
                <w:szCs w:val="10"/>
                <w:color w:val="auto"/>
              </w:rPr>
            </w:pPr>
          </w:p>
        </w:tc>
        <w:tc>
          <w:tcPr>
            <w:tcW w:w="560" w:type="dxa"/>
            <w:vAlign w:val="bottom"/>
            <w:shd w:val="clear" w:color="auto" w:fill="000000"/>
          </w:tcPr>
          <w:p>
            <w:pPr>
              <w:spacing w:after="0"/>
              <w:rPr>
                <w:sz w:val="10"/>
                <w:szCs w:val="10"/>
                <w:color w:val="auto"/>
              </w:rPr>
            </w:pPr>
          </w:p>
        </w:tc>
        <w:tc>
          <w:tcPr>
            <w:tcW w:w="240" w:type="dxa"/>
            <w:vAlign w:val="bottom"/>
            <w:gridSpan w:val="2"/>
            <w:shd w:val="clear" w:color="auto" w:fill="000000"/>
          </w:tcPr>
          <w:p>
            <w:pPr>
              <w:spacing w:after="0"/>
              <w:rPr>
                <w:sz w:val="10"/>
                <w:szCs w:val="10"/>
                <w:color w:val="auto"/>
              </w:rPr>
            </w:pPr>
          </w:p>
        </w:tc>
        <w:tc>
          <w:tcPr>
            <w:tcW w:w="42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320" w:type="dxa"/>
            <w:vAlign w:val="bottom"/>
            <w:gridSpan w:val="3"/>
            <w:shd w:val="clear" w:color="auto" w:fill="000000"/>
          </w:tcPr>
          <w:p>
            <w:pPr>
              <w:spacing w:after="0"/>
              <w:rPr>
                <w:sz w:val="10"/>
                <w:szCs w:val="10"/>
                <w:color w:val="auto"/>
              </w:rPr>
            </w:pPr>
          </w:p>
        </w:tc>
        <w:tc>
          <w:tcPr>
            <w:tcW w:w="680" w:type="dxa"/>
            <w:vAlign w:val="bottom"/>
            <w:shd w:val="clear" w:color="auto" w:fill="000000"/>
          </w:tcPr>
          <w:p>
            <w:pPr>
              <w:spacing w:after="0"/>
              <w:rPr>
                <w:sz w:val="10"/>
                <w:szCs w:val="10"/>
                <w:color w:val="auto"/>
              </w:rPr>
            </w:pPr>
          </w:p>
        </w:tc>
        <w:tc>
          <w:tcPr>
            <w:tcW w:w="300" w:type="dxa"/>
            <w:vAlign w:val="bottom"/>
            <w:gridSpan w:val="3"/>
            <w:shd w:val="clear" w:color="auto" w:fill="000000"/>
          </w:tcPr>
          <w:p>
            <w:pPr>
              <w:spacing w:after="0"/>
              <w:rPr>
                <w:sz w:val="10"/>
                <w:szCs w:val="10"/>
                <w:color w:val="auto"/>
              </w:rPr>
            </w:pPr>
          </w:p>
        </w:tc>
        <w:tc>
          <w:tcPr>
            <w:tcW w:w="880" w:type="dxa"/>
            <w:vAlign w:val="bottom"/>
            <w:gridSpan w:val="3"/>
            <w:shd w:val="clear" w:color="auto" w:fill="000000"/>
          </w:tcPr>
          <w:p>
            <w:pPr>
              <w:spacing w:after="0"/>
              <w:rPr>
                <w:sz w:val="10"/>
                <w:szCs w:val="10"/>
                <w:color w:val="auto"/>
              </w:rPr>
            </w:pPr>
          </w:p>
        </w:tc>
        <w:tc>
          <w:tcPr>
            <w:tcW w:w="1000" w:type="dxa"/>
            <w:vAlign w:val="bottom"/>
            <w:gridSpan w:val="3"/>
            <w:shd w:val="clear" w:color="auto" w:fill="000000"/>
          </w:tcPr>
          <w:p>
            <w:pPr>
              <w:spacing w:after="0"/>
              <w:rPr>
                <w:sz w:val="10"/>
                <w:szCs w:val="10"/>
                <w:color w:val="auto"/>
              </w:rPr>
            </w:pPr>
          </w:p>
        </w:tc>
        <w:tc>
          <w:tcPr>
            <w:tcW w:w="1000" w:type="dxa"/>
            <w:vAlign w:val="bottom"/>
            <w:gridSpan w:val="3"/>
            <w:shd w:val="clear" w:color="auto" w:fill="000000"/>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40" w:type="dxa"/>
            <w:vAlign w:val="bottom"/>
          </w:tcPr>
          <w:p>
            <w:pPr>
              <w:spacing w:after="0" w:line="139" w:lineRule="exact"/>
              <w:rPr>
                <w:sz w:val="20"/>
                <w:szCs w:val="20"/>
                <w:color w:val="auto"/>
              </w:rPr>
            </w:pPr>
            <w:r>
              <w:rPr>
                <w:rFonts w:ascii="Arial" w:cs="Arial" w:eastAsia="Arial" w:hAnsi="Arial"/>
                <w:sz w:val="14"/>
                <w:szCs w:val="14"/>
                <w:color w:val="auto"/>
              </w:rPr>
              <w:t>​</w:t>
            </w:r>
          </w:p>
        </w:tc>
        <w:tc>
          <w:tcPr>
            <w:tcW w:w="1400" w:type="dxa"/>
            <w:vAlign w:val="bottom"/>
            <w:vMerge w:val="restart"/>
          </w:tcPr>
          <w:p>
            <w:pPr>
              <w:spacing w:after="0"/>
              <w:rPr>
                <w:sz w:val="20"/>
                <w:szCs w:val="20"/>
                <w:color w:val="auto"/>
              </w:rPr>
            </w:pPr>
            <w:r>
              <w:rPr>
                <w:rFonts w:ascii="Arial" w:cs="Arial" w:eastAsia="Arial" w:hAnsi="Arial"/>
                <w:sz w:val="14"/>
                <w:szCs w:val="14"/>
                <w:color w:val="auto"/>
              </w:rPr>
              <w:t>Peter Rawlinson</w:t>
            </w:r>
          </w:p>
        </w:tc>
        <w:tc>
          <w:tcPr>
            <w:tcW w:w="280" w:type="dxa"/>
            <w:vAlign w:val="bottom"/>
            <w:gridSpan w:val="4"/>
          </w:tcPr>
          <w:p>
            <w:pPr>
              <w:spacing w:after="0" w:line="139" w:lineRule="exact"/>
              <w:rPr>
                <w:sz w:val="20"/>
                <w:szCs w:val="20"/>
                <w:color w:val="auto"/>
              </w:rPr>
            </w:pPr>
            <w:r>
              <w:rPr>
                <w:rFonts w:ascii="Arial" w:cs="Arial" w:eastAsia="Arial" w:hAnsi="Arial"/>
                <w:sz w:val="14"/>
                <w:szCs w:val="14"/>
                <w:color w:val="auto"/>
              </w:rPr>
              <w:t>​ ​ ​</w:t>
            </w:r>
          </w:p>
        </w:tc>
        <w:tc>
          <w:tcPr>
            <w:tcW w:w="90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 ​</w:t>
            </w:r>
          </w:p>
        </w:tc>
        <w:tc>
          <w:tcPr>
            <w:tcW w:w="280" w:type="dxa"/>
            <w:vAlign w:val="bottom"/>
          </w:tcPr>
          <w:p>
            <w:pPr>
              <w:ind w:left="140"/>
              <w:spacing w:after="0" w:line="139" w:lineRule="exact"/>
              <w:rPr>
                <w:sz w:val="20"/>
                <w:szCs w:val="20"/>
                <w:color w:val="auto"/>
              </w:rPr>
            </w:pPr>
            <w:r>
              <w:rPr>
                <w:rFonts w:ascii="Arial" w:cs="Arial" w:eastAsia="Arial" w:hAnsi="Arial"/>
                <w:sz w:val="14"/>
                <w:szCs w:val="14"/>
                <w:color w:val="auto"/>
              </w:rPr>
              <w:t>​</w:t>
            </w:r>
          </w:p>
        </w:tc>
        <w:tc>
          <w:tcPr>
            <w:tcW w:w="56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 ​</w:t>
            </w:r>
          </w:p>
        </w:tc>
        <w:tc>
          <w:tcPr>
            <w:tcW w:w="420" w:type="dxa"/>
            <w:vAlign w:val="bottom"/>
          </w:tcPr>
          <w:p>
            <w:pPr>
              <w:ind w:left="120"/>
              <w:spacing w:after="0" w:line="13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20" w:type="dxa"/>
            <w:vAlign w:val="bottom"/>
            <w:gridSpan w:val="3"/>
          </w:tcPr>
          <w:p>
            <w:pPr>
              <w:ind w:left="20"/>
              <w:spacing w:after="0" w:line="139" w:lineRule="exact"/>
              <w:rPr>
                <w:sz w:val="20"/>
                <w:szCs w:val="20"/>
                <w:color w:val="auto"/>
              </w:rPr>
            </w:pPr>
            <w:r>
              <w:rPr>
                <w:rFonts w:ascii="Arial" w:cs="Arial" w:eastAsia="Arial" w:hAnsi="Arial"/>
                <w:sz w:val="14"/>
                <w:szCs w:val="14"/>
                <w:color w:val="auto"/>
              </w:rPr>
              <w:t>​​ ​ ​</w:t>
            </w:r>
          </w:p>
        </w:tc>
        <w:tc>
          <w:tcPr>
            <w:tcW w:w="680" w:type="dxa"/>
            <w:vAlign w:val="bottom"/>
          </w:tcPr>
          <w:p>
            <w:pPr>
              <w:spacing w:after="0"/>
              <w:rPr>
                <w:sz w:val="12"/>
                <w:szCs w:val="12"/>
                <w:color w:val="auto"/>
              </w:rPr>
            </w:pPr>
          </w:p>
        </w:tc>
        <w:tc>
          <w:tcPr>
            <w:tcW w:w="300" w:type="dxa"/>
            <w:vAlign w:val="bottom"/>
            <w:gridSpan w:val="3"/>
          </w:tcPr>
          <w:p>
            <w:pPr>
              <w:spacing w:after="0" w:line="139" w:lineRule="exact"/>
              <w:rPr>
                <w:sz w:val="20"/>
                <w:szCs w:val="20"/>
                <w:color w:val="auto"/>
              </w:rPr>
            </w:pPr>
            <w:r>
              <w:rPr>
                <w:rFonts w:ascii="Arial" w:cs="Arial" w:eastAsia="Arial" w:hAnsi="Arial"/>
                <w:sz w:val="14"/>
                <w:szCs w:val="14"/>
                <w:color w:val="auto"/>
              </w:rPr>
              <w:t>​ ​ ​​</w:t>
            </w:r>
          </w:p>
        </w:tc>
        <w:tc>
          <w:tcPr>
            <w:tcW w:w="880" w:type="dxa"/>
            <w:vAlign w:val="bottom"/>
            <w:gridSpan w:val="3"/>
          </w:tcPr>
          <w:p>
            <w:pPr>
              <w:ind w:left="580"/>
              <w:spacing w:after="0" w:line="139" w:lineRule="exact"/>
              <w:rPr>
                <w:sz w:val="20"/>
                <w:szCs w:val="20"/>
                <w:color w:val="auto"/>
              </w:rPr>
            </w:pPr>
            <w:r>
              <w:rPr>
                <w:rFonts w:ascii="Arial" w:cs="Arial" w:eastAsia="Arial" w:hAnsi="Arial"/>
                <w:sz w:val="14"/>
                <w:szCs w:val="14"/>
                <w:color w:val="auto"/>
              </w:rPr>
              <w:t>​ ​ ​​</w:t>
            </w:r>
          </w:p>
        </w:tc>
        <w:tc>
          <w:tcPr>
            <w:tcW w:w="1000" w:type="dxa"/>
            <w:vAlign w:val="bottom"/>
            <w:gridSpan w:val="3"/>
          </w:tcPr>
          <w:p>
            <w:pPr>
              <w:jc w:val="right"/>
              <w:spacing w:after="0" w:line="139" w:lineRule="exact"/>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1000" w:type="dxa"/>
            <w:vAlign w:val="bottom"/>
            <w:gridSpan w:val="3"/>
          </w:tcPr>
          <w:p>
            <w:pPr>
              <w:jc w:val="right"/>
              <w:spacing w:after="0" w:line="139" w:lineRule="exact"/>
              <w:rPr>
                <w:sz w:val="20"/>
                <w:szCs w:val="20"/>
                <w:color w:val="auto"/>
              </w:rPr>
            </w:pPr>
            <w:r>
              <w:rPr>
                <w:rFonts w:ascii="Arial" w:cs="Arial" w:eastAsia="Arial" w:hAnsi="Arial"/>
                <w:sz w:val="14"/>
                <w:szCs w:val="14"/>
                <w:color w:val="auto"/>
              </w:rPr>
              <w:t>​​​ ​ ​​</w:t>
            </w:r>
          </w:p>
        </w:tc>
        <w:tc>
          <w:tcPr>
            <w:tcW w:w="700" w:type="dxa"/>
            <w:vAlign w:val="bottom"/>
          </w:tcPr>
          <w:p>
            <w:pPr>
              <w:spacing w:after="0"/>
              <w:rPr>
                <w:sz w:val="12"/>
                <w:szCs w:val="12"/>
                <w:color w:val="auto"/>
              </w:rPr>
            </w:pPr>
          </w:p>
        </w:tc>
        <w:tc>
          <w:tcPr>
            <w:tcW w:w="200" w:type="dxa"/>
            <w:vAlign w:val="bottom"/>
          </w:tcPr>
          <w:p>
            <w:pPr>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 3,379,846</w:t>
            </w:r>
          </w:p>
        </w:tc>
        <w:tc>
          <w:tcPr>
            <w:tcW w:w="160" w:type="dxa"/>
            <w:vAlign w:val="bottom"/>
          </w:tcPr>
          <w:p>
            <w:pPr>
              <w:spacing w:after="0"/>
              <w:rPr>
                <w:sz w:val="16"/>
                <w:szCs w:val="16"/>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center"/>
              <w:ind w:left="52"/>
              <w:spacing w:after="0"/>
              <w:rPr>
                <w:sz w:val="20"/>
                <w:szCs w:val="20"/>
                <w:color w:val="auto"/>
              </w:rPr>
            </w:pPr>
            <w:r>
              <w:rPr>
                <w:rFonts w:ascii="Arial" w:cs="Arial" w:eastAsia="Arial" w:hAnsi="Arial"/>
                <w:sz w:val="14"/>
                <w:szCs w:val="14"/>
                <w:color w:val="auto"/>
              </w:rPr>
              <w:t>​0.37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​04/16/2025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42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0"/>
                <w:szCs w:val="10"/>
                <w:color w:val="auto"/>
              </w:rPr>
            </w:pP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jc w:val="center"/>
              <w:ind w:right="14"/>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ind w:left="580"/>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tcPr>
          <w:p>
            <w:pPr>
              <w:ind w:left="66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 7,931,999</w:t>
            </w:r>
          </w:p>
        </w:tc>
        <w:tc>
          <w:tcPr>
            <w:tcW w:w="160" w:type="dxa"/>
            <w:vAlign w:val="bottom"/>
          </w:tcPr>
          <w:p>
            <w:pPr>
              <w:spacing w:after="0"/>
              <w:rPr>
                <w:sz w:val="16"/>
                <w:szCs w:val="16"/>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center"/>
              <w:ind w:left="52"/>
              <w:spacing w:after="0"/>
              <w:rPr>
                <w:sz w:val="20"/>
                <w:szCs w:val="20"/>
                <w:color w:val="auto"/>
              </w:rPr>
            </w:pPr>
            <w:r>
              <w:rPr>
                <w:rFonts w:ascii="Arial" w:cs="Arial" w:eastAsia="Arial" w:hAnsi="Arial"/>
                <w:sz w:val="14"/>
                <w:szCs w:val="14"/>
                <w:color w:val="auto"/>
              </w:rPr>
              <w:t>​0.83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​04/21/2029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gridSpan w:val="3"/>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4"/>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3"/>
          </w:tcPr>
          <w:p>
            <w:pPr>
              <w:spacing w:after="0"/>
              <w:rPr>
                <w:sz w:val="8"/>
                <w:szCs w:val="8"/>
                <w:color w:val="auto"/>
              </w:rPr>
            </w:pPr>
          </w:p>
        </w:tc>
        <w:tc>
          <w:tcPr>
            <w:tcW w:w="880" w:type="dxa"/>
            <w:vAlign w:val="bottom"/>
            <w:tcBorders>
              <w:bottom w:val="single" w:sz="8" w:color="auto"/>
            </w:tcBorders>
            <w:gridSpan w:val="3"/>
          </w:tcPr>
          <w:p>
            <w:pPr>
              <w:spacing w:after="0"/>
              <w:rPr>
                <w:sz w:val="8"/>
                <w:szCs w:val="8"/>
                <w:color w:val="auto"/>
              </w:rPr>
            </w:pPr>
          </w:p>
        </w:tc>
        <w:tc>
          <w:tcPr>
            <w:tcW w:w="1000" w:type="dxa"/>
            <w:vAlign w:val="bottom"/>
            <w:tcBorders>
              <w:bottom w:val="single" w:sz="8" w:color="auto"/>
            </w:tcBorders>
            <w:gridSpan w:val="3"/>
          </w:tcPr>
          <w:p>
            <w:pPr>
              <w:spacing w:after="0"/>
              <w:rPr>
                <w:sz w:val="8"/>
                <w:szCs w:val="8"/>
                <w:color w:val="auto"/>
              </w:rPr>
            </w:pPr>
          </w:p>
        </w:tc>
        <w:tc>
          <w:tcPr>
            <w:tcW w:w="1000" w:type="dxa"/>
            <w:vAlign w:val="bottom"/>
            <w:tcBorders>
              <w:bottom w:val="single" w:sz="8" w:color="auto"/>
            </w:tcBorders>
            <w:gridSpan w:val="3"/>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gridSpan w:val="3"/>
          </w:tcPr>
          <w:p>
            <w:pPr>
              <w:jc w:val="center"/>
              <w:spacing w:after="0" w:line="11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90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 ​</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line="115" w:lineRule="exact"/>
              <w:rPr>
                <w:sz w:val="20"/>
                <w:szCs w:val="20"/>
                <w:color w:val="auto"/>
              </w:rPr>
            </w:pPr>
            <w:r>
              <w:rPr>
                <w:rFonts w:ascii="Arial" w:cs="Arial" w:eastAsia="Arial" w:hAnsi="Arial"/>
                <w:sz w:val="13"/>
                <w:szCs w:val="13"/>
                <w:color w:val="auto"/>
              </w:rPr>
              <w:t>​ ​​ ​</w:t>
            </w:r>
          </w:p>
        </w:tc>
        <w:tc>
          <w:tcPr>
            <w:tcW w:w="42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400" w:type="dxa"/>
            <w:vAlign w:val="bottom"/>
            <w:gridSpan w:val="4"/>
          </w:tcPr>
          <w:p>
            <w:pPr>
              <w:jc w:val="right"/>
              <w:spacing w:after="0" w:line="115" w:lineRule="exact"/>
              <w:rPr>
                <w:sz w:val="20"/>
                <w:szCs w:val="20"/>
                <w:color w:val="auto"/>
              </w:rPr>
            </w:pPr>
            <w:r>
              <w:rPr>
                <w:rFonts w:ascii="Arial" w:cs="Arial" w:eastAsia="Arial" w:hAnsi="Arial"/>
                <w:sz w:val="13"/>
                <w:szCs w:val="13"/>
                <w:color w:val="auto"/>
              </w:rPr>
              <w:t>​ ​​ ​ ​</w:t>
            </w:r>
          </w:p>
        </w:tc>
        <w:tc>
          <w:tcPr>
            <w:tcW w:w="680" w:type="dxa"/>
            <w:vAlign w:val="bottom"/>
          </w:tcPr>
          <w:p>
            <w:pPr>
              <w:spacing w:after="0"/>
              <w:rPr>
                <w:sz w:val="10"/>
                <w:szCs w:val="10"/>
                <w:color w:val="auto"/>
              </w:rPr>
            </w:pPr>
          </w:p>
        </w:tc>
        <w:tc>
          <w:tcPr>
            <w:tcW w:w="300" w:type="dxa"/>
            <w:vAlign w:val="bottom"/>
            <w:gridSpan w:val="3"/>
          </w:tcPr>
          <w:p>
            <w:pPr>
              <w:spacing w:after="0" w:line="115" w:lineRule="exact"/>
              <w:rPr>
                <w:sz w:val="20"/>
                <w:szCs w:val="20"/>
                <w:color w:val="auto"/>
              </w:rPr>
            </w:pPr>
            <w:r>
              <w:rPr>
                <w:rFonts w:ascii="Arial" w:cs="Arial" w:eastAsia="Arial" w:hAnsi="Arial"/>
                <w:sz w:val="13"/>
                <w:szCs w:val="13"/>
                <w:color w:val="auto"/>
              </w:rPr>
              <w:t>​ ​ ​</w:t>
            </w:r>
          </w:p>
        </w:tc>
        <w:tc>
          <w:tcPr>
            <w:tcW w:w="880" w:type="dxa"/>
            <w:vAlign w:val="bottom"/>
            <w:gridSpan w:val="3"/>
          </w:tcPr>
          <w:p>
            <w:pPr>
              <w:ind w:left="580"/>
              <w:spacing w:after="0" w:line="115" w:lineRule="exact"/>
              <w:rPr>
                <w:sz w:val="20"/>
                <w:szCs w:val="20"/>
                <w:color w:val="auto"/>
              </w:rPr>
            </w:pPr>
            <w:r>
              <w:rPr>
                <w:rFonts w:ascii="Arial" w:cs="Arial" w:eastAsia="Arial" w:hAnsi="Arial"/>
                <w:sz w:val="13"/>
                <w:szCs w:val="13"/>
                <w:color w:val="auto"/>
              </w:rPr>
              <w:t>​ ​ ​</w:t>
            </w:r>
          </w:p>
        </w:tc>
        <w:tc>
          <w:tcPr>
            <w:tcW w:w="1000" w:type="dxa"/>
            <w:vAlign w:val="bottom"/>
            <w:gridSpan w:val="3"/>
          </w:tcPr>
          <w:p>
            <w:pPr>
              <w:jc w:val="right"/>
              <w:spacing w:after="0" w:line="115" w:lineRule="exact"/>
              <w:rPr>
                <w:sz w:val="20"/>
                <w:szCs w:val="20"/>
                <w:color w:val="auto"/>
              </w:rPr>
            </w:pPr>
            <w:r>
              <w:rPr>
                <w:rFonts w:ascii="Arial" w:cs="Arial" w:eastAsia="Arial" w:hAnsi="Arial"/>
                <w:sz w:val="13"/>
                <w:szCs w:val="13"/>
                <w:color w:val="auto"/>
              </w:rPr>
              <w:t>​ ​ ​</w:t>
            </w:r>
          </w:p>
        </w:tc>
        <w:tc>
          <w:tcPr>
            <w:tcW w:w="1000" w:type="dxa"/>
            <w:vAlign w:val="bottom"/>
            <w:gridSpan w:val="3"/>
          </w:tcPr>
          <w:p>
            <w:pPr>
              <w:jc w:val="right"/>
              <w:spacing w:after="0" w:line="115" w:lineRule="exact"/>
              <w:rPr>
                <w:sz w:val="20"/>
                <w:szCs w:val="20"/>
                <w:color w:val="auto"/>
              </w:rPr>
            </w:pPr>
            <w:r>
              <w:rPr>
                <w:rFonts w:ascii="Arial" w:cs="Arial" w:eastAsia="Arial" w:hAnsi="Arial"/>
                <w:sz w:val="13"/>
                <w:szCs w:val="13"/>
                <w:color w:val="auto"/>
              </w:rPr>
              <w:t>​​ ​ ​</w:t>
            </w:r>
          </w:p>
        </w:tc>
        <w:tc>
          <w:tcPr>
            <w:tcW w:w="700" w:type="dxa"/>
            <w:vAlign w:val="bottom"/>
          </w:tcPr>
          <w:p>
            <w:pPr>
              <w:spacing w:after="0"/>
              <w:rPr>
                <w:sz w:val="10"/>
                <w:szCs w:val="10"/>
                <w:color w:val="auto"/>
              </w:rPr>
            </w:pPr>
          </w:p>
        </w:tc>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w w:val="97"/>
              </w:rPr>
              <w:t>​9,511,389</w:t>
            </w:r>
            <w:r>
              <w:rPr>
                <w:rFonts w:ascii="Arial" w:cs="Arial" w:eastAsia="Arial" w:hAnsi="Arial"/>
                <w:sz w:val="17"/>
                <w:szCs w:val="17"/>
                <w:color w:val="auto"/>
                <w:w w:val="97"/>
                <w:vertAlign w:val="superscript"/>
              </w:rPr>
              <w:t>(2)</w:t>
            </w: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64,962,786</w:t>
            </w:r>
          </w:p>
        </w:tc>
        <w:tc>
          <w:tcPr>
            <w:tcW w:w="160" w:type="dxa"/>
            <w:vAlign w:val="bottom"/>
          </w:tcPr>
          <w:p>
            <w:pPr>
              <w:spacing w:after="0"/>
              <w:rPr>
                <w:sz w:val="20"/>
                <w:szCs w:val="20"/>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color w:val="auto"/>
              </w:rPr>
              <w:t>​ 2,090,140</w:t>
            </w:r>
            <w:r>
              <w:rPr>
                <w:rFonts w:ascii="Arial" w:cs="Arial" w:eastAsia="Arial" w:hAnsi="Arial"/>
                <w:sz w:val="17"/>
                <w:szCs w:val="17"/>
                <w:color w:val="auto"/>
                <w:vertAlign w:val="superscript"/>
              </w:rPr>
              <w:t>(3)</w:t>
            </w:r>
          </w:p>
        </w:tc>
        <w:tc>
          <w:tcPr>
            <w:tcW w:w="980" w:type="dxa"/>
            <w:vAlign w:val="bottom"/>
            <w:gridSpan w:val="3"/>
          </w:tcPr>
          <w:p>
            <w:pPr>
              <w:jc w:val="center"/>
              <w:ind w:right="113"/>
              <w:spacing w:after="0"/>
              <w:rPr>
                <w:sz w:val="20"/>
                <w:szCs w:val="20"/>
                <w:color w:val="auto"/>
              </w:rPr>
            </w:pPr>
            <w:r>
              <w:rPr>
                <w:rFonts w:ascii="Arial" w:cs="Arial" w:eastAsia="Arial" w:hAnsi="Arial"/>
                <w:sz w:val="14"/>
                <w:szCs w:val="14"/>
                <w:color w:val="auto"/>
              </w:rPr>
              <w:t>​14,275,656</w:t>
            </w:r>
          </w:p>
        </w:tc>
        <w:tc>
          <w:tcPr>
            <w:tcW w:w="0" w:type="dxa"/>
            <w:vAlign w:val="bottom"/>
          </w:tcPr>
          <w:p>
            <w:pPr>
              <w:spacing w:after="0"/>
              <w:rPr>
                <w:sz w:val="1"/>
                <w:szCs w:val="1"/>
                <w:color w:val="auto"/>
              </w:rPr>
            </w:pPr>
          </w:p>
        </w:tc>
      </w:tr>
      <w:tr>
        <w:trPr>
          <w:trHeight w:val="44"/>
        </w:trPr>
        <w:tc>
          <w:tcPr>
            <w:tcW w:w="15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4"/>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540" w:type="dxa"/>
            <w:vAlign w:val="bottom"/>
            <w:gridSpan w:val="2"/>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00" w:type="dxa"/>
            <w:vAlign w:val="bottom"/>
            <w:gridSpan w:val="2"/>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F7F7F7"/>
          </w:tcPr>
          <w:p>
            <w:pPr>
              <w:jc w:val="right"/>
              <w:spacing w:after="0" w:line="115" w:lineRule="exact"/>
              <w:rPr>
                <w:sz w:val="20"/>
                <w:szCs w:val="20"/>
                <w:color w:val="auto"/>
              </w:rPr>
            </w:pPr>
            <w:r>
              <w:rPr>
                <w:rFonts w:ascii="Arial" w:cs="Arial" w:eastAsia="Arial" w:hAnsi="Arial"/>
                <w:sz w:val="13"/>
                <w:szCs w:val="13"/>
                <w:color w:val="auto"/>
              </w:rPr>
              <w:t>​​ ​</w:t>
            </w:r>
          </w:p>
        </w:tc>
        <w:tc>
          <w:tcPr>
            <w:tcW w:w="280" w:type="dxa"/>
            <w:vAlign w:val="bottom"/>
            <w:shd w:val="clear" w:color="auto" w:fill="F7F7F7"/>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F7F7F7"/>
          </w:tcPr>
          <w:p>
            <w:pPr>
              <w:ind w:left="3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F7F7F7"/>
          </w:tcPr>
          <w:p>
            <w:pPr>
              <w:jc w:val="right"/>
              <w:spacing w:after="0" w:line="115" w:lineRule="exact"/>
              <w:rPr>
                <w:sz w:val="20"/>
                <w:szCs w:val="20"/>
                <w:color w:val="auto"/>
              </w:rPr>
            </w:pPr>
            <w:r>
              <w:rPr>
                <w:rFonts w:ascii="Arial" w:cs="Arial" w:eastAsia="Arial" w:hAnsi="Arial"/>
                <w:sz w:val="13"/>
                <w:szCs w:val="13"/>
                <w:color w:val="auto"/>
              </w:rPr>
              <w:t>​​ ​</w:t>
            </w:r>
          </w:p>
        </w:tc>
        <w:tc>
          <w:tcPr>
            <w:tcW w:w="420" w:type="dxa"/>
            <w:vAlign w:val="bottom"/>
            <w:shd w:val="clear" w:color="auto" w:fill="F7F7F7"/>
          </w:tcPr>
          <w:p>
            <w:pPr>
              <w:ind w:left="120"/>
              <w:spacing w:after="0" w:line="115" w:lineRule="exact"/>
              <w:rPr>
                <w:sz w:val="20"/>
                <w:szCs w:val="20"/>
                <w:color w:val="auto"/>
              </w:rPr>
            </w:pPr>
            <w:r>
              <w:rPr>
                <w:rFonts w:ascii="Arial" w:cs="Arial" w:eastAsia="Arial" w:hAnsi="Arial"/>
                <w:sz w:val="13"/>
                <w:szCs w:val="13"/>
                <w:color w:val="auto"/>
              </w:rPr>
              <w:t>​</w:t>
            </w:r>
          </w:p>
        </w:tc>
        <w:tc>
          <w:tcPr>
            <w:tcW w:w="400" w:type="dxa"/>
            <w:vAlign w:val="bottom"/>
            <w:gridSpan w:val="4"/>
            <w:shd w:val="clear" w:color="auto" w:fill="F7F7F7"/>
          </w:tcPr>
          <w:p>
            <w:pPr>
              <w:jc w:val="right"/>
              <w:spacing w:after="0" w:line="115" w:lineRule="exact"/>
              <w:rPr>
                <w:sz w:val="20"/>
                <w:szCs w:val="20"/>
                <w:color w:val="auto"/>
              </w:rPr>
            </w:pPr>
            <w:r>
              <w:rPr>
                <w:rFonts w:ascii="Arial" w:cs="Arial" w:eastAsia="Arial" w:hAnsi="Arial"/>
                <w:sz w:val="13"/>
                <w:szCs w:val="13"/>
                <w:color w:val="auto"/>
              </w:rPr>
              <w:t>​ ​​ ​ ​​</w:t>
            </w:r>
          </w:p>
        </w:tc>
        <w:tc>
          <w:tcPr>
            <w:tcW w:w="680" w:type="dxa"/>
            <w:vAlign w:val="bottom"/>
            <w:shd w:val="clear" w:color="auto" w:fill="F7F7F7"/>
          </w:tcPr>
          <w:p>
            <w:pPr>
              <w:spacing w:after="0"/>
              <w:rPr>
                <w:sz w:val="10"/>
                <w:szCs w:val="10"/>
                <w:color w:val="auto"/>
              </w:rPr>
            </w:pPr>
          </w:p>
        </w:tc>
        <w:tc>
          <w:tcPr>
            <w:tcW w:w="300" w:type="dxa"/>
            <w:vAlign w:val="bottom"/>
            <w:gridSpan w:val="3"/>
            <w:shd w:val="clear" w:color="auto" w:fill="F7F7F7"/>
          </w:tcPr>
          <w:p>
            <w:pPr>
              <w:spacing w:after="0" w:line="115" w:lineRule="exact"/>
              <w:rPr>
                <w:sz w:val="20"/>
                <w:szCs w:val="20"/>
                <w:color w:val="auto"/>
              </w:rPr>
            </w:pPr>
            <w:r>
              <w:rPr>
                <w:rFonts w:ascii="Arial" w:cs="Arial" w:eastAsia="Arial" w:hAnsi="Arial"/>
                <w:sz w:val="13"/>
                <w:szCs w:val="13"/>
                <w:color w:val="auto"/>
              </w:rPr>
              <w:t>​ ​ ​</w:t>
            </w:r>
          </w:p>
        </w:tc>
        <w:tc>
          <w:tcPr>
            <w:tcW w:w="880" w:type="dxa"/>
            <w:vAlign w:val="bottom"/>
            <w:gridSpan w:val="3"/>
            <w:shd w:val="clear" w:color="auto" w:fill="F7F7F7"/>
          </w:tcPr>
          <w:p>
            <w:pPr>
              <w:ind w:left="580"/>
              <w:spacing w:after="0" w:line="115" w:lineRule="exact"/>
              <w:rPr>
                <w:sz w:val="20"/>
                <w:szCs w:val="20"/>
                <w:color w:val="auto"/>
              </w:rPr>
            </w:pPr>
            <w:r>
              <w:rPr>
                <w:rFonts w:ascii="Arial" w:cs="Arial" w:eastAsia="Arial" w:hAnsi="Arial"/>
                <w:sz w:val="13"/>
                <w:szCs w:val="13"/>
                <w:color w:val="auto"/>
              </w:rPr>
              <w:t>​ ​ ​</w:t>
            </w:r>
          </w:p>
        </w:tc>
        <w:tc>
          <w:tcPr>
            <w:tcW w:w="1000" w:type="dxa"/>
            <w:vAlign w:val="bottom"/>
            <w:gridSpan w:val="3"/>
            <w:shd w:val="clear" w:color="auto" w:fill="F7F7F7"/>
          </w:tcPr>
          <w:p>
            <w:pPr>
              <w:jc w:val="right"/>
              <w:spacing w:after="0" w:line="115" w:lineRule="exact"/>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1000" w:type="dxa"/>
            <w:vAlign w:val="bottom"/>
            <w:gridSpan w:val="3"/>
            <w:shd w:val="clear" w:color="auto" w:fill="F7F7F7"/>
          </w:tcPr>
          <w:p>
            <w:pPr>
              <w:jc w:val="right"/>
              <w:spacing w:after="0" w:line="115" w:lineRule="exact"/>
              <w:rPr>
                <w:sz w:val="20"/>
                <w:szCs w:val="20"/>
                <w:color w:val="auto"/>
              </w:rPr>
            </w:pPr>
            <w:r>
              <w:rPr>
                <w:rFonts w:ascii="Arial" w:cs="Arial" w:eastAsia="Arial" w:hAnsi="Arial"/>
                <w:sz w:val="13"/>
                <w:szCs w:val="13"/>
                <w:color w:val="auto"/>
              </w:rPr>
              <w:t>​​​ ​ ​​</w:t>
            </w:r>
          </w:p>
        </w:tc>
        <w:tc>
          <w:tcPr>
            <w:tcW w:w="700" w:type="dxa"/>
            <w:vAlign w:val="bottom"/>
            <w:shd w:val="clear" w:color="auto" w:fill="F7F7F7"/>
          </w:tcPr>
          <w:p>
            <w:pPr>
              <w:spacing w:after="0"/>
              <w:rPr>
                <w:sz w:val="10"/>
                <w:szCs w:val="10"/>
                <w:color w:val="auto"/>
              </w:rPr>
            </w:pPr>
          </w:p>
        </w:tc>
        <w:tc>
          <w:tcPr>
            <w:tcW w:w="2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7"/>
        </w:trPr>
        <w:tc>
          <w:tcPr>
            <w:tcW w:w="140" w:type="dxa"/>
            <w:vAlign w:val="bottom"/>
            <w:tcBorders>
              <w:bottom w:val="single" w:sz="8" w:color="F7F7F7"/>
            </w:tcBorders>
            <w:shd w:val="clear" w:color="auto" w:fill="F7F7F7"/>
          </w:tcPr>
          <w:p>
            <w:pPr>
              <w:spacing w:after="0"/>
              <w:rPr>
                <w:sz w:val="24"/>
                <w:szCs w:val="24"/>
                <w:color w:val="auto"/>
              </w:rPr>
            </w:pPr>
          </w:p>
        </w:tc>
        <w:tc>
          <w:tcPr>
            <w:tcW w:w="140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Sherry House</w:t>
            </w:r>
          </w:p>
        </w:tc>
        <w:tc>
          <w:tcPr>
            <w:tcW w:w="120" w:type="dxa"/>
            <w:vAlign w:val="bottom"/>
            <w:tcBorders>
              <w:bottom w:val="single" w:sz="8" w:color="F7F7F7"/>
            </w:tcBorders>
            <w:shd w:val="clear" w:color="auto" w:fill="F7F7F7"/>
          </w:tcPr>
          <w:p>
            <w:pPr>
              <w:spacing w:after="0"/>
              <w:rPr>
                <w:sz w:val="24"/>
                <w:szCs w:val="24"/>
                <w:color w:val="auto"/>
              </w:rPr>
            </w:pPr>
          </w:p>
        </w:tc>
        <w:tc>
          <w:tcPr>
            <w:tcW w:w="4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7F7F7"/>
            </w:tcBorders>
            <w:shd w:val="clear" w:color="auto" w:fill="F7F7F7"/>
          </w:tcPr>
          <w:p>
            <w:pPr>
              <w:spacing w:after="0"/>
              <w:rPr>
                <w:sz w:val="24"/>
                <w:szCs w:val="24"/>
                <w:color w:val="auto"/>
              </w:rPr>
            </w:pPr>
          </w:p>
        </w:tc>
        <w:tc>
          <w:tcPr>
            <w:tcW w:w="280" w:type="dxa"/>
            <w:vAlign w:val="bottom"/>
            <w:tcBorders>
              <w:bottom w:val="single" w:sz="8" w:color="F7F7F7"/>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F7F7F7"/>
            </w:tcBorders>
            <w:vMerge w:val="continue"/>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42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680" w:type="dxa"/>
            <w:vAlign w:val="bottom"/>
            <w:tcBorders>
              <w:bottom w:val="single" w:sz="8" w:color="F7F7F7"/>
            </w:tcBorders>
            <w:shd w:val="clear" w:color="auto" w:fill="F7F7F7"/>
          </w:tcPr>
          <w:p>
            <w:pPr>
              <w:spacing w:after="0"/>
              <w:rPr>
                <w:sz w:val="24"/>
                <w:szCs w:val="24"/>
                <w:color w:val="auto"/>
              </w:rPr>
            </w:pPr>
          </w:p>
        </w:tc>
        <w:tc>
          <w:tcPr>
            <w:tcW w:w="100" w:type="dxa"/>
            <w:vAlign w:val="bottom"/>
            <w:tcBorders>
              <w:bottom w:val="single" w:sz="8" w:color="F7F7F7"/>
            </w:tcBorders>
            <w:shd w:val="clear" w:color="auto" w:fill="F7F7F7"/>
          </w:tcPr>
          <w:p>
            <w:pPr>
              <w:spacing w:after="0"/>
              <w:rPr>
                <w:sz w:val="24"/>
                <w:szCs w:val="24"/>
                <w:color w:val="auto"/>
              </w:rPr>
            </w:pPr>
          </w:p>
        </w:tc>
        <w:tc>
          <w:tcPr>
            <w:tcW w:w="12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413,126</w:t>
            </w:r>
            <w:r>
              <w:rPr>
                <w:rFonts w:ascii="Arial" w:cs="Arial" w:eastAsia="Arial" w:hAnsi="Arial"/>
                <w:sz w:val="17"/>
                <w:szCs w:val="17"/>
                <w:color w:val="auto"/>
                <w:vertAlign w:val="superscript"/>
              </w:rPr>
              <w:t>(4)</w:t>
            </w:r>
          </w:p>
        </w:tc>
        <w:tc>
          <w:tcPr>
            <w:tcW w:w="100" w:type="dxa"/>
            <w:vAlign w:val="bottom"/>
            <w:tcBorders>
              <w:bottom w:val="single" w:sz="8" w:color="F7F7F7"/>
            </w:tcBorders>
            <w:shd w:val="clear" w:color="auto" w:fill="F7F7F7"/>
          </w:tcPr>
          <w:p>
            <w:pPr>
              <w:spacing w:after="0"/>
              <w:rPr>
                <w:sz w:val="24"/>
                <w:szCs w:val="24"/>
                <w:color w:val="auto"/>
              </w:rPr>
            </w:pPr>
          </w:p>
        </w:tc>
        <w:tc>
          <w:tcPr>
            <w:tcW w:w="10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2,821,650</w:t>
            </w:r>
          </w:p>
        </w:tc>
        <w:tc>
          <w:tcPr>
            <w:tcW w:w="16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spacing w:after="0"/>
              <w:rPr>
                <w:sz w:val="24"/>
                <w:szCs w:val="24"/>
                <w:color w:val="auto"/>
              </w:rPr>
            </w:pPr>
          </w:p>
        </w:tc>
        <w:tc>
          <w:tcPr>
            <w:tcW w:w="76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700" w:type="dxa"/>
            <w:vAlign w:val="bottom"/>
            <w:tcBorders>
              <w:bottom w:val="single" w:sz="8" w:color="F7F7F7"/>
            </w:tcBorders>
            <w:shd w:val="clear" w:color="auto" w:fill="F7F7F7"/>
          </w:tcPr>
          <w:p>
            <w:pPr>
              <w:spacing w:after="0"/>
              <w:rPr>
                <w:sz w:val="24"/>
                <w:szCs w:val="24"/>
                <w:color w:val="auto"/>
              </w:rPr>
            </w:pPr>
          </w:p>
        </w:tc>
        <w:tc>
          <w:tcPr>
            <w:tcW w:w="200" w:type="dxa"/>
            <w:vAlign w:val="bottom"/>
            <w:tcBorders>
              <w:bottom w:val="single" w:sz="8" w:color="F7F7F7"/>
            </w:tcBorders>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top w:val="single" w:sz="8" w:color="F7F7F7"/>
            </w:tcBorders>
            <w:shd w:val="clear" w:color="auto" w:fill="F7F7F7"/>
          </w:tcPr>
          <w:p>
            <w:pPr>
              <w:spacing w:after="0"/>
              <w:rPr>
                <w:sz w:val="10"/>
                <w:szCs w:val="10"/>
                <w:color w:val="auto"/>
              </w:rPr>
            </w:pPr>
          </w:p>
        </w:tc>
        <w:tc>
          <w:tcPr>
            <w:tcW w:w="1400" w:type="dxa"/>
            <w:vAlign w:val="bottom"/>
            <w:tcBorders>
              <w:top w:val="single" w:sz="8" w:color="F7F7F7"/>
            </w:tcBorders>
            <w:shd w:val="clear" w:color="auto" w:fill="F7F7F7"/>
          </w:tcPr>
          <w:p>
            <w:pPr>
              <w:spacing w:after="0"/>
              <w:rPr>
                <w:sz w:val="10"/>
                <w:szCs w:val="10"/>
                <w:color w:val="auto"/>
              </w:rPr>
            </w:pPr>
          </w:p>
        </w:tc>
        <w:tc>
          <w:tcPr>
            <w:tcW w:w="120" w:type="dxa"/>
            <w:vAlign w:val="bottom"/>
            <w:tcBorders>
              <w:top w:val="single" w:sz="8" w:color="F7F7F7"/>
            </w:tcBorders>
            <w:shd w:val="clear" w:color="auto" w:fill="F7F7F7"/>
          </w:tcPr>
          <w:p>
            <w:pPr>
              <w:spacing w:after="0"/>
              <w:rPr>
                <w:sz w:val="10"/>
                <w:szCs w:val="10"/>
                <w:color w:val="auto"/>
              </w:rPr>
            </w:pPr>
          </w:p>
        </w:tc>
        <w:tc>
          <w:tcPr>
            <w:tcW w:w="4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auto"/>
            </w:tcBorders>
            <w:shd w:val="clear" w:color="auto" w:fill="F7F7F7"/>
          </w:tcPr>
          <w:p>
            <w:pPr>
              <w:spacing w:after="0"/>
              <w:rPr>
                <w:sz w:val="10"/>
                <w:szCs w:val="10"/>
                <w:color w:val="auto"/>
              </w:rPr>
            </w:pPr>
          </w:p>
        </w:tc>
        <w:tc>
          <w:tcPr>
            <w:tcW w:w="60" w:type="dxa"/>
            <w:vAlign w:val="bottom"/>
            <w:tcBorders>
              <w:top w:val="single" w:sz="8" w:color="auto"/>
            </w:tcBorders>
            <w:shd w:val="clear" w:color="auto" w:fill="F7F7F7"/>
          </w:tcPr>
          <w:p>
            <w:pPr>
              <w:ind w:left="20"/>
              <w:spacing w:after="0" w:line="115" w:lineRule="exact"/>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F7F7F7"/>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F7F7F7"/>
          </w:tcPr>
          <w:p>
            <w:pPr>
              <w:ind w:left="440"/>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F7F7F7"/>
          </w:tcPr>
          <w:p>
            <w:pPr>
              <w:ind w:left="120"/>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F7F7F7"/>
          </w:tcPr>
          <w:p>
            <w:pPr>
              <w:spacing w:after="0"/>
              <w:rPr>
                <w:sz w:val="10"/>
                <w:szCs w:val="10"/>
                <w:color w:val="auto"/>
              </w:rPr>
            </w:pPr>
          </w:p>
        </w:tc>
        <w:tc>
          <w:tcPr>
            <w:tcW w:w="10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F7F7F7"/>
          </w:tcPr>
          <w:p>
            <w:pPr>
              <w:jc w:val="center"/>
              <w:ind w:right="14"/>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F7F7F7"/>
          </w:tcPr>
          <w:p>
            <w:pPr>
              <w:ind w:left="580"/>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shd w:val="clear" w:color="auto" w:fill="F7F7F7"/>
          </w:tcPr>
          <w:p>
            <w:pPr>
              <w:ind w:left="660"/>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F7F7F7"/>
          </w:tcPr>
          <w:p>
            <w:pPr>
              <w:spacing w:after="0"/>
              <w:rPr>
                <w:sz w:val="10"/>
                <w:szCs w:val="10"/>
                <w:color w:val="auto"/>
              </w:rPr>
            </w:pPr>
          </w:p>
        </w:tc>
        <w:tc>
          <w:tcPr>
            <w:tcW w:w="20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5"/>
        </w:trPr>
        <w:tc>
          <w:tcPr>
            <w:tcW w:w="140" w:type="dxa"/>
            <w:vAlign w:val="bottom"/>
            <w:tcBorders>
              <w:bottom w:val="single" w:sz="8" w:color="F7F7F7"/>
            </w:tcBorders>
            <w:shd w:val="clear" w:color="auto" w:fill="F7F7F7"/>
          </w:tcPr>
          <w:p>
            <w:pPr>
              <w:spacing w:after="0"/>
              <w:rPr>
                <w:sz w:val="24"/>
                <w:szCs w:val="24"/>
                <w:color w:val="auto"/>
              </w:rPr>
            </w:pPr>
          </w:p>
        </w:tc>
        <w:tc>
          <w:tcPr>
            <w:tcW w:w="1400" w:type="dxa"/>
            <w:vAlign w:val="bottom"/>
            <w:tcBorders>
              <w:bottom w:val="single" w:sz="8" w:color="F7F7F7"/>
            </w:tcBorders>
            <w:shd w:val="clear" w:color="auto" w:fill="F7F7F7"/>
          </w:tcPr>
          <w:p>
            <w:pPr>
              <w:spacing w:after="0"/>
              <w:rPr>
                <w:sz w:val="24"/>
                <w:szCs w:val="24"/>
                <w:color w:val="auto"/>
              </w:rPr>
            </w:pPr>
          </w:p>
        </w:tc>
        <w:tc>
          <w:tcPr>
            <w:tcW w:w="120" w:type="dxa"/>
            <w:vAlign w:val="bottom"/>
            <w:tcBorders>
              <w:bottom w:val="single" w:sz="8" w:color="F7F7F7"/>
            </w:tcBorders>
            <w:shd w:val="clear" w:color="auto" w:fill="F7F7F7"/>
          </w:tcPr>
          <w:p>
            <w:pPr>
              <w:spacing w:after="0"/>
              <w:rPr>
                <w:sz w:val="24"/>
                <w:szCs w:val="24"/>
                <w:color w:val="auto"/>
              </w:rPr>
            </w:pPr>
          </w:p>
        </w:tc>
        <w:tc>
          <w:tcPr>
            <w:tcW w:w="4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spacing w:after="0"/>
              <w:rPr>
                <w:sz w:val="24"/>
                <w:szCs w:val="24"/>
                <w:color w:val="auto"/>
              </w:rPr>
            </w:pPr>
          </w:p>
        </w:tc>
        <w:tc>
          <w:tcPr>
            <w:tcW w:w="74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280" w:type="dxa"/>
            <w:vAlign w:val="bottom"/>
            <w:tcBorders>
              <w:bottom w:val="single" w:sz="8" w:color="F7F7F7"/>
            </w:tcBorders>
            <w:shd w:val="clear" w:color="auto" w:fill="F7F7F7"/>
          </w:tcPr>
          <w:p>
            <w:pPr>
              <w:spacing w:after="0"/>
              <w:rPr>
                <w:sz w:val="24"/>
                <w:szCs w:val="24"/>
                <w:color w:val="auto"/>
              </w:rPr>
            </w:pPr>
          </w:p>
        </w:tc>
        <w:tc>
          <w:tcPr>
            <w:tcW w:w="56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42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680" w:type="dxa"/>
            <w:vAlign w:val="bottom"/>
            <w:tcBorders>
              <w:bottom w:val="single" w:sz="8" w:color="F7F7F7"/>
            </w:tcBorders>
            <w:shd w:val="clear" w:color="auto" w:fill="F7F7F7"/>
          </w:tcPr>
          <w:p>
            <w:pPr>
              <w:spacing w:after="0"/>
              <w:rPr>
                <w:sz w:val="24"/>
                <w:szCs w:val="24"/>
                <w:color w:val="auto"/>
              </w:rPr>
            </w:pPr>
          </w:p>
        </w:tc>
        <w:tc>
          <w:tcPr>
            <w:tcW w:w="100" w:type="dxa"/>
            <w:vAlign w:val="bottom"/>
            <w:tcBorders>
              <w:bottom w:val="single" w:sz="8" w:color="F7F7F7"/>
            </w:tcBorders>
            <w:shd w:val="clear" w:color="auto" w:fill="F7F7F7"/>
          </w:tcPr>
          <w:p>
            <w:pPr>
              <w:spacing w:after="0"/>
              <w:rPr>
                <w:sz w:val="24"/>
                <w:szCs w:val="24"/>
                <w:color w:val="auto"/>
              </w:rPr>
            </w:pPr>
          </w:p>
        </w:tc>
        <w:tc>
          <w:tcPr>
            <w:tcW w:w="120" w:type="dxa"/>
            <w:vAlign w:val="bottom"/>
            <w:tcBorders>
              <w:bottom w:val="single" w:sz="8" w:color="F7F7F7"/>
            </w:tcBorders>
            <w:shd w:val="clear" w:color="auto" w:fill="F7F7F7"/>
          </w:tcPr>
          <w:p>
            <w:pPr>
              <w:spacing w:after="0"/>
              <w:rPr>
                <w:sz w:val="24"/>
                <w:szCs w:val="24"/>
                <w:color w:val="auto"/>
              </w:rPr>
            </w:pPr>
          </w:p>
        </w:tc>
        <w:tc>
          <w:tcPr>
            <w:tcW w:w="760" w:type="dxa"/>
            <w:vAlign w:val="bottom"/>
            <w:tcBorders>
              <w:bottom w:val="single" w:sz="8" w:color="F7F7F7"/>
            </w:tcBorders>
            <w:gridSpan w:val="2"/>
            <w:shd w:val="clear" w:color="auto" w:fill="F7F7F7"/>
          </w:tcPr>
          <w:p>
            <w:pPr>
              <w:spacing w:after="0"/>
              <w:rPr>
                <w:sz w:val="20"/>
                <w:szCs w:val="20"/>
                <w:color w:val="auto"/>
              </w:rPr>
            </w:pPr>
            <w:r>
              <w:rPr>
                <w:rFonts w:ascii="Arial" w:cs="Arial" w:eastAsia="Arial" w:hAnsi="Arial"/>
                <w:sz w:val="14"/>
                <w:szCs w:val="14"/>
                <w:color w:val="auto"/>
              </w:rPr>
              <w:t>​222,725</w:t>
            </w:r>
            <w:r>
              <w:rPr>
                <w:rFonts w:ascii="Arial" w:cs="Arial" w:eastAsia="Arial" w:hAnsi="Arial"/>
                <w:sz w:val="21"/>
                <w:szCs w:val="21"/>
                <w:color w:val="auto"/>
                <w:vertAlign w:val="superscript"/>
              </w:rPr>
              <w:t>(5)</w:t>
            </w:r>
          </w:p>
        </w:tc>
        <w:tc>
          <w:tcPr>
            <w:tcW w:w="100" w:type="dxa"/>
            <w:vAlign w:val="bottom"/>
            <w:tcBorders>
              <w:bottom w:val="single" w:sz="8" w:color="F7F7F7"/>
            </w:tcBorders>
            <w:shd w:val="clear" w:color="auto" w:fill="F7F7F7"/>
          </w:tcPr>
          <w:p>
            <w:pPr>
              <w:spacing w:after="0"/>
              <w:rPr>
                <w:sz w:val="24"/>
                <w:szCs w:val="24"/>
                <w:color w:val="auto"/>
              </w:rPr>
            </w:pPr>
          </w:p>
        </w:tc>
        <w:tc>
          <w:tcPr>
            <w:tcW w:w="10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1,521,211</w:t>
            </w:r>
          </w:p>
        </w:tc>
        <w:tc>
          <w:tcPr>
            <w:tcW w:w="16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spacing w:after="0"/>
              <w:rPr>
                <w:sz w:val="24"/>
                <w:szCs w:val="24"/>
                <w:color w:val="auto"/>
              </w:rPr>
            </w:pPr>
          </w:p>
        </w:tc>
        <w:tc>
          <w:tcPr>
            <w:tcW w:w="76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700" w:type="dxa"/>
            <w:vAlign w:val="bottom"/>
            <w:tcBorders>
              <w:bottom w:val="single" w:sz="8" w:color="F7F7F7"/>
            </w:tcBorders>
            <w:shd w:val="clear" w:color="auto" w:fill="F7F7F7"/>
          </w:tcPr>
          <w:p>
            <w:pPr>
              <w:spacing w:after="0"/>
              <w:rPr>
                <w:sz w:val="24"/>
                <w:szCs w:val="24"/>
                <w:color w:val="auto"/>
              </w:rPr>
            </w:pPr>
          </w:p>
        </w:tc>
        <w:tc>
          <w:tcPr>
            <w:tcW w:w="200" w:type="dxa"/>
            <w:vAlign w:val="bottom"/>
            <w:tcBorders>
              <w:bottom w:val="single" w:sz="8" w:color="F7F7F7"/>
            </w:tcBorders>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5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 ​</w:t>
            </w:r>
          </w:p>
        </w:tc>
        <w:tc>
          <w:tcPr>
            <w:tcW w:w="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 ​</w:t>
            </w:r>
          </w:p>
        </w:tc>
        <w:tc>
          <w:tcPr>
            <w:tcW w:w="28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tcPr>
          <w:p>
            <w:pPr>
              <w:ind w:left="30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rPr>
              <w:t>​​ ​</w:t>
            </w:r>
          </w:p>
        </w:tc>
        <w:tc>
          <w:tcPr>
            <w:tcW w:w="42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color w:val="auto"/>
              </w:rPr>
              <w:t>​​ ​ ​</w:t>
            </w:r>
          </w:p>
        </w:tc>
        <w:tc>
          <w:tcPr>
            <w:tcW w:w="6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color w:val="auto"/>
              </w:rPr>
              <w:t>​ ​ ​​</w:t>
            </w:r>
          </w:p>
        </w:tc>
        <w:tc>
          <w:tcPr>
            <w:tcW w:w="880" w:type="dxa"/>
            <w:vAlign w:val="bottom"/>
            <w:tcBorders>
              <w:top w:val="single" w:sz="8" w:color="auto"/>
            </w:tcBorders>
            <w:gridSpan w:val="3"/>
          </w:tcPr>
          <w:p>
            <w:pPr>
              <w:ind w:left="580"/>
              <w:spacing w:after="0" w:line="129" w:lineRule="exact"/>
              <w:rPr>
                <w:sz w:val="20"/>
                <w:szCs w:val="20"/>
                <w:color w:val="auto"/>
              </w:rPr>
            </w:pPr>
            <w:r>
              <w:rPr>
                <w:rFonts w:ascii="Arial" w:cs="Arial" w:eastAsia="Arial" w:hAnsi="Arial"/>
                <w:sz w:val="14"/>
                <w:szCs w:val="14"/>
                <w:color w:val="auto"/>
              </w:rPr>
              <w:t>​ ​ ​​</w:t>
            </w:r>
          </w:p>
        </w:tc>
        <w:tc>
          <w:tcPr>
            <w:tcW w:w="10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10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color w:val="auto"/>
              </w:rPr>
              <w:t>​​​ ​ ​​</w:t>
            </w: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Eric Bach</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879,698</w:t>
            </w:r>
          </w:p>
        </w:tc>
        <w:tc>
          <w:tcPr>
            <w:tcW w:w="160" w:type="dxa"/>
            <w:vAlign w:val="bottom"/>
          </w:tcPr>
          <w:p>
            <w:pPr>
              <w:spacing w:after="0"/>
              <w:rPr>
                <w:sz w:val="16"/>
                <w:szCs w:val="16"/>
                <w:color w:val="auto"/>
              </w:rPr>
            </w:pPr>
          </w:p>
        </w:tc>
        <w:tc>
          <w:tcPr>
            <w:tcW w:w="280" w:type="dxa"/>
            <w:vAlign w:val="bottom"/>
          </w:tcPr>
          <w:p>
            <w:pPr>
              <w:ind w:left="140"/>
              <w:spacing w:after="0"/>
              <w:rPr>
                <w:sz w:val="20"/>
                <w:szCs w:val="20"/>
                <w:color w:val="auto"/>
              </w:rPr>
            </w:pPr>
            <w:r>
              <w:rPr>
                <w:rFonts w:ascii="Arial" w:cs="Arial" w:eastAsia="Arial" w:hAnsi="Arial"/>
                <w:sz w:val="14"/>
                <w:szCs w:val="14"/>
                <w:color w:val="auto"/>
              </w:rPr>
              <w:t>​</w:t>
            </w: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center"/>
              <w:ind w:left="52"/>
              <w:spacing w:after="0"/>
              <w:rPr>
                <w:sz w:val="20"/>
                <w:szCs w:val="20"/>
                <w:color w:val="auto"/>
              </w:rPr>
            </w:pPr>
            <w:r>
              <w:rPr>
                <w:rFonts w:ascii="Arial" w:cs="Arial" w:eastAsia="Arial" w:hAnsi="Arial"/>
                <w:sz w:val="14"/>
                <w:szCs w:val="14"/>
                <w:color w:val="auto"/>
              </w:rPr>
              <w:t>​0.83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​04/21/2029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0"/>
                <w:szCs w:val="10"/>
                <w:color w:val="auto"/>
              </w:rPr>
            </w:pP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42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0"/>
                <w:szCs w:val="10"/>
                <w:color w:val="auto"/>
              </w:rPr>
            </w:pP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jc w:val="center"/>
              <w:ind w:right="14"/>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ind w:left="580"/>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tcPr>
          <w:p>
            <w:pPr>
              <w:ind w:left="66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 1,195,307</w:t>
            </w:r>
          </w:p>
        </w:tc>
        <w:tc>
          <w:tcPr>
            <w:tcW w:w="160" w:type="dxa"/>
            <w:vAlign w:val="bottom"/>
          </w:tcPr>
          <w:p>
            <w:pPr>
              <w:spacing w:after="0"/>
              <w:rPr>
                <w:sz w:val="20"/>
                <w:szCs w:val="20"/>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​655,493</w:t>
            </w:r>
            <w:r>
              <w:rPr>
                <w:rFonts w:ascii="Arial" w:cs="Arial" w:eastAsia="Arial" w:hAnsi="Arial"/>
                <w:sz w:val="17"/>
                <w:szCs w:val="17"/>
                <w:color w:val="auto"/>
                <w:vertAlign w:val="superscript"/>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center"/>
              <w:ind w:left="52"/>
              <w:spacing w:after="0"/>
              <w:rPr>
                <w:sz w:val="20"/>
                <w:szCs w:val="20"/>
                <w:color w:val="auto"/>
              </w:rPr>
            </w:pPr>
            <w:r>
              <w:rPr>
                <w:rFonts w:ascii="Arial" w:cs="Arial" w:eastAsia="Arial" w:hAnsi="Arial"/>
                <w:sz w:val="14"/>
                <w:szCs w:val="14"/>
                <w:color w:val="auto"/>
              </w:rPr>
              <w:t>​0.93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​07/15/2030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tcPr>
          <w:p>
            <w:pPr>
              <w:ind w:left="440"/>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42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0"/>
                <w:szCs w:val="10"/>
                <w:color w:val="auto"/>
              </w:rPr>
            </w:pP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jc w:val="center"/>
              <w:ind w:right="14"/>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ind w:left="580"/>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tcPr>
          <w:p>
            <w:pPr>
              <w:ind w:left="66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371,809</w:t>
            </w:r>
            <w:r>
              <w:rPr>
                <w:rFonts w:ascii="Arial" w:cs="Arial" w:eastAsia="Arial" w:hAnsi="Arial"/>
                <w:sz w:val="17"/>
                <w:szCs w:val="17"/>
                <w:color w:val="auto"/>
                <w:vertAlign w:val="superscript"/>
              </w:rPr>
              <w:t>(6)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2,539,455</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6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w:t>
            </w:r>
          </w:p>
        </w:tc>
        <w:tc>
          <w:tcPr>
            <w:tcW w:w="7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tcPr>
          <w:p>
            <w:pPr>
              <w:ind w:left="440"/>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420" w:type="dxa"/>
            <w:vAlign w:val="bottom"/>
          </w:tcPr>
          <w:p>
            <w:pPr>
              <w:ind w:left="120"/>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spacing w:after="0"/>
              <w:rPr>
                <w:sz w:val="10"/>
                <w:szCs w:val="10"/>
                <w:color w:val="auto"/>
              </w:rPr>
            </w:pP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jc w:val="center"/>
              <w:ind w:right="14"/>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680" w:type="dxa"/>
            <w:vAlign w:val="bottom"/>
          </w:tcPr>
          <w:p>
            <w:pPr>
              <w:ind w:left="580"/>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tcPr>
          <w:p>
            <w:pPr>
              <w:ind w:left="660"/>
              <w:spacing w:after="0" w:line="115" w:lineRule="exact"/>
              <w:rPr>
                <w:sz w:val="20"/>
                <w:szCs w:val="20"/>
                <w:color w:val="auto"/>
              </w:rPr>
            </w:pPr>
            <w:r>
              <w:rPr>
                <w:rFonts w:ascii="Arial" w:cs="Arial" w:eastAsia="Arial" w:hAnsi="Arial"/>
                <w:sz w:val="13"/>
                <w:szCs w:val="13"/>
                <w:color w:val="auto"/>
              </w:rPr>
              <w:t>​​​</w:t>
            </w:r>
          </w:p>
        </w:tc>
        <w:tc>
          <w:tcPr>
            <w:tcW w:w="160" w:type="dxa"/>
            <w:vAlign w:val="bottom"/>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2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222,725</w:t>
            </w:r>
            <w:r>
              <w:rPr>
                <w:rFonts w:ascii="Arial" w:cs="Arial" w:eastAsia="Arial" w:hAnsi="Arial"/>
                <w:sz w:val="17"/>
                <w:szCs w:val="17"/>
                <w:color w:val="auto"/>
                <w:vertAlign w:val="superscript"/>
              </w:rPr>
              <w:t>(5)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1,521,211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15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4"/>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540" w:type="dxa"/>
            <w:vAlign w:val="bottom"/>
            <w:gridSpan w:val="2"/>
            <w:shd w:val="clear" w:color="auto" w:fill="F7F7F7"/>
          </w:tcPr>
          <w:p>
            <w:pPr>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F7F7F7"/>
          </w:tcPr>
          <w:p>
            <w:pPr>
              <w:spacing w:after="0" w:line="12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F7F7F7"/>
          </w:tcPr>
          <w:p>
            <w:pPr>
              <w:jc w:val="right"/>
              <w:spacing w:after="0" w:line="129" w:lineRule="exact"/>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ind w:left="20"/>
              <w:spacing w:after="0" w:line="12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F7F7F7"/>
          </w:tcPr>
          <w:p>
            <w:pPr>
              <w:jc w:val="right"/>
              <w:spacing w:after="0" w:line="129" w:lineRule="exact"/>
              <w:rPr>
                <w:sz w:val="20"/>
                <w:szCs w:val="20"/>
                <w:color w:val="auto"/>
              </w:rPr>
            </w:pPr>
            <w:r>
              <w:rPr>
                <w:rFonts w:ascii="Arial" w:cs="Arial" w:eastAsia="Arial" w:hAnsi="Arial"/>
                <w:sz w:val="14"/>
                <w:szCs w:val="14"/>
                <w:color w:val="auto"/>
              </w:rPr>
              <w:t>​​ ​</w:t>
            </w:r>
          </w:p>
        </w:tc>
        <w:tc>
          <w:tcPr>
            <w:tcW w:w="280" w:type="dxa"/>
            <w:vAlign w:val="bottom"/>
            <w:shd w:val="clear" w:color="auto" w:fill="F7F7F7"/>
          </w:tcPr>
          <w:p>
            <w:pPr>
              <w:ind w:left="140"/>
              <w:spacing w:after="0" w:line="129" w:lineRule="exact"/>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F7F7F7"/>
          </w:tcPr>
          <w:p>
            <w:pPr>
              <w:ind w:left="3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F7F7F7"/>
          </w:tcPr>
          <w:p>
            <w:pPr>
              <w:jc w:val="right"/>
              <w:spacing w:after="0" w:line="129" w:lineRule="exact"/>
              <w:rPr>
                <w:sz w:val="20"/>
                <w:szCs w:val="20"/>
                <w:color w:val="auto"/>
              </w:rPr>
            </w:pPr>
            <w:r>
              <w:rPr>
                <w:rFonts w:ascii="Arial" w:cs="Arial" w:eastAsia="Arial" w:hAnsi="Arial"/>
                <w:sz w:val="14"/>
                <w:szCs w:val="14"/>
                <w:color w:val="auto"/>
              </w:rPr>
              <w:t>​​ ​</w:t>
            </w:r>
          </w:p>
        </w:tc>
        <w:tc>
          <w:tcPr>
            <w:tcW w:w="420" w:type="dxa"/>
            <w:vAlign w:val="bottom"/>
            <w:shd w:val="clear" w:color="auto" w:fill="F7F7F7"/>
          </w:tcPr>
          <w:p>
            <w:pPr>
              <w:ind w:left="120"/>
              <w:spacing w:after="0" w:line="129" w:lineRule="exact"/>
              <w:rPr>
                <w:sz w:val="20"/>
                <w:szCs w:val="20"/>
                <w:color w:val="auto"/>
              </w:rPr>
            </w:pPr>
            <w:r>
              <w:rPr>
                <w:rFonts w:ascii="Arial" w:cs="Arial" w:eastAsia="Arial" w:hAnsi="Arial"/>
                <w:sz w:val="14"/>
                <w:szCs w:val="14"/>
                <w:color w:val="auto"/>
              </w:rPr>
              <w:t>​</w:t>
            </w:r>
          </w:p>
        </w:tc>
        <w:tc>
          <w:tcPr>
            <w:tcW w:w="400" w:type="dxa"/>
            <w:vAlign w:val="bottom"/>
            <w:gridSpan w:val="4"/>
            <w:shd w:val="clear" w:color="auto" w:fill="F7F7F7"/>
          </w:tcPr>
          <w:p>
            <w:pPr>
              <w:jc w:val="right"/>
              <w:spacing w:after="0" w:line="129" w:lineRule="exact"/>
              <w:rPr>
                <w:sz w:val="20"/>
                <w:szCs w:val="20"/>
                <w:color w:val="auto"/>
              </w:rPr>
            </w:pPr>
            <w:r>
              <w:rPr>
                <w:rFonts w:ascii="Arial" w:cs="Arial" w:eastAsia="Arial" w:hAnsi="Arial"/>
                <w:sz w:val="14"/>
                <w:szCs w:val="14"/>
                <w:color w:val="auto"/>
              </w:rPr>
              <w:t>​ ​​ ​ ​​</w:t>
            </w:r>
          </w:p>
        </w:tc>
        <w:tc>
          <w:tcPr>
            <w:tcW w:w="680" w:type="dxa"/>
            <w:vAlign w:val="bottom"/>
            <w:shd w:val="clear" w:color="auto" w:fill="F7F7F7"/>
          </w:tcPr>
          <w:p>
            <w:pPr>
              <w:spacing w:after="0"/>
              <w:rPr>
                <w:sz w:val="11"/>
                <w:szCs w:val="11"/>
                <w:color w:val="auto"/>
              </w:rPr>
            </w:pPr>
          </w:p>
        </w:tc>
        <w:tc>
          <w:tcPr>
            <w:tcW w:w="300" w:type="dxa"/>
            <w:vAlign w:val="bottom"/>
            <w:gridSpan w:val="3"/>
            <w:shd w:val="clear" w:color="auto" w:fill="F7F7F7"/>
          </w:tcPr>
          <w:p>
            <w:pPr>
              <w:spacing w:after="0" w:line="129" w:lineRule="exact"/>
              <w:rPr>
                <w:sz w:val="20"/>
                <w:szCs w:val="20"/>
                <w:color w:val="auto"/>
              </w:rPr>
            </w:pPr>
            <w:r>
              <w:rPr>
                <w:rFonts w:ascii="Arial" w:cs="Arial" w:eastAsia="Arial" w:hAnsi="Arial"/>
                <w:sz w:val="14"/>
                <w:szCs w:val="14"/>
                <w:color w:val="auto"/>
              </w:rPr>
              <w:t>​ ​ ​</w:t>
            </w:r>
          </w:p>
        </w:tc>
        <w:tc>
          <w:tcPr>
            <w:tcW w:w="880" w:type="dxa"/>
            <w:vAlign w:val="bottom"/>
            <w:gridSpan w:val="3"/>
            <w:shd w:val="clear" w:color="auto" w:fill="F7F7F7"/>
          </w:tcPr>
          <w:p>
            <w:pPr>
              <w:ind w:left="580"/>
              <w:spacing w:after="0" w:line="129" w:lineRule="exact"/>
              <w:rPr>
                <w:sz w:val="20"/>
                <w:szCs w:val="20"/>
                <w:color w:val="auto"/>
              </w:rPr>
            </w:pPr>
            <w:r>
              <w:rPr>
                <w:rFonts w:ascii="Arial" w:cs="Arial" w:eastAsia="Arial" w:hAnsi="Arial"/>
                <w:sz w:val="14"/>
                <w:szCs w:val="14"/>
                <w:color w:val="auto"/>
              </w:rPr>
              <w:t>​ ​ ​</w:t>
            </w:r>
          </w:p>
        </w:tc>
        <w:tc>
          <w:tcPr>
            <w:tcW w:w="1000" w:type="dxa"/>
            <w:vAlign w:val="bottom"/>
            <w:gridSpan w:val="3"/>
            <w:shd w:val="clear" w:color="auto" w:fill="F7F7F7"/>
          </w:tcPr>
          <w:p>
            <w:pPr>
              <w:jc w:val="right"/>
              <w:spacing w:after="0" w:line="129" w:lineRule="exact"/>
              <w:rPr>
                <w:sz w:val="20"/>
                <w:szCs w:val="20"/>
                <w:color w:val="auto"/>
              </w:rPr>
            </w:pPr>
            <w:r>
              <w:rPr>
                <w:rFonts w:ascii="Arial" w:cs="Arial" w:eastAsia="Arial" w:hAnsi="Arial"/>
                <w:sz w:val="14"/>
                <w:szCs w:val="14"/>
                <w:color w:val="auto"/>
              </w:rPr>
              <w:t xml:space="preserve">​ ​ </w:t>
            </w:r>
            <w:r>
              <w:rPr>
                <w:rFonts w:ascii="Arial" w:cs="Arial" w:eastAsia="Arial" w:hAnsi="Arial"/>
                <w:sz w:val="14"/>
                <w:szCs w:val="14"/>
                <w:b w:val="1"/>
                <w:bCs w:val="1"/>
                <w:color w:val="auto"/>
              </w:rPr>
              <w:t>​</w:t>
            </w:r>
          </w:p>
        </w:tc>
        <w:tc>
          <w:tcPr>
            <w:tcW w:w="1000" w:type="dxa"/>
            <w:vAlign w:val="bottom"/>
            <w:gridSpan w:val="3"/>
            <w:shd w:val="clear" w:color="auto" w:fill="F7F7F7"/>
          </w:tcPr>
          <w:p>
            <w:pPr>
              <w:jc w:val="right"/>
              <w:spacing w:after="0" w:line="129" w:lineRule="exact"/>
              <w:rPr>
                <w:sz w:val="20"/>
                <w:szCs w:val="20"/>
                <w:color w:val="auto"/>
              </w:rPr>
            </w:pPr>
            <w:r>
              <w:rPr>
                <w:rFonts w:ascii="Arial" w:cs="Arial" w:eastAsia="Arial" w:hAnsi="Arial"/>
                <w:sz w:val="14"/>
                <w:szCs w:val="14"/>
                <w:color w:val="auto"/>
              </w:rPr>
              <w:t>​​​ ​ ​​</w:t>
            </w:r>
          </w:p>
        </w:tc>
        <w:tc>
          <w:tcPr>
            <w:tcW w:w="700" w:type="dxa"/>
            <w:vAlign w:val="bottom"/>
            <w:shd w:val="clear" w:color="auto" w:fill="F7F7F7"/>
          </w:tcPr>
          <w:p>
            <w:pPr>
              <w:spacing w:after="0"/>
              <w:rPr>
                <w:sz w:val="11"/>
                <w:szCs w:val="11"/>
                <w:color w:val="auto"/>
              </w:rPr>
            </w:pPr>
          </w:p>
        </w:tc>
        <w:tc>
          <w:tcPr>
            <w:tcW w:w="200" w:type="dxa"/>
            <w:vAlign w:val="bottom"/>
            <w:shd w:val="clear" w:color="auto" w:fill="F7F7F7"/>
          </w:tcPr>
          <w:p>
            <w:pPr>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40" w:type="dxa"/>
            <w:vAlign w:val="bottom"/>
            <w:tcBorders>
              <w:bottom w:val="single" w:sz="8" w:color="F7F7F7"/>
            </w:tcBorders>
            <w:shd w:val="clear" w:color="auto" w:fill="F7F7F7"/>
          </w:tcPr>
          <w:p>
            <w:pPr>
              <w:spacing w:after="0"/>
              <w:rPr>
                <w:sz w:val="24"/>
                <w:szCs w:val="24"/>
                <w:color w:val="auto"/>
              </w:rPr>
            </w:pPr>
          </w:p>
        </w:tc>
        <w:tc>
          <w:tcPr>
            <w:tcW w:w="140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Michael Bell</w:t>
            </w:r>
          </w:p>
        </w:tc>
        <w:tc>
          <w:tcPr>
            <w:tcW w:w="120" w:type="dxa"/>
            <w:vAlign w:val="bottom"/>
            <w:tcBorders>
              <w:bottom w:val="single" w:sz="8" w:color="F7F7F7"/>
            </w:tcBorders>
            <w:shd w:val="clear" w:color="auto" w:fill="F7F7F7"/>
          </w:tcPr>
          <w:p>
            <w:pPr>
              <w:spacing w:after="0"/>
              <w:rPr>
                <w:sz w:val="24"/>
                <w:szCs w:val="24"/>
                <w:color w:val="auto"/>
              </w:rPr>
            </w:pPr>
          </w:p>
        </w:tc>
        <w:tc>
          <w:tcPr>
            <w:tcW w:w="4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7F7F7"/>
            </w:tcBorders>
            <w:shd w:val="clear" w:color="auto" w:fill="F7F7F7"/>
          </w:tcPr>
          <w:p>
            <w:pPr>
              <w:spacing w:after="0"/>
              <w:rPr>
                <w:sz w:val="24"/>
                <w:szCs w:val="24"/>
                <w:color w:val="auto"/>
              </w:rPr>
            </w:pPr>
          </w:p>
        </w:tc>
        <w:tc>
          <w:tcPr>
            <w:tcW w:w="280" w:type="dxa"/>
            <w:vAlign w:val="bottom"/>
            <w:tcBorders>
              <w:bottom w:val="single" w:sz="8" w:color="F7F7F7"/>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F7F7F7"/>
            </w:tcBorders>
            <w:vMerge w:val="continue"/>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42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680" w:type="dxa"/>
            <w:vAlign w:val="bottom"/>
            <w:tcBorders>
              <w:bottom w:val="single" w:sz="8" w:color="F7F7F7"/>
            </w:tcBorders>
            <w:shd w:val="clear" w:color="auto" w:fill="F7F7F7"/>
          </w:tcPr>
          <w:p>
            <w:pPr>
              <w:spacing w:after="0"/>
              <w:rPr>
                <w:sz w:val="24"/>
                <w:szCs w:val="24"/>
                <w:color w:val="auto"/>
              </w:rPr>
            </w:pPr>
          </w:p>
        </w:tc>
        <w:tc>
          <w:tcPr>
            <w:tcW w:w="100" w:type="dxa"/>
            <w:vAlign w:val="bottom"/>
            <w:tcBorders>
              <w:bottom w:val="single" w:sz="8" w:color="F7F7F7"/>
            </w:tcBorders>
            <w:shd w:val="clear" w:color="auto" w:fill="F7F7F7"/>
          </w:tcPr>
          <w:p>
            <w:pPr>
              <w:spacing w:after="0"/>
              <w:rPr>
                <w:sz w:val="24"/>
                <w:szCs w:val="24"/>
                <w:color w:val="auto"/>
              </w:rPr>
            </w:pPr>
          </w:p>
        </w:tc>
        <w:tc>
          <w:tcPr>
            <w:tcW w:w="12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578,375</w:t>
            </w:r>
            <w:r>
              <w:rPr>
                <w:rFonts w:ascii="Arial" w:cs="Arial" w:eastAsia="Arial" w:hAnsi="Arial"/>
                <w:sz w:val="17"/>
                <w:szCs w:val="17"/>
                <w:color w:val="auto"/>
                <w:vertAlign w:val="superscript"/>
              </w:rPr>
              <w:t>(7)</w:t>
            </w:r>
          </w:p>
        </w:tc>
        <w:tc>
          <w:tcPr>
            <w:tcW w:w="100" w:type="dxa"/>
            <w:vAlign w:val="bottom"/>
            <w:tcBorders>
              <w:bottom w:val="single" w:sz="8" w:color="F7F7F7"/>
            </w:tcBorders>
            <w:shd w:val="clear" w:color="auto" w:fill="F7F7F7"/>
          </w:tcPr>
          <w:p>
            <w:pPr>
              <w:spacing w:after="0"/>
              <w:rPr>
                <w:sz w:val="24"/>
                <w:szCs w:val="24"/>
                <w:color w:val="auto"/>
              </w:rPr>
            </w:pPr>
          </w:p>
        </w:tc>
        <w:tc>
          <w:tcPr>
            <w:tcW w:w="10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3,950,301</w:t>
            </w:r>
          </w:p>
        </w:tc>
        <w:tc>
          <w:tcPr>
            <w:tcW w:w="160" w:type="dxa"/>
            <w:vAlign w:val="bottom"/>
            <w:tcBorders>
              <w:bottom w:val="single" w:sz="8" w:color="F7F7F7"/>
            </w:tcBorders>
            <w:shd w:val="clear" w:color="auto" w:fill="F7F7F7"/>
          </w:tcPr>
          <w:p>
            <w:pPr>
              <w:spacing w:after="0"/>
              <w:rPr>
                <w:sz w:val="24"/>
                <w:szCs w:val="24"/>
                <w:color w:val="auto"/>
              </w:rPr>
            </w:pPr>
          </w:p>
        </w:tc>
        <w:tc>
          <w:tcPr>
            <w:tcW w:w="60" w:type="dxa"/>
            <w:vAlign w:val="bottom"/>
            <w:tcBorders>
              <w:bottom w:val="single" w:sz="8" w:color="F7F7F7"/>
            </w:tcBorders>
            <w:shd w:val="clear" w:color="auto" w:fill="F7F7F7"/>
          </w:tcPr>
          <w:p>
            <w:pPr>
              <w:spacing w:after="0"/>
              <w:rPr>
                <w:sz w:val="24"/>
                <w:szCs w:val="24"/>
                <w:color w:val="auto"/>
              </w:rPr>
            </w:pPr>
          </w:p>
        </w:tc>
        <w:tc>
          <w:tcPr>
            <w:tcW w:w="760" w:type="dxa"/>
            <w:vAlign w:val="bottom"/>
            <w:tcBorders>
              <w:bottom w:val="single" w:sz="8" w:color="F7F7F7"/>
            </w:tcBorders>
            <w:shd w:val="clear" w:color="auto" w:fill="F7F7F7"/>
          </w:tcPr>
          <w:p>
            <w:pPr>
              <w:spacing w:after="0"/>
              <w:rPr>
                <w:sz w:val="24"/>
                <w:szCs w:val="24"/>
                <w:color w:val="auto"/>
              </w:rPr>
            </w:pPr>
          </w:p>
        </w:tc>
        <w:tc>
          <w:tcPr>
            <w:tcW w:w="160" w:type="dxa"/>
            <w:vAlign w:val="bottom"/>
            <w:tcBorders>
              <w:bottom w:val="single" w:sz="8" w:color="F7F7F7"/>
            </w:tcBorders>
            <w:shd w:val="clear" w:color="auto" w:fill="F7F7F7"/>
          </w:tcPr>
          <w:p>
            <w:pPr>
              <w:spacing w:after="0"/>
              <w:rPr>
                <w:sz w:val="24"/>
                <w:szCs w:val="24"/>
                <w:color w:val="auto"/>
              </w:rPr>
            </w:pPr>
          </w:p>
        </w:tc>
        <w:tc>
          <w:tcPr>
            <w:tcW w:w="80" w:type="dxa"/>
            <w:vAlign w:val="bottom"/>
            <w:tcBorders>
              <w:bottom w:val="single" w:sz="8" w:color="F7F7F7"/>
            </w:tcBorders>
            <w:shd w:val="clear" w:color="auto" w:fill="F7F7F7"/>
          </w:tcPr>
          <w:p>
            <w:pPr>
              <w:spacing w:after="0"/>
              <w:rPr>
                <w:sz w:val="24"/>
                <w:szCs w:val="24"/>
                <w:color w:val="auto"/>
              </w:rPr>
            </w:pPr>
          </w:p>
        </w:tc>
        <w:tc>
          <w:tcPr>
            <w:tcW w:w="700" w:type="dxa"/>
            <w:vAlign w:val="bottom"/>
            <w:tcBorders>
              <w:bottom w:val="single" w:sz="8" w:color="F7F7F7"/>
            </w:tcBorders>
            <w:shd w:val="clear" w:color="auto" w:fill="F7F7F7"/>
          </w:tcPr>
          <w:p>
            <w:pPr>
              <w:spacing w:after="0"/>
              <w:rPr>
                <w:sz w:val="24"/>
                <w:szCs w:val="24"/>
                <w:color w:val="auto"/>
              </w:rPr>
            </w:pPr>
          </w:p>
        </w:tc>
        <w:tc>
          <w:tcPr>
            <w:tcW w:w="200" w:type="dxa"/>
            <w:vAlign w:val="bottom"/>
            <w:tcBorders>
              <w:bottom w:val="single" w:sz="8" w:color="F7F7F7"/>
            </w:tcBorders>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top w:val="single" w:sz="8" w:color="F7F7F7"/>
            </w:tcBorders>
            <w:shd w:val="clear" w:color="auto" w:fill="F7F7F7"/>
          </w:tcPr>
          <w:p>
            <w:pPr>
              <w:spacing w:after="0"/>
              <w:rPr>
                <w:sz w:val="10"/>
                <w:szCs w:val="10"/>
                <w:color w:val="auto"/>
              </w:rPr>
            </w:pPr>
          </w:p>
        </w:tc>
        <w:tc>
          <w:tcPr>
            <w:tcW w:w="1400" w:type="dxa"/>
            <w:vAlign w:val="bottom"/>
            <w:tcBorders>
              <w:top w:val="single" w:sz="8" w:color="F7F7F7"/>
            </w:tcBorders>
            <w:shd w:val="clear" w:color="auto" w:fill="F7F7F7"/>
          </w:tcPr>
          <w:p>
            <w:pPr>
              <w:spacing w:after="0"/>
              <w:rPr>
                <w:sz w:val="10"/>
                <w:szCs w:val="10"/>
                <w:color w:val="auto"/>
              </w:rPr>
            </w:pPr>
          </w:p>
        </w:tc>
        <w:tc>
          <w:tcPr>
            <w:tcW w:w="120" w:type="dxa"/>
            <w:vAlign w:val="bottom"/>
            <w:tcBorders>
              <w:top w:val="single" w:sz="8" w:color="F7F7F7"/>
            </w:tcBorders>
            <w:shd w:val="clear" w:color="auto" w:fill="F7F7F7"/>
          </w:tcPr>
          <w:p>
            <w:pPr>
              <w:spacing w:after="0"/>
              <w:rPr>
                <w:sz w:val="10"/>
                <w:szCs w:val="10"/>
                <w:color w:val="auto"/>
              </w:rPr>
            </w:pPr>
          </w:p>
        </w:tc>
        <w:tc>
          <w:tcPr>
            <w:tcW w:w="4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auto"/>
            </w:tcBorders>
            <w:shd w:val="clear" w:color="auto" w:fill="F7F7F7"/>
          </w:tcPr>
          <w:p>
            <w:pPr>
              <w:spacing w:after="0"/>
              <w:rPr>
                <w:sz w:val="10"/>
                <w:szCs w:val="10"/>
                <w:color w:val="auto"/>
              </w:rPr>
            </w:pPr>
          </w:p>
        </w:tc>
        <w:tc>
          <w:tcPr>
            <w:tcW w:w="60" w:type="dxa"/>
            <w:vAlign w:val="bottom"/>
            <w:tcBorders>
              <w:top w:val="single" w:sz="8" w:color="auto"/>
            </w:tcBorders>
            <w:shd w:val="clear" w:color="auto" w:fill="F7F7F7"/>
          </w:tcPr>
          <w:p>
            <w:pPr>
              <w:ind w:left="20"/>
              <w:spacing w:after="0" w:line="115" w:lineRule="exact"/>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F7F7F7"/>
          </w:tcPr>
          <w:p>
            <w:pPr>
              <w:ind w:left="140"/>
              <w:spacing w:after="0" w:line="115"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F7F7F7"/>
          </w:tcPr>
          <w:p>
            <w:pPr>
              <w:ind w:left="440"/>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F7F7F7"/>
          </w:tcPr>
          <w:p>
            <w:pPr>
              <w:ind w:left="120"/>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F7F7F7"/>
          </w:tcPr>
          <w:p>
            <w:pPr>
              <w:spacing w:after="0"/>
              <w:rPr>
                <w:sz w:val="10"/>
                <w:szCs w:val="10"/>
                <w:color w:val="auto"/>
              </w:rPr>
            </w:pPr>
          </w:p>
        </w:tc>
        <w:tc>
          <w:tcPr>
            <w:tcW w:w="10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F7F7F7"/>
          </w:tcPr>
          <w:p>
            <w:pPr>
              <w:jc w:val="center"/>
              <w:ind w:right="14"/>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F7F7F7"/>
          </w:tcPr>
          <w:p>
            <w:pPr>
              <w:ind w:left="580"/>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tcBorders>
            <w:shd w:val="clear" w:color="auto" w:fill="F7F7F7"/>
          </w:tcPr>
          <w:p>
            <w:pPr>
              <w:ind w:left="660"/>
              <w:spacing w:after="0" w:line="115"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auto"/>
            </w:tcBorders>
            <w:shd w:val="clear" w:color="auto" w:fill="F7F7F7"/>
          </w:tcPr>
          <w:p>
            <w:pPr>
              <w:jc w:val="center"/>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F7F7F7"/>
          </w:tcPr>
          <w:p>
            <w:pPr>
              <w:spacing w:after="0"/>
              <w:rPr>
                <w:sz w:val="10"/>
                <w:szCs w:val="10"/>
                <w:color w:val="auto"/>
              </w:rPr>
            </w:pPr>
          </w:p>
        </w:tc>
        <w:tc>
          <w:tcPr>
            <w:tcW w:w="200" w:type="dxa"/>
            <w:vAlign w:val="bottom"/>
            <w:tcBorders>
              <w:top w:val="single" w:sz="8" w:color="auto"/>
            </w:tcBorders>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3"/>
        </w:trPr>
        <w:tc>
          <w:tcPr>
            <w:tcW w:w="140" w:type="dxa"/>
            <w:vAlign w:val="bottom"/>
            <w:tcBorders>
              <w:bottom w:val="single" w:sz="8" w:color="F7F7F7"/>
            </w:tcBorders>
            <w:shd w:val="clear" w:color="auto" w:fill="F7F7F7"/>
          </w:tcPr>
          <w:p>
            <w:pPr>
              <w:spacing w:after="0"/>
              <w:rPr>
                <w:sz w:val="22"/>
                <w:szCs w:val="22"/>
                <w:color w:val="auto"/>
              </w:rPr>
            </w:pPr>
          </w:p>
        </w:tc>
        <w:tc>
          <w:tcPr>
            <w:tcW w:w="1400" w:type="dxa"/>
            <w:vAlign w:val="bottom"/>
            <w:tcBorders>
              <w:bottom w:val="single" w:sz="8" w:color="F7F7F7"/>
            </w:tcBorders>
            <w:shd w:val="clear" w:color="auto" w:fill="F7F7F7"/>
          </w:tcPr>
          <w:p>
            <w:pPr>
              <w:spacing w:after="0"/>
              <w:rPr>
                <w:sz w:val="22"/>
                <w:szCs w:val="22"/>
                <w:color w:val="auto"/>
              </w:rPr>
            </w:pPr>
          </w:p>
        </w:tc>
        <w:tc>
          <w:tcPr>
            <w:tcW w:w="120" w:type="dxa"/>
            <w:vAlign w:val="bottom"/>
            <w:tcBorders>
              <w:bottom w:val="single" w:sz="8" w:color="F7F7F7"/>
            </w:tcBorders>
            <w:shd w:val="clear" w:color="auto" w:fill="F7F7F7"/>
          </w:tcPr>
          <w:p>
            <w:pPr>
              <w:spacing w:after="0"/>
              <w:rPr>
                <w:sz w:val="22"/>
                <w:szCs w:val="22"/>
                <w:color w:val="auto"/>
              </w:rPr>
            </w:pPr>
          </w:p>
        </w:tc>
        <w:tc>
          <w:tcPr>
            <w:tcW w:w="40" w:type="dxa"/>
            <w:vAlign w:val="bottom"/>
            <w:tcBorders>
              <w:bottom w:val="single" w:sz="8" w:color="F7F7F7"/>
            </w:tcBorders>
            <w:shd w:val="clear" w:color="auto" w:fill="F7F7F7"/>
          </w:tcPr>
          <w:p>
            <w:pPr>
              <w:spacing w:after="0"/>
              <w:rPr>
                <w:sz w:val="22"/>
                <w:szCs w:val="22"/>
                <w:color w:val="auto"/>
              </w:rPr>
            </w:pPr>
          </w:p>
        </w:tc>
        <w:tc>
          <w:tcPr>
            <w:tcW w:w="60" w:type="dxa"/>
            <w:vAlign w:val="bottom"/>
            <w:tcBorders>
              <w:bottom w:val="single" w:sz="8" w:color="F7F7F7"/>
            </w:tcBorders>
            <w:shd w:val="clear" w:color="auto" w:fill="F7F7F7"/>
          </w:tcPr>
          <w:p>
            <w:pPr>
              <w:spacing w:after="0"/>
              <w:rPr>
                <w:sz w:val="22"/>
                <w:szCs w:val="22"/>
                <w:color w:val="auto"/>
              </w:rPr>
            </w:pPr>
          </w:p>
        </w:tc>
        <w:tc>
          <w:tcPr>
            <w:tcW w:w="60" w:type="dxa"/>
            <w:vAlign w:val="bottom"/>
            <w:tcBorders>
              <w:bottom w:val="single" w:sz="8" w:color="F7F7F7"/>
            </w:tcBorders>
            <w:shd w:val="clear" w:color="auto" w:fill="F7F7F7"/>
          </w:tcPr>
          <w:p>
            <w:pPr>
              <w:spacing w:after="0"/>
              <w:rPr>
                <w:sz w:val="22"/>
                <w:szCs w:val="22"/>
                <w:color w:val="auto"/>
              </w:rPr>
            </w:pPr>
          </w:p>
        </w:tc>
        <w:tc>
          <w:tcPr>
            <w:tcW w:w="740" w:type="dxa"/>
            <w:vAlign w:val="bottom"/>
            <w:tcBorders>
              <w:bottom w:val="single" w:sz="8" w:color="F7F7F7"/>
            </w:tcBorders>
            <w:shd w:val="clear" w:color="auto" w:fill="F7F7F7"/>
          </w:tcPr>
          <w:p>
            <w:pPr>
              <w:spacing w:after="0"/>
              <w:rPr>
                <w:sz w:val="22"/>
                <w:szCs w:val="22"/>
                <w:color w:val="auto"/>
              </w:rPr>
            </w:pPr>
          </w:p>
        </w:tc>
        <w:tc>
          <w:tcPr>
            <w:tcW w:w="160" w:type="dxa"/>
            <w:vAlign w:val="bottom"/>
            <w:tcBorders>
              <w:bottom w:val="single" w:sz="8" w:color="F7F7F7"/>
            </w:tcBorders>
            <w:shd w:val="clear" w:color="auto" w:fill="F7F7F7"/>
          </w:tcPr>
          <w:p>
            <w:pPr>
              <w:spacing w:after="0"/>
              <w:rPr>
                <w:sz w:val="22"/>
                <w:szCs w:val="22"/>
                <w:color w:val="auto"/>
              </w:rPr>
            </w:pPr>
          </w:p>
        </w:tc>
        <w:tc>
          <w:tcPr>
            <w:tcW w:w="280" w:type="dxa"/>
            <w:vAlign w:val="bottom"/>
            <w:tcBorders>
              <w:bottom w:val="single" w:sz="8" w:color="F7F7F7"/>
            </w:tcBorders>
            <w:shd w:val="clear" w:color="auto" w:fill="F7F7F7"/>
          </w:tcPr>
          <w:p>
            <w:pPr>
              <w:spacing w:after="0"/>
              <w:rPr>
                <w:sz w:val="22"/>
                <w:szCs w:val="22"/>
                <w:color w:val="auto"/>
              </w:rPr>
            </w:pPr>
          </w:p>
        </w:tc>
        <w:tc>
          <w:tcPr>
            <w:tcW w:w="560" w:type="dxa"/>
            <w:vAlign w:val="bottom"/>
            <w:tcBorders>
              <w:bottom w:val="single" w:sz="8" w:color="F7F7F7"/>
            </w:tcBorders>
            <w:shd w:val="clear" w:color="auto" w:fill="F7F7F7"/>
          </w:tcPr>
          <w:p>
            <w:pPr>
              <w:spacing w:after="0"/>
              <w:rPr>
                <w:sz w:val="22"/>
                <w:szCs w:val="22"/>
                <w:color w:val="auto"/>
              </w:rPr>
            </w:pPr>
          </w:p>
        </w:tc>
        <w:tc>
          <w:tcPr>
            <w:tcW w:w="80" w:type="dxa"/>
            <w:vAlign w:val="bottom"/>
            <w:tcBorders>
              <w:bottom w:val="single" w:sz="8" w:color="F7F7F7"/>
            </w:tcBorders>
            <w:shd w:val="clear" w:color="auto" w:fill="F7F7F7"/>
          </w:tcPr>
          <w:p>
            <w:pPr>
              <w:spacing w:after="0"/>
              <w:rPr>
                <w:sz w:val="22"/>
                <w:szCs w:val="22"/>
                <w:color w:val="auto"/>
              </w:rPr>
            </w:pPr>
          </w:p>
        </w:tc>
        <w:tc>
          <w:tcPr>
            <w:tcW w:w="160" w:type="dxa"/>
            <w:vAlign w:val="bottom"/>
            <w:tcBorders>
              <w:bottom w:val="single" w:sz="8" w:color="F7F7F7"/>
            </w:tcBorders>
            <w:shd w:val="clear" w:color="auto" w:fill="F7F7F7"/>
          </w:tcPr>
          <w:p>
            <w:pPr>
              <w:spacing w:after="0"/>
              <w:rPr>
                <w:sz w:val="22"/>
                <w:szCs w:val="22"/>
                <w:color w:val="auto"/>
              </w:rPr>
            </w:pPr>
          </w:p>
        </w:tc>
        <w:tc>
          <w:tcPr>
            <w:tcW w:w="420" w:type="dxa"/>
            <w:vAlign w:val="bottom"/>
            <w:tcBorders>
              <w:bottom w:val="single" w:sz="8" w:color="F7F7F7"/>
            </w:tcBorders>
            <w:shd w:val="clear" w:color="auto" w:fill="F7F7F7"/>
          </w:tcPr>
          <w:p>
            <w:pPr>
              <w:spacing w:after="0"/>
              <w:rPr>
                <w:sz w:val="22"/>
                <w:szCs w:val="22"/>
                <w:color w:val="auto"/>
              </w:rPr>
            </w:pPr>
          </w:p>
        </w:tc>
        <w:tc>
          <w:tcPr>
            <w:tcW w:w="80" w:type="dxa"/>
            <w:vAlign w:val="bottom"/>
            <w:tcBorders>
              <w:bottom w:val="single" w:sz="8" w:color="F7F7F7"/>
            </w:tcBorders>
            <w:shd w:val="clear" w:color="auto" w:fill="F7F7F7"/>
          </w:tcPr>
          <w:p>
            <w:pPr>
              <w:spacing w:after="0"/>
              <w:rPr>
                <w:sz w:val="22"/>
                <w:szCs w:val="22"/>
                <w:color w:val="auto"/>
              </w:rPr>
            </w:pPr>
          </w:p>
        </w:tc>
        <w:tc>
          <w:tcPr>
            <w:tcW w:w="80" w:type="dxa"/>
            <w:vAlign w:val="bottom"/>
            <w:tcBorders>
              <w:bottom w:val="single" w:sz="8" w:color="F7F7F7"/>
            </w:tcBorders>
            <w:shd w:val="clear" w:color="auto" w:fill="F7F7F7"/>
          </w:tcPr>
          <w:p>
            <w:pPr>
              <w:spacing w:after="0"/>
              <w:rPr>
                <w:sz w:val="22"/>
                <w:szCs w:val="22"/>
                <w:color w:val="auto"/>
              </w:rPr>
            </w:pPr>
          </w:p>
        </w:tc>
        <w:tc>
          <w:tcPr>
            <w:tcW w:w="160" w:type="dxa"/>
            <w:vAlign w:val="bottom"/>
            <w:tcBorders>
              <w:bottom w:val="single" w:sz="8" w:color="F7F7F7"/>
            </w:tcBorders>
            <w:shd w:val="clear" w:color="auto" w:fill="F7F7F7"/>
          </w:tcPr>
          <w:p>
            <w:pPr>
              <w:spacing w:after="0"/>
              <w:rPr>
                <w:sz w:val="22"/>
                <w:szCs w:val="22"/>
                <w:color w:val="auto"/>
              </w:rPr>
            </w:pPr>
          </w:p>
        </w:tc>
        <w:tc>
          <w:tcPr>
            <w:tcW w:w="80" w:type="dxa"/>
            <w:vAlign w:val="bottom"/>
            <w:tcBorders>
              <w:bottom w:val="single" w:sz="8" w:color="F7F7F7"/>
            </w:tcBorders>
            <w:shd w:val="clear" w:color="auto" w:fill="F7F7F7"/>
          </w:tcPr>
          <w:p>
            <w:pPr>
              <w:spacing w:after="0"/>
              <w:rPr>
                <w:sz w:val="22"/>
                <w:szCs w:val="22"/>
                <w:color w:val="auto"/>
              </w:rPr>
            </w:pPr>
          </w:p>
        </w:tc>
        <w:tc>
          <w:tcPr>
            <w:tcW w:w="680" w:type="dxa"/>
            <w:vAlign w:val="bottom"/>
            <w:tcBorders>
              <w:bottom w:val="single" w:sz="8" w:color="F7F7F7"/>
            </w:tcBorders>
            <w:shd w:val="clear" w:color="auto" w:fill="F7F7F7"/>
          </w:tcPr>
          <w:p>
            <w:pPr>
              <w:spacing w:after="0"/>
              <w:rPr>
                <w:sz w:val="22"/>
                <w:szCs w:val="22"/>
                <w:color w:val="auto"/>
              </w:rPr>
            </w:pPr>
          </w:p>
        </w:tc>
        <w:tc>
          <w:tcPr>
            <w:tcW w:w="100" w:type="dxa"/>
            <w:vAlign w:val="bottom"/>
            <w:tcBorders>
              <w:bottom w:val="single" w:sz="8" w:color="F7F7F7"/>
            </w:tcBorders>
            <w:shd w:val="clear" w:color="auto" w:fill="F7F7F7"/>
          </w:tcPr>
          <w:p>
            <w:pPr>
              <w:spacing w:after="0"/>
              <w:rPr>
                <w:sz w:val="22"/>
                <w:szCs w:val="22"/>
                <w:color w:val="auto"/>
              </w:rPr>
            </w:pPr>
          </w:p>
        </w:tc>
        <w:tc>
          <w:tcPr>
            <w:tcW w:w="120" w:type="dxa"/>
            <w:vAlign w:val="bottom"/>
            <w:tcBorders>
              <w:bottom w:val="single" w:sz="8" w:color="F7F7F7"/>
            </w:tcBorders>
            <w:shd w:val="clear" w:color="auto" w:fill="F7F7F7"/>
          </w:tcPr>
          <w:p>
            <w:pPr>
              <w:spacing w:after="0"/>
              <w:rPr>
                <w:sz w:val="22"/>
                <w:szCs w:val="22"/>
                <w:color w:val="auto"/>
              </w:rPr>
            </w:pPr>
          </w:p>
        </w:tc>
        <w:tc>
          <w:tcPr>
            <w:tcW w:w="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222,725</w:t>
            </w:r>
            <w:r>
              <w:rPr>
                <w:rFonts w:ascii="Arial" w:cs="Arial" w:eastAsia="Arial" w:hAnsi="Arial"/>
                <w:sz w:val="17"/>
                <w:szCs w:val="17"/>
                <w:color w:val="auto"/>
                <w:vertAlign w:val="superscript"/>
              </w:rPr>
              <w:t>(5)</w:t>
            </w:r>
          </w:p>
        </w:tc>
        <w:tc>
          <w:tcPr>
            <w:tcW w:w="100" w:type="dxa"/>
            <w:vAlign w:val="bottom"/>
            <w:tcBorders>
              <w:bottom w:val="single" w:sz="8" w:color="F7F7F7"/>
            </w:tcBorders>
            <w:shd w:val="clear" w:color="auto" w:fill="F7F7F7"/>
          </w:tcPr>
          <w:p>
            <w:pPr>
              <w:spacing w:after="0"/>
              <w:rPr>
                <w:sz w:val="22"/>
                <w:szCs w:val="22"/>
                <w:color w:val="auto"/>
              </w:rPr>
            </w:pPr>
          </w:p>
        </w:tc>
        <w:tc>
          <w:tcPr>
            <w:tcW w:w="10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F7F7F7"/>
            </w:tcBorders>
            <w:shd w:val="clear" w:color="auto" w:fill="F7F7F7"/>
          </w:tcPr>
          <w:p>
            <w:pPr>
              <w:jc w:val="right"/>
              <w:spacing w:after="0"/>
              <w:rPr>
                <w:sz w:val="20"/>
                <w:szCs w:val="20"/>
                <w:color w:val="auto"/>
              </w:rPr>
            </w:pPr>
            <w:r>
              <w:rPr>
                <w:rFonts w:ascii="Arial" w:cs="Arial" w:eastAsia="Arial" w:hAnsi="Arial"/>
                <w:sz w:val="14"/>
                <w:szCs w:val="14"/>
                <w:color w:val="auto"/>
              </w:rPr>
              <w:t>1,521,211</w:t>
            </w:r>
          </w:p>
        </w:tc>
        <w:tc>
          <w:tcPr>
            <w:tcW w:w="160" w:type="dxa"/>
            <w:vAlign w:val="bottom"/>
            <w:tcBorders>
              <w:bottom w:val="single" w:sz="8" w:color="F7F7F7"/>
            </w:tcBorders>
            <w:shd w:val="clear" w:color="auto" w:fill="F7F7F7"/>
          </w:tcPr>
          <w:p>
            <w:pPr>
              <w:spacing w:after="0"/>
              <w:rPr>
                <w:sz w:val="22"/>
                <w:szCs w:val="22"/>
                <w:color w:val="auto"/>
              </w:rPr>
            </w:pPr>
          </w:p>
        </w:tc>
        <w:tc>
          <w:tcPr>
            <w:tcW w:w="60" w:type="dxa"/>
            <w:vAlign w:val="bottom"/>
            <w:tcBorders>
              <w:bottom w:val="single" w:sz="8" w:color="F7F7F7"/>
            </w:tcBorders>
            <w:shd w:val="clear" w:color="auto" w:fill="F7F7F7"/>
          </w:tcPr>
          <w:p>
            <w:pPr>
              <w:spacing w:after="0"/>
              <w:rPr>
                <w:sz w:val="22"/>
                <w:szCs w:val="22"/>
                <w:color w:val="auto"/>
              </w:rPr>
            </w:pPr>
          </w:p>
        </w:tc>
        <w:tc>
          <w:tcPr>
            <w:tcW w:w="760" w:type="dxa"/>
            <w:vAlign w:val="bottom"/>
            <w:tcBorders>
              <w:bottom w:val="single" w:sz="8" w:color="F7F7F7"/>
            </w:tcBorders>
            <w:shd w:val="clear" w:color="auto" w:fill="F7F7F7"/>
          </w:tcPr>
          <w:p>
            <w:pPr>
              <w:spacing w:after="0"/>
              <w:rPr>
                <w:sz w:val="22"/>
                <w:szCs w:val="22"/>
                <w:color w:val="auto"/>
              </w:rPr>
            </w:pPr>
          </w:p>
        </w:tc>
        <w:tc>
          <w:tcPr>
            <w:tcW w:w="160" w:type="dxa"/>
            <w:vAlign w:val="bottom"/>
            <w:tcBorders>
              <w:bottom w:val="single" w:sz="8" w:color="F7F7F7"/>
            </w:tcBorders>
            <w:shd w:val="clear" w:color="auto" w:fill="F7F7F7"/>
          </w:tcPr>
          <w:p>
            <w:pPr>
              <w:spacing w:after="0"/>
              <w:rPr>
                <w:sz w:val="22"/>
                <w:szCs w:val="22"/>
                <w:color w:val="auto"/>
              </w:rPr>
            </w:pPr>
          </w:p>
        </w:tc>
        <w:tc>
          <w:tcPr>
            <w:tcW w:w="80" w:type="dxa"/>
            <w:vAlign w:val="bottom"/>
            <w:tcBorders>
              <w:bottom w:val="single" w:sz="8" w:color="F7F7F7"/>
            </w:tcBorders>
            <w:shd w:val="clear" w:color="auto" w:fill="F7F7F7"/>
          </w:tcPr>
          <w:p>
            <w:pPr>
              <w:spacing w:after="0"/>
              <w:rPr>
                <w:sz w:val="22"/>
                <w:szCs w:val="22"/>
                <w:color w:val="auto"/>
              </w:rPr>
            </w:pPr>
          </w:p>
        </w:tc>
        <w:tc>
          <w:tcPr>
            <w:tcW w:w="700" w:type="dxa"/>
            <w:vAlign w:val="bottom"/>
            <w:tcBorders>
              <w:bottom w:val="single" w:sz="8" w:color="F7F7F7"/>
            </w:tcBorders>
            <w:shd w:val="clear" w:color="auto" w:fill="F7F7F7"/>
          </w:tcPr>
          <w:p>
            <w:pPr>
              <w:spacing w:after="0"/>
              <w:rPr>
                <w:sz w:val="22"/>
                <w:szCs w:val="22"/>
                <w:color w:val="auto"/>
              </w:rPr>
            </w:pPr>
          </w:p>
        </w:tc>
        <w:tc>
          <w:tcPr>
            <w:tcW w:w="200" w:type="dxa"/>
            <w:vAlign w:val="bottom"/>
            <w:tcBorders>
              <w:bottom w:val="single" w:sz="8" w:color="F7F7F7"/>
            </w:tcBorders>
            <w:shd w:val="clear" w:color="auto" w:fill="F7F7F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780" w:hanging="126"/>
        <w:spacing w:after="0"/>
        <w:tabs>
          <w:tab w:leader="none" w:pos="780" w:val="left"/>
        </w:tabs>
        <w:numPr>
          <w:ilvl w:val="0"/>
          <w:numId w:val="38"/>
        </w:numPr>
        <w:rPr>
          <w:rFonts w:ascii="Arial" w:cs="Arial" w:eastAsia="Arial" w:hAnsi="Arial"/>
          <w:sz w:val="15"/>
          <w:szCs w:val="15"/>
          <w:color w:val="auto"/>
          <w:vertAlign w:val="superscript"/>
        </w:rPr>
      </w:pPr>
      <w:r>
        <w:rPr>
          <w:rFonts w:ascii="Arial" w:cs="Arial" w:eastAsia="Arial" w:hAnsi="Arial"/>
          <w:sz w:val="10"/>
          <w:szCs w:val="10"/>
          <w:color w:val="auto"/>
        </w:rPr>
        <w:t>The option vests in forty-eight (48) equal monthly installments beginning on April 1, 2020, subject to Mr. Bach’s continued employment as of each applicable vesting date.</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38"/>
        </w:numPr>
        <w:rPr>
          <w:rFonts w:ascii="Arial" w:cs="Arial" w:eastAsia="Arial" w:hAnsi="Arial"/>
          <w:sz w:val="15"/>
          <w:szCs w:val="15"/>
          <w:color w:val="auto"/>
          <w:vertAlign w:val="superscript"/>
        </w:rPr>
      </w:pPr>
      <w:r>
        <w:rPr>
          <w:rFonts w:ascii="Arial" w:cs="Arial" w:eastAsia="Arial" w:hAnsi="Arial"/>
          <w:sz w:val="10"/>
          <w:szCs w:val="10"/>
          <w:color w:val="auto"/>
        </w:rPr>
        <w:t>The RSUs vest in sixteen equal quarterly installments beginning on December 5, 2021, subject to Mr. Rawlinson’s continued employment as of each applicable vesting date.</w:t>
      </w:r>
    </w:p>
    <w:p>
      <w:pPr>
        <w:spacing w:after="0" w:line="74" w:lineRule="exact"/>
        <w:rPr>
          <w:rFonts w:ascii="Arial" w:cs="Arial" w:eastAsia="Arial" w:hAnsi="Arial"/>
          <w:sz w:val="15"/>
          <w:szCs w:val="15"/>
          <w:color w:val="auto"/>
          <w:vertAlign w:val="superscript"/>
        </w:rPr>
      </w:pPr>
    </w:p>
    <w:p>
      <w:pPr>
        <w:ind w:left="780" w:right="140" w:hanging="126"/>
        <w:spacing w:after="0" w:line="241" w:lineRule="auto"/>
        <w:tabs>
          <w:tab w:leader="none" w:pos="780" w:val="left"/>
        </w:tabs>
        <w:numPr>
          <w:ilvl w:val="0"/>
          <w:numId w:val="38"/>
        </w:numPr>
        <w:rPr>
          <w:rFonts w:ascii="Arial" w:cs="Arial" w:eastAsia="Arial" w:hAnsi="Arial"/>
          <w:sz w:val="15"/>
          <w:szCs w:val="15"/>
          <w:color w:val="auto"/>
          <w:vertAlign w:val="superscript"/>
        </w:rPr>
      </w:pPr>
      <w:r>
        <w:rPr>
          <w:rFonts w:ascii="Arial" w:cs="Arial" w:eastAsia="Arial" w:hAnsi="Arial"/>
          <w:sz w:val="10"/>
          <w:szCs w:val="10"/>
          <w:color w:val="auto"/>
        </w:rPr>
        <w:t>The CEO Performance RSUs vest in five tranches based on the achievement of market capitalization goals applicable to each tranche over any six-month period, subject to Mr. Rawlinson’s continued employment through the applicable vesting date. 13,934,272 CEO Performance RSUs relating to Tranche 1, Tranche 2, Tranche 3, and Tranche 4 vested on March 5, 2022 and were settled on March 7, 2022. The amount reported is the number of CEO Performance RSUs relating to Tranche 5, which was not vested as of December 31, 2022. The amount reported for the CEO Performance RSUs is the threshold number of shares. Amounts can be earned until July 23, 2026.</w:t>
      </w:r>
    </w:p>
    <w:p>
      <w:pPr>
        <w:spacing w:after="0" w:line="87" w:lineRule="exact"/>
        <w:rPr>
          <w:rFonts w:ascii="Arial" w:cs="Arial" w:eastAsia="Arial" w:hAnsi="Arial"/>
          <w:sz w:val="15"/>
          <w:szCs w:val="15"/>
          <w:color w:val="auto"/>
          <w:vertAlign w:val="superscript"/>
        </w:rPr>
      </w:pPr>
    </w:p>
    <w:p>
      <w:pPr>
        <w:ind w:left="780" w:right="500" w:hanging="126"/>
        <w:spacing w:after="0" w:line="219" w:lineRule="auto"/>
        <w:tabs>
          <w:tab w:leader="none" w:pos="780" w:val="left"/>
        </w:tabs>
        <w:numPr>
          <w:ilvl w:val="0"/>
          <w:numId w:val="38"/>
        </w:numPr>
        <w:rPr>
          <w:rFonts w:ascii="Arial" w:cs="Arial" w:eastAsia="Arial" w:hAnsi="Arial"/>
          <w:sz w:val="15"/>
          <w:szCs w:val="15"/>
          <w:color w:val="auto"/>
          <w:vertAlign w:val="superscript"/>
        </w:rPr>
      </w:pPr>
      <w:r>
        <w:rPr>
          <w:rFonts w:ascii="Arial" w:cs="Arial" w:eastAsia="Arial" w:hAnsi="Arial"/>
          <w:sz w:val="10"/>
          <w:szCs w:val="10"/>
          <w:color w:val="auto"/>
        </w:rPr>
        <w:t>25% of the RSUs vest in August 2022 and 1/16 of the RSUs vest each quarter over twelve quarters beginning September 2022 and ending June 2025, subject to Ms. House’s continued employment as of each applicable vesting date.</w:t>
      </w:r>
    </w:p>
    <w:p>
      <w:pPr>
        <w:spacing w:after="0" w:line="88" w:lineRule="exact"/>
        <w:rPr>
          <w:rFonts w:ascii="Arial" w:cs="Arial" w:eastAsia="Arial" w:hAnsi="Arial"/>
          <w:sz w:val="15"/>
          <w:szCs w:val="15"/>
          <w:color w:val="auto"/>
          <w:vertAlign w:val="superscript"/>
        </w:rPr>
      </w:pPr>
    </w:p>
    <w:p>
      <w:pPr>
        <w:ind w:left="780" w:right="400" w:hanging="126"/>
        <w:spacing w:after="0" w:line="219" w:lineRule="auto"/>
        <w:tabs>
          <w:tab w:leader="none" w:pos="780" w:val="left"/>
        </w:tabs>
        <w:numPr>
          <w:ilvl w:val="0"/>
          <w:numId w:val="38"/>
        </w:numPr>
        <w:rPr>
          <w:rFonts w:ascii="Arial" w:cs="Arial" w:eastAsia="Arial" w:hAnsi="Arial"/>
          <w:sz w:val="15"/>
          <w:szCs w:val="15"/>
          <w:color w:val="auto"/>
          <w:vertAlign w:val="superscript"/>
        </w:rPr>
      </w:pPr>
      <w:r>
        <w:rPr>
          <w:rFonts w:ascii="Arial" w:cs="Arial" w:eastAsia="Arial" w:hAnsi="Arial"/>
          <w:sz w:val="10"/>
          <w:szCs w:val="10"/>
          <w:color w:val="auto"/>
        </w:rPr>
        <w:t>1/8 of the RSUs vest on September 5, 2022 and 1/16 vest each quarter over the fourteen quarters beginning December 2022 and ending September 2025, subject to the NEO’s continued employment as of each applicable vesting date.</w:t>
      </w:r>
    </w:p>
    <w:p>
      <w:pPr>
        <w:spacing w:after="0" w:line="88" w:lineRule="exact"/>
        <w:rPr>
          <w:rFonts w:ascii="Arial" w:cs="Arial" w:eastAsia="Arial" w:hAnsi="Arial"/>
          <w:sz w:val="15"/>
          <w:szCs w:val="15"/>
          <w:color w:val="auto"/>
          <w:vertAlign w:val="superscript"/>
        </w:rPr>
      </w:pPr>
    </w:p>
    <w:p>
      <w:pPr>
        <w:ind w:left="780" w:right="520" w:hanging="126"/>
        <w:spacing w:after="0" w:line="219" w:lineRule="auto"/>
        <w:tabs>
          <w:tab w:leader="none" w:pos="780" w:val="left"/>
        </w:tabs>
        <w:numPr>
          <w:ilvl w:val="0"/>
          <w:numId w:val="38"/>
        </w:numPr>
        <w:rPr>
          <w:rFonts w:ascii="Arial" w:cs="Arial" w:eastAsia="Arial" w:hAnsi="Arial"/>
          <w:sz w:val="15"/>
          <w:szCs w:val="15"/>
          <w:color w:val="auto"/>
          <w:vertAlign w:val="superscript"/>
        </w:rPr>
      </w:pPr>
      <w:r>
        <w:rPr>
          <w:rFonts w:ascii="Arial" w:cs="Arial" w:eastAsia="Arial" w:hAnsi="Arial"/>
          <w:sz w:val="10"/>
          <w:szCs w:val="10"/>
          <w:color w:val="auto"/>
        </w:rPr>
        <w:t>5/16 of the RSUs vest in August 2022 and 1/16 of the RSUs vest each quarter over eleven quarters beginning September 2022 and ending March 2025, subject to Mr. Bach’s continued employment through each applicable vesting date.</w:t>
      </w:r>
    </w:p>
    <w:p>
      <w:pPr>
        <w:spacing w:after="0" w:line="88" w:lineRule="exact"/>
        <w:rPr>
          <w:rFonts w:ascii="Arial" w:cs="Arial" w:eastAsia="Arial" w:hAnsi="Arial"/>
          <w:sz w:val="15"/>
          <w:szCs w:val="15"/>
          <w:color w:val="auto"/>
          <w:vertAlign w:val="superscript"/>
        </w:rPr>
      </w:pPr>
    </w:p>
    <w:p>
      <w:pPr>
        <w:ind w:left="780" w:right="140" w:hanging="126"/>
        <w:spacing w:after="0" w:line="219" w:lineRule="auto"/>
        <w:tabs>
          <w:tab w:leader="none" w:pos="780" w:val="left"/>
        </w:tabs>
        <w:numPr>
          <w:ilvl w:val="0"/>
          <w:numId w:val="38"/>
        </w:numPr>
        <w:rPr>
          <w:rFonts w:ascii="Arial" w:cs="Arial" w:eastAsia="Arial" w:hAnsi="Arial"/>
          <w:sz w:val="15"/>
          <w:szCs w:val="15"/>
          <w:color w:val="auto"/>
          <w:vertAlign w:val="superscript"/>
        </w:rPr>
      </w:pPr>
      <w:r>
        <w:rPr>
          <w:rFonts w:ascii="Arial" w:cs="Arial" w:eastAsia="Arial" w:hAnsi="Arial"/>
          <w:sz w:val="10"/>
          <w:szCs w:val="10"/>
          <w:color w:val="auto"/>
        </w:rPr>
        <w:t>25% of the RSUs plus three quarterly installments of 1/16 of the RSUs vest in August 2022 and 1/16 of the RSUs vest each quarter over nine quarters beginning in September 2022 and ending September 2024, subject to Mr. Bell’s continued employment as of each applicable vesting date.</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57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Option Exercises and Stock Vested</w:t>
      </w:r>
    </w:p>
    <w:p>
      <w:pPr>
        <w:spacing w:after="0" w:line="395"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14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402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540" w:type="dxa"/>
            <w:vAlign w:val="bottom"/>
            <w:gridSpan w:val="2"/>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020" w:type="dxa"/>
            <w:vAlign w:val="bottom"/>
            <w:shd w:val="clear" w:color="auto" w:fill="000000"/>
          </w:tcPr>
          <w:p>
            <w:pPr>
              <w:spacing w:after="0"/>
              <w:rPr>
                <w:sz w:val="13"/>
                <w:szCs w:val="13"/>
                <w:color w:val="auto"/>
              </w:rPr>
            </w:pPr>
          </w:p>
        </w:tc>
        <w:tc>
          <w:tcPr>
            <w:tcW w:w="260" w:type="dxa"/>
            <w:vAlign w:val="bottom"/>
            <w:shd w:val="clear" w:color="auto" w:fill="000000"/>
          </w:tcPr>
          <w:p>
            <w:pPr>
              <w:spacing w:after="0"/>
              <w:rPr>
                <w:sz w:val="13"/>
                <w:szCs w:val="13"/>
                <w:color w:val="auto"/>
              </w:rPr>
            </w:pPr>
          </w:p>
        </w:tc>
        <w:tc>
          <w:tcPr>
            <w:tcW w:w="620" w:type="dxa"/>
            <w:vAlign w:val="bottom"/>
            <w:shd w:val="clear" w:color="auto" w:fill="000000"/>
          </w:tcPr>
          <w:p>
            <w:pPr>
              <w:spacing w:after="0"/>
              <w:rPr>
                <w:sz w:val="13"/>
                <w:szCs w:val="13"/>
                <w:color w:val="auto"/>
              </w:rPr>
            </w:pPr>
          </w:p>
        </w:tc>
        <w:tc>
          <w:tcPr>
            <w:tcW w:w="1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spacing w:after="0"/>
              <w:rPr>
                <w:sz w:val="13"/>
                <w:szCs w:val="13"/>
                <w:color w:val="auto"/>
              </w:rPr>
            </w:pPr>
          </w:p>
        </w:tc>
        <w:tc>
          <w:tcPr>
            <w:tcW w:w="74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800" w:type="dxa"/>
            <w:vAlign w:val="bottom"/>
            <w:shd w:val="clear" w:color="auto" w:fill="000000"/>
          </w:tcPr>
          <w:p>
            <w:pPr>
              <w:spacing w:after="0"/>
              <w:rPr>
                <w:sz w:val="13"/>
                <w:szCs w:val="13"/>
                <w:color w:val="auto"/>
              </w:rPr>
            </w:pPr>
          </w:p>
        </w:tc>
        <w:tc>
          <w:tcPr>
            <w:tcW w:w="2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72"/>
        </w:trPr>
        <w:tc>
          <w:tcPr>
            <w:tcW w:w="140" w:type="dxa"/>
            <w:vAlign w:val="bottom"/>
            <w:shd w:val="clear" w:color="auto" w:fill="000000"/>
          </w:tcPr>
          <w:p>
            <w:pPr>
              <w:spacing w:after="0"/>
              <w:rPr>
                <w:sz w:val="14"/>
                <w:szCs w:val="14"/>
                <w:color w:val="auto"/>
              </w:rPr>
            </w:pPr>
          </w:p>
        </w:tc>
        <w:tc>
          <w:tcPr>
            <w:tcW w:w="402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480" w:type="dxa"/>
            <w:vAlign w:val="bottom"/>
            <w:shd w:val="clear" w:color="auto" w:fill="000000"/>
          </w:tcPr>
          <w:p>
            <w:pPr>
              <w:spacing w:after="0"/>
              <w:rPr>
                <w:sz w:val="14"/>
                <w:szCs w:val="14"/>
                <w:color w:val="auto"/>
              </w:rPr>
            </w:pPr>
          </w:p>
        </w:tc>
        <w:tc>
          <w:tcPr>
            <w:tcW w:w="1020" w:type="dxa"/>
            <w:vAlign w:val="bottom"/>
            <w:shd w:val="clear" w:color="auto" w:fill="000000"/>
          </w:tcPr>
          <w:p>
            <w:pPr>
              <w:jc w:val="right"/>
              <w:ind w:right="31"/>
              <w:spacing w:after="0"/>
              <w:rPr>
                <w:sz w:val="20"/>
                <w:szCs w:val="20"/>
                <w:color w:val="auto"/>
              </w:rPr>
            </w:pPr>
            <w:r>
              <w:rPr>
                <w:rFonts w:ascii="Arial" w:cs="Arial" w:eastAsia="Arial" w:hAnsi="Arial"/>
                <w:sz w:val="13"/>
                <w:szCs w:val="13"/>
                <w:b w:val="1"/>
                <w:bCs w:val="1"/>
                <w:color w:val="FEFEFE"/>
              </w:rPr>
              <w:t>Option</w:t>
            </w:r>
          </w:p>
        </w:tc>
        <w:tc>
          <w:tcPr>
            <w:tcW w:w="26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2140" w:type="dxa"/>
            <w:vAlign w:val="bottom"/>
            <w:gridSpan w:val="5"/>
            <w:shd w:val="clear" w:color="auto" w:fill="000000"/>
          </w:tcPr>
          <w:p>
            <w:pPr>
              <w:jc w:val="right"/>
              <w:ind w:right="811"/>
              <w:spacing w:after="0"/>
              <w:rPr>
                <w:sz w:val="20"/>
                <w:szCs w:val="20"/>
                <w:color w:val="auto"/>
              </w:rPr>
            </w:pPr>
            <w:r>
              <w:rPr>
                <w:rFonts w:ascii="Arial" w:cs="Arial" w:eastAsia="Arial" w:hAnsi="Arial"/>
                <w:sz w:val="13"/>
                <w:szCs w:val="13"/>
                <w:b w:val="1"/>
                <w:bCs w:val="1"/>
                <w:color w:val="FEFEFE"/>
              </w:rPr>
              <w:t>Stock Awards</w:t>
            </w:r>
          </w:p>
        </w:tc>
        <w:tc>
          <w:tcPr>
            <w:tcW w:w="0" w:type="dxa"/>
            <w:vAlign w:val="bottom"/>
          </w:tcPr>
          <w:p>
            <w:pPr>
              <w:spacing w:after="0"/>
              <w:rPr>
                <w:sz w:val="1"/>
                <w:szCs w:val="1"/>
                <w:color w:val="auto"/>
              </w:rPr>
            </w:pPr>
          </w:p>
        </w:tc>
      </w:tr>
      <w:tr>
        <w:trPr>
          <w:trHeight w:val="123"/>
        </w:trPr>
        <w:tc>
          <w:tcPr>
            <w:tcW w:w="14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4020" w:type="dxa"/>
            <w:vAlign w:val="bottom"/>
            <w:shd w:val="clear" w:color="auto" w:fill="000000"/>
          </w:tcPr>
          <w:p>
            <w:pPr>
              <w:spacing w:after="0"/>
              <w:rPr>
                <w:sz w:val="10"/>
                <w:szCs w:val="10"/>
                <w:color w:val="auto"/>
              </w:rPr>
            </w:pPr>
          </w:p>
        </w:tc>
        <w:tc>
          <w:tcPr>
            <w:tcW w:w="16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6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480" w:type="dxa"/>
            <w:vAlign w:val="bottom"/>
            <w:shd w:val="clear" w:color="auto" w:fill="000000"/>
          </w:tcPr>
          <w:p>
            <w:pPr>
              <w:spacing w:after="0"/>
              <w:rPr>
                <w:sz w:val="10"/>
                <w:szCs w:val="10"/>
                <w:color w:val="auto"/>
              </w:rPr>
            </w:pPr>
          </w:p>
        </w:tc>
        <w:tc>
          <w:tcPr>
            <w:tcW w:w="1020" w:type="dxa"/>
            <w:vAlign w:val="bottom"/>
            <w:shd w:val="clear" w:color="auto" w:fill="000000"/>
          </w:tcPr>
          <w:p>
            <w:pPr>
              <w:spacing w:after="0"/>
              <w:rPr>
                <w:sz w:val="10"/>
                <w:szCs w:val="10"/>
                <w:color w:val="auto"/>
              </w:rPr>
            </w:pPr>
          </w:p>
        </w:tc>
        <w:tc>
          <w:tcPr>
            <w:tcW w:w="260" w:type="dxa"/>
            <w:vAlign w:val="bottom"/>
            <w:shd w:val="clear" w:color="auto" w:fill="000000"/>
          </w:tcPr>
          <w:p>
            <w:pPr>
              <w:spacing w:after="0"/>
              <w:rPr>
                <w:sz w:val="10"/>
                <w:szCs w:val="10"/>
                <w:color w:val="auto"/>
              </w:rPr>
            </w:pPr>
          </w:p>
        </w:tc>
        <w:tc>
          <w:tcPr>
            <w:tcW w:w="620" w:type="dxa"/>
            <w:vAlign w:val="bottom"/>
            <w:shd w:val="clear" w:color="auto" w:fill="000000"/>
          </w:tcPr>
          <w:p>
            <w:pPr>
              <w:spacing w:after="0"/>
              <w:rPr>
                <w:sz w:val="10"/>
                <w:szCs w:val="10"/>
                <w:color w:val="auto"/>
              </w:rPr>
            </w:pPr>
          </w:p>
        </w:tc>
        <w:tc>
          <w:tcPr>
            <w:tcW w:w="16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6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spacing w:after="0"/>
              <w:rPr>
                <w:sz w:val="10"/>
                <w:szCs w:val="10"/>
                <w:color w:val="auto"/>
              </w:rPr>
            </w:pPr>
          </w:p>
        </w:tc>
        <w:tc>
          <w:tcPr>
            <w:tcW w:w="740" w:type="dxa"/>
            <w:vAlign w:val="bottom"/>
            <w:shd w:val="clear" w:color="auto" w:fill="000000"/>
          </w:tcPr>
          <w:p>
            <w:pPr>
              <w:spacing w:after="0"/>
              <w:rPr>
                <w:sz w:val="10"/>
                <w:szCs w:val="10"/>
                <w:color w:val="auto"/>
              </w:rPr>
            </w:pPr>
          </w:p>
        </w:tc>
        <w:tc>
          <w:tcPr>
            <w:tcW w:w="22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800" w:type="dxa"/>
            <w:vAlign w:val="bottom"/>
            <w:shd w:val="clear" w:color="auto" w:fill="000000"/>
          </w:tcPr>
          <w:p>
            <w:pPr>
              <w:spacing w:after="0"/>
              <w:rPr>
                <w:sz w:val="10"/>
                <w:szCs w:val="10"/>
                <w:color w:val="auto"/>
              </w:rPr>
            </w:pPr>
          </w:p>
        </w:tc>
        <w:tc>
          <w:tcPr>
            <w:tcW w:w="20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24"/>
        </w:trPr>
        <w:tc>
          <w:tcPr>
            <w:tcW w:w="140" w:type="dxa"/>
            <w:vAlign w:val="bottom"/>
            <w:vMerge w:val="continue"/>
            <w:shd w:val="clear" w:color="auto" w:fill="000000"/>
          </w:tcPr>
          <w:p>
            <w:pPr>
              <w:spacing w:after="0"/>
              <w:rPr>
                <w:sz w:val="10"/>
                <w:szCs w:val="10"/>
                <w:color w:val="auto"/>
              </w:rPr>
            </w:pPr>
          </w:p>
        </w:tc>
        <w:tc>
          <w:tcPr>
            <w:tcW w:w="402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Name</w:t>
            </w:r>
          </w:p>
        </w:tc>
        <w:tc>
          <w:tcPr>
            <w:tcW w:w="160" w:type="dxa"/>
            <w:vAlign w:val="bottom"/>
            <w:vMerge w:val="continue"/>
            <w:shd w:val="clear" w:color="auto" w:fill="000000"/>
          </w:tcPr>
          <w:p>
            <w:pPr>
              <w:spacing w:after="0"/>
              <w:rPr>
                <w:sz w:val="10"/>
                <w:szCs w:val="10"/>
                <w:color w:val="auto"/>
              </w:rPr>
            </w:pPr>
          </w:p>
        </w:tc>
        <w:tc>
          <w:tcPr>
            <w:tcW w:w="60" w:type="dxa"/>
            <w:vAlign w:val="bottom"/>
            <w:vMerge w:val="continue"/>
            <w:shd w:val="clear" w:color="auto" w:fill="000000"/>
          </w:tcPr>
          <w:p>
            <w:pPr>
              <w:spacing w:after="0"/>
              <w:rPr>
                <w:sz w:val="10"/>
                <w:szCs w:val="10"/>
                <w:color w:val="auto"/>
              </w:rPr>
            </w:pPr>
          </w:p>
        </w:tc>
        <w:tc>
          <w:tcPr>
            <w:tcW w:w="480" w:type="dxa"/>
            <w:vAlign w:val="bottom"/>
            <w:shd w:val="clear" w:color="auto" w:fill="000000"/>
          </w:tcPr>
          <w:p>
            <w:pPr>
              <w:spacing w:after="0"/>
              <w:rPr>
                <w:sz w:val="10"/>
                <w:szCs w:val="10"/>
                <w:color w:val="auto"/>
              </w:rPr>
            </w:pPr>
          </w:p>
        </w:tc>
        <w:tc>
          <w:tcPr>
            <w:tcW w:w="1020" w:type="dxa"/>
            <w:vAlign w:val="bottom"/>
            <w:shd w:val="clear" w:color="auto" w:fill="000000"/>
          </w:tcPr>
          <w:p>
            <w:pPr>
              <w:jc w:val="right"/>
              <w:spacing w:after="0" w:line="124" w:lineRule="exact"/>
              <w:rPr>
                <w:sz w:val="20"/>
                <w:szCs w:val="20"/>
                <w:color w:val="auto"/>
              </w:rPr>
            </w:pPr>
            <w:r>
              <w:rPr>
                <w:rFonts w:ascii="Arial" w:cs="Arial" w:eastAsia="Arial" w:hAnsi="Arial"/>
                <w:sz w:val="13"/>
                <w:szCs w:val="13"/>
                <w:b w:val="1"/>
                <w:bCs w:val="1"/>
                <w:color w:val="FEFEFE"/>
              </w:rPr>
              <w:t>​ ​</w:t>
            </w:r>
          </w:p>
        </w:tc>
        <w:tc>
          <w:tcPr>
            <w:tcW w:w="260" w:type="dxa"/>
            <w:vAlign w:val="bottom"/>
            <w:shd w:val="clear" w:color="auto" w:fill="000000"/>
          </w:tcPr>
          <w:p>
            <w:pPr>
              <w:spacing w:after="0"/>
              <w:rPr>
                <w:sz w:val="10"/>
                <w:szCs w:val="10"/>
                <w:color w:val="auto"/>
              </w:rPr>
            </w:pPr>
          </w:p>
        </w:tc>
        <w:tc>
          <w:tcPr>
            <w:tcW w:w="620" w:type="dxa"/>
            <w:vAlign w:val="bottom"/>
            <w:shd w:val="clear" w:color="auto" w:fill="000000"/>
          </w:tcPr>
          <w:p>
            <w:pPr>
              <w:spacing w:after="0"/>
              <w:rPr>
                <w:sz w:val="10"/>
                <w:szCs w:val="10"/>
                <w:color w:val="auto"/>
              </w:rPr>
            </w:pPr>
          </w:p>
        </w:tc>
        <w:tc>
          <w:tcPr>
            <w:tcW w:w="160" w:type="dxa"/>
            <w:vAlign w:val="bottom"/>
            <w:vMerge w:val="continue"/>
            <w:shd w:val="clear" w:color="auto" w:fill="000000"/>
          </w:tcPr>
          <w:p>
            <w:pPr>
              <w:spacing w:after="0"/>
              <w:rPr>
                <w:sz w:val="10"/>
                <w:szCs w:val="10"/>
                <w:color w:val="auto"/>
              </w:rPr>
            </w:pPr>
          </w:p>
        </w:tc>
        <w:tc>
          <w:tcPr>
            <w:tcW w:w="60" w:type="dxa"/>
            <w:vAlign w:val="bottom"/>
            <w:vMerge w:val="continue"/>
            <w:shd w:val="clear" w:color="auto" w:fill="000000"/>
          </w:tcPr>
          <w:p>
            <w:pPr>
              <w:spacing w:after="0"/>
              <w:rPr>
                <w:sz w:val="10"/>
                <w:szCs w:val="10"/>
                <w:color w:val="auto"/>
              </w:rPr>
            </w:pPr>
          </w:p>
        </w:tc>
        <w:tc>
          <w:tcPr>
            <w:tcW w:w="260" w:type="dxa"/>
            <w:vAlign w:val="bottom"/>
            <w:shd w:val="clear" w:color="auto" w:fill="000000"/>
          </w:tcPr>
          <w:p>
            <w:pPr>
              <w:spacing w:after="0"/>
              <w:rPr>
                <w:sz w:val="10"/>
                <w:szCs w:val="10"/>
                <w:color w:val="auto"/>
              </w:rPr>
            </w:pPr>
          </w:p>
        </w:tc>
        <w:tc>
          <w:tcPr>
            <w:tcW w:w="740" w:type="dxa"/>
            <w:vAlign w:val="bottom"/>
            <w:shd w:val="clear" w:color="auto" w:fill="000000"/>
          </w:tcPr>
          <w:p>
            <w:pPr>
              <w:spacing w:after="0"/>
              <w:rPr>
                <w:sz w:val="10"/>
                <w:szCs w:val="10"/>
                <w:color w:val="auto"/>
              </w:rPr>
            </w:pPr>
          </w:p>
        </w:tc>
        <w:tc>
          <w:tcPr>
            <w:tcW w:w="220" w:type="dxa"/>
            <w:vAlign w:val="bottom"/>
            <w:shd w:val="clear" w:color="auto" w:fill="000000"/>
          </w:tcPr>
          <w:p>
            <w:pPr>
              <w:ind w:left="160"/>
              <w:spacing w:after="0" w:line="124" w:lineRule="exact"/>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000000"/>
          </w:tcPr>
          <w:p>
            <w:pPr>
              <w:jc w:val="right"/>
              <w:ind w:right="31"/>
              <w:spacing w:after="0" w:line="124" w:lineRule="exact"/>
              <w:rPr>
                <w:sz w:val="20"/>
                <w:szCs w:val="20"/>
                <w:color w:val="auto"/>
              </w:rPr>
            </w:pPr>
            <w:r>
              <w:rPr>
                <w:rFonts w:ascii="Arial" w:cs="Arial" w:eastAsia="Arial" w:hAnsi="Arial"/>
                <w:sz w:val="13"/>
                <w:szCs w:val="13"/>
                <w:b w:val="1"/>
                <w:bCs w:val="1"/>
                <w:color w:val="FEFEFE"/>
              </w:rPr>
              <w:t>​</w:t>
            </w:r>
          </w:p>
        </w:tc>
        <w:tc>
          <w:tcPr>
            <w:tcW w:w="800" w:type="dxa"/>
            <w:vAlign w:val="bottom"/>
            <w:shd w:val="clear" w:color="auto" w:fill="000000"/>
          </w:tcPr>
          <w:p>
            <w:pPr>
              <w:spacing w:after="0"/>
              <w:rPr>
                <w:sz w:val="10"/>
                <w:szCs w:val="10"/>
                <w:color w:val="auto"/>
              </w:rPr>
            </w:pPr>
          </w:p>
        </w:tc>
        <w:tc>
          <w:tcPr>
            <w:tcW w:w="20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4020" w:type="dxa"/>
            <w:vAlign w:val="bottom"/>
            <w:vMerge w:val="continue"/>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1500" w:type="dxa"/>
            <w:vAlign w:val="bottom"/>
            <w:gridSpan w:val="2"/>
            <w:shd w:val="clear" w:color="auto" w:fill="000000"/>
          </w:tcPr>
          <w:p>
            <w:pPr>
              <w:jc w:val="center"/>
              <w:ind w:right="131"/>
              <w:spacing w:after="0"/>
              <w:rPr>
                <w:sz w:val="20"/>
                <w:szCs w:val="20"/>
                <w:color w:val="auto"/>
              </w:rPr>
            </w:pPr>
            <w:r>
              <w:rPr>
                <w:rFonts w:ascii="Arial" w:cs="Arial" w:eastAsia="Arial" w:hAnsi="Arial"/>
                <w:sz w:val="13"/>
                <w:szCs w:val="13"/>
                <w:b w:val="1"/>
                <w:bCs w:val="1"/>
                <w:color w:val="FEFEFE"/>
                <w:w w:val="98"/>
              </w:rPr>
              <w:t>Number of Shares</w:t>
            </w:r>
          </w:p>
        </w:tc>
        <w:tc>
          <w:tcPr>
            <w:tcW w:w="1040" w:type="dxa"/>
            <w:vAlign w:val="bottom"/>
            <w:gridSpan w:val="3"/>
            <w:shd w:val="clear" w:color="auto" w:fill="000000"/>
          </w:tcPr>
          <w:p>
            <w:pPr>
              <w:jc w:val="center"/>
              <w:ind w:right="57"/>
              <w:spacing w:after="0"/>
              <w:rPr>
                <w:sz w:val="20"/>
                <w:szCs w:val="20"/>
                <w:color w:val="auto"/>
              </w:rPr>
            </w:pPr>
            <w:r>
              <w:rPr>
                <w:rFonts w:ascii="Arial" w:cs="Arial" w:eastAsia="Arial" w:hAnsi="Arial"/>
                <w:sz w:val="13"/>
                <w:szCs w:val="13"/>
                <w:b w:val="1"/>
                <w:bCs w:val="1"/>
                <w:color w:val="FEFEFE"/>
                <w:w w:val="96"/>
              </w:rPr>
              <w:t>Value Realized</w:t>
            </w:r>
          </w:p>
        </w:tc>
        <w:tc>
          <w:tcPr>
            <w:tcW w:w="60" w:type="dxa"/>
            <w:vAlign w:val="bottom"/>
            <w:shd w:val="clear" w:color="auto" w:fill="000000"/>
          </w:tcPr>
          <w:p>
            <w:pPr>
              <w:spacing w:after="0"/>
              <w:rPr>
                <w:sz w:val="12"/>
                <w:szCs w:val="12"/>
                <w:color w:val="auto"/>
              </w:rPr>
            </w:pPr>
          </w:p>
        </w:tc>
        <w:tc>
          <w:tcPr>
            <w:tcW w:w="1220" w:type="dxa"/>
            <w:vAlign w:val="bottom"/>
            <w:gridSpan w:val="3"/>
            <w:shd w:val="clear" w:color="auto" w:fill="000000"/>
          </w:tcPr>
          <w:p>
            <w:pPr>
              <w:jc w:val="center"/>
              <w:ind w:right="30"/>
              <w:spacing w:after="0"/>
              <w:rPr>
                <w:sz w:val="20"/>
                <w:szCs w:val="20"/>
                <w:color w:val="auto"/>
              </w:rPr>
            </w:pPr>
            <w:r>
              <w:rPr>
                <w:rFonts w:ascii="Arial" w:cs="Arial" w:eastAsia="Arial" w:hAnsi="Arial"/>
                <w:sz w:val="13"/>
                <w:szCs w:val="13"/>
                <w:b w:val="1"/>
                <w:bCs w:val="1"/>
                <w:color w:val="FEFEFE"/>
                <w:w w:val="96"/>
              </w:rPr>
              <w:t>Number of Shares</w:t>
            </w:r>
          </w:p>
        </w:tc>
        <w:tc>
          <w:tcPr>
            <w:tcW w:w="1180" w:type="dxa"/>
            <w:vAlign w:val="bottom"/>
            <w:gridSpan w:val="3"/>
            <w:shd w:val="clear" w:color="auto" w:fill="000000"/>
          </w:tcPr>
          <w:p>
            <w:pPr>
              <w:jc w:val="center"/>
              <w:ind w:right="31"/>
              <w:spacing w:after="0"/>
              <w:rPr>
                <w:sz w:val="20"/>
                <w:szCs w:val="20"/>
                <w:color w:val="auto"/>
              </w:rPr>
            </w:pPr>
            <w:r>
              <w:rPr>
                <w:rFonts w:ascii="Arial" w:cs="Arial" w:eastAsia="Arial" w:hAnsi="Arial"/>
                <w:sz w:val="13"/>
                <w:szCs w:val="13"/>
                <w:b w:val="1"/>
                <w:bCs w:val="1"/>
                <w:color w:val="FEFEFE"/>
                <w:w w:val="96"/>
              </w:rPr>
              <w:t>Value Realized</w:t>
            </w:r>
          </w:p>
        </w:tc>
        <w:tc>
          <w:tcPr>
            <w:tcW w:w="0" w:type="dxa"/>
            <w:vAlign w:val="bottom"/>
          </w:tcPr>
          <w:p>
            <w:pPr>
              <w:spacing w:after="0"/>
              <w:rPr>
                <w:sz w:val="1"/>
                <w:szCs w:val="1"/>
                <w:color w:val="auto"/>
              </w:rPr>
            </w:pPr>
          </w:p>
        </w:tc>
      </w:tr>
      <w:tr>
        <w:trPr>
          <w:trHeight w:val="148"/>
        </w:trPr>
        <w:tc>
          <w:tcPr>
            <w:tcW w:w="140" w:type="dxa"/>
            <w:vAlign w:val="bottom"/>
            <w:shd w:val="clear" w:color="auto" w:fill="000000"/>
          </w:tcPr>
          <w:p>
            <w:pPr>
              <w:spacing w:after="0"/>
              <w:rPr>
                <w:sz w:val="12"/>
                <w:szCs w:val="12"/>
                <w:color w:val="auto"/>
              </w:rPr>
            </w:pPr>
          </w:p>
        </w:tc>
        <w:tc>
          <w:tcPr>
            <w:tcW w:w="4020" w:type="dxa"/>
            <w:vAlign w:val="bottom"/>
            <w:shd w:val="clear" w:color="auto" w:fill="000000"/>
          </w:tcPr>
          <w:p>
            <w:pPr>
              <w:spacing w:after="0"/>
              <w:rPr>
                <w:sz w:val="12"/>
                <w:szCs w:val="12"/>
                <w:color w:val="auto"/>
              </w:rPr>
            </w:pPr>
          </w:p>
        </w:tc>
        <w:tc>
          <w:tcPr>
            <w:tcW w:w="1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1500" w:type="dxa"/>
            <w:vAlign w:val="bottom"/>
            <w:gridSpan w:val="2"/>
            <w:shd w:val="clear" w:color="auto" w:fill="000000"/>
          </w:tcPr>
          <w:p>
            <w:pPr>
              <w:jc w:val="center"/>
              <w:ind w:right="131"/>
              <w:spacing w:after="0"/>
              <w:rPr>
                <w:sz w:val="20"/>
                <w:szCs w:val="20"/>
                <w:color w:val="auto"/>
              </w:rPr>
            </w:pPr>
            <w:r>
              <w:rPr>
                <w:rFonts w:ascii="Arial" w:cs="Arial" w:eastAsia="Arial" w:hAnsi="Arial"/>
                <w:sz w:val="13"/>
                <w:szCs w:val="13"/>
                <w:b w:val="1"/>
                <w:bCs w:val="1"/>
                <w:color w:val="FEFEFE"/>
                <w:w w:val="97"/>
              </w:rPr>
              <w:t>Acquired on Exercise</w:t>
            </w:r>
          </w:p>
        </w:tc>
        <w:tc>
          <w:tcPr>
            <w:tcW w:w="1040" w:type="dxa"/>
            <w:vAlign w:val="bottom"/>
            <w:gridSpan w:val="3"/>
            <w:shd w:val="clear" w:color="auto" w:fill="000000"/>
          </w:tcPr>
          <w:p>
            <w:pPr>
              <w:jc w:val="center"/>
              <w:ind w:right="77"/>
              <w:spacing w:after="0"/>
              <w:rPr>
                <w:sz w:val="20"/>
                <w:szCs w:val="20"/>
                <w:color w:val="auto"/>
              </w:rPr>
            </w:pPr>
            <w:r>
              <w:rPr>
                <w:rFonts w:ascii="Arial" w:cs="Arial" w:eastAsia="Arial" w:hAnsi="Arial"/>
                <w:sz w:val="13"/>
                <w:szCs w:val="13"/>
                <w:b w:val="1"/>
                <w:bCs w:val="1"/>
                <w:color w:val="FEFEFE"/>
                <w:w w:val="95"/>
              </w:rPr>
              <w:t>on Exercise</w:t>
            </w:r>
          </w:p>
        </w:tc>
        <w:tc>
          <w:tcPr>
            <w:tcW w:w="60" w:type="dxa"/>
            <w:vAlign w:val="bottom"/>
            <w:shd w:val="clear" w:color="auto" w:fill="000000"/>
          </w:tcPr>
          <w:p>
            <w:pPr>
              <w:spacing w:after="0"/>
              <w:rPr>
                <w:sz w:val="12"/>
                <w:szCs w:val="12"/>
                <w:color w:val="auto"/>
              </w:rPr>
            </w:pPr>
          </w:p>
        </w:tc>
        <w:tc>
          <w:tcPr>
            <w:tcW w:w="1000" w:type="dxa"/>
            <w:vAlign w:val="bottom"/>
            <w:gridSpan w:val="2"/>
            <w:shd w:val="clear" w:color="auto" w:fill="000000"/>
          </w:tcPr>
          <w:p>
            <w:pPr>
              <w:jc w:val="center"/>
              <w:ind w:left="30"/>
              <w:spacing w:after="0"/>
              <w:rPr>
                <w:sz w:val="20"/>
                <w:szCs w:val="20"/>
                <w:color w:val="auto"/>
              </w:rPr>
            </w:pPr>
            <w:r>
              <w:rPr>
                <w:rFonts w:ascii="Arial" w:cs="Arial" w:eastAsia="Arial" w:hAnsi="Arial"/>
                <w:sz w:val="13"/>
                <w:szCs w:val="13"/>
                <w:b w:val="1"/>
                <w:bCs w:val="1"/>
                <w:color w:val="FEFEFE"/>
                <w:w w:val="97"/>
              </w:rPr>
              <w:t>Acquired on</w:t>
            </w:r>
          </w:p>
        </w:tc>
        <w:tc>
          <w:tcPr>
            <w:tcW w:w="22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1000" w:type="dxa"/>
            <w:vAlign w:val="bottom"/>
            <w:gridSpan w:val="2"/>
            <w:shd w:val="clear" w:color="auto" w:fill="000000"/>
          </w:tcPr>
          <w:p>
            <w:pPr>
              <w:jc w:val="center"/>
              <w:ind w:right="211"/>
              <w:spacing w:after="0"/>
              <w:rPr>
                <w:sz w:val="20"/>
                <w:szCs w:val="20"/>
                <w:color w:val="auto"/>
              </w:rPr>
            </w:pPr>
            <w:r>
              <w:rPr>
                <w:rFonts w:ascii="Arial" w:cs="Arial" w:eastAsia="Arial" w:hAnsi="Arial"/>
                <w:sz w:val="13"/>
                <w:szCs w:val="13"/>
                <w:b w:val="1"/>
                <w:bCs w:val="1"/>
                <w:color w:val="FEFEFE"/>
                <w:w w:val="96"/>
              </w:rPr>
              <w:t>on Vesting</w:t>
            </w:r>
          </w:p>
        </w:tc>
        <w:tc>
          <w:tcPr>
            <w:tcW w:w="0" w:type="dxa"/>
            <w:vAlign w:val="bottom"/>
          </w:tcPr>
          <w:p>
            <w:pPr>
              <w:spacing w:after="0"/>
              <w:rPr>
                <w:sz w:val="1"/>
                <w:szCs w:val="1"/>
                <w:color w:val="auto"/>
              </w:rPr>
            </w:pPr>
          </w:p>
        </w:tc>
      </w:tr>
      <w:tr>
        <w:trPr>
          <w:trHeight w:val="135"/>
        </w:trPr>
        <w:tc>
          <w:tcPr>
            <w:tcW w:w="140" w:type="dxa"/>
            <w:vAlign w:val="bottom"/>
            <w:shd w:val="clear" w:color="auto" w:fill="000000"/>
          </w:tcPr>
          <w:p>
            <w:pPr>
              <w:spacing w:after="0"/>
              <w:rPr>
                <w:sz w:val="11"/>
                <w:szCs w:val="11"/>
                <w:color w:val="auto"/>
              </w:rPr>
            </w:pPr>
          </w:p>
        </w:tc>
        <w:tc>
          <w:tcPr>
            <w:tcW w:w="402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480" w:type="dxa"/>
            <w:vAlign w:val="bottom"/>
            <w:shd w:val="clear" w:color="auto" w:fill="000000"/>
          </w:tcPr>
          <w:p>
            <w:pPr>
              <w:spacing w:after="0"/>
              <w:rPr>
                <w:sz w:val="11"/>
                <w:szCs w:val="11"/>
                <w:color w:val="auto"/>
              </w:rPr>
            </w:pPr>
          </w:p>
        </w:tc>
        <w:tc>
          <w:tcPr>
            <w:tcW w:w="1020" w:type="dxa"/>
            <w:vAlign w:val="bottom"/>
            <w:shd w:val="clear" w:color="auto" w:fill="000000"/>
          </w:tcPr>
          <w:p>
            <w:pPr>
              <w:jc w:val="center"/>
              <w:ind w:right="611"/>
              <w:spacing w:after="0" w:line="135" w:lineRule="exact"/>
              <w:rPr>
                <w:sz w:val="20"/>
                <w:szCs w:val="20"/>
                <w:color w:val="auto"/>
              </w:rPr>
            </w:pPr>
            <w:r>
              <w:rPr>
                <w:rFonts w:ascii="Arial" w:cs="Arial" w:eastAsia="Arial" w:hAnsi="Arial"/>
                <w:sz w:val="13"/>
                <w:szCs w:val="13"/>
                <w:b w:val="1"/>
                <w:bCs w:val="1"/>
                <w:color w:val="FEFEFE"/>
                <w:w w:val="87"/>
              </w:rPr>
              <w:t>(#)</w:t>
            </w:r>
          </w:p>
        </w:tc>
        <w:tc>
          <w:tcPr>
            <w:tcW w:w="260" w:type="dxa"/>
            <w:vAlign w:val="bottom"/>
            <w:shd w:val="clear" w:color="auto" w:fill="000000"/>
          </w:tcPr>
          <w:p>
            <w:pPr>
              <w:spacing w:after="0"/>
              <w:rPr>
                <w:sz w:val="11"/>
                <w:szCs w:val="11"/>
                <w:color w:val="auto"/>
              </w:rPr>
            </w:pPr>
          </w:p>
        </w:tc>
        <w:tc>
          <w:tcPr>
            <w:tcW w:w="620" w:type="dxa"/>
            <w:vAlign w:val="bottom"/>
            <w:shd w:val="clear" w:color="auto" w:fill="000000"/>
          </w:tcPr>
          <w:p>
            <w:pPr>
              <w:jc w:val="center"/>
              <w:ind w:right="169"/>
              <w:spacing w:after="0" w:line="135" w:lineRule="exact"/>
              <w:rPr>
                <w:sz w:val="20"/>
                <w:szCs w:val="20"/>
                <w:color w:val="auto"/>
              </w:rPr>
            </w:pPr>
            <w:r>
              <w:rPr>
                <w:rFonts w:ascii="Arial" w:cs="Arial" w:eastAsia="Arial" w:hAnsi="Arial"/>
                <w:sz w:val="13"/>
                <w:szCs w:val="13"/>
                <w:b w:val="1"/>
                <w:bCs w:val="1"/>
                <w:color w:val="FEFEFE"/>
                <w:w w:val="87"/>
              </w:rPr>
              <w:t>($)</w:t>
            </w: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740" w:type="dxa"/>
            <w:vAlign w:val="bottom"/>
            <w:shd w:val="clear" w:color="auto" w:fill="000000"/>
          </w:tcPr>
          <w:p>
            <w:pPr>
              <w:jc w:val="center"/>
              <w:ind w:right="73"/>
              <w:spacing w:after="0" w:line="135" w:lineRule="exact"/>
              <w:rPr>
                <w:sz w:val="20"/>
                <w:szCs w:val="20"/>
                <w:color w:val="auto"/>
              </w:rPr>
            </w:pPr>
            <w:r>
              <w:rPr>
                <w:rFonts w:ascii="Arial" w:cs="Arial" w:eastAsia="Arial" w:hAnsi="Arial"/>
                <w:sz w:val="13"/>
                <w:szCs w:val="13"/>
                <w:b w:val="1"/>
                <w:bCs w:val="1"/>
                <w:color w:val="FEFEFE"/>
                <w:w w:val="93"/>
              </w:rPr>
              <w:t>Vesting</w:t>
            </w:r>
          </w:p>
        </w:tc>
        <w:tc>
          <w:tcPr>
            <w:tcW w:w="22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800" w:type="dxa"/>
            <w:vAlign w:val="bottom"/>
            <w:shd w:val="clear" w:color="auto" w:fill="000000"/>
          </w:tcPr>
          <w:p>
            <w:pPr>
              <w:jc w:val="center"/>
              <w:ind w:right="12"/>
              <w:spacing w:after="0" w:line="135" w:lineRule="exact"/>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40" w:type="dxa"/>
            <w:vAlign w:val="bottom"/>
            <w:shd w:val="clear" w:color="auto" w:fill="000000"/>
          </w:tcPr>
          <w:p>
            <w:pPr>
              <w:spacing w:after="0"/>
              <w:rPr>
                <w:sz w:val="14"/>
                <w:szCs w:val="14"/>
                <w:color w:val="auto"/>
              </w:rPr>
            </w:pPr>
          </w:p>
        </w:tc>
        <w:tc>
          <w:tcPr>
            <w:tcW w:w="402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480" w:type="dxa"/>
            <w:vAlign w:val="bottom"/>
            <w:shd w:val="clear" w:color="auto" w:fill="000000"/>
          </w:tcPr>
          <w:p>
            <w:pPr>
              <w:spacing w:after="0"/>
              <w:rPr>
                <w:sz w:val="14"/>
                <w:szCs w:val="14"/>
                <w:color w:val="auto"/>
              </w:rPr>
            </w:pPr>
          </w:p>
        </w:tc>
        <w:tc>
          <w:tcPr>
            <w:tcW w:w="102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740" w:type="dxa"/>
            <w:vAlign w:val="bottom"/>
            <w:shd w:val="clear" w:color="auto" w:fill="000000"/>
          </w:tcPr>
          <w:p>
            <w:pPr>
              <w:jc w:val="center"/>
              <w:ind w:right="73"/>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80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0" w:type="dxa"/>
            <w:vAlign w:val="bottom"/>
            <w:shd w:val="clear" w:color="auto" w:fill="000000"/>
          </w:tcPr>
          <w:p>
            <w:pPr>
              <w:spacing w:after="0"/>
              <w:rPr>
                <w:sz w:val="11"/>
                <w:szCs w:val="11"/>
                <w:color w:val="auto"/>
              </w:rPr>
            </w:pPr>
          </w:p>
        </w:tc>
        <w:tc>
          <w:tcPr>
            <w:tcW w:w="402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1500" w:type="dxa"/>
            <w:vAlign w:val="bottom"/>
            <w:gridSpan w:val="2"/>
            <w:shd w:val="clear" w:color="auto" w:fill="000000"/>
          </w:tcPr>
          <w:p>
            <w:pPr>
              <w:spacing w:after="0"/>
              <w:rPr>
                <w:sz w:val="11"/>
                <w:szCs w:val="11"/>
                <w:color w:val="auto"/>
              </w:rPr>
            </w:pPr>
          </w:p>
        </w:tc>
        <w:tc>
          <w:tcPr>
            <w:tcW w:w="880" w:type="dxa"/>
            <w:vAlign w:val="bottom"/>
            <w:gridSpan w:val="2"/>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1000" w:type="dxa"/>
            <w:vAlign w:val="bottom"/>
            <w:gridSpan w:val="2"/>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980" w:type="dxa"/>
            <w:vAlign w:val="bottom"/>
            <w:gridSpan w:val="2"/>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Peter Rawlinson</w:t>
            </w: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23"/>
                <w:szCs w:val="23"/>
                <w:color w:val="auto"/>
              </w:rPr>
            </w:pPr>
          </w:p>
        </w:tc>
        <w:tc>
          <w:tcPr>
            <w:tcW w:w="1500" w:type="dxa"/>
            <w:vAlign w:val="bottom"/>
            <w:gridSpan w:val="2"/>
          </w:tcPr>
          <w:p>
            <w:pPr>
              <w:jc w:val="right"/>
              <w:ind w:right="511"/>
              <w:spacing w:after="0"/>
              <w:rPr>
                <w:sz w:val="20"/>
                <w:szCs w:val="20"/>
                <w:color w:val="auto"/>
              </w:rPr>
            </w:pPr>
            <w:r>
              <w:rPr>
                <w:rFonts w:ascii="Arial" w:cs="Arial" w:eastAsia="Arial" w:hAnsi="Arial"/>
                <w:sz w:val="14"/>
                <w:szCs w:val="14"/>
                <w:color w:val="auto"/>
              </w:rPr>
              <w:t>​869,570</w:t>
            </w:r>
          </w:p>
        </w:tc>
        <w:tc>
          <w:tcPr>
            <w:tcW w:w="1040" w:type="dxa"/>
            <w:vAlign w:val="bottom"/>
            <w:gridSpan w:val="3"/>
          </w:tcPr>
          <w:p>
            <w:pPr>
              <w:ind w:left="100"/>
              <w:spacing w:after="0"/>
              <w:rPr>
                <w:sz w:val="20"/>
                <w:szCs w:val="20"/>
                <w:color w:val="auto"/>
              </w:rPr>
            </w:pPr>
            <w:r>
              <w:rPr>
                <w:rFonts w:ascii="Arial" w:cs="Arial" w:eastAsia="Arial" w:hAnsi="Arial"/>
                <w:sz w:val="14"/>
                <w:szCs w:val="14"/>
                <w:color w:val="auto"/>
              </w:rPr>
              <w:t>​ 5,504,378</w:t>
            </w:r>
            <w:r>
              <w:rPr>
                <w:rFonts w:ascii="Arial" w:cs="Arial" w:eastAsia="Arial" w:hAnsi="Arial"/>
                <w:sz w:val="17"/>
                <w:szCs w:val="17"/>
                <w:color w:val="auto"/>
                <w:vertAlign w:val="superscript"/>
              </w:rPr>
              <w:t>(1)</w:t>
            </w:r>
          </w:p>
        </w:tc>
        <w:tc>
          <w:tcPr>
            <w:tcW w:w="6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 17,392,960</w:t>
            </w:r>
          </w:p>
        </w:tc>
        <w:tc>
          <w:tcPr>
            <w:tcW w:w="220" w:type="dxa"/>
            <w:vAlign w:val="bottom"/>
          </w:tcPr>
          <w:p>
            <w:pPr>
              <w:spacing w:after="0"/>
              <w:rPr>
                <w:sz w:val="23"/>
                <w:szCs w:val="23"/>
                <w:color w:val="auto"/>
              </w:rPr>
            </w:pPr>
          </w:p>
        </w:tc>
        <w:tc>
          <w:tcPr>
            <w:tcW w:w="1180" w:type="dxa"/>
            <w:vAlign w:val="bottom"/>
            <w:gridSpan w:val="3"/>
          </w:tcPr>
          <w:p>
            <w:pPr>
              <w:jc w:val="right"/>
              <w:ind w:right="31"/>
              <w:spacing w:after="0"/>
              <w:rPr>
                <w:sz w:val="20"/>
                <w:szCs w:val="20"/>
                <w:color w:val="auto"/>
              </w:rPr>
            </w:pPr>
            <w:r>
              <w:rPr>
                <w:rFonts w:ascii="Arial" w:cs="Arial" w:eastAsia="Arial" w:hAnsi="Arial"/>
                <w:sz w:val="14"/>
                <w:szCs w:val="14"/>
                <w:color w:val="auto"/>
              </w:rPr>
              <w:t>​ 372,928,375</w:t>
            </w:r>
            <w:r>
              <w:rPr>
                <w:rFonts w:ascii="Arial" w:cs="Arial" w:eastAsia="Arial" w:hAnsi="Arial"/>
                <w:sz w:val="17"/>
                <w:szCs w:val="17"/>
                <w:color w:val="auto"/>
                <w:vertAlign w:val="superscript"/>
              </w:rPr>
              <w:t>(2)</w:t>
            </w:r>
          </w:p>
        </w:tc>
        <w:tc>
          <w:tcPr>
            <w:tcW w:w="0" w:type="dxa"/>
            <w:vAlign w:val="bottom"/>
          </w:tcPr>
          <w:p>
            <w:pPr>
              <w:spacing w:after="0"/>
              <w:rPr>
                <w:sz w:val="1"/>
                <w:szCs w:val="1"/>
                <w:color w:val="auto"/>
              </w:rPr>
            </w:pPr>
          </w:p>
        </w:tc>
      </w:tr>
      <w:tr>
        <w:trPr>
          <w:trHeight w:val="149"/>
        </w:trPr>
        <w:tc>
          <w:tcPr>
            <w:tcW w:w="41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 ​</w:t>
            </w:r>
          </w:p>
        </w:tc>
        <w:tc>
          <w:tcPr>
            <w:tcW w:w="2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center"/>
              <w:ind w:left="549"/>
              <w:spacing w:after="0" w:line="149" w:lineRule="exact"/>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 ​ ​</w:t>
            </w: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9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40" w:type="dxa"/>
            <w:vAlign w:val="bottom"/>
            <w:shd w:val="clear" w:color="auto" w:fill="F7F7F7"/>
          </w:tcPr>
          <w:p>
            <w:pPr>
              <w:spacing w:after="0"/>
              <w:rPr>
                <w:sz w:val="21"/>
                <w:szCs w:val="21"/>
                <w:color w:val="auto"/>
              </w:rPr>
            </w:pPr>
          </w:p>
        </w:tc>
        <w:tc>
          <w:tcPr>
            <w:tcW w:w="4020" w:type="dxa"/>
            <w:vAlign w:val="bottom"/>
            <w:shd w:val="clear" w:color="auto" w:fill="F7F7F7"/>
          </w:tcPr>
          <w:p>
            <w:pPr>
              <w:spacing w:after="0"/>
              <w:rPr>
                <w:sz w:val="20"/>
                <w:szCs w:val="20"/>
                <w:color w:val="auto"/>
              </w:rPr>
            </w:pPr>
            <w:r>
              <w:rPr>
                <w:rFonts w:ascii="Arial" w:cs="Arial" w:eastAsia="Arial" w:hAnsi="Arial"/>
                <w:sz w:val="14"/>
                <w:szCs w:val="14"/>
                <w:color w:val="auto"/>
              </w:rPr>
              <w:t>Sherry House</w:t>
            </w:r>
          </w:p>
        </w:tc>
        <w:tc>
          <w:tcPr>
            <w:tcW w:w="160" w:type="dxa"/>
            <w:vAlign w:val="bottom"/>
            <w:vMerge w:val="restart"/>
            <w:shd w:val="clear" w:color="auto" w:fill="F7F7F7"/>
          </w:tcPr>
          <w:p>
            <w:pPr>
              <w:jc w:val="center"/>
              <w:spacing w:after="0"/>
              <w:rPr>
                <w:sz w:val="20"/>
                <w:szCs w:val="20"/>
                <w:color w:val="auto"/>
              </w:rPr>
            </w:pPr>
            <w:r>
              <w:rPr>
                <w:rFonts w:ascii="Arial" w:cs="Arial" w:eastAsia="Arial" w:hAnsi="Arial"/>
                <w:sz w:val="14"/>
                <w:szCs w:val="14"/>
                <w:color w:val="auto"/>
              </w:rPr>
              <w:t>​ ​</w:t>
            </w:r>
          </w:p>
        </w:tc>
        <w:tc>
          <w:tcPr>
            <w:tcW w:w="60" w:type="dxa"/>
            <w:vAlign w:val="bottom"/>
            <w:shd w:val="clear" w:color="auto" w:fill="F7F7F7"/>
          </w:tcPr>
          <w:p>
            <w:pPr>
              <w:spacing w:after="0"/>
              <w:rPr>
                <w:sz w:val="21"/>
                <w:szCs w:val="21"/>
                <w:color w:val="auto"/>
              </w:rPr>
            </w:pPr>
          </w:p>
        </w:tc>
        <w:tc>
          <w:tcPr>
            <w:tcW w:w="48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7F7F7"/>
          </w:tcPr>
          <w:p>
            <w:pPr>
              <w:jc w:val="right"/>
              <w:ind w:right="511"/>
              <w:spacing w:after="0"/>
              <w:rPr>
                <w:sz w:val="20"/>
                <w:szCs w:val="20"/>
                <w:color w:val="auto"/>
              </w:rPr>
            </w:pPr>
            <w:r>
              <w:rPr>
                <w:rFonts w:ascii="Arial" w:cs="Arial" w:eastAsia="Arial" w:hAnsi="Arial"/>
                <w:sz w:val="14"/>
                <w:szCs w:val="14"/>
                <w:color w:val="auto"/>
              </w:rPr>
              <w:t>—</w:t>
            </w:r>
          </w:p>
        </w:tc>
        <w:tc>
          <w:tcPr>
            <w:tcW w:w="26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7F7F7"/>
          </w:tcPr>
          <w:p>
            <w:pPr>
              <w:ind w:left="40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1"/>
                <w:szCs w:val="21"/>
                <w:color w:val="auto"/>
              </w:rPr>
            </w:pPr>
          </w:p>
        </w:tc>
        <w:tc>
          <w:tcPr>
            <w:tcW w:w="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7F7"/>
          </w:tcPr>
          <w:p>
            <w:pPr>
              <w:jc w:val="right"/>
              <w:spacing w:after="0"/>
              <w:rPr>
                <w:sz w:val="20"/>
                <w:szCs w:val="20"/>
                <w:color w:val="auto"/>
              </w:rPr>
            </w:pPr>
            <w:r>
              <w:rPr>
                <w:rFonts w:ascii="Arial" w:cs="Arial" w:eastAsia="Arial" w:hAnsi="Arial"/>
                <w:sz w:val="14"/>
                <w:szCs w:val="14"/>
                <w:color w:val="auto"/>
              </w:rPr>
              <w:t>299,271</w:t>
            </w:r>
          </w:p>
        </w:tc>
        <w:tc>
          <w:tcPr>
            <w:tcW w:w="220" w:type="dxa"/>
            <w:vAlign w:val="bottom"/>
            <w:shd w:val="clear" w:color="auto" w:fill="F7F7F7"/>
          </w:tcPr>
          <w:p>
            <w:pPr>
              <w:spacing w:after="0"/>
              <w:rPr>
                <w:sz w:val="21"/>
                <w:szCs w:val="21"/>
                <w:color w:val="auto"/>
              </w:rPr>
            </w:pPr>
          </w:p>
        </w:tc>
        <w:tc>
          <w:tcPr>
            <w:tcW w:w="1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7F7F7"/>
          </w:tcPr>
          <w:p>
            <w:pPr>
              <w:jc w:val="right"/>
              <w:ind w:right="31"/>
              <w:spacing w:after="0"/>
              <w:rPr>
                <w:sz w:val="20"/>
                <w:szCs w:val="20"/>
                <w:color w:val="auto"/>
              </w:rPr>
            </w:pPr>
            <w:r>
              <w:rPr>
                <w:rFonts w:ascii="Arial" w:cs="Arial" w:eastAsia="Arial" w:hAnsi="Arial"/>
                <w:sz w:val="14"/>
                <w:szCs w:val="14"/>
                <w:color w:val="auto"/>
              </w:rPr>
              <w:t>4,805,982</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148"/>
        </w:trPr>
        <w:tc>
          <w:tcPr>
            <w:tcW w:w="4160" w:type="dxa"/>
            <w:vAlign w:val="bottom"/>
            <w:tcBorders>
              <w:bottom w:val="single" w:sz="8" w:color="auto"/>
            </w:tcBorders>
            <w:gridSpan w:val="2"/>
            <w:shd w:val="clear" w:color="auto" w:fill="F7F7F7"/>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vMerge w:val="continue"/>
            <w:shd w:val="clear" w:color="auto" w:fill="F7F7F7"/>
          </w:tcPr>
          <w:p>
            <w:pPr>
              <w:spacing w:after="0"/>
              <w:rPr>
                <w:sz w:val="12"/>
                <w:szCs w:val="12"/>
                <w:color w:val="auto"/>
              </w:rPr>
            </w:pPr>
          </w:p>
        </w:tc>
        <w:tc>
          <w:tcPr>
            <w:tcW w:w="60" w:type="dxa"/>
            <w:vAlign w:val="bottom"/>
            <w:tcBorders>
              <w:bottom w:val="single" w:sz="8" w:color="auto"/>
            </w:tcBorders>
            <w:shd w:val="clear" w:color="auto" w:fill="F7F7F7"/>
          </w:tcPr>
          <w:p>
            <w:pPr>
              <w:spacing w:after="0"/>
              <w:rPr>
                <w:sz w:val="12"/>
                <w:szCs w:val="12"/>
                <w:color w:val="auto"/>
              </w:rPr>
            </w:pPr>
          </w:p>
        </w:tc>
        <w:tc>
          <w:tcPr>
            <w:tcW w:w="480" w:type="dxa"/>
            <w:vAlign w:val="bottom"/>
            <w:tcBorders>
              <w:bottom w:val="single" w:sz="8" w:color="auto"/>
            </w:tcBorders>
            <w:shd w:val="clear" w:color="auto" w:fill="F7F7F7"/>
          </w:tcPr>
          <w:p>
            <w:pPr>
              <w:ind w:left="34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F7F7F7"/>
          </w:tcPr>
          <w:p>
            <w:pPr>
              <w:jc w:val="right"/>
              <w:spacing w:after="0" w:line="149" w:lineRule="exact"/>
              <w:rPr>
                <w:sz w:val="20"/>
                <w:szCs w:val="20"/>
                <w:color w:val="auto"/>
              </w:rPr>
            </w:pPr>
            <w:r>
              <w:rPr>
                <w:rFonts w:ascii="Arial" w:cs="Arial" w:eastAsia="Arial" w:hAnsi="Arial"/>
                <w:sz w:val="14"/>
                <w:szCs w:val="14"/>
                <w:color w:val="auto"/>
              </w:rPr>
              <w:t>​​ ​</w:t>
            </w:r>
          </w:p>
        </w:tc>
        <w:tc>
          <w:tcPr>
            <w:tcW w:w="260" w:type="dxa"/>
            <w:vAlign w:val="bottom"/>
            <w:tcBorders>
              <w:bottom w:val="single" w:sz="8" w:color="auto"/>
            </w:tcBorders>
            <w:shd w:val="clear" w:color="auto" w:fill="F7F7F7"/>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F7F7F7"/>
          </w:tcPr>
          <w:p>
            <w:pPr>
              <w:jc w:val="center"/>
              <w:ind w:left="549"/>
              <w:spacing w:after="0" w:line="149" w:lineRule="exact"/>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shd w:val="clear" w:color="auto" w:fill="F7F7F7"/>
          </w:tcPr>
          <w:p>
            <w:pPr>
              <w:spacing w:after="0"/>
              <w:rPr>
                <w:sz w:val="12"/>
                <w:szCs w:val="12"/>
                <w:color w:val="auto"/>
              </w:rPr>
            </w:pPr>
          </w:p>
        </w:tc>
        <w:tc>
          <w:tcPr>
            <w:tcW w:w="260" w:type="dxa"/>
            <w:vAlign w:val="bottom"/>
            <w:tcBorders>
              <w:bottom w:val="single" w:sz="8" w:color="auto"/>
            </w:tcBorders>
            <w:shd w:val="clear" w:color="auto" w:fill="F7F7F7"/>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F7F7F7"/>
          </w:tcPr>
          <w:p>
            <w:pPr>
              <w:spacing w:after="0"/>
              <w:rPr>
                <w:sz w:val="12"/>
                <w:szCs w:val="12"/>
                <w:color w:val="auto"/>
              </w:rPr>
            </w:pPr>
          </w:p>
        </w:tc>
        <w:tc>
          <w:tcPr>
            <w:tcW w:w="400" w:type="dxa"/>
            <w:vAlign w:val="bottom"/>
            <w:tcBorders>
              <w:bottom w:val="single" w:sz="8" w:color="auto"/>
            </w:tcBorders>
            <w:gridSpan w:val="2"/>
            <w:shd w:val="clear" w:color="auto" w:fill="F7F7F7"/>
          </w:tcPr>
          <w:p>
            <w:pPr>
              <w:jc w:val="right"/>
              <w:spacing w:after="0" w:line="149" w:lineRule="exact"/>
              <w:rPr>
                <w:sz w:val="20"/>
                <w:szCs w:val="20"/>
                <w:color w:val="auto"/>
              </w:rPr>
            </w:pPr>
            <w:r>
              <w:rPr>
                <w:rFonts w:ascii="Arial" w:cs="Arial" w:eastAsia="Arial" w:hAnsi="Arial"/>
                <w:sz w:val="14"/>
                <w:szCs w:val="14"/>
                <w:color w:val="auto"/>
              </w:rPr>
              <w:t>​​ ​ ​</w:t>
            </w:r>
          </w:p>
        </w:tc>
        <w:tc>
          <w:tcPr>
            <w:tcW w:w="800" w:type="dxa"/>
            <w:vAlign w:val="bottom"/>
            <w:tcBorders>
              <w:bottom w:val="single" w:sz="8" w:color="auto"/>
            </w:tcBorders>
            <w:shd w:val="clear" w:color="auto" w:fill="F7F7F7"/>
          </w:tcPr>
          <w:p>
            <w:pPr>
              <w:spacing w:after="0"/>
              <w:rPr>
                <w:sz w:val="12"/>
                <w:szCs w:val="12"/>
                <w:color w:val="auto"/>
              </w:rPr>
            </w:pPr>
          </w:p>
        </w:tc>
        <w:tc>
          <w:tcPr>
            <w:tcW w:w="200" w:type="dxa"/>
            <w:vAlign w:val="bottom"/>
            <w:tcBorders>
              <w:bottom w:val="single" w:sz="8" w:color="auto"/>
            </w:tcBorders>
            <w:shd w:val="clear" w:color="auto" w:fill="F7F7F7"/>
          </w:tcPr>
          <w:p>
            <w:pPr>
              <w:jc w:val="right"/>
              <w:ind w:right="9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Arial" w:cs="Arial" w:eastAsia="Arial" w:hAnsi="Arial"/>
                <w:sz w:val="14"/>
                <w:szCs w:val="14"/>
                <w:color w:val="auto"/>
              </w:rPr>
              <w:t>Eric Bach</w:t>
            </w: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rPr>
              <w:t>​ ​</w:t>
            </w:r>
          </w:p>
        </w:tc>
        <w:tc>
          <w:tcPr>
            <w:tcW w:w="60" w:type="dxa"/>
            <w:vAlign w:val="bottom"/>
          </w:tcPr>
          <w:p>
            <w:pPr>
              <w:spacing w:after="0"/>
              <w:rPr>
                <w:sz w:val="21"/>
                <w:szCs w:val="21"/>
                <w:color w:val="auto"/>
              </w:rPr>
            </w:pPr>
          </w:p>
        </w:tc>
        <w:tc>
          <w:tcPr>
            <w:tcW w:w="480" w:type="dxa"/>
            <w:vAlign w:val="bottom"/>
          </w:tcPr>
          <w:p>
            <w:pPr>
              <w:ind w:left="3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11"/>
              <w:spacing w:after="0"/>
              <w:rPr>
                <w:sz w:val="20"/>
                <w:szCs w:val="20"/>
                <w:color w:val="auto"/>
              </w:rPr>
            </w:pPr>
            <w:r>
              <w:rPr>
                <w:rFonts w:ascii="Arial" w:cs="Arial" w:eastAsia="Arial" w:hAnsi="Arial"/>
                <w:sz w:val="14"/>
                <w:szCs w:val="14"/>
                <w:color w:val="auto"/>
              </w:rPr>
              <w:t>—</w:t>
            </w: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340,588</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1"/>
              <w:spacing w:after="0"/>
              <w:rPr>
                <w:sz w:val="20"/>
                <w:szCs w:val="20"/>
                <w:color w:val="auto"/>
              </w:rPr>
            </w:pPr>
            <w:r>
              <w:rPr>
                <w:rFonts w:ascii="Arial" w:cs="Arial" w:eastAsia="Arial" w:hAnsi="Arial"/>
                <w:sz w:val="14"/>
                <w:szCs w:val="14"/>
                <w:color w:val="auto"/>
              </w:rPr>
              <w:t>5,572,825</w:t>
            </w:r>
            <w:r>
              <w:rPr>
                <w:rFonts w:ascii="Arial" w:cs="Arial" w:eastAsia="Arial" w:hAnsi="Arial"/>
                <w:sz w:val="17"/>
                <w:szCs w:val="17"/>
                <w:color w:val="auto"/>
                <w:vertAlign w:val="superscript"/>
              </w:rPr>
              <w:t>(4)</w:t>
            </w:r>
          </w:p>
        </w:tc>
        <w:tc>
          <w:tcPr>
            <w:tcW w:w="0" w:type="dxa"/>
            <w:vAlign w:val="bottom"/>
          </w:tcPr>
          <w:p>
            <w:pPr>
              <w:spacing w:after="0"/>
              <w:rPr>
                <w:sz w:val="1"/>
                <w:szCs w:val="1"/>
                <w:color w:val="auto"/>
              </w:rPr>
            </w:pPr>
          </w:p>
        </w:tc>
      </w:tr>
      <w:tr>
        <w:trPr>
          <w:trHeight w:val="148"/>
        </w:trPr>
        <w:tc>
          <w:tcPr>
            <w:tcW w:w="416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34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 ​</w:t>
            </w:r>
          </w:p>
        </w:tc>
        <w:tc>
          <w:tcPr>
            <w:tcW w:w="2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center"/>
              <w:ind w:left="549"/>
              <w:spacing w:after="0" w:line="149" w:lineRule="exact"/>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 ​ ​</w:t>
            </w: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9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40" w:type="dxa"/>
            <w:vAlign w:val="bottom"/>
            <w:shd w:val="clear" w:color="auto" w:fill="F7F7F7"/>
          </w:tcPr>
          <w:p>
            <w:pPr>
              <w:spacing w:after="0"/>
              <w:rPr>
                <w:sz w:val="21"/>
                <w:szCs w:val="21"/>
                <w:color w:val="auto"/>
              </w:rPr>
            </w:pPr>
          </w:p>
        </w:tc>
        <w:tc>
          <w:tcPr>
            <w:tcW w:w="4020" w:type="dxa"/>
            <w:vAlign w:val="bottom"/>
            <w:shd w:val="clear" w:color="auto" w:fill="F7F7F7"/>
          </w:tcPr>
          <w:p>
            <w:pPr>
              <w:spacing w:after="0"/>
              <w:rPr>
                <w:sz w:val="20"/>
                <w:szCs w:val="20"/>
                <w:color w:val="auto"/>
              </w:rPr>
            </w:pPr>
            <w:r>
              <w:rPr>
                <w:rFonts w:ascii="Arial" w:cs="Arial" w:eastAsia="Arial" w:hAnsi="Arial"/>
                <w:sz w:val="14"/>
                <w:szCs w:val="14"/>
                <w:color w:val="auto"/>
              </w:rPr>
              <w:t>Michael Bell</w:t>
            </w:r>
          </w:p>
        </w:tc>
        <w:tc>
          <w:tcPr>
            <w:tcW w:w="160" w:type="dxa"/>
            <w:vAlign w:val="bottom"/>
            <w:vMerge w:val="restart"/>
            <w:shd w:val="clear" w:color="auto" w:fill="F7F7F7"/>
          </w:tcPr>
          <w:p>
            <w:pPr>
              <w:jc w:val="center"/>
              <w:spacing w:after="0"/>
              <w:rPr>
                <w:sz w:val="20"/>
                <w:szCs w:val="20"/>
                <w:color w:val="auto"/>
              </w:rPr>
            </w:pPr>
            <w:r>
              <w:rPr>
                <w:rFonts w:ascii="Arial" w:cs="Arial" w:eastAsia="Arial" w:hAnsi="Arial"/>
                <w:sz w:val="14"/>
                <w:szCs w:val="14"/>
                <w:color w:val="auto"/>
              </w:rPr>
              <w:t>​ ​</w:t>
            </w:r>
          </w:p>
        </w:tc>
        <w:tc>
          <w:tcPr>
            <w:tcW w:w="60" w:type="dxa"/>
            <w:vAlign w:val="bottom"/>
            <w:shd w:val="clear" w:color="auto" w:fill="F7F7F7"/>
          </w:tcPr>
          <w:p>
            <w:pPr>
              <w:spacing w:after="0"/>
              <w:rPr>
                <w:sz w:val="21"/>
                <w:szCs w:val="21"/>
                <w:color w:val="auto"/>
              </w:rPr>
            </w:pPr>
          </w:p>
        </w:tc>
        <w:tc>
          <w:tcPr>
            <w:tcW w:w="48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7F7F7"/>
          </w:tcPr>
          <w:p>
            <w:pPr>
              <w:jc w:val="right"/>
              <w:ind w:right="511"/>
              <w:spacing w:after="0"/>
              <w:rPr>
                <w:sz w:val="20"/>
                <w:szCs w:val="20"/>
                <w:color w:val="auto"/>
              </w:rPr>
            </w:pPr>
            <w:r>
              <w:rPr>
                <w:rFonts w:ascii="Arial" w:cs="Arial" w:eastAsia="Arial" w:hAnsi="Arial"/>
                <w:sz w:val="14"/>
                <w:szCs w:val="14"/>
                <w:color w:val="auto"/>
              </w:rPr>
              <w:t>—</w:t>
            </w:r>
          </w:p>
        </w:tc>
        <w:tc>
          <w:tcPr>
            <w:tcW w:w="26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7F7F7"/>
          </w:tcPr>
          <w:p>
            <w:pPr>
              <w:ind w:left="40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1"/>
                <w:szCs w:val="21"/>
                <w:color w:val="auto"/>
              </w:rPr>
            </w:pPr>
          </w:p>
        </w:tc>
        <w:tc>
          <w:tcPr>
            <w:tcW w:w="260" w:type="dxa"/>
            <w:vAlign w:val="bottom"/>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F7F7F7"/>
          </w:tcPr>
          <w:p>
            <w:pPr>
              <w:jc w:val="right"/>
              <w:spacing w:after="0"/>
              <w:rPr>
                <w:sz w:val="20"/>
                <w:szCs w:val="20"/>
                <w:color w:val="auto"/>
              </w:rPr>
            </w:pPr>
            <w:r>
              <w:rPr>
                <w:rFonts w:ascii="Arial" w:cs="Arial" w:eastAsia="Arial" w:hAnsi="Arial"/>
                <w:sz w:val="14"/>
                <w:szCs w:val="14"/>
                <w:color w:val="auto"/>
              </w:rPr>
              <w:t>795,022</w:t>
            </w:r>
          </w:p>
        </w:tc>
        <w:tc>
          <w:tcPr>
            <w:tcW w:w="220" w:type="dxa"/>
            <w:vAlign w:val="bottom"/>
            <w:shd w:val="clear" w:color="auto" w:fill="F7F7F7"/>
          </w:tcPr>
          <w:p>
            <w:pPr>
              <w:spacing w:after="0"/>
              <w:rPr>
                <w:sz w:val="21"/>
                <w:szCs w:val="21"/>
                <w:color w:val="auto"/>
              </w:rPr>
            </w:pPr>
          </w:p>
        </w:tc>
        <w:tc>
          <w:tcPr>
            <w:tcW w:w="18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F7F7F7"/>
          </w:tcPr>
          <w:p>
            <w:pPr>
              <w:jc w:val="right"/>
              <w:ind w:right="31"/>
              <w:spacing w:after="0"/>
              <w:rPr>
                <w:sz w:val="20"/>
                <w:szCs w:val="20"/>
                <w:color w:val="auto"/>
              </w:rPr>
            </w:pPr>
            <w:r>
              <w:rPr>
                <w:rFonts w:ascii="Arial" w:cs="Arial" w:eastAsia="Arial" w:hAnsi="Arial"/>
                <w:sz w:val="14"/>
                <w:szCs w:val="14"/>
                <w:color w:val="auto"/>
              </w:rPr>
              <w:t>13,519,225</w:t>
            </w:r>
            <w:r>
              <w:rPr>
                <w:rFonts w:ascii="Arial" w:cs="Arial" w:eastAsia="Arial" w:hAnsi="Arial"/>
                <w:sz w:val="17"/>
                <w:szCs w:val="17"/>
                <w:color w:val="auto"/>
                <w:vertAlign w:val="superscript"/>
              </w:rPr>
              <w:t>(5)</w:t>
            </w:r>
          </w:p>
        </w:tc>
        <w:tc>
          <w:tcPr>
            <w:tcW w:w="0" w:type="dxa"/>
            <w:vAlign w:val="bottom"/>
          </w:tcPr>
          <w:p>
            <w:pPr>
              <w:spacing w:after="0"/>
              <w:rPr>
                <w:sz w:val="1"/>
                <w:szCs w:val="1"/>
                <w:color w:val="auto"/>
              </w:rPr>
            </w:pPr>
          </w:p>
        </w:tc>
      </w:tr>
      <w:tr>
        <w:trPr>
          <w:trHeight w:val="148"/>
        </w:trPr>
        <w:tc>
          <w:tcPr>
            <w:tcW w:w="4160" w:type="dxa"/>
            <w:vAlign w:val="bottom"/>
            <w:tcBorders>
              <w:bottom w:val="single" w:sz="8" w:color="auto"/>
            </w:tcBorders>
            <w:gridSpan w:val="2"/>
            <w:shd w:val="clear" w:color="auto" w:fill="F7F7F7"/>
          </w:tcPr>
          <w:p>
            <w:pPr>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vMerge w:val="continue"/>
            <w:shd w:val="clear" w:color="auto" w:fill="F7F7F7"/>
          </w:tcPr>
          <w:p>
            <w:pPr>
              <w:spacing w:after="0"/>
              <w:rPr>
                <w:sz w:val="12"/>
                <w:szCs w:val="12"/>
                <w:color w:val="auto"/>
              </w:rPr>
            </w:pPr>
          </w:p>
        </w:tc>
        <w:tc>
          <w:tcPr>
            <w:tcW w:w="60" w:type="dxa"/>
            <w:vAlign w:val="bottom"/>
            <w:tcBorders>
              <w:bottom w:val="single" w:sz="8" w:color="auto"/>
            </w:tcBorders>
            <w:shd w:val="clear" w:color="auto" w:fill="F7F7F7"/>
          </w:tcPr>
          <w:p>
            <w:pPr>
              <w:spacing w:after="0"/>
              <w:rPr>
                <w:sz w:val="12"/>
                <w:szCs w:val="12"/>
                <w:color w:val="auto"/>
              </w:rPr>
            </w:pPr>
          </w:p>
        </w:tc>
        <w:tc>
          <w:tcPr>
            <w:tcW w:w="480" w:type="dxa"/>
            <w:vAlign w:val="bottom"/>
            <w:tcBorders>
              <w:bottom w:val="single" w:sz="8" w:color="auto"/>
            </w:tcBorders>
            <w:shd w:val="clear" w:color="auto" w:fill="F7F7F7"/>
          </w:tcPr>
          <w:p>
            <w:pPr>
              <w:ind w:left="340"/>
              <w:spacing w:after="0" w:line="14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F7F7F7"/>
          </w:tcPr>
          <w:p>
            <w:pPr>
              <w:jc w:val="right"/>
              <w:spacing w:after="0" w:line="149" w:lineRule="exact"/>
              <w:rPr>
                <w:sz w:val="20"/>
                <w:szCs w:val="20"/>
                <w:color w:val="auto"/>
              </w:rPr>
            </w:pPr>
            <w:r>
              <w:rPr>
                <w:rFonts w:ascii="Arial" w:cs="Arial" w:eastAsia="Arial" w:hAnsi="Arial"/>
                <w:sz w:val="14"/>
                <w:szCs w:val="14"/>
                <w:color w:val="auto"/>
              </w:rPr>
              <w:t>​​ ​</w:t>
            </w:r>
          </w:p>
        </w:tc>
        <w:tc>
          <w:tcPr>
            <w:tcW w:w="260" w:type="dxa"/>
            <w:vAlign w:val="bottom"/>
            <w:tcBorders>
              <w:bottom w:val="single" w:sz="8" w:color="auto"/>
            </w:tcBorders>
            <w:shd w:val="clear" w:color="auto" w:fill="F7F7F7"/>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shd w:val="clear" w:color="auto" w:fill="F7F7F7"/>
          </w:tcPr>
          <w:p>
            <w:pPr>
              <w:jc w:val="center"/>
              <w:ind w:left="549"/>
              <w:spacing w:after="0" w:line="149" w:lineRule="exact"/>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shd w:val="clear" w:color="auto" w:fill="F7F7F7"/>
          </w:tcPr>
          <w:p>
            <w:pPr>
              <w:spacing w:after="0"/>
              <w:rPr>
                <w:sz w:val="12"/>
                <w:szCs w:val="12"/>
                <w:color w:val="auto"/>
              </w:rPr>
            </w:pPr>
          </w:p>
        </w:tc>
        <w:tc>
          <w:tcPr>
            <w:tcW w:w="260" w:type="dxa"/>
            <w:vAlign w:val="bottom"/>
            <w:tcBorders>
              <w:bottom w:val="single" w:sz="8" w:color="auto"/>
            </w:tcBorders>
            <w:shd w:val="clear" w:color="auto" w:fill="F7F7F7"/>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F7F7F7"/>
          </w:tcPr>
          <w:p>
            <w:pPr>
              <w:spacing w:after="0"/>
              <w:rPr>
                <w:sz w:val="12"/>
                <w:szCs w:val="12"/>
                <w:color w:val="auto"/>
              </w:rPr>
            </w:pPr>
          </w:p>
        </w:tc>
        <w:tc>
          <w:tcPr>
            <w:tcW w:w="400" w:type="dxa"/>
            <w:vAlign w:val="bottom"/>
            <w:tcBorders>
              <w:bottom w:val="single" w:sz="8" w:color="auto"/>
            </w:tcBorders>
            <w:gridSpan w:val="2"/>
            <w:shd w:val="clear" w:color="auto" w:fill="F7F7F7"/>
          </w:tcPr>
          <w:p>
            <w:pPr>
              <w:jc w:val="right"/>
              <w:spacing w:after="0" w:line="149" w:lineRule="exact"/>
              <w:rPr>
                <w:sz w:val="20"/>
                <w:szCs w:val="20"/>
                <w:color w:val="auto"/>
              </w:rPr>
            </w:pPr>
            <w:r>
              <w:rPr>
                <w:rFonts w:ascii="Arial" w:cs="Arial" w:eastAsia="Arial" w:hAnsi="Arial"/>
                <w:sz w:val="14"/>
                <w:szCs w:val="14"/>
                <w:color w:val="auto"/>
              </w:rPr>
              <w:t>​​ ​ ​</w:t>
            </w:r>
          </w:p>
        </w:tc>
        <w:tc>
          <w:tcPr>
            <w:tcW w:w="800" w:type="dxa"/>
            <w:vAlign w:val="bottom"/>
            <w:tcBorders>
              <w:bottom w:val="single" w:sz="8" w:color="auto"/>
            </w:tcBorders>
            <w:shd w:val="clear" w:color="auto" w:fill="F7F7F7"/>
          </w:tcPr>
          <w:p>
            <w:pPr>
              <w:spacing w:after="0"/>
              <w:rPr>
                <w:sz w:val="12"/>
                <w:szCs w:val="12"/>
                <w:color w:val="auto"/>
              </w:rPr>
            </w:pPr>
          </w:p>
        </w:tc>
        <w:tc>
          <w:tcPr>
            <w:tcW w:w="200" w:type="dxa"/>
            <w:vAlign w:val="bottom"/>
            <w:tcBorders>
              <w:bottom w:val="single" w:sz="8" w:color="auto"/>
            </w:tcBorders>
            <w:shd w:val="clear" w:color="auto" w:fill="F7F7F7"/>
          </w:tcPr>
          <w:p>
            <w:pPr>
              <w:jc w:val="right"/>
              <w:ind w:right="91"/>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780" w:hanging="126"/>
        <w:spacing w:after="0"/>
        <w:tabs>
          <w:tab w:leader="none" w:pos="780" w:val="left"/>
        </w:tabs>
        <w:numPr>
          <w:ilvl w:val="0"/>
          <w:numId w:val="39"/>
        </w:numPr>
        <w:rPr>
          <w:rFonts w:ascii="Arial" w:cs="Arial" w:eastAsia="Arial" w:hAnsi="Arial"/>
          <w:sz w:val="15"/>
          <w:szCs w:val="15"/>
          <w:color w:val="auto"/>
          <w:vertAlign w:val="superscript"/>
        </w:rPr>
      </w:pPr>
      <w:r>
        <w:rPr>
          <w:rFonts w:ascii="Arial" w:cs="Arial" w:eastAsia="Arial" w:hAnsi="Arial"/>
          <w:sz w:val="10"/>
          <w:szCs w:val="10"/>
          <w:color w:val="auto"/>
        </w:rPr>
        <w:t>Computed as the difference between the closing price of the underlying shares on the date of exercise and the exercise price of the options for Mr. Rawlinson, based on the following:</w:t>
      </w:r>
    </w:p>
    <w:p>
      <w:pPr>
        <w:spacing w:after="0" w:line="204"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940" w:type="dxa"/>
            <w:vAlign w:val="bottom"/>
            <w:shd w:val="clear" w:color="auto" w:fill="000000"/>
          </w:tcPr>
          <w:p>
            <w:pPr>
              <w:jc w:val="center"/>
              <w:ind w:right="693"/>
              <w:spacing w:after="0"/>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000000"/>
          </w:tcPr>
          <w:p>
            <w:pPr>
              <w:spacing w:after="0"/>
              <w:rPr>
                <w:sz w:val="13"/>
                <w:szCs w:val="13"/>
                <w:color w:val="auto"/>
              </w:rPr>
            </w:pPr>
          </w:p>
        </w:tc>
        <w:tc>
          <w:tcPr>
            <w:tcW w:w="52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120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000000"/>
          </w:tcPr>
          <w:p>
            <w:pPr>
              <w:spacing w:after="0"/>
              <w:rPr>
                <w:sz w:val="13"/>
                <w:szCs w:val="13"/>
                <w:color w:val="auto"/>
              </w:rPr>
            </w:pPr>
          </w:p>
        </w:tc>
        <w:tc>
          <w:tcPr>
            <w:tcW w:w="52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136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320" w:type="dxa"/>
            <w:vAlign w:val="bottom"/>
            <w:shd w:val="clear" w:color="auto" w:fill="000000"/>
          </w:tcPr>
          <w:p>
            <w:pPr>
              <w:spacing w:after="0"/>
              <w:rPr>
                <w:sz w:val="13"/>
                <w:szCs w:val="13"/>
                <w:color w:val="auto"/>
              </w:rPr>
            </w:pPr>
          </w:p>
        </w:tc>
        <w:tc>
          <w:tcPr>
            <w:tcW w:w="52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w:t>
            </w:r>
          </w:p>
        </w:tc>
        <w:tc>
          <w:tcPr>
            <w:tcW w:w="56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960" w:type="dxa"/>
            <w:vAlign w:val="bottom"/>
            <w:vMerge w:val="restart"/>
            <w:shd w:val="clear" w:color="auto" w:fill="000000"/>
          </w:tcPr>
          <w:p>
            <w:pPr>
              <w:jc w:val="center"/>
              <w:ind w:right="271"/>
              <w:spacing w:after="0"/>
              <w:rPr>
                <w:sz w:val="20"/>
                <w:szCs w:val="20"/>
                <w:color w:val="auto"/>
              </w:rPr>
            </w:pPr>
            <w:r>
              <w:rPr>
                <w:rFonts w:ascii="Arial" w:cs="Arial" w:eastAsia="Arial" w:hAnsi="Arial"/>
                <w:sz w:val="13"/>
                <w:szCs w:val="13"/>
                <w:b w:val="1"/>
                <w:bCs w:val="1"/>
                <w:color w:val="FEFEFE"/>
                <w:w w:val="96"/>
              </w:rPr>
              <w:t>Aggregate</w:t>
            </w:r>
          </w:p>
        </w:tc>
        <w:tc>
          <w:tcPr>
            <w:tcW w:w="26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540" w:type="dxa"/>
            <w:vAlign w:val="bottom"/>
            <w:shd w:val="clear" w:color="auto" w:fill="000000"/>
          </w:tcPr>
          <w:p>
            <w:pPr>
              <w:ind w:left="380"/>
              <w:spacing w:after="0"/>
              <w:rPr>
                <w:sz w:val="20"/>
                <w:szCs w:val="20"/>
                <w:color w:val="auto"/>
              </w:rPr>
            </w:pPr>
            <w:r>
              <w:rPr>
                <w:rFonts w:ascii="Arial" w:cs="Arial" w:eastAsia="Arial" w:hAnsi="Arial"/>
                <w:sz w:val="13"/>
                <w:szCs w:val="13"/>
                <w:b w:val="1"/>
                <w:bCs w:val="1"/>
                <w:color w:val="FEFEFE"/>
              </w:rPr>
              <w:t>​</w:t>
            </w:r>
          </w:p>
        </w:tc>
        <w:tc>
          <w:tcPr>
            <w:tcW w:w="900" w:type="dxa"/>
            <w:vAlign w:val="bottom"/>
            <w:vMerge w:val="restart"/>
            <w:shd w:val="clear" w:color="auto" w:fill="000000"/>
          </w:tcPr>
          <w:p>
            <w:pPr>
              <w:jc w:val="center"/>
              <w:ind w:left="133"/>
              <w:spacing w:after="0"/>
              <w:rPr>
                <w:sz w:val="20"/>
                <w:szCs w:val="20"/>
                <w:color w:val="auto"/>
              </w:rPr>
            </w:pPr>
            <w:r>
              <w:rPr>
                <w:rFonts w:ascii="Arial" w:cs="Arial" w:eastAsia="Arial" w:hAnsi="Arial"/>
                <w:sz w:val="13"/>
                <w:szCs w:val="13"/>
                <w:b w:val="1"/>
                <w:bCs w:val="1"/>
                <w:color w:val="FEFEFE"/>
                <w:w w:val="96"/>
              </w:rPr>
              <w:t>Aggregate</w:t>
            </w:r>
          </w:p>
        </w:tc>
        <w:tc>
          <w:tcPr>
            <w:tcW w:w="280" w:type="dxa"/>
            <w:vAlign w:val="bottom"/>
            <w:shd w:val="clear" w:color="auto" w:fill="000000"/>
          </w:tcPr>
          <w:p>
            <w:pPr>
              <w:ind w:left="18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1140" w:type="dxa"/>
            <w:vAlign w:val="bottom"/>
            <w:gridSpan w:val="2"/>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Date of Award</w:t>
            </w:r>
          </w:p>
        </w:tc>
        <w:tc>
          <w:tcPr>
            <w:tcW w:w="520" w:type="dxa"/>
            <w:vAlign w:val="bottom"/>
            <w:shd w:val="clear" w:color="auto" w:fill="000000"/>
          </w:tcPr>
          <w:p>
            <w:pPr>
              <w:spacing w:after="0"/>
              <w:rPr>
                <w:sz w:val="11"/>
                <w:szCs w:val="11"/>
                <w:color w:val="auto"/>
              </w:rPr>
            </w:pPr>
          </w:p>
        </w:tc>
        <w:tc>
          <w:tcPr>
            <w:tcW w:w="1200" w:type="dxa"/>
            <w:vAlign w:val="bottom"/>
            <w:shd w:val="clear" w:color="auto" w:fill="000000"/>
          </w:tcPr>
          <w:p>
            <w:pPr>
              <w:ind w:left="360"/>
              <w:spacing w:after="0" w:line="135" w:lineRule="exact"/>
              <w:rPr>
                <w:sz w:val="20"/>
                <w:szCs w:val="20"/>
                <w:color w:val="auto"/>
              </w:rPr>
            </w:pPr>
            <w:r>
              <w:rPr>
                <w:rFonts w:ascii="Arial" w:cs="Arial" w:eastAsia="Arial" w:hAnsi="Arial"/>
                <w:sz w:val="13"/>
                <w:szCs w:val="13"/>
                <w:b w:val="1"/>
                <w:bCs w:val="1"/>
                <w:color w:val="FEFEFE"/>
                <w:w w:val="96"/>
              </w:rPr>
              <w:t>Exercise Date</w:t>
            </w:r>
          </w:p>
        </w:tc>
        <w:tc>
          <w:tcPr>
            <w:tcW w:w="14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1680" w:type="dxa"/>
            <w:vAlign w:val="bottom"/>
            <w:gridSpan w:val="2"/>
            <w:shd w:val="clear" w:color="auto" w:fill="000000"/>
          </w:tcPr>
          <w:p>
            <w:pPr>
              <w:jc w:val="center"/>
              <w:ind w:left="153"/>
              <w:spacing w:after="0" w:line="135" w:lineRule="exact"/>
              <w:rPr>
                <w:sz w:val="20"/>
                <w:szCs w:val="20"/>
                <w:color w:val="auto"/>
              </w:rPr>
            </w:pPr>
            <w:r>
              <w:rPr>
                <w:rFonts w:ascii="Arial" w:cs="Arial" w:eastAsia="Arial" w:hAnsi="Arial"/>
                <w:sz w:val="13"/>
                <w:szCs w:val="13"/>
                <w:b w:val="1"/>
                <w:bCs w:val="1"/>
                <w:color w:val="FEFEFE"/>
                <w:w w:val="96"/>
              </w:rPr>
              <w:t>Number of Options</w:t>
            </w:r>
          </w:p>
        </w:tc>
        <w:tc>
          <w:tcPr>
            <w:tcW w:w="520" w:type="dxa"/>
            <w:vAlign w:val="bottom"/>
            <w:shd w:val="clear" w:color="auto" w:fill="000000"/>
          </w:tcPr>
          <w:p>
            <w:pPr>
              <w:spacing w:after="0"/>
              <w:rPr>
                <w:sz w:val="11"/>
                <w:szCs w:val="11"/>
                <w:color w:val="auto"/>
              </w:rPr>
            </w:pPr>
          </w:p>
        </w:tc>
        <w:tc>
          <w:tcPr>
            <w:tcW w:w="560" w:type="dxa"/>
            <w:vAlign w:val="bottom"/>
            <w:shd w:val="clear" w:color="auto" w:fill="000000"/>
          </w:tcPr>
          <w:p>
            <w:pPr>
              <w:spacing w:after="0"/>
              <w:rPr>
                <w:sz w:val="11"/>
                <w:szCs w:val="11"/>
                <w:color w:val="auto"/>
              </w:rPr>
            </w:pPr>
          </w:p>
        </w:tc>
        <w:tc>
          <w:tcPr>
            <w:tcW w:w="960" w:type="dxa"/>
            <w:vAlign w:val="bottom"/>
            <w:vMerge w:val="continue"/>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900" w:type="dxa"/>
            <w:vAlign w:val="bottom"/>
            <w:vMerge w:val="continue"/>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120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1360" w:type="dxa"/>
            <w:vAlign w:val="bottom"/>
            <w:shd w:val="clear" w:color="auto" w:fill="000000"/>
          </w:tcPr>
          <w:p>
            <w:pPr>
              <w:jc w:val="center"/>
              <w:ind w:left="473"/>
              <w:spacing w:after="0"/>
              <w:rPr>
                <w:sz w:val="20"/>
                <w:szCs w:val="20"/>
                <w:color w:val="auto"/>
              </w:rPr>
            </w:pPr>
            <w:r>
              <w:rPr>
                <w:rFonts w:ascii="Arial" w:cs="Arial" w:eastAsia="Arial" w:hAnsi="Arial"/>
                <w:sz w:val="13"/>
                <w:szCs w:val="13"/>
                <w:b w:val="1"/>
                <w:bCs w:val="1"/>
                <w:color w:val="FEFEFE"/>
                <w:w w:val="94"/>
              </w:rPr>
              <w:t>Exercised</w:t>
            </w:r>
          </w:p>
        </w:tc>
        <w:tc>
          <w:tcPr>
            <w:tcW w:w="32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1520" w:type="dxa"/>
            <w:vAlign w:val="bottom"/>
            <w:gridSpan w:val="2"/>
            <w:shd w:val="clear" w:color="auto" w:fill="000000"/>
          </w:tcPr>
          <w:p>
            <w:pPr>
              <w:jc w:val="center"/>
              <w:ind w:left="173"/>
              <w:spacing w:after="0"/>
              <w:rPr>
                <w:sz w:val="20"/>
                <w:szCs w:val="20"/>
                <w:color w:val="auto"/>
              </w:rPr>
            </w:pPr>
            <w:r>
              <w:rPr>
                <w:rFonts w:ascii="Arial" w:cs="Arial" w:eastAsia="Arial" w:hAnsi="Arial"/>
                <w:sz w:val="13"/>
                <w:szCs w:val="13"/>
                <w:b w:val="1"/>
                <w:bCs w:val="1"/>
                <w:color w:val="FEFEFE"/>
                <w:w w:val="97"/>
              </w:rPr>
              <w:t>Closing Price on</w:t>
            </w:r>
          </w:p>
        </w:tc>
        <w:tc>
          <w:tcPr>
            <w:tcW w:w="260" w:type="dxa"/>
            <w:vAlign w:val="bottom"/>
            <w:shd w:val="clear" w:color="auto" w:fill="000000"/>
          </w:tcPr>
          <w:p>
            <w:pPr>
              <w:spacing w:after="0"/>
              <w:rPr>
                <w:sz w:val="12"/>
                <w:szCs w:val="12"/>
                <w:color w:val="auto"/>
              </w:rPr>
            </w:pPr>
          </w:p>
        </w:tc>
        <w:tc>
          <w:tcPr>
            <w:tcW w:w="540" w:type="dxa"/>
            <w:vAlign w:val="bottom"/>
            <w:shd w:val="clear" w:color="auto" w:fill="000000"/>
          </w:tcPr>
          <w:p>
            <w:pPr>
              <w:spacing w:after="0"/>
              <w:rPr>
                <w:sz w:val="12"/>
                <w:szCs w:val="12"/>
                <w:color w:val="auto"/>
              </w:rPr>
            </w:pPr>
          </w:p>
        </w:tc>
        <w:tc>
          <w:tcPr>
            <w:tcW w:w="1180" w:type="dxa"/>
            <w:vAlign w:val="bottom"/>
            <w:gridSpan w:val="2"/>
            <w:shd w:val="clear" w:color="auto" w:fill="000000"/>
          </w:tcPr>
          <w:p>
            <w:pPr>
              <w:jc w:val="center"/>
              <w:ind w:right="13"/>
              <w:spacing w:after="0"/>
              <w:rPr>
                <w:sz w:val="20"/>
                <w:szCs w:val="20"/>
                <w:color w:val="auto"/>
              </w:rPr>
            </w:pPr>
            <w:r>
              <w:rPr>
                <w:rFonts w:ascii="Arial" w:cs="Arial" w:eastAsia="Arial" w:hAnsi="Arial"/>
                <w:sz w:val="13"/>
                <w:szCs w:val="13"/>
                <w:b w:val="1"/>
                <w:bCs w:val="1"/>
                <w:color w:val="FEFEFE"/>
                <w:w w:val="96"/>
              </w:rPr>
              <w:t>Exercise Price</w:t>
            </w:r>
          </w:p>
        </w:tc>
        <w:tc>
          <w:tcPr>
            <w:tcW w:w="0" w:type="dxa"/>
            <w:vAlign w:val="bottom"/>
          </w:tcPr>
          <w:p>
            <w:pPr>
              <w:spacing w:after="0"/>
              <w:rPr>
                <w:sz w:val="1"/>
                <w:szCs w:val="1"/>
                <w:color w:val="auto"/>
              </w:rPr>
            </w:pPr>
          </w:p>
        </w:tc>
      </w:tr>
      <w:tr>
        <w:trPr>
          <w:trHeight w:val="172"/>
        </w:trPr>
        <w:tc>
          <w:tcPr>
            <w:tcW w:w="94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120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1360" w:type="dxa"/>
            <w:vAlign w:val="bottom"/>
            <w:shd w:val="clear" w:color="auto" w:fill="000000"/>
          </w:tcPr>
          <w:p>
            <w:pPr>
              <w:spacing w:after="0"/>
              <w:rPr>
                <w:sz w:val="14"/>
                <w:szCs w:val="14"/>
                <w:color w:val="auto"/>
              </w:rPr>
            </w:pPr>
          </w:p>
        </w:tc>
        <w:tc>
          <w:tcPr>
            <w:tcW w:w="32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1520" w:type="dxa"/>
            <w:vAlign w:val="bottom"/>
            <w:gridSpan w:val="2"/>
            <w:shd w:val="clear" w:color="auto" w:fill="000000"/>
          </w:tcPr>
          <w:p>
            <w:pPr>
              <w:ind w:left="460"/>
              <w:spacing w:after="0"/>
              <w:rPr>
                <w:sz w:val="20"/>
                <w:szCs w:val="20"/>
                <w:color w:val="auto"/>
              </w:rPr>
            </w:pPr>
            <w:r>
              <w:rPr>
                <w:rFonts w:ascii="Arial" w:cs="Arial" w:eastAsia="Arial" w:hAnsi="Arial"/>
                <w:sz w:val="13"/>
                <w:szCs w:val="13"/>
                <w:b w:val="1"/>
                <w:bCs w:val="1"/>
                <w:color w:val="FEFEFE"/>
              </w:rPr>
              <w:t>Exercise Date</w:t>
            </w:r>
          </w:p>
        </w:tc>
        <w:tc>
          <w:tcPr>
            <w:tcW w:w="260" w:type="dxa"/>
            <w:vAlign w:val="bottom"/>
            <w:shd w:val="clear" w:color="auto" w:fill="000000"/>
          </w:tcPr>
          <w:p>
            <w:pPr>
              <w:spacing w:after="0"/>
              <w:rPr>
                <w:sz w:val="14"/>
                <w:szCs w:val="14"/>
                <w:color w:val="auto"/>
              </w:rPr>
            </w:pPr>
          </w:p>
        </w:tc>
        <w:tc>
          <w:tcPr>
            <w:tcW w:w="540" w:type="dxa"/>
            <w:vAlign w:val="bottom"/>
            <w:shd w:val="clear" w:color="auto" w:fill="000000"/>
          </w:tcPr>
          <w:p>
            <w:pPr>
              <w:spacing w:after="0"/>
              <w:rPr>
                <w:sz w:val="14"/>
                <w:szCs w:val="14"/>
                <w:color w:val="auto"/>
              </w:rPr>
            </w:pPr>
          </w:p>
        </w:tc>
        <w:tc>
          <w:tcPr>
            <w:tcW w:w="900" w:type="dxa"/>
            <w:vAlign w:val="bottom"/>
            <w:shd w:val="clear" w:color="auto" w:fill="000000"/>
          </w:tcPr>
          <w:p>
            <w:pPr>
              <w:spacing w:after="0"/>
              <w:rPr>
                <w:sz w:val="14"/>
                <w:szCs w:val="14"/>
                <w:color w:val="auto"/>
              </w:rPr>
            </w:pPr>
          </w:p>
        </w:tc>
        <w:tc>
          <w:tcPr>
            <w:tcW w:w="2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94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120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136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560" w:type="dxa"/>
            <w:vAlign w:val="bottom"/>
            <w:shd w:val="clear" w:color="auto" w:fill="000000"/>
          </w:tcPr>
          <w:p>
            <w:pPr>
              <w:spacing w:after="0"/>
              <w:rPr>
                <w:sz w:val="11"/>
                <w:szCs w:val="11"/>
                <w:color w:val="auto"/>
              </w:rPr>
            </w:pPr>
          </w:p>
        </w:tc>
        <w:tc>
          <w:tcPr>
            <w:tcW w:w="96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90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940" w:type="dxa"/>
            <w:vAlign w:val="bottom"/>
          </w:tcPr>
          <w:p>
            <w:pPr>
              <w:ind w:left="160"/>
              <w:spacing w:after="0"/>
              <w:rPr>
                <w:sz w:val="20"/>
                <w:szCs w:val="20"/>
                <w:color w:val="auto"/>
              </w:rPr>
            </w:pPr>
            <w:r>
              <w:rPr>
                <w:rFonts w:ascii="Arial" w:cs="Arial" w:eastAsia="Arial" w:hAnsi="Arial"/>
                <w:sz w:val="14"/>
                <w:szCs w:val="14"/>
                <w:color w:val="auto"/>
              </w:rPr>
              <w:t>​ 4/17/2015</w:t>
            </w:r>
          </w:p>
        </w:tc>
        <w:tc>
          <w:tcPr>
            <w:tcW w:w="2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1200" w:type="dxa"/>
            <w:vAlign w:val="bottom"/>
          </w:tcPr>
          <w:p>
            <w:pPr>
              <w:ind w:left="380"/>
              <w:spacing w:after="0"/>
              <w:rPr>
                <w:sz w:val="20"/>
                <w:szCs w:val="20"/>
                <w:color w:val="auto"/>
              </w:rPr>
            </w:pPr>
            <w:r>
              <w:rPr>
                <w:rFonts w:ascii="Arial" w:cs="Arial" w:eastAsia="Arial" w:hAnsi="Arial"/>
                <w:sz w:val="14"/>
                <w:szCs w:val="14"/>
                <w:color w:val="auto"/>
              </w:rPr>
              <w:t>​ 12/29/2022</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1360" w:type="dxa"/>
            <w:vAlign w:val="bottom"/>
          </w:tcPr>
          <w:p>
            <w:pPr>
              <w:jc w:val="center"/>
              <w:ind w:left="473"/>
              <w:spacing w:after="0"/>
              <w:rPr>
                <w:sz w:val="20"/>
                <w:szCs w:val="20"/>
                <w:color w:val="auto"/>
              </w:rPr>
            </w:pPr>
            <w:r>
              <w:rPr>
                <w:rFonts w:ascii="Arial" w:cs="Arial" w:eastAsia="Arial" w:hAnsi="Arial"/>
                <w:sz w:val="14"/>
                <w:szCs w:val="14"/>
                <w:color w:val="auto"/>
              </w:rPr>
              <w:t>​869,570</w:t>
            </w:r>
          </w:p>
        </w:tc>
        <w:tc>
          <w:tcPr>
            <w:tcW w:w="3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560" w:type="dxa"/>
            <w:vAlign w:val="bottom"/>
          </w:tcPr>
          <w:p>
            <w:pPr>
              <w:ind w:left="48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91"/>
              <w:spacing w:after="0"/>
              <w:rPr>
                <w:sz w:val="20"/>
                <w:szCs w:val="20"/>
                <w:color w:val="auto"/>
              </w:rPr>
            </w:pPr>
            <w:r>
              <w:rPr>
                <w:rFonts w:ascii="Arial" w:cs="Arial" w:eastAsia="Arial" w:hAnsi="Arial"/>
                <w:sz w:val="14"/>
                <w:szCs w:val="14"/>
                <w:color w:val="auto"/>
              </w:rPr>
              <w:t>5,826,119</w:t>
            </w:r>
          </w:p>
        </w:tc>
        <w:tc>
          <w:tcPr>
            <w:tcW w:w="260" w:type="dxa"/>
            <w:vAlign w:val="bottom"/>
          </w:tcPr>
          <w:p>
            <w:pPr>
              <w:spacing w:after="0"/>
              <w:rPr>
                <w:sz w:val="23"/>
                <w:szCs w:val="23"/>
                <w:color w:val="auto"/>
              </w:rPr>
            </w:pPr>
          </w:p>
        </w:tc>
        <w:tc>
          <w:tcPr>
            <w:tcW w:w="54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left="93"/>
              <w:spacing w:after="0"/>
              <w:rPr>
                <w:sz w:val="20"/>
                <w:szCs w:val="20"/>
                <w:color w:val="auto"/>
              </w:rPr>
            </w:pPr>
            <w:r>
              <w:rPr>
                <w:rFonts w:ascii="Arial" w:cs="Arial" w:eastAsia="Arial" w:hAnsi="Arial"/>
                <w:sz w:val="14"/>
                <w:szCs w:val="14"/>
                <w:color w:val="auto"/>
              </w:rPr>
              <w:t>$ 321,741</w:t>
            </w:r>
          </w:p>
        </w:tc>
        <w:tc>
          <w:tcPr>
            <w:tcW w:w="28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jc w:val="center"/>
              <w:ind w:right="693"/>
              <w:spacing w:after="0"/>
              <w:rPr>
                <w:sz w:val="20"/>
                <w:szCs w:val="20"/>
                <w:color w:val="auto"/>
              </w:rPr>
            </w:pPr>
            <w:r>
              <w:rPr>
                <w:rFonts w:ascii="Arial" w:cs="Arial" w:eastAsia="Arial" w:hAnsi="Arial"/>
                <w:sz w:val="14"/>
                <w:szCs w:val="14"/>
                <w:color w:val="auto"/>
              </w:rPr>
              <w:t>​  ​</w:t>
            </w:r>
          </w:p>
        </w:tc>
        <w:tc>
          <w:tcPr>
            <w:tcW w:w="2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36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780" w:right="80" w:hanging="126"/>
        <w:spacing w:after="0" w:line="231" w:lineRule="auto"/>
        <w:tabs>
          <w:tab w:leader="none" w:pos="780" w:val="left"/>
        </w:tabs>
        <w:numPr>
          <w:ilvl w:val="0"/>
          <w:numId w:val="40"/>
        </w:numPr>
        <w:rPr>
          <w:rFonts w:ascii="Arial" w:cs="Arial" w:eastAsia="Arial" w:hAnsi="Arial"/>
          <w:sz w:val="15"/>
          <w:szCs w:val="15"/>
          <w:color w:val="auto"/>
          <w:vertAlign w:val="superscript"/>
        </w:rPr>
      </w:pPr>
      <w:r>
        <w:rPr>
          <w:rFonts w:ascii="Arial" w:cs="Arial" w:eastAsia="Arial" w:hAnsi="Arial"/>
          <w:sz w:val="10"/>
          <w:szCs w:val="10"/>
          <w:color w:val="auto"/>
        </w:rPr>
        <w:t>Computed as the aggregate dollar amount realized upon the vesting of CEO Time-Based RSUs and CEO Performance RSUs, determined by multiplying the number of units that vested as of the applicable vesting date by the closing price of our Common Stock on the trading day prior to the applicable vesting date, as follows:</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2"/>
                <w:szCs w:val="12"/>
                <w:color w:val="auto"/>
              </w:rPr>
            </w:pPr>
          </w:p>
        </w:tc>
        <w:tc>
          <w:tcPr>
            <w:tcW w:w="272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ind w:left="80"/>
              <w:spacing w:after="0"/>
              <w:rPr>
                <w:sz w:val="20"/>
                <w:szCs w:val="20"/>
                <w:color w:val="auto"/>
              </w:rPr>
            </w:pPr>
            <w:r>
              <w:rPr>
                <w:rFonts w:ascii="Arial" w:cs="Arial" w:eastAsia="Arial" w:hAnsi="Arial"/>
                <w:sz w:val="13"/>
                <w:szCs w:val="13"/>
                <w:b w:val="1"/>
                <w:bCs w:val="1"/>
                <w:color w:val="FEFEFE"/>
              </w:rPr>
              <w:t>​</w:t>
            </w:r>
          </w:p>
        </w:tc>
        <w:tc>
          <w:tcPr>
            <w:tcW w:w="280" w:type="dxa"/>
            <w:vAlign w:val="bottom"/>
            <w:shd w:val="clear" w:color="auto" w:fill="000000"/>
          </w:tcPr>
          <w:p>
            <w:pPr>
              <w:ind w:left="180"/>
              <w:spacing w:after="0"/>
              <w:rPr>
                <w:sz w:val="20"/>
                <w:szCs w:val="20"/>
                <w:color w:val="auto"/>
              </w:rPr>
            </w:pPr>
            <w:r>
              <w:rPr>
                <w:rFonts w:ascii="Arial" w:cs="Arial" w:eastAsia="Arial" w:hAnsi="Arial"/>
                <w:sz w:val="13"/>
                <w:szCs w:val="13"/>
                <w:b w:val="1"/>
                <w:bCs w:val="1"/>
                <w:color w:val="FEFEFE"/>
              </w:rPr>
              <w:t>​</w:t>
            </w:r>
          </w:p>
        </w:tc>
        <w:tc>
          <w:tcPr>
            <w:tcW w:w="1180" w:type="dxa"/>
            <w:vAlign w:val="bottom"/>
            <w:shd w:val="clear" w:color="auto" w:fill="000000"/>
          </w:tcPr>
          <w:p>
            <w:pPr>
              <w:ind w:left="1080"/>
              <w:spacing w:after="0"/>
              <w:rPr>
                <w:sz w:val="20"/>
                <w:szCs w:val="20"/>
                <w:color w:val="auto"/>
              </w:rPr>
            </w:pPr>
            <w:r>
              <w:rPr>
                <w:rFonts w:ascii="Arial" w:cs="Arial" w:eastAsia="Arial" w:hAnsi="Arial"/>
                <w:sz w:val="13"/>
                <w:szCs w:val="13"/>
                <w:b w:val="1"/>
                <w:bCs w:val="1"/>
                <w:color w:val="FEFEFE"/>
              </w:rPr>
              <w:t>​</w:t>
            </w:r>
          </w:p>
        </w:tc>
        <w:tc>
          <w:tcPr>
            <w:tcW w:w="360" w:type="dxa"/>
            <w:vAlign w:val="bottom"/>
            <w:shd w:val="clear" w:color="auto" w:fill="000000"/>
          </w:tcPr>
          <w:p>
            <w:pPr>
              <w:ind w:left="260"/>
              <w:spacing w:after="0"/>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000000"/>
          </w:tcPr>
          <w:p>
            <w:pPr>
              <w:spacing w:after="0"/>
              <w:rPr>
                <w:sz w:val="12"/>
                <w:szCs w:val="12"/>
                <w:color w:val="auto"/>
              </w:rPr>
            </w:pPr>
          </w:p>
        </w:tc>
        <w:tc>
          <w:tcPr>
            <w:tcW w:w="10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380" w:type="dxa"/>
            <w:vAlign w:val="bottom"/>
            <w:shd w:val="clear" w:color="auto" w:fill="000000"/>
          </w:tcPr>
          <w:p>
            <w:pPr>
              <w:ind w:left="260"/>
              <w:spacing w:after="0"/>
              <w:rPr>
                <w:sz w:val="20"/>
                <w:szCs w:val="20"/>
                <w:color w:val="auto"/>
              </w:rPr>
            </w:pPr>
            <w:r>
              <w:rPr>
                <w:rFonts w:ascii="Arial" w:cs="Arial" w:eastAsia="Arial" w:hAnsi="Arial"/>
                <w:sz w:val="13"/>
                <w:szCs w:val="13"/>
                <w:b w:val="1"/>
                <w:bCs w:val="1"/>
                <w:color w:val="FEFEFE"/>
              </w:rPr>
              <w:t>​</w:t>
            </w:r>
          </w:p>
        </w:tc>
        <w:tc>
          <w:tcPr>
            <w:tcW w:w="800" w:type="dxa"/>
            <w:vAlign w:val="bottom"/>
            <w:shd w:val="clear" w:color="auto" w:fill="000000"/>
          </w:tcPr>
          <w:p>
            <w:pPr>
              <w:spacing w:after="0"/>
              <w:rPr>
                <w:sz w:val="12"/>
                <w:szCs w:val="12"/>
                <w:color w:val="auto"/>
              </w:rPr>
            </w:pPr>
          </w:p>
        </w:tc>
        <w:tc>
          <w:tcPr>
            <w:tcW w:w="360" w:type="dxa"/>
            <w:vAlign w:val="bottom"/>
            <w:shd w:val="clear" w:color="auto" w:fill="000000"/>
          </w:tcPr>
          <w:p>
            <w:pPr>
              <w:ind w:left="260"/>
              <w:spacing w:after="0"/>
              <w:rPr>
                <w:sz w:val="20"/>
                <w:szCs w:val="20"/>
                <w:color w:val="auto"/>
              </w:rPr>
            </w:pPr>
            <w:r>
              <w:rPr>
                <w:rFonts w:ascii="Arial" w:cs="Arial" w:eastAsia="Arial" w:hAnsi="Arial"/>
                <w:sz w:val="13"/>
                <w:szCs w:val="13"/>
                <w:b w:val="1"/>
                <w:bCs w:val="1"/>
                <w:color w:val="FEFEFE"/>
              </w:rPr>
              <w:t>​</w:t>
            </w:r>
          </w:p>
        </w:tc>
        <w:tc>
          <w:tcPr>
            <w:tcW w:w="360" w:type="dxa"/>
            <w:vAlign w:val="bottom"/>
            <w:shd w:val="clear" w:color="auto" w:fill="000000"/>
          </w:tcPr>
          <w:p>
            <w:pPr>
              <w:ind w:left="260"/>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000000"/>
          </w:tcPr>
          <w:p>
            <w:pPr>
              <w:spacing w:after="0"/>
              <w:rPr>
                <w:sz w:val="12"/>
                <w:szCs w:val="12"/>
                <w:color w:val="auto"/>
              </w:rPr>
            </w:pPr>
          </w:p>
        </w:tc>
        <w:tc>
          <w:tcPr>
            <w:tcW w:w="10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r>
      <w:tr>
        <w:trPr>
          <w:trHeight w:val="148"/>
        </w:trPr>
        <w:tc>
          <w:tcPr>
            <w:tcW w:w="60" w:type="dxa"/>
            <w:vAlign w:val="bottom"/>
            <w:shd w:val="clear" w:color="auto" w:fill="000000"/>
          </w:tcPr>
          <w:p>
            <w:pPr>
              <w:spacing w:after="0"/>
              <w:rPr>
                <w:sz w:val="12"/>
                <w:szCs w:val="12"/>
                <w:color w:val="auto"/>
              </w:rPr>
            </w:pPr>
          </w:p>
        </w:tc>
        <w:tc>
          <w:tcPr>
            <w:tcW w:w="272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Date of Award</w:t>
            </w:r>
          </w:p>
        </w:tc>
        <w:tc>
          <w:tcPr>
            <w:tcW w:w="2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118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Vesting Date</w:t>
            </w:r>
          </w:p>
        </w:tc>
        <w:tc>
          <w:tcPr>
            <w:tcW w:w="36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020" w:type="dxa"/>
            <w:vAlign w:val="bottom"/>
            <w:shd w:val="clear" w:color="auto" w:fill="000000"/>
          </w:tcPr>
          <w:p>
            <w:pPr>
              <w:jc w:val="center"/>
              <w:ind w:right="273"/>
              <w:spacing w:after="0"/>
              <w:rPr>
                <w:sz w:val="20"/>
                <w:szCs w:val="20"/>
                <w:color w:val="auto"/>
              </w:rPr>
            </w:pPr>
            <w:r>
              <w:rPr>
                <w:rFonts w:ascii="Arial" w:cs="Arial" w:eastAsia="Arial" w:hAnsi="Arial"/>
                <w:sz w:val="13"/>
                <w:szCs w:val="13"/>
                <w:b w:val="1"/>
                <w:bCs w:val="1"/>
                <w:color w:val="FEFEFE"/>
                <w:w w:val="98"/>
              </w:rPr>
              <w:t>Number of</w:t>
            </w:r>
          </w:p>
        </w:tc>
        <w:tc>
          <w:tcPr>
            <w:tcW w:w="380" w:type="dxa"/>
            <w:vAlign w:val="bottom"/>
            <w:shd w:val="clear" w:color="auto" w:fill="000000"/>
          </w:tcPr>
          <w:p>
            <w:pPr>
              <w:spacing w:after="0"/>
              <w:rPr>
                <w:sz w:val="12"/>
                <w:szCs w:val="12"/>
                <w:color w:val="auto"/>
              </w:rPr>
            </w:pPr>
          </w:p>
        </w:tc>
        <w:tc>
          <w:tcPr>
            <w:tcW w:w="1160" w:type="dxa"/>
            <w:vAlign w:val="bottom"/>
            <w:gridSpan w:val="2"/>
            <w:shd w:val="clear" w:color="auto" w:fill="000000"/>
          </w:tcPr>
          <w:p>
            <w:pPr>
              <w:jc w:val="center"/>
              <w:ind w:right="150"/>
              <w:spacing w:after="0"/>
              <w:rPr>
                <w:sz w:val="20"/>
                <w:szCs w:val="20"/>
                <w:color w:val="auto"/>
              </w:rPr>
            </w:pPr>
            <w:r>
              <w:rPr>
                <w:rFonts w:ascii="Arial" w:cs="Arial" w:eastAsia="Arial" w:hAnsi="Arial"/>
                <w:sz w:val="13"/>
                <w:szCs w:val="13"/>
                <w:b w:val="1"/>
                <w:bCs w:val="1"/>
                <w:color w:val="FEFEFE"/>
                <w:w w:val="95"/>
              </w:rPr>
              <w:t>Market Price</w:t>
            </w:r>
          </w:p>
        </w:tc>
        <w:tc>
          <w:tcPr>
            <w:tcW w:w="36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1080" w:type="dxa"/>
            <w:vAlign w:val="bottom"/>
            <w:shd w:val="clear" w:color="auto" w:fill="000000"/>
          </w:tcPr>
          <w:p>
            <w:pPr>
              <w:jc w:val="center"/>
              <w:ind w:right="272"/>
              <w:spacing w:after="0"/>
              <w:rPr>
                <w:sz w:val="20"/>
                <w:szCs w:val="20"/>
                <w:color w:val="auto"/>
              </w:rPr>
            </w:pPr>
            <w:r>
              <w:rPr>
                <w:rFonts w:ascii="Arial" w:cs="Arial" w:eastAsia="Arial" w:hAnsi="Arial"/>
                <w:sz w:val="13"/>
                <w:szCs w:val="13"/>
                <w:b w:val="1"/>
                <w:bCs w:val="1"/>
                <w:color w:val="FEFEFE"/>
                <w:w w:val="97"/>
              </w:rPr>
              <w:t>Value</w:t>
            </w:r>
          </w:p>
        </w:tc>
      </w:tr>
      <w:tr>
        <w:trPr>
          <w:trHeight w:val="148"/>
        </w:trPr>
        <w:tc>
          <w:tcPr>
            <w:tcW w:w="60" w:type="dxa"/>
            <w:vAlign w:val="bottom"/>
            <w:shd w:val="clear" w:color="auto" w:fill="000000"/>
          </w:tcPr>
          <w:p>
            <w:pPr>
              <w:spacing w:after="0"/>
              <w:rPr>
                <w:sz w:val="12"/>
                <w:szCs w:val="12"/>
                <w:color w:val="auto"/>
              </w:rPr>
            </w:pPr>
          </w:p>
        </w:tc>
        <w:tc>
          <w:tcPr>
            <w:tcW w:w="272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118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020" w:type="dxa"/>
            <w:vAlign w:val="bottom"/>
            <w:shd w:val="clear" w:color="auto" w:fill="000000"/>
          </w:tcPr>
          <w:p>
            <w:pPr>
              <w:jc w:val="center"/>
              <w:ind w:right="293"/>
              <w:spacing w:after="0"/>
              <w:rPr>
                <w:sz w:val="20"/>
                <w:szCs w:val="20"/>
                <w:color w:val="auto"/>
              </w:rPr>
            </w:pPr>
            <w:r>
              <w:rPr>
                <w:rFonts w:ascii="Arial" w:cs="Arial" w:eastAsia="Arial" w:hAnsi="Arial"/>
                <w:sz w:val="13"/>
                <w:szCs w:val="13"/>
                <w:b w:val="1"/>
                <w:bCs w:val="1"/>
                <w:color w:val="FEFEFE"/>
                <w:w w:val="96"/>
              </w:rPr>
              <w:t>Shares</w:t>
            </w:r>
          </w:p>
        </w:tc>
        <w:tc>
          <w:tcPr>
            <w:tcW w:w="380" w:type="dxa"/>
            <w:vAlign w:val="bottom"/>
            <w:shd w:val="clear" w:color="auto" w:fill="000000"/>
          </w:tcPr>
          <w:p>
            <w:pPr>
              <w:spacing w:after="0"/>
              <w:rPr>
                <w:sz w:val="12"/>
                <w:szCs w:val="12"/>
                <w:color w:val="auto"/>
              </w:rPr>
            </w:pPr>
          </w:p>
        </w:tc>
        <w:tc>
          <w:tcPr>
            <w:tcW w:w="800" w:type="dxa"/>
            <w:vAlign w:val="bottom"/>
            <w:shd w:val="clear" w:color="auto" w:fill="000000"/>
          </w:tcPr>
          <w:p>
            <w:pPr>
              <w:jc w:val="center"/>
              <w:ind w:left="71"/>
              <w:spacing w:after="0"/>
              <w:rPr>
                <w:sz w:val="20"/>
                <w:szCs w:val="20"/>
                <w:color w:val="auto"/>
              </w:rPr>
            </w:pPr>
            <w:r>
              <w:rPr>
                <w:rFonts w:ascii="Arial" w:cs="Arial" w:eastAsia="Arial" w:hAnsi="Arial"/>
                <w:sz w:val="13"/>
                <w:szCs w:val="13"/>
                <w:b w:val="1"/>
                <w:bCs w:val="1"/>
                <w:color w:val="FEFEFE"/>
                <w:w w:val="93"/>
              </w:rPr>
              <w:t>at Vesting</w:t>
            </w:r>
          </w:p>
        </w:tc>
        <w:tc>
          <w:tcPr>
            <w:tcW w:w="36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1080" w:type="dxa"/>
            <w:vAlign w:val="bottom"/>
            <w:shd w:val="clear" w:color="auto" w:fill="000000"/>
          </w:tcPr>
          <w:p>
            <w:pPr>
              <w:jc w:val="center"/>
              <w:ind w:right="272"/>
              <w:spacing w:after="0"/>
              <w:rPr>
                <w:sz w:val="20"/>
                <w:szCs w:val="20"/>
                <w:color w:val="auto"/>
              </w:rPr>
            </w:pPr>
            <w:r>
              <w:rPr>
                <w:rFonts w:ascii="Arial" w:cs="Arial" w:eastAsia="Arial" w:hAnsi="Arial"/>
                <w:sz w:val="13"/>
                <w:szCs w:val="13"/>
                <w:b w:val="1"/>
                <w:bCs w:val="1"/>
                <w:color w:val="FEFEFE"/>
                <w:w w:val="94"/>
              </w:rPr>
              <w:t>Realized</w:t>
            </w:r>
          </w:p>
        </w:tc>
      </w:tr>
      <w:tr>
        <w:trPr>
          <w:trHeight w:val="135"/>
        </w:trPr>
        <w:tc>
          <w:tcPr>
            <w:tcW w:w="60" w:type="dxa"/>
            <w:vAlign w:val="bottom"/>
            <w:shd w:val="clear" w:color="auto" w:fill="000000"/>
          </w:tcPr>
          <w:p>
            <w:pPr>
              <w:spacing w:after="0"/>
              <w:rPr>
                <w:sz w:val="11"/>
                <w:szCs w:val="11"/>
                <w:color w:val="auto"/>
              </w:rPr>
            </w:pPr>
          </w:p>
        </w:tc>
        <w:tc>
          <w:tcPr>
            <w:tcW w:w="272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118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1160" w:type="dxa"/>
            <w:vAlign w:val="bottom"/>
            <w:gridSpan w:val="2"/>
            <w:shd w:val="clear" w:color="auto" w:fill="000000"/>
          </w:tcPr>
          <w:p>
            <w:pPr>
              <w:jc w:val="center"/>
              <w:ind w:right="153"/>
              <w:spacing w:after="0" w:line="135" w:lineRule="exact"/>
              <w:rPr>
                <w:sz w:val="20"/>
                <w:szCs w:val="20"/>
                <w:color w:val="auto"/>
              </w:rPr>
            </w:pPr>
            <w:r>
              <w:rPr>
                <w:rFonts w:ascii="Arial" w:cs="Arial" w:eastAsia="Arial" w:hAnsi="Arial"/>
                <w:sz w:val="13"/>
                <w:szCs w:val="13"/>
                <w:b w:val="1"/>
                <w:bCs w:val="1"/>
                <w:color w:val="FEFEFE"/>
                <w:w w:val="97"/>
              </w:rPr>
              <w:t>Acquired on</w:t>
            </w:r>
          </w:p>
        </w:tc>
        <w:tc>
          <w:tcPr>
            <w:tcW w:w="38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1080" w:type="dxa"/>
            <w:vAlign w:val="bottom"/>
            <w:shd w:val="clear" w:color="auto" w:fill="000000"/>
          </w:tcPr>
          <w:p>
            <w:pPr>
              <w:jc w:val="center"/>
              <w:ind w:right="292"/>
              <w:spacing w:after="0" w:line="135" w:lineRule="exact"/>
              <w:rPr>
                <w:sz w:val="20"/>
                <w:szCs w:val="20"/>
                <w:color w:val="auto"/>
              </w:rPr>
            </w:pPr>
            <w:r>
              <w:rPr>
                <w:rFonts w:ascii="Arial" w:cs="Arial" w:eastAsia="Arial" w:hAnsi="Arial"/>
                <w:sz w:val="13"/>
                <w:szCs w:val="13"/>
                <w:b w:val="1"/>
                <w:bCs w:val="1"/>
                <w:color w:val="FEFEFE"/>
                <w:w w:val="96"/>
              </w:rPr>
              <w:t>on Vesting</w:t>
            </w:r>
          </w:p>
        </w:tc>
      </w:tr>
      <w:tr>
        <w:trPr>
          <w:trHeight w:val="172"/>
        </w:trPr>
        <w:tc>
          <w:tcPr>
            <w:tcW w:w="60" w:type="dxa"/>
            <w:vAlign w:val="bottom"/>
            <w:shd w:val="clear" w:color="auto" w:fill="000000"/>
          </w:tcPr>
          <w:p>
            <w:pPr>
              <w:spacing w:after="0"/>
              <w:rPr>
                <w:sz w:val="14"/>
                <w:szCs w:val="14"/>
                <w:color w:val="auto"/>
              </w:rPr>
            </w:pPr>
          </w:p>
        </w:tc>
        <w:tc>
          <w:tcPr>
            <w:tcW w:w="272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280" w:type="dxa"/>
            <w:vAlign w:val="bottom"/>
            <w:shd w:val="clear" w:color="auto" w:fill="000000"/>
          </w:tcPr>
          <w:p>
            <w:pPr>
              <w:spacing w:after="0"/>
              <w:rPr>
                <w:sz w:val="14"/>
                <w:szCs w:val="14"/>
                <w:color w:val="auto"/>
              </w:rPr>
            </w:pPr>
          </w:p>
        </w:tc>
        <w:tc>
          <w:tcPr>
            <w:tcW w:w="1180" w:type="dxa"/>
            <w:vAlign w:val="bottom"/>
            <w:shd w:val="clear" w:color="auto" w:fill="000000"/>
          </w:tcPr>
          <w:p>
            <w:pPr>
              <w:spacing w:after="0"/>
              <w:rPr>
                <w:sz w:val="14"/>
                <w:szCs w:val="14"/>
                <w:color w:val="auto"/>
              </w:rPr>
            </w:pPr>
          </w:p>
        </w:tc>
        <w:tc>
          <w:tcPr>
            <w:tcW w:w="36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020" w:type="dxa"/>
            <w:vAlign w:val="bottom"/>
            <w:shd w:val="clear" w:color="auto" w:fill="000000"/>
          </w:tcPr>
          <w:p>
            <w:pPr>
              <w:jc w:val="center"/>
              <w:ind w:right="273"/>
              <w:spacing w:after="0"/>
              <w:rPr>
                <w:sz w:val="20"/>
                <w:szCs w:val="20"/>
                <w:color w:val="auto"/>
              </w:rPr>
            </w:pPr>
            <w:r>
              <w:rPr>
                <w:rFonts w:ascii="Arial" w:cs="Arial" w:eastAsia="Arial" w:hAnsi="Arial"/>
                <w:sz w:val="13"/>
                <w:szCs w:val="13"/>
                <w:b w:val="1"/>
                <w:bCs w:val="1"/>
                <w:color w:val="FEFEFE"/>
                <w:w w:val="93"/>
              </w:rPr>
              <w:t>Vesting</w:t>
            </w:r>
          </w:p>
        </w:tc>
        <w:tc>
          <w:tcPr>
            <w:tcW w:w="380" w:type="dxa"/>
            <w:vAlign w:val="bottom"/>
            <w:shd w:val="clear" w:color="auto" w:fill="000000"/>
          </w:tcPr>
          <w:p>
            <w:pPr>
              <w:spacing w:after="0"/>
              <w:rPr>
                <w:sz w:val="14"/>
                <w:szCs w:val="14"/>
                <w:color w:val="auto"/>
              </w:rPr>
            </w:pPr>
          </w:p>
        </w:tc>
        <w:tc>
          <w:tcPr>
            <w:tcW w:w="800" w:type="dxa"/>
            <w:vAlign w:val="bottom"/>
            <w:shd w:val="clear" w:color="auto" w:fill="000000"/>
          </w:tcPr>
          <w:p>
            <w:pPr>
              <w:spacing w:after="0"/>
              <w:rPr>
                <w:sz w:val="14"/>
                <w:szCs w:val="14"/>
                <w:color w:val="auto"/>
              </w:rPr>
            </w:pPr>
          </w:p>
        </w:tc>
        <w:tc>
          <w:tcPr>
            <w:tcW w:w="360" w:type="dxa"/>
            <w:vAlign w:val="bottom"/>
            <w:shd w:val="clear" w:color="auto" w:fill="000000"/>
          </w:tcPr>
          <w:p>
            <w:pPr>
              <w:spacing w:after="0"/>
              <w:rPr>
                <w:sz w:val="14"/>
                <w:szCs w:val="14"/>
                <w:color w:val="auto"/>
              </w:rPr>
            </w:pPr>
          </w:p>
        </w:tc>
        <w:tc>
          <w:tcPr>
            <w:tcW w:w="36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r>
      <w:tr>
        <w:trPr>
          <w:trHeight w:val="130"/>
        </w:trPr>
        <w:tc>
          <w:tcPr>
            <w:tcW w:w="60" w:type="dxa"/>
            <w:vAlign w:val="bottom"/>
            <w:shd w:val="clear" w:color="auto" w:fill="000000"/>
          </w:tcPr>
          <w:p>
            <w:pPr>
              <w:spacing w:after="0"/>
              <w:rPr>
                <w:sz w:val="11"/>
                <w:szCs w:val="11"/>
                <w:color w:val="auto"/>
              </w:rPr>
            </w:pPr>
          </w:p>
        </w:tc>
        <w:tc>
          <w:tcPr>
            <w:tcW w:w="272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118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1020" w:type="dxa"/>
            <w:vAlign w:val="bottom"/>
            <w:shd w:val="clear" w:color="auto" w:fill="000000"/>
          </w:tcPr>
          <w:p>
            <w:pPr>
              <w:spacing w:after="0"/>
              <w:rPr>
                <w:sz w:val="11"/>
                <w:szCs w:val="11"/>
                <w:color w:val="auto"/>
              </w:rPr>
            </w:pPr>
          </w:p>
        </w:tc>
        <w:tc>
          <w:tcPr>
            <w:tcW w:w="38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r>
      <w:tr>
        <w:trPr>
          <w:trHeight w:val="432"/>
        </w:trPr>
        <w:tc>
          <w:tcPr>
            <w:tcW w:w="60" w:type="dxa"/>
            <w:vAlign w:val="bottom"/>
          </w:tcPr>
          <w:p>
            <w:pPr>
              <w:spacing w:after="0"/>
              <w:rPr>
                <w:sz w:val="24"/>
                <w:szCs w:val="24"/>
                <w:color w:val="auto"/>
              </w:rPr>
            </w:pPr>
          </w:p>
        </w:tc>
        <w:tc>
          <w:tcPr>
            <w:tcW w:w="2720" w:type="dxa"/>
            <w:vAlign w:val="bottom"/>
          </w:tcPr>
          <w:p>
            <w:pPr>
              <w:ind w:left="100"/>
              <w:spacing w:after="0"/>
              <w:rPr>
                <w:sz w:val="20"/>
                <w:szCs w:val="20"/>
                <w:color w:val="auto"/>
              </w:rPr>
            </w:pPr>
            <w:r>
              <w:rPr>
                <w:rFonts w:ascii="Arial" w:cs="Arial" w:eastAsia="Arial" w:hAnsi="Arial"/>
                <w:sz w:val="14"/>
                <w:szCs w:val="14"/>
                <w:color w:val="auto"/>
              </w:rPr>
              <w:t>03/27/21 (CEO Time-Based RSUs)</w:t>
            </w: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03/05/2022</w:t>
            </w:r>
            <w:r>
              <w:rPr>
                <w:rFonts w:ascii="Arial" w:cs="Arial" w:eastAsia="Arial" w:hAnsi="Arial"/>
                <w:sz w:val="28"/>
                <w:szCs w:val="28"/>
                <w:color w:val="auto"/>
                <w:vertAlign w:val="subscript"/>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864,673</w:t>
            </w:r>
            <w:r>
              <w:rPr>
                <w:rFonts w:ascii="Arial" w:cs="Arial" w:eastAsia="Arial" w:hAnsi="Arial"/>
                <w:sz w:val="28"/>
                <w:szCs w:val="28"/>
                <w:color w:val="auto"/>
                <w:vertAlign w:val="subscript"/>
              </w:rPr>
              <w:t>​</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center"/>
              <w:ind w:left="3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$ 22.63</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19,567,550</w:t>
            </w:r>
            <w:r>
              <w:rPr>
                <w:rFonts w:ascii="Arial" w:cs="Arial" w:eastAsia="Arial" w:hAnsi="Arial"/>
                <w:sz w:val="28"/>
                <w:szCs w:val="28"/>
                <w:color w:val="auto"/>
                <w:vertAlign w:val="subscript"/>
              </w:rPr>
              <w:t>​</w:t>
            </w:r>
          </w:p>
        </w:tc>
      </w:tr>
      <w:tr>
        <w:trPr>
          <w:trHeight w:val="399"/>
        </w:trPr>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06/05/2022</w:t>
            </w:r>
            <w:r>
              <w:rPr>
                <w:rFonts w:ascii="Arial" w:cs="Arial" w:eastAsia="Arial" w:hAnsi="Arial"/>
                <w:sz w:val="28"/>
                <w:szCs w:val="28"/>
                <w:color w:val="auto"/>
                <w:vertAlign w:val="subscript"/>
              </w:rPr>
              <w:t>​</w:t>
            </w:r>
          </w:p>
        </w:tc>
        <w:tc>
          <w:tcPr>
            <w:tcW w:w="36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20" w:type="dxa"/>
            <w:vAlign w:val="bottom"/>
            <w:tcBorders>
              <w:bottom w:val="single" w:sz="8" w:color="auto"/>
            </w:tcBorders>
            <w:shd w:val="clear" w:color="auto" w:fill="F7F7F7"/>
          </w:tcPr>
          <w:p>
            <w:pPr>
              <w:jc w:val="right"/>
              <w:ind w:right="173"/>
              <w:spacing w:after="0"/>
              <w:rPr>
                <w:sz w:val="20"/>
                <w:szCs w:val="20"/>
                <w:color w:val="auto"/>
              </w:rPr>
            </w:pPr>
            <w:r>
              <w:rPr>
                <w:rFonts w:ascii="Arial" w:cs="Arial" w:eastAsia="Arial" w:hAnsi="Arial"/>
                <w:sz w:val="14"/>
                <w:szCs w:val="14"/>
                <w:color w:val="auto"/>
              </w:rPr>
              <w:t>864,673</w:t>
            </w:r>
            <w:r>
              <w:rPr>
                <w:rFonts w:ascii="Arial" w:cs="Arial" w:eastAsia="Arial" w:hAnsi="Arial"/>
                <w:sz w:val="28"/>
                <w:szCs w:val="28"/>
                <w:color w:val="auto"/>
                <w:vertAlign w:val="subscript"/>
              </w:rPr>
              <w:t>​</w:t>
            </w:r>
          </w:p>
        </w:tc>
        <w:tc>
          <w:tcPr>
            <w:tcW w:w="3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7F7F7"/>
          </w:tcPr>
          <w:p>
            <w:pPr>
              <w:jc w:val="center"/>
              <w:ind w:left="3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$ 18.67</w:t>
            </w:r>
          </w:p>
        </w:tc>
        <w:tc>
          <w:tcPr>
            <w:tcW w:w="36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shd w:val="clear" w:color="auto" w:fill="F7F7F7"/>
          </w:tcPr>
          <w:p>
            <w:pPr>
              <w:jc w:val="right"/>
              <w:ind w:right="92"/>
              <w:spacing w:after="0"/>
              <w:rPr>
                <w:sz w:val="20"/>
                <w:szCs w:val="20"/>
                <w:color w:val="auto"/>
              </w:rPr>
            </w:pPr>
            <w:r>
              <w:rPr>
                <w:rFonts w:ascii="Arial" w:cs="Arial" w:eastAsia="Arial" w:hAnsi="Arial"/>
                <w:sz w:val="14"/>
                <w:szCs w:val="14"/>
                <w:color w:val="auto"/>
              </w:rPr>
              <w:t>16,143,445</w:t>
            </w:r>
            <w:r>
              <w:rPr>
                <w:rFonts w:ascii="Arial" w:cs="Arial" w:eastAsia="Arial" w:hAnsi="Arial"/>
                <w:sz w:val="28"/>
                <w:szCs w:val="28"/>
                <w:color w:val="auto"/>
                <w:vertAlign w:val="subscript"/>
              </w:rPr>
              <w:t>​</w:t>
            </w:r>
          </w:p>
        </w:tc>
      </w:tr>
      <w:tr>
        <w:trPr>
          <w:trHeight w:val="398"/>
        </w:trPr>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09/05/2022</w:t>
            </w:r>
            <w:r>
              <w:rPr>
                <w:rFonts w:ascii="Arial" w:cs="Arial" w:eastAsia="Arial" w:hAnsi="Arial"/>
                <w:sz w:val="28"/>
                <w:szCs w:val="28"/>
                <w:color w:val="auto"/>
                <w:vertAlign w:val="subscript"/>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864,670</w:t>
            </w:r>
            <w:r>
              <w:rPr>
                <w:rFonts w:ascii="Arial" w:cs="Arial" w:eastAsia="Arial" w:hAnsi="Arial"/>
                <w:sz w:val="28"/>
                <w:szCs w:val="28"/>
                <w:color w:val="auto"/>
                <w:vertAlign w:val="subscript"/>
              </w:rPr>
              <w:t>​</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center"/>
              <w:ind w:left="3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$ 15.16</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13,108,397</w:t>
            </w:r>
            <w:r>
              <w:rPr>
                <w:rFonts w:ascii="Arial" w:cs="Arial" w:eastAsia="Arial" w:hAnsi="Arial"/>
                <w:sz w:val="28"/>
                <w:szCs w:val="28"/>
                <w:color w:val="auto"/>
                <w:vertAlign w:val="subscript"/>
              </w:rPr>
              <w:t>​</w:t>
            </w: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tcBorders>
          </w:tcPr>
          <w:p>
            <w:pPr>
              <w:ind w:left="2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12/05/2022</w:t>
            </w:r>
            <w:r>
              <w:rPr>
                <w:rFonts w:ascii="Arial" w:cs="Arial" w:eastAsia="Arial" w:hAnsi="Arial"/>
                <w:sz w:val="28"/>
                <w:szCs w:val="28"/>
                <w:color w:val="auto"/>
                <w:vertAlign w:val="subscript"/>
              </w:rPr>
              <w:t>​</w:t>
            </w:r>
          </w:p>
        </w:tc>
        <w:tc>
          <w:tcPr>
            <w:tcW w:w="36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20" w:type="dxa"/>
            <w:vAlign w:val="bottom"/>
            <w:tcBorders>
              <w:bottom w:val="single" w:sz="8" w:color="auto"/>
            </w:tcBorders>
            <w:shd w:val="clear" w:color="auto" w:fill="F7F7F7"/>
          </w:tcPr>
          <w:p>
            <w:pPr>
              <w:jc w:val="right"/>
              <w:ind w:right="173"/>
              <w:spacing w:after="0"/>
              <w:rPr>
                <w:sz w:val="20"/>
                <w:szCs w:val="20"/>
                <w:color w:val="auto"/>
              </w:rPr>
            </w:pPr>
            <w:r>
              <w:rPr>
                <w:rFonts w:ascii="Arial" w:cs="Arial" w:eastAsia="Arial" w:hAnsi="Arial"/>
                <w:sz w:val="14"/>
                <w:szCs w:val="14"/>
                <w:color w:val="auto"/>
              </w:rPr>
              <w:t>864,673</w:t>
            </w:r>
            <w:r>
              <w:rPr>
                <w:rFonts w:ascii="Arial" w:cs="Arial" w:eastAsia="Arial" w:hAnsi="Arial"/>
                <w:sz w:val="28"/>
                <w:szCs w:val="28"/>
                <w:color w:val="auto"/>
                <w:vertAlign w:val="subscript"/>
              </w:rPr>
              <w:t>​</w:t>
            </w:r>
          </w:p>
        </w:tc>
        <w:tc>
          <w:tcPr>
            <w:tcW w:w="38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F7F7F7"/>
          </w:tcPr>
          <w:p>
            <w:pPr>
              <w:jc w:val="center"/>
              <w:ind w:left="3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$ 10.15</w:t>
            </w:r>
          </w:p>
        </w:tc>
        <w:tc>
          <w:tcPr>
            <w:tcW w:w="36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shd w:val="clear" w:color="auto" w:fill="F7F7F7"/>
          </w:tcPr>
          <w:p>
            <w:pPr>
              <w:jc w:val="right"/>
              <w:ind w:right="92"/>
              <w:spacing w:after="0"/>
              <w:rPr>
                <w:sz w:val="20"/>
                <w:szCs w:val="20"/>
                <w:color w:val="auto"/>
              </w:rPr>
            </w:pPr>
            <w:r>
              <w:rPr>
                <w:rFonts w:ascii="Arial" w:cs="Arial" w:eastAsia="Arial" w:hAnsi="Arial"/>
                <w:sz w:val="14"/>
                <w:szCs w:val="14"/>
                <w:color w:val="auto"/>
              </w:rPr>
              <w:t>8,8776,431</w:t>
            </w:r>
            <w:r>
              <w:rPr>
                <w:rFonts w:ascii="Arial" w:cs="Arial" w:eastAsia="Arial" w:hAnsi="Arial"/>
                <w:sz w:val="28"/>
                <w:szCs w:val="28"/>
                <w:color w:val="auto"/>
                <w:vertAlign w:val="subscript"/>
              </w:rPr>
              <w:t>​</w:t>
            </w:r>
          </w:p>
        </w:tc>
      </w:tr>
      <w:tr>
        <w:trPr>
          <w:trHeight w:val="39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 xml:space="preserve">03/27/2021 (CEO Performance RSUs) </w:t>
            </w:r>
            <w:r>
              <w:rPr>
                <w:rFonts w:ascii="Arial" w:cs="Arial" w:eastAsia="Arial" w:hAnsi="Arial"/>
                <w:sz w:val="28"/>
                <w:szCs w:val="28"/>
                <w:color w:val="auto"/>
                <w:vertAlign w:val="subscript"/>
              </w:rPr>
              <w:t>​</w:t>
            </w: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03/05/2022</w:t>
            </w:r>
            <w:r>
              <w:rPr>
                <w:rFonts w:ascii="Arial" w:cs="Arial" w:eastAsia="Arial" w:hAnsi="Arial"/>
                <w:sz w:val="28"/>
                <w:szCs w:val="28"/>
                <w:color w:val="auto"/>
                <w:vertAlign w:val="subscript"/>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13,934,271</w:t>
            </w:r>
            <w:r>
              <w:rPr>
                <w:rFonts w:ascii="Arial" w:cs="Arial" w:eastAsia="Arial" w:hAnsi="Arial"/>
                <w:sz w:val="28"/>
                <w:szCs w:val="28"/>
                <w:color w:val="auto"/>
                <w:vertAlign w:val="subscript"/>
              </w:rPr>
              <w:t>​</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center"/>
              <w:ind w:left="31"/>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$ 22.63</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315,332,552</w:t>
            </w:r>
            <w:r>
              <w:rPr>
                <w:rFonts w:ascii="Arial" w:cs="Arial" w:eastAsia="Arial" w:hAnsi="Arial"/>
                <w:sz w:val="28"/>
                <w:szCs w:val="28"/>
                <w:color w:val="auto"/>
                <w:vertAlign w:val="subscript"/>
              </w:rPr>
              <w:t>​</w:t>
            </w:r>
          </w:p>
        </w:tc>
      </w:tr>
    </w:tbl>
    <w:p>
      <w:pPr>
        <w:spacing w:after="0" w:line="270" w:lineRule="exact"/>
        <w:rPr>
          <w:sz w:val="20"/>
          <w:szCs w:val="20"/>
          <w:color w:val="auto"/>
        </w:rPr>
      </w:pPr>
    </w:p>
    <w:p>
      <w:pPr>
        <w:ind w:left="780" w:right="60" w:hanging="126"/>
        <w:spacing w:after="0" w:line="219" w:lineRule="auto"/>
        <w:tabs>
          <w:tab w:leader="none" w:pos="780" w:val="left"/>
        </w:tabs>
        <w:numPr>
          <w:ilvl w:val="0"/>
          <w:numId w:val="41"/>
        </w:numPr>
        <w:rPr>
          <w:rFonts w:ascii="Arial" w:cs="Arial" w:eastAsia="Arial" w:hAnsi="Arial"/>
          <w:sz w:val="15"/>
          <w:szCs w:val="15"/>
          <w:color w:val="auto"/>
          <w:vertAlign w:val="superscript"/>
        </w:rPr>
      </w:pPr>
      <w:r>
        <w:rPr>
          <w:rFonts w:ascii="Arial" w:cs="Arial" w:eastAsia="Arial" w:hAnsi="Arial"/>
          <w:sz w:val="10"/>
          <w:szCs w:val="10"/>
          <w:color w:val="auto"/>
        </w:rPr>
        <w:t>Computed as the aggregate dollar amount realized upon the vesting of RSUs granted to Ms. House, determined by multiplying the number of units vesting as of the applicable vesting date by the closing price of our Common Stock on the trading day prior to the applicable vesting date, as follows:</w:t>
      </w:r>
    </w:p>
    <w:p>
      <w:pPr>
        <w:spacing w:after="0" w:line="204"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940" w:type="dxa"/>
            <w:vAlign w:val="bottom"/>
            <w:shd w:val="clear" w:color="auto" w:fill="000000"/>
          </w:tcPr>
          <w:p>
            <w:pPr>
              <w:spacing w:after="0"/>
              <w:rPr>
                <w:sz w:val="12"/>
                <w:szCs w:val="12"/>
                <w:color w:val="auto"/>
              </w:rPr>
            </w:pPr>
          </w:p>
        </w:tc>
        <w:tc>
          <w:tcPr>
            <w:tcW w:w="30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1360" w:type="dxa"/>
            <w:vAlign w:val="bottom"/>
            <w:shd w:val="clear" w:color="auto" w:fill="000000"/>
          </w:tcPr>
          <w:p>
            <w:pPr>
              <w:ind w:left="120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880" w:type="dxa"/>
            <w:vAlign w:val="bottom"/>
            <w:vMerge w:val="restart"/>
            <w:shd w:val="clear" w:color="auto" w:fill="000000"/>
          </w:tcPr>
          <w:p>
            <w:pPr>
              <w:jc w:val="center"/>
              <w:ind w:left="114"/>
              <w:spacing w:after="0"/>
              <w:rPr>
                <w:sz w:val="20"/>
                <w:szCs w:val="20"/>
                <w:color w:val="auto"/>
              </w:rPr>
            </w:pPr>
            <w:r>
              <w:rPr>
                <w:rFonts w:ascii="Arial" w:cs="Arial" w:eastAsia="Arial" w:hAnsi="Arial"/>
                <w:sz w:val="13"/>
                <w:szCs w:val="13"/>
                <w:b w:val="1"/>
                <w:bCs w:val="1"/>
                <w:color w:val="FEFEFE"/>
                <w:w w:val="95"/>
              </w:rPr>
              <w:t>Number of</w:t>
            </w:r>
          </w:p>
        </w:tc>
        <w:tc>
          <w:tcPr>
            <w:tcW w:w="520" w:type="dxa"/>
            <w:vAlign w:val="bottom"/>
            <w:shd w:val="clear" w:color="auto" w:fill="000000"/>
          </w:tcPr>
          <w:p>
            <w:pPr>
              <w:ind w:left="34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900" w:type="dxa"/>
            <w:vAlign w:val="bottom"/>
            <w:vMerge w:val="restart"/>
            <w:shd w:val="clear" w:color="auto" w:fill="000000"/>
          </w:tcPr>
          <w:p>
            <w:pPr>
              <w:jc w:val="center"/>
              <w:ind w:left="73"/>
              <w:spacing w:after="0"/>
              <w:rPr>
                <w:sz w:val="20"/>
                <w:szCs w:val="20"/>
                <w:color w:val="auto"/>
              </w:rPr>
            </w:pPr>
            <w:r>
              <w:rPr>
                <w:rFonts w:ascii="Arial" w:cs="Arial" w:eastAsia="Arial" w:hAnsi="Arial"/>
                <w:sz w:val="13"/>
                <w:szCs w:val="13"/>
                <w:b w:val="1"/>
                <w:bCs w:val="1"/>
                <w:color w:val="FEFEFE"/>
                <w:w w:val="98"/>
              </w:rPr>
              <w:t>Market Price</w:t>
            </w:r>
          </w:p>
        </w:tc>
        <w:tc>
          <w:tcPr>
            <w:tcW w:w="500" w:type="dxa"/>
            <w:vAlign w:val="bottom"/>
            <w:shd w:val="clear" w:color="auto" w:fill="000000"/>
          </w:tcPr>
          <w:p>
            <w:pPr>
              <w:ind w:left="34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1120" w:type="dxa"/>
            <w:vAlign w:val="bottom"/>
            <w:shd w:val="clear" w:color="auto" w:fill="000000"/>
          </w:tcPr>
          <w:p>
            <w:pPr>
              <w:ind w:left="102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1140" w:type="dxa"/>
            <w:vAlign w:val="bottom"/>
            <w:gridSpan w:val="2"/>
            <w:shd w:val="clear" w:color="auto" w:fill="000000"/>
          </w:tcPr>
          <w:p>
            <w:pPr>
              <w:ind w:left="100"/>
              <w:spacing w:after="0"/>
              <w:rPr>
                <w:sz w:val="20"/>
                <w:szCs w:val="20"/>
                <w:color w:val="auto"/>
              </w:rPr>
            </w:pPr>
            <w:r>
              <w:rPr>
                <w:rFonts w:ascii="Arial" w:cs="Arial" w:eastAsia="Arial" w:hAnsi="Arial"/>
                <w:sz w:val="13"/>
                <w:szCs w:val="13"/>
                <w:b w:val="1"/>
                <w:bCs w:val="1"/>
                <w:color w:val="FEFEFE"/>
              </w:rPr>
              <w:t>Date of Award</w:t>
            </w:r>
          </w:p>
        </w:tc>
        <w:tc>
          <w:tcPr>
            <w:tcW w:w="30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136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Vesting Date</w:t>
            </w:r>
          </w:p>
        </w:tc>
        <w:tc>
          <w:tcPr>
            <w:tcW w:w="620" w:type="dxa"/>
            <w:vAlign w:val="bottom"/>
            <w:shd w:val="clear" w:color="auto" w:fill="000000"/>
          </w:tcPr>
          <w:p>
            <w:pPr>
              <w:spacing w:after="0"/>
              <w:rPr>
                <w:sz w:val="12"/>
                <w:szCs w:val="12"/>
                <w:color w:val="auto"/>
              </w:rPr>
            </w:pPr>
          </w:p>
        </w:tc>
        <w:tc>
          <w:tcPr>
            <w:tcW w:w="880" w:type="dxa"/>
            <w:vAlign w:val="bottom"/>
            <w:vMerge w:val="continue"/>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900" w:type="dxa"/>
            <w:vAlign w:val="bottom"/>
            <w:vMerge w:val="continue"/>
            <w:shd w:val="clear" w:color="auto" w:fill="000000"/>
          </w:tcPr>
          <w:p>
            <w:pPr>
              <w:spacing w:after="0"/>
              <w:rPr>
                <w:sz w:val="12"/>
                <w:szCs w:val="12"/>
                <w:color w:val="auto"/>
              </w:rPr>
            </w:pPr>
          </w:p>
        </w:tc>
        <w:tc>
          <w:tcPr>
            <w:tcW w:w="50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1120" w:type="dxa"/>
            <w:vAlign w:val="bottom"/>
            <w:shd w:val="clear" w:color="auto" w:fill="000000"/>
          </w:tcPr>
          <w:p>
            <w:pPr>
              <w:jc w:val="center"/>
              <w:ind w:right="14"/>
              <w:spacing w:after="0"/>
              <w:rPr>
                <w:sz w:val="20"/>
                <w:szCs w:val="20"/>
                <w:color w:val="auto"/>
              </w:rPr>
            </w:pPr>
            <w:r>
              <w:rPr>
                <w:rFonts w:ascii="Arial" w:cs="Arial" w:eastAsia="Arial" w:hAnsi="Arial"/>
                <w:sz w:val="13"/>
                <w:szCs w:val="13"/>
                <w:b w:val="1"/>
                <w:bCs w:val="1"/>
                <w:color w:val="FEFEFE"/>
                <w:w w:val="92"/>
              </w:rPr>
              <w:t>Value</w:t>
            </w:r>
          </w:p>
        </w:tc>
        <w:tc>
          <w:tcPr>
            <w:tcW w:w="0" w:type="dxa"/>
            <w:vAlign w:val="bottom"/>
          </w:tcPr>
          <w:p>
            <w:pPr>
              <w:spacing w:after="0"/>
              <w:rPr>
                <w:sz w:val="1"/>
                <w:szCs w:val="1"/>
                <w:color w:val="auto"/>
              </w:rPr>
            </w:pPr>
          </w:p>
        </w:tc>
      </w:tr>
      <w:tr>
        <w:trPr>
          <w:trHeight w:val="135"/>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136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880" w:type="dxa"/>
            <w:vAlign w:val="bottom"/>
            <w:shd w:val="clear" w:color="auto" w:fill="000000"/>
          </w:tcPr>
          <w:p>
            <w:pPr>
              <w:jc w:val="center"/>
              <w:ind w:left="114"/>
              <w:spacing w:after="0" w:line="135" w:lineRule="exact"/>
              <w:rPr>
                <w:sz w:val="20"/>
                <w:szCs w:val="20"/>
                <w:color w:val="auto"/>
              </w:rPr>
            </w:pPr>
            <w:r>
              <w:rPr>
                <w:rFonts w:ascii="Arial" w:cs="Arial" w:eastAsia="Arial" w:hAnsi="Arial"/>
                <w:sz w:val="13"/>
                <w:szCs w:val="13"/>
                <w:b w:val="1"/>
                <w:bCs w:val="1"/>
                <w:color w:val="FEFEFE"/>
                <w:w w:val="96"/>
              </w:rPr>
              <w:t>Shares</w:t>
            </w:r>
          </w:p>
        </w:tc>
        <w:tc>
          <w:tcPr>
            <w:tcW w:w="52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900" w:type="dxa"/>
            <w:vAlign w:val="bottom"/>
            <w:shd w:val="clear" w:color="auto" w:fill="000000"/>
          </w:tcPr>
          <w:p>
            <w:pPr>
              <w:jc w:val="center"/>
              <w:ind w:left="113"/>
              <w:spacing w:after="0" w:line="135" w:lineRule="exact"/>
              <w:rPr>
                <w:sz w:val="20"/>
                <w:szCs w:val="20"/>
                <w:color w:val="auto"/>
              </w:rPr>
            </w:pPr>
            <w:r>
              <w:rPr>
                <w:rFonts w:ascii="Arial" w:cs="Arial" w:eastAsia="Arial" w:hAnsi="Arial"/>
                <w:sz w:val="13"/>
                <w:szCs w:val="13"/>
                <w:b w:val="1"/>
                <w:bCs w:val="1"/>
                <w:color w:val="FEFEFE"/>
                <w:w w:val="96"/>
              </w:rPr>
              <w:t>at Vesting</w:t>
            </w:r>
          </w:p>
        </w:tc>
        <w:tc>
          <w:tcPr>
            <w:tcW w:w="50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1120" w:type="dxa"/>
            <w:vAlign w:val="bottom"/>
            <w:shd w:val="clear" w:color="auto" w:fill="000000"/>
          </w:tcPr>
          <w:p>
            <w:pPr>
              <w:jc w:val="center"/>
              <w:ind w:right="14"/>
              <w:spacing w:after="0" w:line="135" w:lineRule="exact"/>
              <w:rPr>
                <w:sz w:val="20"/>
                <w:szCs w:val="20"/>
                <w:color w:val="auto"/>
              </w:rPr>
            </w:pPr>
            <w:r>
              <w:rPr>
                <w:rFonts w:ascii="Arial" w:cs="Arial" w:eastAsia="Arial" w:hAnsi="Arial"/>
                <w:sz w:val="13"/>
                <w:szCs w:val="13"/>
                <w:b w:val="1"/>
                <w:bCs w:val="1"/>
                <w:color w:val="FEFEFE"/>
                <w:w w:val="98"/>
              </w:rPr>
              <w:t>Realized</w:t>
            </w:r>
          </w:p>
        </w:tc>
        <w:tc>
          <w:tcPr>
            <w:tcW w:w="0" w:type="dxa"/>
            <w:vAlign w:val="bottom"/>
          </w:tcPr>
          <w:p>
            <w:pPr>
              <w:spacing w:after="0"/>
              <w:rPr>
                <w:sz w:val="1"/>
                <w:szCs w:val="1"/>
                <w:color w:val="auto"/>
              </w:rPr>
            </w:pPr>
          </w:p>
        </w:tc>
      </w:tr>
      <w:tr>
        <w:trPr>
          <w:trHeight w:val="149"/>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30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136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880" w:type="dxa"/>
            <w:vAlign w:val="bottom"/>
            <w:shd w:val="clear" w:color="auto" w:fill="000000"/>
          </w:tcPr>
          <w:p>
            <w:pPr>
              <w:jc w:val="center"/>
              <w:ind w:left="74"/>
              <w:spacing w:after="0"/>
              <w:rPr>
                <w:sz w:val="20"/>
                <w:szCs w:val="20"/>
                <w:color w:val="auto"/>
              </w:rPr>
            </w:pPr>
            <w:r>
              <w:rPr>
                <w:rFonts w:ascii="Arial" w:cs="Arial" w:eastAsia="Arial" w:hAnsi="Arial"/>
                <w:sz w:val="13"/>
                <w:szCs w:val="13"/>
                <w:b w:val="1"/>
                <w:bCs w:val="1"/>
                <w:color w:val="FEFEFE"/>
                <w:w w:val="97"/>
              </w:rPr>
              <w:t>Acquired on</w:t>
            </w:r>
          </w:p>
        </w:tc>
        <w:tc>
          <w:tcPr>
            <w:tcW w:w="52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900" w:type="dxa"/>
            <w:vAlign w:val="bottom"/>
            <w:shd w:val="clear" w:color="auto" w:fill="000000"/>
          </w:tcPr>
          <w:p>
            <w:pPr>
              <w:spacing w:after="0"/>
              <w:rPr>
                <w:sz w:val="12"/>
                <w:szCs w:val="12"/>
                <w:color w:val="auto"/>
              </w:rPr>
            </w:pPr>
          </w:p>
        </w:tc>
        <w:tc>
          <w:tcPr>
            <w:tcW w:w="50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1120" w:type="dxa"/>
            <w:vAlign w:val="bottom"/>
            <w:shd w:val="clear" w:color="auto" w:fill="000000"/>
          </w:tcPr>
          <w:p>
            <w:pPr>
              <w:jc w:val="center"/>
              <w:ind w:right="14"/>
              <w:spacing w:after="0"/>
              <w:rPr>
                <w:sz w:val="20"/>
                <w:szCs w:val="20"/>
                <w:color w:val="auto"/>
              </w:rPr>
            </w:pPr>
            <w:r>
              <w:rPr>
                <w:rFonts w:ascii="Arial" w:cs="Arial" w:eastAsia="Arial" w:hAnsi="Arial"/>
                <w:sz w:val="13"/>
                <w:szCs w:val="13"/>
                <w:b w:val="1"/>
                <w:bCs w:val="1"/>
                <w:color w:val="FEFEFE"/>
                <w:w w:val="96"/>
              </w:rPr>
              <w:t>on Vesting</w:t>
            </w: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30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136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880" w:type="dxa"/>
            <w:vAlign w:val="bottom"/>
            <w:shd w:val="clear" w:color="auto" w:fill="000000"/>
          </w:tcPr>
          <w:p>
            <w:pPr>
              <w:jc w:val="center"/>
              <w:ind w:left="114"/>
              <w:spacing w:after="0"/>
              <w:rPr>
                <w:sz w:val="20"/>
                <w:szCs w:val="20"/>
                <w:color w:val="auto"/>
              </w:rPr>
            </w:pPr>
            <w:r>
              <w:rPr>
                <w:rFonts w:ascii="Arial" w:cs="Arial" w:eastAsia="Arial" w:hAnsi="Arial"/>
                <w:sz w:val="13"/>
                <w:szCs w:val="13"/>
                <w:b w:val="1"/>
                <w:bCs w:val="1"/>
                <w:color w:val="FEFEFE"/>
                <w:w w:val="97"/>
              </w:rPr>
              <w:t>Vesting</w:t>
            </w:r>
          </w:p>
        </w:tc>
        <w:tc>
          <w:tcPr>
            <w:tcW w:w="52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900" w:type="dxa"/>
            <w:vAlign w:val="bottom"/>
            <w:shd w:val="clear" w:color="auto" w:fill="000000"/>
          </w:tcPr>
          <w:p>
            <w:pPr>
              <w:spacing w:after="0"/>
              <w:rPr>
                <w:sz w:val="14"/>
                <w:szCs w:val="14"/>
                <w:color w:val="auto"/>
              </w:rPr>
            </w:pPr>
          </w:p>
        </w:tc>
        <w:tc>
          <w:tcPr>
            <w:tcW w:w="50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11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136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88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900" w:type="dxa"/>
            <w:vAlign w:val="bottom"/>
            <w:shd w:val="clear" w:color="auto" w:fill="000000"/>
          </w:tcPr>
          <w:p>
            <w:pPr>
              <w:spacing w:after="0"/>
              <w:rPr>
                <w:sz w:val="11"/>
                <w:szCs w:val="11"/>
                <w:color w:val="auto"/>
              </w:rPr>
            </w:pPr>
          </w:p>
        </w:tc>
        <w:tc>
          <w:tcPr>
            <w:tcW w:w="50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11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41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06/29/2021</w:t>
            </w:r>
            <w:r>
              <w:rPr>
                <w:rFonts w:ascii="Arial" w:cs="Arial" w:eastAsia="Arial" w:hAnsi="Arial"/>
                <w:sz w:val="28"/>
                <w:szCs w:val="28"/>
                <w:color w:val="auto"/>
                <w:vertAlign w:val="subscript"/>
              </w:rPr>
              <w:t>​</w:t>
            </w: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​08/05/2022</w:t>
            </w:r>
            <w:r>
              <w:rPr>
                <w:rFonts w:ascii="Arial" w:cs="Arial" w:eastAsia="Arial" w:hAnsi="Arial"/>
                <w:sz w:val="28"/>
                <w:szCs w:val="28"/>
                <w:color w:val="auto"/>
                <w:vertAlign w:val="subscript"/>
              </w:rPr>
              <w:t>​</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center"/>
              <w:ind w:left="94"/>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165,248</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center"/>
              <w:ind w:left="7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$ 18.56</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$ 3,067,002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9"/>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06/29/2021</w:t>
            </w:r>
            <w:r>
              <w:rPr>
                <w:rFonts w:ascii="Arial" w:cs="Arial" w:eastAsia="Arial" w:hAnsi="Arial"/>
                <w:sz w:val="28"/>
                <w:szCs w:val="28"/>
                <w:color w:val="auto"/>
                <w:vertAlign w:val="subscript"/>
              </w:rPr>
              <w:t>​</w:t>
            </w:r>
          </w:p>
        </w:tc>
        <w:tc>
          <w:tcPr>
            <w:tcW w:w="300" w:type="dxa"/>
            <w:vAlign w:val="bottom"/>
            <w:tcBorders>
              <w:bottom w:val="single" w:sz="8" w:color="auto"/>
            </w:tcBorders>
            <w:shd w:val="clear" w:color="auto" w:fill="F7F7F7"/>
          </w:tcPr>
          <w:p>
            <w:pPr>
              <w:spacing w:after="0"/>
              <w:rPr>
                <w:sz w:val="24"/>
                <w:szCs w:val="24"/>
                <w:color w:val="auto"/>
              </w:rPr>
            </w:pPr>
          </w:p>
        </w:tc>
        <w:tc>
          <w:tcPr>
            <w:tcW w:w="60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​09/05/2022</w:t>
            </w:r>
            <w:r>
              <w:rPr>
                <w:rFonts w:ascii="Arial" w:cs="Arial" w:eastAsia="Arial" w:hAnsi="Arial"/>
                <w:sz w:val="28"/>
                <w:szCs w:val="28"/>
                <w:color w:val="auto"/>
                <w:vertAlign w:val="subscript"/>
              </w:rPr>
              <w:t>​</w:t>
            </w:r>
          </w:p>
        </w:tc>
        <w:tc>
          <w:tcPr>
            <w:tcW w:w="6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F7F7F7"/>
          </w:tcPr>
          <w:p>
            <w:pPr>
              <w:jc w:val="center"/>
              <w:ind w:left="94"/>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41,313</w:t>
            </w:r>
          </w:p>
        </w:tc>
        <w:tc>
          <w:tcPr>
            <w:tcW w:w="5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7F7F7"/>
          </w:tcPr>
          <w:p>
            <w:pPr>
              <w:jc w:val="center"/>
              <w:ind w:left="7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$ 15.16</w:t>
            </w:r>
          </w:p>
        </w:tc>
        <w:tc>
          <w:tcPr>
            <w:tcW w:w="5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626,305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​58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2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940" w:type="dxa"/>
            <w:vAlign w:val="bottom"/>
            <w:shd w:val="clear" w:color="auto" w:fill="000000"/>
          </w:tcPr>
          <w:p>
            <w:pPr>
              <w:spacing w:after="0"/>
              <w:rPr>
                <w:sz w:val="13"/>
                <w:szCs w:val="13"/>
                <w:color w:val="auto"/>
              </w:rPr>
            </w:pPr>
          </w:p>
        </w:tc>
        <w:tc>
          <w:tcPr>
            <w:tcW w:w="30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1380" w:type="dxa"/>
            <w:vAlign w:val="bottom"/>
            <w:shd w:val="clear" w:color="auto" w:fill="000000"/>
          </w:tcPr>
          <w:p>
            <w:pPr>
              <w:ind w:left="122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900" w:type="dxa"/>
            <w:vAlign w:val="bottom"/>
            <w:gridSpan w:val="2"/>
            <w:vMerge w:val="restart"/>
            <w:shd w:val="clear" w:color="auto" w:fill="000000"/>
          </w:tcPr>
          <w:p>
            <w:pPr>
              <w:jc w:val="center"/>
              <w:ind w:left="92"/>
              <w:spacing w:after="0"/>
              <w:rPr>
                <w:sz w:val="20"/>
                <w:szCs w:val="20"/>
                <w:color w:val="auto"/>
              </w:rPr>
            </w:pPr>
            <w:r>
              <w:rPr>
                <w:rFonts w:ascii="Arial" w:cs="Arial" w:eastAsia="Arial" w:hAnsi="Arial"/>
                <w:sz w:val="13"/>
                <w:szCs w:val="13"/>
                <w:b w:val="1"/>
                <w:bCs w:val="1"/>
                <w:color w:val="FEFEFE"/>
                <w:w w:val="95"/>
              </w:rPr>
              <w:t>Number of</w:t>
            </w:r>
          </w:p>
        </w:tc>
        <w:tc>
          <w:tcPr>
            <w:tcW w:w="520" w:type="dxa"/>
            <w:vAlign w:val="bottom"/>
            <w:shd w:val="clear" w:color="auto" w:fill="000000"/>
          </w:tcPr>
          <w:p>
            <w:pPr>
              <w:ind w:left="34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EFEFE"/>
              </w:rPr>
              <w:t>​</w:t>
            </w:r>
          </w:p>
        </w:tc>
        <w:tc>
          <w:tcPr>
            <w:tcW w:w="900" w:type="dxa"/>
            <w:vAlign w:val="bottom"/>
            <w:vMerge w:val="restart"/>
            <w:shd w:val="clear" w:color="auto" w:fill="000000"/>
          </w:tcPr>
          <w:p>
            <w:pPr>
              <w:jc w:val="center"/>
              <w:ind w:left="92"/>
              <w:spacing w:after="0"/>
              <w:rPr>
                <w:sz w:val="20"/>
                <w:szCs w:val="20"/>
                <w:color w:val="auto"/>
              </w:rPr>
            </w:pPr>
            <w:r>
              <w:rPr>
                <w:rFonts w:ascii="Arial" w:cs="Arial" w:eastAsia="Arial" w:hAnsi="Arial"/>
                <w:sz w:val="13"/>
                <w:szCs w:val="13"/>
                <w:b w:val="1"/>
                <w:bCs w:val="1"/>
                <w:color w:val="FEFEFE"/>
                <w:w w:val="95"/>
              </w:rPr>
              <w:t>Market Price</w:t>
            </w:r>
          </w:p>
        </w:tc>
        <w:tc>
          <w:tcPr>
            <w:tcW w:w="540" w:type="dxa"/>
            <w:vAlign w:val="bottom"/>
            <w:shd w:val="clear" w:color="auto" w:fill="000000"/>
          </w:tcPr>
          <w:p>
            <w:pPr>
              <w:ind w:left="36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ind w:left="420"/>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000000"/>
          </w:tcPr>
          <w:p>
            <w:pPr>
              <w:spacing w:after="0"/>
              <w:rPr>
                <w:sz w:val="13"/>
                <w:szCs w:val="13"/>
                <w:color w:val="auto"/>
              </w:rPr>
            </w:pPr>
          </w:p>
        </w:tc>
        <w:tc>
          <w:tcPr>
            <w:tcW w:w="820" w:type="dxa"/>
            <w:vAlign w:val="bottom"/>
            <w:shd w:val="clear" w:color="auto" w:fill="000000"/>
          </w:tcPr>
          <w:p>
            <w:pPr>
              <w:ind w:left="72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60" w:type="dxa"/>
            <w:vAlign w:val="bottom"/>
            <w:shd w:val="clear" w:color="auto" w:fill="000000"/>
          </w:tcPr>
          <w:p>
            <w:pPr>
              <w:spacing w:after="0"/>
              <w:rPr>
                <w:sz w:val="11"/>
                <w:szCs w:val="11"/>
                <w:color w:val="auto"/>
              </w:rPr>
            </w:pPr>
          </w:p>
        </w:tc>
        <w:tc>
          <w:tcPr>
            <w:tcW w:w="1140" w:type="dxa"/>
            <w:vAlign w:val="bottom"/>
            <w:gridSpan w:val="2"/>
            <w:shd w:val="clear" w:color="auto" w:fill="000000"/>
          </w:tcPr>
          <w:p>
            <w:pPr>
              <w:ind w:left="100"/>
              <w:spacing w:after="0" w:line="135" w:lineRule="exact"/>
              <w:rPr>
                <w:sz w:val="20"/>
                <w:szCs w:val="20"/>
                <w:color w:val="auto"/>
              </w:rPr>
            </w:pPr>
            <w:r>
              <w:rPr>
                <w:rFonts w:ascii="Arial" w:cs="Arial" w:eastAsia="Arial" w:hAnsi="Arial"/>
                <w:sz w:val="13"/>
                <w:szCs w:val="13"/>
                <w:b w:val="1"/>
                <w:bCs w:val="1"/>
                <w:color w:val="FEFEFE"/>
              </w:rPr>
              <w:t>Date of Award</w:t>
            </w:r>
          </w:p>
        </w:tc>
        <w:tc>
          <w:tcPr>
            <w:tcW w:w="30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1380" w:type="dxa"/>
            <w:vAlign w:val="bottom"/>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Vesting Date</w:t>
            </w:r>
          </w:p>
        </w:tc>
        <w:tc>
          <w:tcPr>
            <w:tcW w:w="620" w:type="dxa"/>
            <w:vAlign w:val="bottom"/>
            <w:shd w:val="clear" w:color="auto" w:fill="000000"/>
          </w:tcPr>
          <w:p>
            <w:pPr>
              <w:spacing w:after="0"/>
              <w:rPr>
                <w:sz w:val="11"/>
                <w:szCs w:val="11"/>
                <w:color w:val="auto"/>
              </w:rPr>
            </w:pPr>
          </w:p>
        </w:tc>
        <w:tc>
          <w:tcPr>
            <w:tcW w:w="900" w:type="dxa"/>
            <w:vAlign w:val="bottom"/>
            <w:gridSpan w:val="2"/>
            <w:vMerge w:val="continue"/>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900" w:type="dxa"/>
            <w:vAlign w:val="bottom"/>
            <w:vMerge w:val="continue"/>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820" w:type="dxa"/>
            <w:vAlign w:val="bottom"/>
            <w:shd w:val="clear" w:color="auto" w:fill="000000"/>
          </w:tcPr>
          <w:p>
            <w:pPr>
              <w:ind w:left="100"/>
              <w:spacing w:after="0" w:line="135" w:lineRule="exact"/>
              <w:rPr>
                <w:sz w:val="20"/>
                <w:szCs w:val="20"/>
                <w:color w:val="auto"/>
              </w:rPr>
            </w:pPr>
            <w:r>
              <w:rPr>
                <w:rFonts w:ascii="Arial" w:cs="Arial" w:eastAsia="Arial" w:hAnsi="Arial"/>
                <w:sz w:val="13"/>
                <w:szCs w:val="13"/>
                <w:b w:val="1"/>
                <w:bCs w:val="1"/>
                <w:color w:val="FEFEFE"/>
              </w:rPr>
              <w:t>Value</w:t>
            </w: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30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138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280" w:type="dxa"/>
            <w:vAlign w:val="bottom"/>
            <w:shd w:val="clear" w:color="auto" w:fill="000000"/>
          </w:tcPr>
          <w:p>
            <w:pPr>
              <w:spacing w:after="0"/>
              <w:rPr>
                <w:sz w:val="12"/>
                <w:szCs w:val="12"/>
                <w:color w:val="auto"/>
              </w:rPr>
            </w:pPr>
          </w:p>
        </w:tc>
        <w:tc>
          <w:tcPr>
            <w:tcW w:w="620" w:type="dxa"/>
            <w:vAlign w:val="bottom"/>
            <w:shd w:val="clear" w:color="auto" w:fill="000000"/>
          </w:tcPr>
          <w:p>
            <w:pPr>
              <w:jc w:val="center"/>
              <w:ind w:right="52"/>
              <w:spacing w:after="0"/>
              <w:rPr>
                <w:sz w:val="20"/>
                <w:szCs w:val="20"/>
                <w:color w:val="auto"/>
              </w:rPr>
            </w:pPr>
            <w:r>
              <w:rPr>
                <w:rFonts w:ascii="Arial" w:cs="Arial" w:eastAsia="Arial" w:hAnsi="Arial"/>
                <w:sz w:val="13"/>
                <w:szCs w:val="13"/>
                <w:b w:val="1"/>
                <w:bCs w:val="1"/>
                <w:color w:val="FEFEFE"/>
                <w:w w:val="96"/>
              </w:rPr>
              <w:t>Shares</w:t>
            </w:r>
          </w:p>
        </w:tc>
        <w:tc>
          <w:tcPr>
            <w:tcW w:w="52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900" w:type="dxa"/>
            <w:vAlign w:val="bottom"/>
            <w:shd w:val="clear" w:color="auto" w:fill="000000"/>
          </w:tcPr>
          <w:p>
            <w:pPr>
              <w:ind w:left="240"/>
              <w:spacing w:after="0"/>
              <w:rPr>
                <w:sz w:val="20"/>
                <w:szCs w:val="20"/>
                <w:color w:val="auto"/>
              </w:rPr>
            </w:pPr>
            <w:r>
              <w:rPr>
                <w:rFonts w:ascii="Arial" w:cs="Arial" w:eastAsia="Arial" w:hAnsi="Arial"/>
                <w:sz w:val="13"/>
                <w:szCs w:val="13"/>
                <w:b w:val="1"/>
                <w:bCs w:val="1"/>
                <w:color w:val="FEFEFE"/>
              </w:rPr>
              <w:t>at Vesting</w:t>
            </w:r>
          </w:p>
        </w:tc>
        <w:tc>
          <w:tcPr>
            <w:tcW w:w="54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82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Realized</w:t>
            </w: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30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1380" w:type="dxa"/>
            <w:vAlign w:val="bottom"/>
            <w:shd w:val="clear" w:color="auto" w:fill="000000"/>
          </w:tcPr>
          <w:p>
            <w:pPr>
              <w:spacing w:after="0"/>
              <w:rPr>
                <w:sz w:val="12"/>
                <w:szCs w:val="12"/>
                <w:color w:val="auto"/>
              </w:rPr>
            </w:pPr>
          </w:p>
        </w:tc>
        <w:tc>
          <w:tcPr>
            <w:tcW w:w="620" w:type="dxa"/>
            <w:vAlign w:val="bottom"/>
            <w:shd w:val="clear" w:color="auto" w:fill="000000"/>
          </w:tcPr>
          <w:p>
            <w:pPr>
              <w:spacing w:after="0"/>
              <w:rPr>
                <w:sz w:val="12"/>
                <w:szCs w:val="12"/>
                <w:color w:val="auto"/>
              </w:rPr>
            </w:pPr>
          </w:p>
        </w:tc>
        <w:tc>
          <w:tcPr>
            <w:tcW w:w="900" w:type="dxa"/>
            <w:vAlign w:val="bottom"/>
            <w:gridSpan w:val="2"/>
            <w:shd w:val="clear" w:color="auto" w:fill="000000"/>
          </w:tcPr>
          <w:p>
            <w:pPr>
              <w:jc w:val="center"/>
              <w:ind w:left="52"/>
              <w:spacing w:after="0"/>
              <w:rPr>
                <w:sz w:val="20"/>
                <w:szCs w:val="20"/>
                <w:color w:val="auto"/>
              </w:rPr>
            </w:pPr>
            <w:r>
              <w:rPr>
                <w:rFonts w:ascii="Arial" w:cs="Arial" w:eastAsia="Arial" w:hAnsi="Arial"/>
                <w:sz w:val="13"/>
                <w:szCs w:val="13"/>
                <w:b w:val="1"/>
                <w:bCs w:val="1"/>
                <w:color w:val="FEFEFE"/>
                <w:w w:val="97"/>
              </w:rPr>
              <w:t>Acquired on</w:t>
            </w:r>
          </w:p>
        </w:tc>
        <w:tc>
          <w:tcPr>
            <w:tcW w:w="52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900" w:type="dxa"/>
            <w:vAlign w:val="bottom"/>
            <w:shd w:val="clear" w:color="auto" w:fill="000000"/>
          </w:tcPr>
          <w:p>
            <w:pPr>
              <w:spacing w:after="0"/>
              <w:rPr>
                <w:sz w:val="12"/>
                <w:szCs w:val="12"/>
                <w:color w:val="auto"/>
              </w:rPr>
            </w:pPr>
          </w:p>
        </w:tc>
        <w:tc>
          <w:tcPr>
            <w:tcW w:w="54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1040" w:type="dxa"/>
            <w:vAlign w:val="bottom"/>
            <w:gridSpan w:val="2"/>
            <w:shd w:val="clear" w:color="auto" w:fill="000000"/>
          </w:tcPr>
          <w:p>
            <w:pPr>
              <w:ind w:left="160"/>
              <w:spacing w:after="0"/>
              <w:rPr>
                <w:sz w:val="20"/>
                <w:szCs w:val="20"/>
                <w:color w:val="auto"/>
              </w:rPr>
            </w:pPr>
            <w:r>
              <w:rPr>
                <w:rFonts w:ascii="Arial" w:cs="Arial" w:eastAsia="Arial" w:hAnsi="Arial"/>
                <w:sz w:val="13"/>
                <w:szCs w:val="13"/>
                <w:b w:val="1"/>
                <w:bCs w:val="1"/>
                <w:color w:val="FEFEFE"/>
              </w:rPr>
              <w:t>on Vesting</w:t>
            </w: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30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138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280" w:type="dxa"/>
            <w:vAlign w:val="bottom"/>
            <w:shd w:val="clear" w:color="auto" w:fill="000000"/>
          </w:tcPr>
          <w:p>
            <w:pPr>
              <w:spacing w:after="0"/>
              <w:rPr>
                <w:sz w:val="14"/>
                <w:szCs w:val="14"/>
                <w:color w:val="auto"/>
              </w:rPr>
            </w:pPr>
          </w:p>
        </w:tc>
        <w:tc>
          <w:tcPr>
            <w:tcW w:w="620" w:type="dxa"/>
            <w:vAlign w:val="bottom"/>
            <w:shd w:val="clear" w:color="auto" w:fill="000000"/>
          </w:tcPr>
          <w:p>
            <w:pPr>
              <w:jc w:val="center"/>
              <w:ind w:right="52"/>
              <w:spacing w:after="0"/>
              <w:rPr>
                <w:sz w:val="20"/>
                <w:szCs w:val="20"/>
                <w:color w:val="auto"/>
              </w:rPr>
            </w:pPr>
            <w:r>
              <w:rPr>
                <w:rFonts w:ascii="Arial" w:cs="Arial" w:eastAsia="Arial" w:hAnsi="Arial"/>
                <w:sz w:val="13"/>
                <w:szCs w:val="13"/>
                <w:b w:val="1"/>
                <w:bCs w:val="1"/>
                <w:color w:val="FEFEFE"/>
                <w:w w:val="97"/>
              </w:rPr>
              <w:t>Vesting</w:t>
            </w:r>
          </w:p>
        </w:tc>
        <w:tc>
          <w:tcPr>
            <w:tcW w:w="52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900" w:type="dxa"/>
            <w:vAlign w:val="bottom"/>
            <w:shd w:val="clear" w:color="auto" w:fill="000000"/>
          </w:tcPr>
          <w:p>
            <w:pPr>
              <w:spacing w:after="0"/>
              <w:rPr>
                <w:sz w:val="14"/>
                <w:szCs w:val="14"/>
                <w:color w:val="auto"/>
              </w:rPr>
            </w:pPr>
          </w:p>
        </w:tc>
        <w:tc>
          <w:tcPr>
            <w:tcW w:w="54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8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138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90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600" w:type="dxa"/>
            <w:vAlign w:val="bottom"/>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06/29/2021</w:t>
            </w:r>
            <w:r>
              <w:rPr>
                <w:rFonts w:ascii="Arial" w:cs="Arial" w:eastAsia="Arial" w:hAnsi="Arial"/>
                <w:sz w:val="28"/>
                <w:szCs w:val="28"/>
                <w:color w:val="auto"/>
                <w:vertAlign w:val="subscript"/>
              </w:rPr>
              <w:t>​</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​12/05/2022</w:t>
            </w:r>
            <w:r>
              <w:rPr>
                <w:rFonts w:ascii="Arial" w:cs="Arial" w:eastAsia="Arial" w:hAnsi="Arial"/>
                <w:sz w:val="28"/>
                <w:szCs w:val="28"/>
                <w:color w:val="auto"/>
                <w:vertAlign w:val="subscript"/>
              </w:rPr>
              <w:t>​</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41,313</w:t>
            </w: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center"/>
              <w:ind w:left="7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$ 10.15</w:t>
            </w: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perscript"/>
              </w:rPr>
              <w:t>$</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419,326</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4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300" w:type="dxa"/>
            <w:vAlign w:val="bottom"/>
            <w:tcBorders>
              <w:bottom w:val="single" w:sz="8" w:color="auto"/>
            </w:tcBorders>
            <w:shd w:val="clear" w:color="auto" w:fill="F7F7F7"/>
          </w:tcPr>
          <w:p>
            <w:pPr>
              <w:spacing w:after="0"/>
              <w:rPr>
                <w:sz w:val="24"/>
                <w:szCs w:val="24"/>
                <w:color w:val="auto"/>
              </w:rPr>
            </w:pPr>
          </w:p>
        </w:tc>
        <w:tc>
          <w:tcPr>
            <w:tcW w:w="6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​09/05/2022</w:t>
            </w:r>
            <w:r>
              <w:rPr>
                <w:rFonts w:ascii="Arial" w:cs="Arial" w:eastAsia="Arial" w:hAnsi="Arial"/>
                <w:sz w:val="28"/>
                <w:szCs w:val="28"/>
                <w:color w:val="auto"/>
                <w:vertAlign w:val="subscript"/>
              </w:rPr>
              <w:t>​</w:t>
            </w:r>
          </w:p>
        </w:tc>
        <w:tc>
          <w:tcPr>
            <w:tcW w:w="6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F7F7F7"/>
          </w:tcPr>
          <w:p>
            <w:pPr>
              <w:ind w:left="2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6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34,265</w:t>
            </w:r>
          </w:p>
        </w:tc>
        <w:tc>
          <w:tcPr>
            <w:tcW w:w="52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7F7F7"/>
          </w:tcPr>
          <w:p>
            <w:pPr>
              <w:jc w:val="center"/>
              <w:ind w:left="7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$ 15.16</w:t>
            </w:r>
          </w:p>
        </w:tc>
        <w:tc>
          <w:tcPr>
            <w:tcW w:w="5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w w:val="76"/>
                <w:vertAlign w:val="subscript"/>
              </w:rPr>
              <w:t>​</w:t>
            </w:r>
            <w:r>
              <w:rPr>
                <w:rFonts w:ascii="Arial" w:cs="Arial" w:eastAsia="Arial" w:hAnsi="Arial"/>
                <w:sz w:val="14"/>
                <w:szCs w:val="14"/>
                <w:color w:val="auto"/>
                <w:w w:val="76"/>
              </w:rPr>
              <w:t>$</w:t>
            </w:r>
          </w:p>
        </w:tc>
        <w:tc>
          <w:tcPr>
            <w:tcW w:w="82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519,457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​12/05/2022</w:t>
            </w:r>
            <w:r>
              <w:rPr>
                <w:rFonts w:ascii="Arial" w:cs="Arial" w:eastAsia="Arial" w:hAnsi="Arial"/>
                <w:sz w:val="28"/>
                <w:szCs w:val="28"/>
                <w:color w:val="auto"/>
                <w:vertAlign w:val="subscript"/>
              </w:rPr>
              <w:t>​</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17,132</w:t>
            </w: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center"/>
              <w:ind w:left="7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$ 10.15</w:t>
            </w: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72"/>
              </w:rPr>
              <w:t>​</w:t>
            </w:r>
            <w:r>
              <w:rPr>
                <w:rFonts w:ascii="Arial" w:cs="Arial" w:eastAsia="Arial" w:hAnsi="Arial"/>
                <w:sz w:val="22"/>
                <w:szCs w:val="22"/>
                <w:color w:val="auto"/>
                <w:w w:val="72"/>
                <w:vertAlign w:val="superscript"/>
              </w:rPr>
              <w:t>$</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173,889</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780" w:right="140" w:hanging="126"/>
        <w:spacing w:after="0" w:line="219" w:lineRule="auto"/>
        <w:tabs>
          <w:tab w:leader="none" w:pos="780" w:val="left"/>
        </w:tabs>
        <w:numPr>
          <w:ilvl w:val="0"/>
          <w:numId w:val="42"/>
        </w:numPr>
        <w:rPr>
          <w:rFonts w:ascii="Arial" w:cs="Arial" w:eastAsia="Arial" w:hAnsi="Arial"/>
          <w:sz w:val="15"/>
          <w:szCs w:val="15"/>
          <w:color w:val="auto"/>
          <w:vertAlign w:val="superscript"/>
        </w:rPr>
      </w:pPr>
      <w:r>
        <w:rPr>
          <w:rFonts w:ascii="Arial" w:cs="Arial" w:eastAsia="Arial" w:hAnsi="Arial"/>
          <w:sz w:val="10"/>
          <w:szCs w:val="10"/>
          <w:color w:val="auto"/>
        </w:rPr>
        <w:t>Computed as the aggregate dollar amount realized upon the vesting of RSUs granted to Mr. Bach, determined by multiplying the number of units vesting as of the applicable vesting date by the closing price of our Common Stock on the trading day prior to the applicable vesting date, as follows:</w:t>
      </w:r>
    </w:p>
    <w:p>
      <w:pPr>
        <w:spacing w:after="0" w:line="204"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2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940" w:type="dxa"/>
            <w:vAlign w:val="bottom"/>
            <w:shd w:val="clear" w:color="auto" w:fill="000000"/>
          </w:tcPr>
          <w:p>
            <w:pPr>
              <w:spacing w:after="0"/>
              <w:rPr>
                <w:sz w:val="13"/>
                <w:szCs w:val="13"/>
                <w:color w:val="auto"/>
              </w:rPr>
            </w:pPr>
          </w:p>
        </w:tc>
        <w:tc>
          <w:tcPr>
            <w:tcW w:w="32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60" w:type="dxa"/>
            <w:vAlign w:val="bottom"/>
            <w:shd w:val="clear" w:color="auto" w:fill="000000"/>
          </w:tcPr>
          <w:p>
            <w:pPr>
              <w:ind w:left="480"/>
              <w:spacing w:after="0"/>
              <w:rPr>
                <w:sz w:val="20"/>
                <w:szCs w:val="20"/>
                <w:color w:val="auto"/>
              </w:rPr>
            </w:pPr>
            <w:r>
              <w:rPr>
                <w:rFonts w:ascii="Arial" w:cs="Arial" w:eastAsia="Arial" w:hAnsi="Arial"/>
                <w:sz w:val="13"/>
                <w:szCs w:val="13"/>
                <w:b w:val="1"/>
                <w:bCs w:val="1"/>
                <w:color w:val="FEFEFE"/>
              </w:rPr>
              <w:t>​</w:t>
            </w:r>
          </w:p>
        </w:tc>
        <w:tc>
          <w:tcPr>
            <w:tcW w:w="1080" w:type="dxa"/>
            <w:vAlign w:val="bottom"/>
            <w:vMerge w:val="restart"/>
            <w:shd w:val="clear" w:color="auto" w:fill="000000"/>
          </w:tcPr>
          <w:p>
            <w:pPr>
              <w:ind w:left="140"/>
              <w:spacing w:after="0"/>
              <w:rPr>
                <w:sz w:val="20"/>
                <w:szCs w:val="20"/>
                <w:color w:val="auto"/>
              </w:rPr>
            </w:pPr>
            <w:r>
              <w:rPr>
                <w:rFonts w:ascii="Arial" w:cs="Arial" w:eastAsia="Arial" w:hAnsi="Arial"/>
                <w:sz w:val="13"/>
                <w:szCs w:val="13"/>
                <w:b w:val="1"/>
                <w:bCs w:val="1"/>
                <w:color w:val="FEFEFE"/>
              </w:rPr>
              <w:t>Vesting Date</w:t>
            </w:r>
          </w:p>
        </w:tc>
        <w:tc>
          <w:tcPr>
            <w:tcW w:w="66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w:t>
            </w:r>
          </w:p>
        </w:tc>
        <w:tc>
          <w:tcPr>
            <w:tcW w:w="62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spacing w:after="0"/>
              <w:rPr>
                <w:sz w:val="13"/>
                <w:szCs w:val="13"/>
                <w:color w:val="auto"/>
              </w:rPr>
            </w:pPr>
          </w:p>
        </w:tc>
        <w:tc>
          <w:tcPr>
            <w:tcW w:w="220" w:type="dxa"/>
            <w:vAlign w:val="bottom"/>
            <w:shd w:val="clear" w:color="auto" w:fill="000000"/>
          </w:tcPr>
          <w:p>
            <w:pPr>
              <w:spacing w:after="0"/>
              <w:rPr>
                <w:sz w:val="13"/>
                <w:szCs w:val="13"/>
                <w:color w:val="auto"/>
              </w:rPr>
            </w:pPr>
          </w:p>
        </w:tc>
        <w:tc>
          <w:tcPr>
            <w:tcW w:w="32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60" w:type="dxa"/>
            <w:vAlign w:val="bottom"/>
            <w:shd w:val="clear" w:color="auto" w:fill="000000"/>
          </w:tcPr>
          <w:p>
            <w:pPr>
              <w:ind w:left="480"/>
              <w:spacing w:after="0"/>
              <w:rPr>
                <w:sz w:val="20"/>
                <w:szCs w:val="20"/>
                <w:color w:val="auto"/>
              </w:rPr>
            </w:pPr>
            <w:r>
              <w:rPr>
                <w:rFonts w:ascii="Arial" w:cs="Arial" w:eastAsia="Arial" w:hAnsi="Arial"/>
                <w:sz w:val="13"/>
                <w:szCs w:val="13"/>
                <w:b w:val="1"/>
                <w:bCs w:val="1"/>
                <w:color w:val="FEFEFE"/>
              </w:rPr>
              <w:t>​</w:t>
            </w:r>
          </w:p>
        </w:tc>
        <w:tc>
          <w:tcPr>
            <w:tcW w:w="1100" w:type="dxa"/>
            <w:vAlign w:val="bottom"/>
            <w:shd w:val="clear" w:color="auto" w:fill="000000"/>
          </w:tcPr>
          <w:p>
            <w:pPr>
              <w:ind w:left="920"/>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000000"/>
          </w:tcPr>
          <w:p>
            <w:pPr>
              <w:ind w:left="460"/>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spacing w:after="0"/>
              <w:rPr>
                <w:sz w:val="13"/>
                <w:szCs w:val="13"/>
                <w:color w:val="auto"/>
              </w:rPr>
            </w:pPr>
          </w:p>
        </w:tc>
        <w:tc>
          <w:tcPr>
            <w:tcW w:w="8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9"/>
        </w:trPr>
        <w:tc>
          <w:tcPr>
            <w:tcW w:w="60" w:type="dxa"/>
            <w:vAlign w:val="bottom"/>
            <w:shd w:val="clear" w:color="auto" w:fill="000000"/>
          </w:tcPr>
          <w:p>
            <w:pPr>
              <w:spacing w:after="0"/>
              <w:rPr>
                <w:sz w:val="12"/>
                <w:szCs w:val="12"/>
                <w:color w:val="auto"/>
              </w:rPr>
            </w:pPr>
          </w:p>
        </w:tc>
        <w:tc>
          <w:tcPr>
            <w:tcW w:w="1140" w:type="dxa"/>
            <w:vAlign w:val="bottom"/>
            <w:gridSpan w:val="2"/>
            <w:shd w:val="clear" w:color="auto" w:fill="000000"/>
          </w:tcPr>
          <w:p>
            <w:pPr>
              <w:ind w:left="100"/>
              <w:spacing w:after="0"/>
              <w:rPr>
                <w:sz w:val="20"/>
                <w:szCs w:val="20"/>
                <w:color w:val="auto"/>
              </w:rPr>
            </w:pPr>
            <w:r>
              <w:rPr>
                <w:rFonts w:ascii="Arial" w:cs="Arial" w:eastAsia="Arial" w:hAnsi="Arial"/>
                <w:sz w:val="13"/>
                <w:szCs w:val="13"/>
                <w:b w:val="1"/>
                <w:bCs w:val="1"/>
                <w:color w:val="FEFEFE"/>
              </w:rPr>
              <w:t>Date of Award</w:t>
            </w:r>
          </w:p>
        </w:tc>
        <w:tc>
          <w:tcPr>
            <w:tcW w:w="320" w:type="dxa"/>
            <w:vAlign w:val="bottom"/>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080" w:type="dxa"/>
            <w:vAlign w:val="bottom"/>
            <w:vMerge w:val="continue"/>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220" w:type="dxa"/>
            <w:vAlign w:val="bottom"/>
            <w:gridSpan w:val="2"/>
            <w:shd w:val="clear" w:color="auto" w:fill="000000"/>
          </w:tcPr>
          <w:p>
            <w:pPr>
              <w:ind w:left="540"/>
              <w:spacing w:after="0"/>
              <w:rPr>
                <w:sz w:val="20"/>
                <w:szCs w:val="20"/>
                <w:color w:val="auto"/>
              </w:rPr>
            </w:pPr>
            <w:r>
              <w:rPr>
                <w:rFonts w:ascii="Arial" w:cs="Arial" w:eastAsia="Arial" w:hAnsi="Arial"/>
                <w:sz w:val="13"/>
                <w:szCs w:val="13"/>
                <w:b w:val="1"/>
                <w:bCs w:val="1"/>
                <w:color w:val="FEFEFE"/>
              </w:rPr>
              <w:t>Number of</w:t>
            </w:r>
          </w:p>
        </w:tc>
        <w:tc>
          <w:tcPr>
            <w:tcW w:w="22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10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Market</w:t>
            </w:r>
          </w:p>
        </w:tc>
        <w:tc>
          <w:tcPr>
            <w:tcW w:w="64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880" w:type="dxa"/>
            <w:vAlign w:val="bottom"/>
            <w:shd w:val="clear" w:color="auto" w:fill="000000"/>
          </w:tcPr>
          <w:p>
            <w:pPr>
              <w:jc w:val="center"/>
              <w:ind w:right="252"/>
              <w:spacing w:after="0"/>
              <w:rPr>
                <w:sz w:val="20"/>
                <w:szCs w:val="20"/>
                <w:color w:val="auto"/>
              </w:rPr>
            </w:pPr>
            <w:r>
              <w:rPr>
                <w:rFonts w:ascii="Arial" w:cs="Arial" w:eastAsia="Arial" w:hAnsi="Arial"/>
                <w:sz w:val="13"/>
                <w:szCs w:val="13"/>
                <w:b w:val="1"/>
                <w:bCs w:val="1"/>
                <w:color w:val="FEFEFE"/>
                <w:w w:val="92"/>
              </w:rPr>
              <w:t>Value</w:t>
            </w:r>
          </w:p>
        </w:tc>
        <w:tc>
          <w:tcPr>
            <w:tcW w:w="0" w:type="dxa"/>
            <w:vAlign w:val="bottom"/>
          </w:tcPr>
          <w:p>
            <w:pPr>
              <w:spacing w:after="0"/>
              <w:rPr>
                <w:sz w:val="1"/>
                <w:szCs w:val="1"/>
                <w:color w:val="auto"/>
              </w:rPr>
            </w:pPr>
          </w:p>
        </w:tc>
      </w:tr>
      <w:tr>
        <w:trPr>
          <w:trHeight w:val="135"/>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620" w:type="dxa"/>
            <w:vAlign w:val="bottom"/>
            <w:shd w:val="clear" w:color="auto" w:fill="000000"/>
          </w:tcPr>
          <w:p>
            <w:pPr>
              <w:spacing w:after="0"/>
              <w:rPr>
                <w:sz w:val="11"/>
                <w:szCs w:val="11"/>
                <w:color w:val="auto"/>
              </w:rPr>
            </w:pPr>
          </w:p>
        </w:tc>
        <w:tc>
          <w:tcPr>
            <w:tcW w:w="600" w:type="dxa"/>
            <w:vAlign w:val="bottom"/>
            <w:shd w:val="clear" w:color="auto" w:fill="000000"/>
          </w:tcPr>
          <w:p>
            <w:pPr>
              <w:jc w:val="center"/>
              <w:ind w:right="31"/>
              <w:spacing w:after="0" w:line="135" w:lineRule="exact"/>
              <w:rPr>
                <w:sz w:val="20"/>
                <w:szCs w:val="20"/>
                <w:color w:val="auto"/>
              </w:rPr>
            </w:pPr>
            <w:r>
              <w:rPr>
                <w:rFonts w:ascii="Arial" w:cs="Arial" w:eastAsia="Arial" w:hAnsi="Arial"/>
                <w:sz w:val="13"/>
                <w:szCs w:val="13"/>
                <w:b w:val="1"/>
                <w:bCs w:val="1"/>
                <w:color w:val="FEFEFE"/>
                <w:w w:val="96"/>
              </w:rPr>
              <w:t>Shares</w:t>
            </w:r>
          </w:p>
        </w:tc>
        <w:tc>
          <w:tcPr>
            <w:tcW w:w="22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1100" w:type="dxa"/>
            <w:vAlign w:val="bottom"/>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Price at</w:t>
            </w:r>
          </w:p>
        </w:tc>
        <w:tc>
          <w:tcPr>
            <w:tcW w:w="64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880" w:type="dxa"/>
            <w:vAlign w:val="bottom"/>
            <w:shd w:val="clear" w:color="auto" w:fill="000000"/>
          </w:tcPr>
          <w:p>
            <w:pPr>
              <w:jc w:val="center"/>
              <w:ind w:right="252"/>
              <w:spacing w:after="0" w:line="135" w:lineRule="exact"/>
              <w:rPr>
                <w:sz w:val="20"/>
                <w:szCs w:val="20"/>
                <w:color w:val="auto"/>
              </w:rPr>
            </w:pPr>
            <w:r>
              <w:rPr>
                <w:rFonts w:ascii="Arial" w:cs="Arial" w:eastAsia="Arial" w:hAnsi="Arial"/>
                <w:sz w:val="13"/>
                <w:szCs w:val="13"/>
                <w:b w:val="1"/>
                <w:bCs w:val="1"/>
                <w:color w:val="FEFEFE"/>
                <w:w w:val="98"/>
              </w:rPr>
              <w:t>Realized</w:t>
            </w: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080" w:type="dxa"/>
            <w:vAlign w:val="bottom"/>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220" w:type="dxa"/>
            <w:vAlign w:val="bottom"/>
            <w:gridSpan w:val="2"/>
            <w:shd w:val="clear" w:color="auto" w:fill="000000"/>
          </w:tcPr>
          <w:p>
            <w:pPr>
              <w:jc w:val="center"/>
              <w:ind w:left="411"/>
              <w:spacing w:after="0"/>
              <w:rPr>
                <w:sz w:val="20"/>
                <w:szCs w:val="20"/>
                <w:color w:val="auto"/>
              </w:rPr>
            </w:pPr>
            <w:r>
              <w:rPr>
                <w:rFonts w:ascii="Arial" w:cs="Arial" w:eastAsia="Arial" w:hAnsi="Arial"/>
                <w:sz w:val="13"/>
                <w:szCs w:val="13"/>
                <w:b w:val="1"/>
                <w:bCs w:val="1"/>
                <w:color w:val="FEFEFE"/>
                <w:w w:val="97"/>
              </w:rPr>
              <w:t>Acquired on</w:t>
            </w:r>
          </w:p>
        </w:tc>
        <w:tc>
          <w:tcPr>
            <w:tcW w:w="22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10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Vesting</w:t>
            </w:r>
          </w:p>
        </w:tc>
        <w:tc>
          <w:tcPr>
            <w:tcW w:w="640" w:type="dxa"/>
            <w:vAlign w:val="bottom"/>
            <w:shd w:val="clear" w:color="auto" w:fill="000000"/>
          </w:tcPr>
          <w:p>
            <w:pPr>
              <w:spacing w:after="0"/>
              <w:rPr>
                <w:sz w:val="12"/>
                <w:szCs w:val="12"/>
                <w:color w:val="auto"/>
              </w:rPr>
            </w:pPr>
          </w:p>
        </w:tc>
        <w:tc>
          <w:tcPr>
            <w:tcW w:w="11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on Vesting</w:t>
            </w: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320" w:type="dxa"/>
            <w:vAlign w:val="bottom"/>
            <w:shd w:val="clear" w:color="auto" w:fill="000000"/>
          </w:tcPr>
          <w:p>
            <w:pPr>
              <w:spacing w:after="0"/>
              <w:rPr>
                <w:sz w:val="14"/>
                <w:szCs w:val="14"/>
                <w:color w:val="auto"/>
              </w:rPr>
            </w:pPr>
          </w:p>
        </w:tc>
        <w:tc>
          <w:tcPr>
            <w:tcW w:w="66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660" w:type="dxa"/>
            <w:vAlign w:val="bottom"/>
            <w:shd w:val="clear" w:color="auto" w:fill="000000"/>
          </w:tcPr>
          <w:p>
            <w:pPr>
              <w:spacing w:after="0"/>
              <w:rPr>
                <w:sz w:val="14"/>
                <w:szCs w:val="14"/>
                <w:color w:val="auto"/>
              </w:rPr>
            </w:pPr>
          </w:p>
        </w:tc>
        <w:tc>
          <w:tcPr>
            <w:tcW w:w="620" w:type="dxa"/>
            <w:vAlign w:val="bottom"/>
            <w:shd w:val="clear" w:color="auto" w:fill="000000"/>
          </w:tcPr>
          <w:p>
            <w:pPr>
              <w:spacing w:after="0"/>
              <w:rPr>
                <w:sz w:val="14"/>
                <w:szCs w:val="14"/>
                <w:color w:val="auto"/>
              </w:rPr>
            </w:pPr>
          </w:p>
        </w:tc>
        <w:tc>
          <w:tcPr>
            <w:tcW w:w="600" w:type="dxa"/>
            <w:vAlign w:val="bottom"/>
            <w:shd w:val="clear" w:color="auto" w:fill="000000"/>
          </w:tcPr>
          <w:p>
            <w:pPr>
              <w:jc w:val="center"/>
              <w:ind w:right="51"/>
              <w:spacing w:after="0"/>
              <w:rPr>
                <w:sz w:val="20"/>
                <w:szCs w:val="20"/>
                <w:color w:val="auto"/>
              </w:rPr>
            </w:pPr>
            <w:r>
              <w:rPr>
                <w:rFonts w:ascii="Arial" w:cs="Arial" w:eastAsia="Arial" w:hAnsi="Arial"/>
                <w:sz w:val="13"/>
                <w:szCs w:val="13"/>
                <w:b w:val="1"/>
                <w:bCs w:val="1"/>
                <w:color w:val="FEFEFE"/>
                <w:w w:val="93"/>
              </w:rPr>
              <w:t>Vesting</w:t>
            </w:r>
          </w:p>
        </w:tc>
        <w:tc>
          <w:tcPr>
            <w:tcW w:w="220" w:type="dxa"/>
            <w:vAlign w:val="bottom"/>
            <w:shd w:val="clear" w:color="auto" w:fill="000000"/>
          </w:tcPr>
          <w:p>
            <w:pPr>
              <w:spacing w:after="0"/>
              <w:rPr>
                <w:sz w:val="14"/>
                <w:szCs w:val="14"/>
                <w:color w:val="auto"/>
              </w:rPr>
            </w:pPr>
          </w:p>
        </w:tc>
        <w:tc>
          <w:tcPr>
            <w:tcW w:w="320" w:type="dxa"/>
            <w:vAlign w:val="bottom"/>
            <w:shd w:val="clear" w:color="auto" w:fill="000000"/>
          </w:tcPr>
          <w:p>
            <w:pPr>
              <w:spacing w:after="0"/>
              <w:rPr>
                <w:sz w:val="14"/>
                <w:szCs w:val="14"/>
                <w:color w:val="auto"/>
              </w:rPr>
            </w:pPr>
          </w:p>
        </w:tc>
        <w:tc>
          <w:tcPr>
            <w:tcW w:w="660" w:type="dxa"/>
            <w:vAlign w:val="bottom"/>
            <w:shd w:val="clear" w:color="auto" w:fill="000000"/>
          </w:tcPr>
          <w:p>
            <w:pPr>
              <w:spacing w:after="0"/>
              <w:rPr>
                <w:sz w:val="14"/>
                <w:szCs w:val="14"/>
                <w:color w:val="auto"/>
              </w:rPr>
            </w:pPr>
          </w:p>
        </w:tc>
        <w:tc>
          <w:tcPr>
            <w:tcW w:w="1100" w:type="dxa"/>
            <w:vAlign w:val="bottom"/>
            <w:shd w:val="clear" w:color="auto" w:fill="000000"/>
          </w:tcPr>
          <w:p>
            <w:pPr>
              <w:spacing w:after="0"/>
              <w:rPr>
                <w:sz w:val="14"/>
                <w:szCs w:val="14"/>
                <w:color w:val="auto"/>
              </w:rPr>
            </w:pPr>
          </w:p>
        </w:tc>
        <w:tc>
          <w:tcPr>
            <w:tcW w:w="64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8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1220" w:type="dxa"/>
            <w:vAlign w:val="bottom"/>
            <w:gridSpan w:val="2"/>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60" w:type="dxa"/>
            <w:vAlign w:val="bottom"/>
            <w:shd w:val="clear" w:color="auto" w:fill="000000"/>
          </w:tcPr>
          <w:p>
            <w:pPr>
              <w:spacing w:after="0"/>
              <w:rPr>
                <w:sz w:val="11"/>
                <w:szCs w:val="11"/>
                <w:color w:val="auto"/>
              </w:rPr>
            </w:pPr>
          </w:p>
        </w:tc>
        <w:tc>
          <w:tcPr>
            <w:tcW w:w="110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140" w:type="dxa"/>
            <w:vAlign w:val="bottom"/>
            <w:gridSpan w:val="2"/>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41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02/22/2021</w:t>
            </w:r>
            <w:r>
              <w:rPr>
                <w:rFonts w:ascii="Arial" w:cs="Arial" w:eastAsia="Arial" w:hAnsi="Arial"/>
                <w:sz w:val="28"/>
                <w:szCs w:val="28"/>
                <w:color w:val="auto"/>
                <w:vertAlign w:val="subscript"/>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​08/05/2022</w:t>
            </w:r>
            <w:r>
              <w:rPr>
                <w:rFonts w:ascii="Arial" w:cs="Arial" w:eastAsia="Arial" w:hAnsi="Arial"/>
                <w:sz w:val="28"/>
                <w:szCs w:val="28"/>
                <w:color w:val="auto"/>
                <w:vertAlign w:val="subscript"/>
              </w:rPr>
              <w:t>​</w:t>
            </w: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206,565</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$18.56</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$ 3,833,846</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02/22/2021</w:t>
            </w:r>
            <w:r>
              <w:rPr>
                <w:rFonts w:ascii="Arial" w:cs="Arial" w:eastAsia="Arial" w:hAnsi="Arial"/>
                <w:sz w:val="28"/>
                <w:szCs w:val="28"/>
                <w:color w:val="auto"/>
                <w:vertAlign w:val="subscript"/>
              </w:rPr>
              <w:t>​</w:t>
            </w:r>
          </w:p>
        </w:tc>
        <w:tc>
          <w:tcPr>
            <w:tcW w:w="320" w:type="dxa"/>
            <w:vAlign w:val="bottom"/>
            <w:tcBorders>
              <w:bottom w:val="single" w:sz="8" w:color="auto"/>
            </w:tcBorders>
            <w:shd w:val="clear" w:color="auto" w:fill="F7F7F7"/>
          </w:tcPr>
          <w:p>
            <w:pPr>
              <w:spacing w:after="0"/>
              <w:rPr>
                <w:sz w:val="24"/>
                <w:szCs w:val="24"/>
                <w:color w:val="auto"/>
              </w:rPr>
            </w:pPr>
          </w:p>
        </w:tc>
        <w:tc>
          <w:tcPr>
            <w:tcW w:w="660" w:type="dxa"/>
            <w:vAlign w:val="bottom"/>
            <w:tcBorders>
              <w:bottom w:val="single" w:sz="8" w:color="auto"/>
            </w:tcBorders>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​09/05/2022</w:t>
            </w:r>
            <w:r>
              <w:rPr>
                <w:rFonts w:ascii="Arial" w:cs="Arial" w:eastAsia="Arial" w:hAnsi="Arial"/>
                <w:sz w:val="28"/>
                <w:szCs w:val="28"/>
                <w:color w:val="auto"/>
                <w:vertAlign w:val="subscript"/>
              </w:rPr>
              <w:t>​</w:t>
            </w:r>
          </w:p>
        </w:tc>
        <w:tc>
          <w:tcPr>
            <w:tcW w:w="660" w:type="dxa"/>
            <w:vAlign w:val="bottom"/>
            <w:tcBorders>
              <w:bottom w:val="single" w:sz="8" w:color="auto"/>
            </w:tcBorders>
            <w:shd w:val="clear" w:color="auto" w:fill="F7F7F7"/>
          </w:tcPr>
          <w:p>
            <w:pPr>
              <w:ind w:left="4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F7F7F7"/>
          </w:tcPr>
          <w:p>
            <w:pPr>
              <w:ind w:left="5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41,313</w:t>
            </w:r>
          </w:p>
        </w:tc>
        <w:tc>
          <w:tcPr>
            <w:tcW w:w="2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F7F7F7"/>
          </w:tcPr>
          <w:p>
            <w:pPr>
              <w:spacing w:after="0"/>
              <w:rPr>
                <w:sz w:val="24"/>
                <w:szCs w:val="24"/>
                <w:color w:val="auto"/>
              </w:rPr>
            </w:pPr>
          </w:p>
        </w:tc>
        <w:tc>
          <w:tcPr>
            <w:tcW w:w="6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$15.16</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F7F7F7"/>
          </w:tcPr>
          <w:p>
            <w:pPr>
              <w:ind w:left="16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880" w:type="dxa"/>
            <w:vAlign w:val="bottom"/>
            <w:tcBorders>
              <w:bottom w:val="single" w:sz="8" w:color="auto"/>
            </w:tcBorders>
            <w:shd w:val="clear" w:color="auto" w:fill="F7F7F7"/>
          </w:tcPr>
          <w:p>
            <w:pPr>
              <w:jc w:val="right"/>
              <w:ind w:right="92"/>
              <w:spacing w:after="0"/>
              <w:rPr>
                <w:sz w:val="20"/>
                <w:szCs w:val="20"/>
                <w:color w:val="auto"/>
              </w:rPr>
            </w:pPr>
            <w:r>
              <w:rPr>
                <w:rFonts w:ascii="Arial" w:cs="Arial" w:eastAsia="Arial" w:hAnsi="Arial"/>
                <w:sz w:val="14"/>
                <w:szCs w:val="14"/>
                <w:color w:val="auto"/>
              </w:rPr>
              <w:t>626,305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02/22/2021</w:t>
            </w:r>
            <w:r>
              <w:rPr>
                <w:rFonts w:ascii="Arial" w:cs="Arial" w:eastAsia="Arial" w:hAnsi="Arial"/>
                <w:sz w:val="28"/>
                <w:szCs w:val="28"/>
                <w:color w:val="auto"/>
                <w:vertAlign w:val="subscript"/>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​12/05/2022</w:t>
            </w:r>
            <w:r>
              <w:rPr>
                <w:rFonts w:ascii="Arial" w:cs="Arial" w:eastAsia="Arial" w:hAnsi="Arial"/>
                <w:sz w:val="28"/>
                <w:szCs w:val="28"/>
                <w:color w:val="auto"/>
                <w:vertAlign w:val="subscript"/>
              </w:rPr>
              <w:t>​</w:t>
            </w: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41,313</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$10.15</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419,326</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320" w:type="dxa"/>
            <w:vAlign w:val="bottom"/>
            <w:tcBorders>
              <w:bottom w:val="single" w:sz="8" w:color="auto"/>
            </w:tcBorders>
            <w:shd w:val="clear" w:color="auto" w:fill="F7F7F7"/>
          </w:tcPr>
          <w:p>
            <w:pPr>
              <w:spacing w:after="0"/>
              <w:rPr>
                <w:sz w:val="24"/>
                <w:szCs w:val="24"/>
                <w:color w:val="auto"/>
              </w:rPr>
            </w:pPr>
          </w:p>
        </w:tc>
        <w:tc>
          <w:tcPr>
            <w:tcW w:w="660" w:type="dxa"/>
            <w:vAlign w:val="bottom"/>
            <w:tcBorders>
              <w:bottom w:val="single" w:sz="8" w:color="auto"/>
            </w:tcBorders>
            <w:shd w:val="clear" w:color="auto" w:fill="F7F7F7"/>
          </w:tcPr>
          <w:p>
            <w:pPr>
              <w:ind w:lef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​09/05/2022</w:t>
            </w:r>
            <w:r>
              <w:rPr>
                <w:rFonts w:ascii="Arial" w:cs="Arial" w:eastAsia="Arial" w:hAnsi="Arial"/>
                <w:sz w:val="28"/>
                <w:szCs w:val="28"/>
                <w:color w:val="auto"/>
                <w:vertAlign w:val="subscript"/>
              </w:rPr>
              <w:t>​</w:t>
            </w:r>
          </w:p>
        </w:tc>
        <w:tc>
          <w:tcPr>
            <w:tcW w:w="660" w:type="dxa"/>
            <w:vAlign w:val="bottom"/>
            <w:tcBorders>
              <w:bottom w:val="single" w:sz="8" w:color="auto"/>
            </w:tcBorders>
            <w:shd w:val="clear" w:color="auto" w:fill="F7F7F7"/>
          </w:tcPr>
          <w:p>
            <w:pPr>
              <w:ind w:left="4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F7F7F7"/>
          </w:tcPr>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34,265</w:t>
            </w:r>
          </w:p>
        </w:tc>
        <w:tc>
          <w:tcPr>
            <w:tcW w:w="2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F7F7F7"/>
          </w:tcPr>
          <w:p>
            <w:pPr>
              <w:spacing w:after="0"/>
              <w:rPr>
                <w:sz w:val="24"/>
                <w:szCs w:val="24"/>
                <w:color w:val="auto"/>
              </w:rPr>
            </w:pPr>
          </w:p>
        </w:tc>
        <w:tc>
          <w:tcPr>
            <w:tcW w:w="66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$15.16</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F7F7F7"/>
          </w:tcPr>
          <w:p>
            <w:pPr>
              <w:ind w:left="160"/>
              <w:spacing w:after="0"/>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880" w:type="dxa"/>
            <w:vAlign w:val="bottom"/>
            <w:tcBorders>
              <w:bottom w:val="single" w:sz="8" w:color="auto"/>
            </w:tcBorders>
            <w:shd w:val="clear" w:color="auto" w:fill="F7F7F7"/>
          </w:tcPr>
          <w:p>
            <w:pPr>
              <w:jc w:val="right"/>
              <w:ind w:right="92"/>
              <w:spacing w:after="0"/>
              <w:rPr>
                <w:sz w:val="20"/>
                <w:szCs w:val="20"/>
                <w:color w:val="auto"/>
              </w:rPr>
            </w:pPr>
            <w:r>
              <w:rPr>
                <w:rFonts w:ascii="Arial" w:cs="Arial" w:eastAsia="Arial" w:hAnsi="Arial"/>
                <w:sz w:val="14"/>
                <w:szCs w:val="14"/>
                <w:color w:val="auto"/>
              </w:rPr>
              <w:t>519,457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​12/05/2022</w:t>
            </w:r>
            <w:r>
              <w:rPr>
                <w:rFonts w:ascii="Arial" w:cs="Arial" w:eastAsia="Arial" w:hAnsi="Arial"/>
                <w:sz w:val="28"/>
                <w:szCs w:val="28"/>
                <w:color w:val="auto"/>
                <w:vertAlign w:val="subscript"/>
              </w:rPr>
              <w:t>​</w:t>
            </w: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17,132</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$10.15</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173,889</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780" w:right="200" w:hanging="126"/>
        <w:spacing w:after="0" w:line="231" w:lineRule="auto"/>
        <w:tabs>
          <w:tab w:leader="none" w:pos="780" w:val="left"/>
        </w:tabs>
        <w:numPr>
          <w:ilvl w:val="0"/>
          <w:numId w:val="43"/>
        </w:numPr>
        <w:rPr>
          <w:rFonts w:ascii="Arial" w:cs="Arial" w:eastAsia="Arial" w:hAnsi="Arial"/>
          <w:sz w:val="15"/>
          <w:szCs w:val="15"/>
          <w:color w:val="auto"/>
          <w:vertAlign w:val="superscript"/>
        </w:rPr>
      </w:pPr>
      <w:r>
        <w:rPr>
          <w:rFonts w:ascii="Arial" w:cs="Arial" w:eastAsia="Arial" w:hAnsi="Arial"/>
          <w:sz w:val="10"/>
          <w:szCs w:val="10"/>
          <w:color w:val="auto"/>
        </w:rPr>
        <w:t>Computed as the aggregate dollar amount realized upon the vesting of RSUs granted to Mr. Bell, determined by multiplying the number of units vesting as of the applicable vesting date by the closing price of our Common Stock on the trading day prior to the applicable vesting date, as follows:</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940" w:type="dxa"/>
            <w:vAlign w:val="bottom"/>
            <w:shd w:val="clear" w:color="auto" w:fill="000000"/>
          </w:tcPr>
          <w:p>
            <w:pPr>
              <w:spacing w:after="0"/>
              <w:rPr>
                <w:sz w:val="12"/>
                <w:szCs w:val="12"/>
                <w:color w:val="auto"/>
              </w:rPr>
            </w:pPr>
          </w:p>
        </w:tc>
        <w:tc>
          <w:tcPr>
            <w:tcW w:w="32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000000"/>
          </w:tcPr>
          <w:p>
            <w:pPr>
              <w:ind w:left="460"/>
              <w:spacing w:after="0"/>
              <w:rPr>
                <w:sz w:val="20"/>
                <w:szCs w:val="20"/>
                <w:color w:val="auto"/>
              </w:rPr>
            </w:pPr>
            <w:r>
              <w:rPr>
                <w:rFonts w:ascii="Arial" w:cs="Arial" w:eastAsia="Arial" w:hAnsi="Arial"/>
                <w:sz w:val="13"/>
                <w:szCs w:val="13"/>
                <w:b w:val="1"/>
                <w:bCs w:val="1"/>
                <w:color w:val="FEFEFE"/>
              </w:rPr>
              <w:t>​</w:t>
            </w:r>
          </w:p>
        </w:tc>
        <w:tc>
          <w:tcPr>
            <w:tcW w:w="1080" w:type="dxa"/>
            <w:vAlign w:val="bottom"/>
            <w:vMerge w:val="restart"/>
            <w:shd w:val="clear" w:color="auto" w:fill="000000"/>
          </w:tcPr>
          <w:p>
            <w:pPr>
              <w:ind w:left="140"/>
              <w:spacing w:after="0"/>
              <w:rPr>
                <w:sz w:val="20"/>
                <w:szCs w:val="20"/>
                <w:color w:val="auto"/>
              </w:rPr>
            </w:pPr>
            <w:r>
              <w:rPr>
                <w:rFonts w:ascii="Arial" w:cs="Arial" w:eastAsia="Arial" w:hAnsi="Arial"/>
                <w:sz w:val="13"/>
                <w:szCs w:val="13"/>
                <w:b w:val="1"/>
                <w:bCs w:val="1"/>
                <w:color w:val="FEFEFE"/>
              </w:rPr>
              <w:t>Vesting Date</w:t>
            </w:r>
          </w:p>
        </w:tc>
        <w:tc>
          <w:tcPr>
            <w:tcW w:w="64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00" w:type="dxa"/>
            <w:vAlign w:val="bottom"/>
            <w:shd w:val="clear" w:color="auto" w:fill="000000"/>
          </w:tcPr>
          <w:p>
            <w:pPr>
              <w:spacing w:after="0"/>
              <w:rPr>
                <w:sz w:val="12"/>
                <w:szCs w:val="12"/>
                <w:color w:val="auto"/>
              </w:rPr>
            </w:pPr>
          </w:p>
        </w:tc>
        <w:tc>
          <w:tcPr>
            <w:tcW w:w="220" w:type="dxa"/>
            <w:vAlign w:val="bottom"/>
            <w:shd w:val="clear" w:color="auto" w:fill="000000"/>
          </w:tcPr>
          <w:p>
            <w:pPr>
              <w:spacing w:after="0"/>
              <w:rPr>
                <w:sz w:val="12"/>
                <w:szCs w:val="12"/>
                <w:color w:val="auto"/>
              </w:rPr>
            </w:pPr>
          </w:p>
        </w:tc>
        <w:tc>
          <w:tcPr>
            <w:tcW w:w="32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000000"/>
          </w:tcPr>
          <w:p>
            <w:pPr>
              <w:ind w:left="460"/>
              <w:spacing w:after="0"/>
              <w:rPr>
                <w:sz w:val="20"/>
                <w:szCs w:val="20"/>
                <w:color w:val="auto"/>
              </w:rPr>
            </w:pPr>
            <w:r>
              <w:rPr>
                <w:rFonts w:ascii="Arial" w:cs="Arial" w:eastAsia="Arial" w:hAnsi="Arial"/>
                <w:sz w:val="13"/>
                <w:szCs w:val="13"/>
                <w:b w:val="1"/>
                <w:bCs w:val="1"/>
                <w:color w:val="FEFEFE"/>
              </w:rPr>
              <w:t>​</w:t>
            </w:r>
          </w:p>
        </w:tc>
        <w:tc>
          <w:tcPr>
            <w:tcW w:w="1100" w:type="dxa"/>
            <w:vAlign w:val="bottom"/>
            <w:shd w:val="clear" w:color="auto" w:fill="000000"/>
          </w:tcPr>
          <w:p>
            <w:pPr>
              <w:ind w:left="920"/>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000000"/>
          </w:tcPr>
          <w:p>
            <w:pPr>
              <w:ind w:left="460"/>
              <w:spacing w:after="0"/>
              <w:rPr>
                <w:sz w:val="20"/>
                <w:szCs w:val="20"/>
                <w:color w:val="auto"/>
              </w:rPr>
            </w:pPr>
            <w:r>
              <w:rPr>
                <w:rFonts w:ascii="Arial" w:cs="Arial" w:eastAsia="Arial" w:hAnsi="Arial"/>
                <w:sz w:val="13"/>
                <w:szCs w:val="13"/>
                <w:b w:val="1"/>
                <w:bCs w:val="1"/>
                <w:color w:val="FEFEFE"/>
              </w:rPr>
              <w:t>​</w:t>
            </w:r>
          </w:p>
        </w:tc>
        <w:tc>
          <w:tcPr>
            <w:tcW w:w="240" w:type="dxa"/>
            <w:vAlign w:val="bottom"/>
            <w:shd w:val="clear" w:color="auto" w:fill="000000"/>
          </w:tcPr>
          <w:p>
            <w:pPr>
              <w:spacing w:after="0"/>
              <w:rPr>
                <w:sz w:val="12"/>
                <w:szCs w:val="12"/>
                <w:color w:val="auto"/>
              </w:rPr>
            </w:pPr>
          </w:p>
        </w:tc>
        <w:tc>
          <w:tcPr>
            <w:tcW w:w="9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1140" w:type="dxa"/>
            <w:vAlign w:val="bottom"/>
            <w:gridSpan w:val="2"/>
            <w:shd w:val="clear" w:color="auto" w:fill="000000"/>
          </w:tcPr>
          <w:p>
            <w:pPr>
              <w:ind w:left="100"/>
              <w:spacing w:after="0"/>
              <w:rPr>
                <w:sz w:val="20"/>
                <w:szCs w:val="20"/>
                <w:color w:val="auto"/>
              </w:rPr>
            </w:pPr>
            <w:r>
              <w:rPr>
                <w:rFonts w:ascii="Arial" w:cs="Arial" w:eastAsia="Arial" w:hAnsi="Arial"/>
                <w:sz w:val="13"/>
                <w:szCs w:val="13"/>
                <w:b w:val="1"/>
                <w:bCs w:val="1"/>
                <w:color w:val="FEFEFE"/>
              </w:rPr>
              <w:t>Date of Award</w:t>
            </w:r>
          </w:p>
        </w:tc>
        <w:tc>
          <w:tcPr>
            <w:tcW w:w="320" w:type="dxa"/>
            <w:vAlign w:val="bottom"/>
            <w:shd w:val="clear" w:color="auto" w:fill="000000"/>
          </w:tcPr>
          <w:p>
            <w:pPr>
              <w:spacing w:after="0"/>
              <w:rPr>
                <w:sz w:val="12"/>
                <w:szCs w:val="12"/>
                <w:color w:val="auto"/>
              </w:rPr>
            </w:pPr>
          </w:p>
        </w:tc>
        <w:tc>
          <w:tcPr>
            <w:tcW w:w="640" w:type="dxa"/>
            <w:vAlign w:val="bottom"/>
            <w:shd w:val="clear" w:color="auto" w:fill="000000"/>
          </w:tcPr>
          <w:p>
            <w:pPr>
              <w:spacing w:after="0"/>
              <w:rPr>
                <w:sz w:val="12"/>
                <w:szCs w:val="12"/>
                <w:color w:val="auto"/>
              </w:rPr>
            </w:pPr>
          </w:p>
        </w:tc>
        <w:tc>
          <w:tcPr>
            <w:tcW w:w="1080" w:type="dxa"/>
            <w:vAlign w:val="bottom"/>
            <w:vMerge w:val="continue"/>
            <w:shd w:val="clear" w:color="auto" w:fill="000000"/>
          </w:tcPr>
          <w:p>
            <w:pPr>
              <w:spacing w:after="0"/>
              <w:rPr>
                <w:sz w:val="12"/>
                <w:szCs w:val="12"/>
                <w:color w:val="auto"/>
              </w:rPr>
            </w:pPr>
          </w:p>
        </w:tc>
        <w:tc>
          <w:tcPr>
            <w:tcW w:w="64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ind w:left="540"/>
              <w:spacing w:after="0"/>
              <w:rPr>
                <w:sz w:val="20"/>
                <w:szCs w:val="20"/>
                <w:color w:val="auto"/>
              </w:rPr>
            </w:pPr>
            <w:r>
              <w:rPr>
                <w:rFonts w:ascii="Arial" w:cs="Arial" w:eastAsia="Arial" w:hAnsi="Arial"/>
                <w:sz w:val="13"/>
                <w:szCs w:val="13"/>
                <w:b w:val="1"/>
                <w:bCs w:val="1"/>
                <w:color w:val="FEFEFE"/>
                <w:w w:val="98"/>
              </w:rPr>
              <w:t>Number of</w:t>
            </w:r>
          </w:p>
        </w:tc>
        <w:tc>
          <w:tcPr>
            <w:tcW w:w="22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640" w:type="dxa"/>
            <w:vAlign w:val="bottom"/>
            <w:shd w:val="clear" w:color="auto" w:fill="000000"/>
          </w:tcPr>
          <w:p>
            <w:pPr>
              <w:spacing w:after="0"/>
              <w:rPr>
                <w:sz w:val="12"/>
                <w:szCs w:val="12"/>
                <w:color w:val="auto"/>
              </w:rPr>
            </w:pPr>
          </w:p>
        </w:tc>
        <w:tc>
          <w:tcPr>
            <w:tcW w:w="110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Market</w:t>
            </w:r>
          </w:p>
        </w:tc>
        <w:tc>
          <w:tcPr>
            <w:tcW w:w="64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980" w:type="dxa"/>
            <w:vAlign w:val="bottom"/>
            <w:shd w:val="clear" w:color="auto" w:fill="000000"/>
          </w:tcPr>
          <w:p>
            <w:pPr>
              <w:jc w:val="center"/>
              <w:ind w:right="233"/>
              <w:spacing w:after="0"/>
              <w:rPr>
                <w:sz w:val="20"/>
                <w:szCs w:val="20"/>
                <w:color w:val="auto"/>
              </w:rPr>
            </w:pPr>
            <w:r>
              <w:rPr>
                <w:rFonts w:ascii="Arial" w:cs="Arial" w:eastAsia="Arial" w:hAnsi="Arial"/>
                <w:sz w:val="13"/>
                <w:szCs w:val="13"/>
                <w:b w:val="1"/>
                <w:bCs w:val="1"/>
                <w:color w:val="FEFEFE"/>
                <w:w w:val="92"/>
              </w:rPr>
              <w:t>Value</w:t>
            </w: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640" w:type="dxa"/>
            <w:vAlign w:val="bottom"/>
            <w:shd w:val="clear" w:color="auto" w:fill="000000"/>
          </w:tcPr>
          <w:p>
            <w:pPr>
              <w:spacing w:after="0"/>
              <w:rPr>
                <w:sz w:val="12"/>
                <w:szCs w:val="12"/>
                <w:color w:val="auto"/>
              </w:rPr>
            </w:pPr>
          </w:p>
        </w:tc>
        <w:tc>
          <w:tcPr>
            <w:tcW w:w="1080" w:type="dxa"/>
            <w:vAlign w:val="bottom"/>
            <w:shd w:val="clear" w:color="auto" w:fill="000000"/>
          </w:tcPr>
          <w:p>
            <w:pPr>
              <w:spacing w:after="0"/>
              <w:rPr>
                <w:sz w:val="12"/>
                <w:szCs w:val="12"/>
                <w:color w:val="auto"/>
              </w:rPr>
            </w:pPr>
          </w:p>
        </w:tc>
        <w:tc>
          <w:tcPr>
            <w:tcW w:w="640" w:type="dxa"/>
            <w:vAlign w:val="bottom"/>
            <w:shd w:val="clear" w:color="auto" w:fill="000000"/>
          </w:tcPr>
          <w:p>
            <w:pPr>
              <w:spacing w:after="0"/>
              <w:rPr>
                <w:sz w:val="12"/>
                <w:szCs w:val="12"/>
                <w:color w:val="auto"/>
              </w:rPr>
            </w:pPr>
          </w:p>
        </w:tc>
        <w:tc>
          <w:tcPr>
            <w:tcW w:w="600" w:type="dxa"/>
            <w:vAlign w:val="bottom"/>
            <w:shd w:val="clear" w:color="auto" w:fill="000000"/>
          </w:tcPr>
          <w:p>
            <w:pPr>
              <w:spacing w:after="0"/>
              <w:rPr>
                <w:sz w:val="12"/>
                <w:szCs w:val="12"/>
                <w:color w:val="auto"/>
              </w:rPr>
            </w:pPr>
          </w:p>
        </w:tc>
        <w:tc>
          <w:tcPr>
            <w:tcW w:w="600" w:type="dxa"/>
            <w:vAlign w:val="bottom"/>
            <w:shd w:val="clear" w:color="auto" w:fill="000000"/>
          </w:tcPr>
          <w:p>
            <w:pPr>
              <w:jc w:val="center"/>
              <w:ind w:right="31"/>
              <w:spacing w:after="0"/>
              <w:rPr>
                <w:sz w:val="20"/>
                <w:szCs w:val="20"/>
                <w:color w:val="auto"/>
              </w:rPr>
            </w:pPr>
            <w:r>
              <w:rPr>
                <w:rFonts w:ascii="Arial" w:cs="Arial" w:eastAsia="Arial" w:hAnsi="Arial"/>
                <w:sz w:val="13"/>
                <w:szCs w:val="13"/>
                <w:b w:val="1"/>
                <w:bCs w:val="1"/>
                <w:color w:val="FEFEFE"/>
                <w:w w:val="96"/>
              </w:rPr>
              <w:t>Shares</w:t>
            </w:r>
          </w:p>
        </w:tc>
        <w:tc>
          <w:tcPr>
            <w:tcW w:w="220" w:type="dxa"/>
            <w:vAlign w:val="bottom"/>
            <w:shd w:val="clear" w:color="auto" w:fill="000000"/>
          </w:tcPr>
          <w:p>
            <w:pPr>
              <w:spacing w:after="0"/>
              <w:rPr>
                <w:sz w:val="12"/>
                <w:szCs w:val="12"/>
                <w:color w:val="auto"/>
              </w:rPr>
            </w:pPr>
          </w:p>
        </w:tc>
        <w:tc>
          <w:tcPr>
            <w:tcW w:w="320" w:type="dxa"/>
            <w:vAlign w:val="bottom"/>
            <w:shd w:val="clear" w:color="auto" w:fill="000000"/>
          </w:tcPr>
          <w:p>
            <w:pPr>
              <w:spacing w:after="0"/>
              <w:rPr>
                <w:sz w:val="12"/>
                <w:szCs w:val="12"/>
                <w:color w:val="auto"/>
              </w:rPr>
            </w:pPr>
          </w:p>
        </w:tc>
        <w:tc>
          <w:tcPr>
            <w:tcW w:w="640" w:type="dxa"/>
            <w:vAlign w:val="bottom"/>
            <w:shd w:val="clear" w:color="auto" w:fill="000000"/>
          </w:tcPr>
          <w:p>
            <w:pPr>
              <w:spacing w:after="0"/>
              <w:rPr>
                <w:sz w:val="12"/>
                <w:szCs w:val="12"/>
                <w:color w:val="auto"/>
              </w:rPr>
            </w:pPr>
          </w:p>
        </w:tc>
        <w:tc>
          <w:tcPr>
            <w:tcW w:w="110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Price at</w:t>
            </w:r>
          </w:p>
        </w:tc>
        <w:tc>
          <w:tcPr>
            <w:tcW w:w="64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980" w:type="dxa"/>
            <w:vAlign w:val="bottom"/>
            <w:shd w:val="clear" w:color="auto" w:fill="000000"/>
          </w:tcPr>
          <w:p>
            <w:pPr>
              <w:jc w:val="center"/>
              <w:ind w:right="233"/>
              <w:spacing w:after="0"/>
              <w:rPr>
                <w:sz w:val="20"/>
                <w:szCs w:val="20"/>
                <w:color w:val="auto"/>
              </w:rPr>
            </w:pPr>
            <w:r>
              <w:rPr>
                <w:rFonts w:ascii="Arial" w:cs="Arial" w:eastAsia="Arial" w:hAnsi="Arial"/>
                <w:sz w:val="13"/>
                <w:szCs w:val="13"/>
                <w:b w:val="1"/>
                <w:bCs w:val="1"/>
                <w:color w:val="FEFEFE"/>
                <w:w w:val="98"/>
              </w:rPr>
              <w:t>Realized</w:t>
            </w:r>
          </w:p>
        </w:tc>
        <w:tc>
          <w:tcPr>
            <w:tcW w:w="0" w:type="dxa"/>
            <w:vAlign w:val="bottom"/>
          </w:tcPr>
          <w:p>
            <w:pPr>
              <w:spacing w:after="0"/>
              <w:rPr>
                <w:sz w:val="1"/>
                <w:szCs w:val="1"/>
                <w:color w:val="auto"/>
              </w:rPr>
            </w:pPr>
          </w:p>
        </w:tc>
      </w:tr>
      <w:tr>
        <w:trPr>
          <w:trHeight w:val="135"/>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200" w:type="dxa"/>
            <w:vAlign w:val="bottom"/>
            <w:gridSpan w:val="2"/>
            <w:shd w:val="clear" w:color="auto" w:fill="000000"/>
          </w:tcPr>
          <w:p>
            <w:pPr>
              <w:jc w:val="center"/>
              <w:ind w:left="391"/>
              <w:spacing w:after="0" w:line="135" w:lineRule="exact"/>
              <w:rPr>
                <w:sz w:val="20"/>
                <w:szCs w:val="20"/>
                <w:color w:val="auto"/>
              </w:rPr>
            </w:pPr>
            <w:r>
              <w:rPr>
                <w:rFonts w:ascii="Arial" w:cs="Arial" w:eastAsia="Arial" w:hAnsi="Arial"/>
                <w:sz w:val="13"/>
                <w:szCs w:val="13"/>
                <w:b w:val="1"/>
                <w:bCs w:val="1"/>
                <w:color w:val="FEFEFE"/>
                <w:w w:val="97"/>
              </w:rPr>
              <w:t>Acquired on</w:t>
            </w:r>
          </w:p>
        </w:tc>
        <w:tc>
          <w:tcPr>
            <w:tcW w:w="22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100" w:type="dxa"/>
            <w:vAlign w:val="bottom"/>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Vesting</w:t>
            </w:r>
          </w:p>
        </w:tc>
        <w:tc>
          <w:tcPr>
            <w:tcW w:w="640" w:type="dxa"/>
            <w:vAlign w:val="bottom"/>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980" w:type="dxa"/>
            <w:vAlign w:val="bottom"/>
            <w:shd w:val="clear" w:color="auto" w:fill="000000"/>
          </w:tcPr>
          <w:p>
            <w:pPr>
              <w:jc w:val="center"/>
              <w:ind w:right="233"/>
              <w:spacing w:after="0" w:line="135" w:lineRule="exact"/>
              <w:rPr>
                <w:sz w:val="20"/>
                <w:szCs w:val="20"/>
                <w:color w:val="auto"/>
              </w:rPr>
            </w:pPr>
            <w:r>
              <w:rPr>
                <w:rFonts w:ascii="Arial" w:cs="Arial" w:eastAsia="Arial" w:hAnsi="Arial"/>
                <w:sz w:val="13"/>
                <w:szCs w:val="13"/>
                <w:b w:val="1"/>
                <w:bCs w:val="1"/>
                <w:color w:val="FEFEFE"/>
                <w:w w:val="96"/>
              </w:rPr>
              <w:t>on Vesting</w:t>
            </w: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320" w:type="dxa"/>
            <w:vAlign w:val="bottom"/>
            <w:shd w:val="clear" w:color="auto" w:fill="000000"/>
          </w:tcPr>
          <w:p>
            <w:pPr>
              <w:spacing w:after="0"/>
              <w:rPr>
                <w:sz w:val="14"/>
                <w:szCs w:val="14"/>
                <w:color w:val="auto"/>
              </w:rPr>
            </w:pPr>
          </w:p>
        </w:tc>
        <w:tc>
          <w:tcPr>
            <w:tcW w:w="64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640" w:type="dxa"/>
            <w:vAlign w:val="bottom"/>
            <w:shd w:val="clear" w:color="auto" w:fill="000000"/>
          </w:tcPr>
          <w:p>
            <w:pPr>
              <w:spacing w:after="0"/>
              <w:rPr>
                <w:sz w:val="14"/>
                <w:szCs w:val="14"/>
                <w:color w:val="auto"/>
              </w:rPr>
            </w:pPr>
          </w:p>
        </w:tc>
        <w:tc>
          <w:tcPr>
            <w:tcW w:w="600" w:type="dxa"/>
            <w:vAlign w:val="bottom"/>
            <w:shd w:val="clear" w:color="auto" w:fill="000000"/>
          </w:tcPr>
          <w:p>
            <w:pPr>
              <w:spacing w:after="0"/>
              <w:rPr>
                <w:sz w:val="14"/>
                <w:szCs w:val="14"/>
                <w:color w:val="auto"/>
              </w:rPr>
            </w:pPr>
          </w:p>
        </w:tc>
        <w:tc>
          <w:tcPr>
            <w:tcW w:w="600" w:type="dxa"/>
            <w:vAlign w:val="bottom"/>
            <w:shd w:val="clear" w:color="auto" w:fill="000000"/>
          </w:tcPr>
          <w:p>
            <w:pPr>
              <w:jc w:val="center"/>
              <w:ind w:right="31"/>
              <w:spacing w:after="0"/>
              <w:rPr>
                <w:sz w:val="20"/>
                <w:szCs w:val="20"/>
                <w:color w:val="auto"/>
              </w:rPr>
            </w:pPr>
            <w:r>
              <w:rPr>
                <w:rFonts w:ascii="Arial" w:cs="Arial" w:eastAsia="Arial" w:hAnsi="Arial"/>
                <w:sz w:val="13"/>
                <w:szCs w:val="13"/>
                <w:b w:val="1"/>
                <w:bCs w:val="1"/>
                <w:color w:val="FEFEFE"/>
                <w:w w:val="97"/>
              </w:rPr>
              <w:t>Vesting</w:t>
            </w:r>
          </w:p>
        </w:tc>
        <w:tc>
          <w:tcPr>
            <w:tcW w:w="220" w:type="dxa"/>
            <w:vAlign w:val="bottom"/>
            <w:shd w:val="clear" w:color="auto" w:fill="000000"/>
          </w:tcPr>
          <w:p>
            <w:pPr>
              <w:spacing w:after="0"/>
              <w:rPr>
                <w:sz w:val="14"/>
                <w:szCs w:val="14"/>
                <w:color w:val="auto"/>
              </w:rPr>
            </w:pPr>
          </w:p>
        </w:tc>
        <w:tc>
          <w:tcPr>
            <w:tcW w:w="320" w:type="dxa"/>
            <w:vAlign w:val="bottom"/>
            <w:shd w:val="clear" w:color="auto" w:fill="000000"/>
          </w:tcPr>
          <w:p>
            <w:pPr>
              <w:spacing w:after="0"/>
              <w:rPr>
                <w:sz w:val="14"/>
                <w:szCs w:val="14"/>
                <w:color w:val="auto"/>
              </w:rPr>
            </w:pPr>
          </w:p>
        </w:tc>
        <w:tc>
          <w:tcPr>
            <w:tcW w:w="640" w:type="dxa"/>
            <w:vAlign w:val="bottom"/>
            <w:shd w:val="clear" w:color="auto" w:fill="000000"/>
          </w:tcPr>
          <w:p>
            <w:pPr>
              <w:spacing w:after="0"/>
              <w:rPr>
                <w:sz w:val="14"/>
                <w:szCs w:val="14"/>
                <w:color w:val="auto"/>
              </w:rPr>
            </w:pPr>
          </w:p>
        </w:tc>
        <w:tc>
          <w:tcPr>
            <w:tcW w:w="1100" w:type="dxa"/>
            <w:vAlign w:val="bottom"/>
            <w:shd w:val="clear" w:color="auto" w:fill="000000"/>
          </w:tcPr>
          <w:p>
            <w:pPr>
              <w:spacing w:after="0"/>
              <w:rPr>
                <w:sz w:val="14"/>
                <w:szCs w:val="14"/>
                <w:color w:val="auto"/>
              </w:rPr>
            </w:pPr>
          </w:p>
        </w:tc>
        <w:tc>
          <w:tcPr>
            <w:tcW w:w="640" w:type="dxa"/>
            <w:vAlign w:val="bottom"/>
            <w:shd w:val="clear" w:color="auto" w:fill="000000"/>
          </w:tcPr>
          <w:p>
            <w:pPr>
              <w:spacing w:after="0"/>
              <w:rPr>
                <w:sz w:val="14"/>
                <w:szCs w:val="14"/>
                <w:color w:val="auto"/>
              </w:rPr>
            </w:pPr>
          </w:p>
        </w:tc>
        <w:tc>
          <w:tcPr>
            <w:tcW w:w="24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200" w:type="dxa"/>
            <w:vAlign w:val="bottom"/>
            <w:gridSpan w:val="2"/>
            <w:shd w:val="clear" w:color="auto" w:fill="000000"/>
          </w:tcPr>
          <w:p>
            <w:pPr>
              <w:spacing w:after="0"/>
              <w:rPr>
                <w:sz w:val="11"/>
                <w:szCs w:val="11"/>
                <w:color w:val="auto"/>
              </w:rPr>
            </w:pPr>
          </w:p>
        </w:tc>
        <w:tc>
          <w:tcPr>
            <w:tcW w:w="220" w:type="dxa"/>
            <w:vAlign w:val="bottom"/>
            <w:shd w:val="clear" w:color="auto" w:fill="000000"/>
          </w:tcPr>
          <w:p>
            <w:pPr>
              <w:spacing w:after="0"/>
              <w:rPr>
                <w:sz w:val="11"/>
                <w:szCs w:val="11"/>
                <w:color w:val="auto"/>
              </w:rPr>
            </w:pPr>
          </w:p>
        </w:tc>
        <w:tc>
          <w:tcPr>
            <w:tcW w:w="32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100" w:type="dxa"/>
            <w:vAlign w:val="bottom"/>
            <w:shd w:val="clear" w:color="auto" w:fill="000000"/>
          </w:tcPr>
          <w:p>
            <w:pPr>
              <w:spacing w:after="0"/>
              <w:rPr>
                <w:sz w:val="11"/>
                <w:szCs w:val="11"/>
                <w:color w:val="auto"/>
              </w:rPr>
            </w:pPr>
          </w:p>
        </w:tc>
        <w:tc>
          <w:tcPr>
            <w:tcW w:w="640" w:type="dxa"/>
            <w:vAlign w:val="bottom"/>
            <w:shd w:val="clear" w:color="auto" w:fill="000000"/>
          </w:tcPr>
          <w:p>
            <w:pPr>
              <w:spacing w:after="0"/>
              <w:rPr>
                <w:sz w:val="11"/>
                <w:szCs w:val="11"/>
                <w:color w:val="auto"/>
              </w:rPr>
            </w:pPr>
          </w:p>
        </w:tc>
        <w:tc>
          <w:tcPr>
            <w:tcW w:w="1220" w:type="dxa"/>
            <w:vAlign w:val="bottom"/>
            <w:gridSpan w:val="2"/>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41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03/31/2021</w:t>
            </w:r>
            <w:r>
              <w:rPr>
                <w:rFonts w:ascii="Arial" w:cs="Arial" w:eastAsia="Arial" w:hAnsi="Arial"/>
                <w:sz w:val="28"/>
                <w:szCs w:val="28"/>
                <w:color w:val="auto"/>
                <w:vertAlign w:val="subscript"/>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​08/05/2022</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578,375</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$ 18.56</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$ 10,734,640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03/31/2021</w:t>
            </w:r>
            <w:r>
              <w:rPr>
                <w:rFonts w:ascii="Arial" w:cs="Arial" w:eastAsia="Arial" w:hAnsi="Arial"/>
                <w:sz w:val="28"/>
                <w:szCs w:val="28"/>
                <w:color w:val="auto"/>
                <w:vertAlign w:val="subscript"/>
              </w:rPr>
              <w:t>​</w:t>
            </w:r>
          </w:p>
        </w:tc>
        <w:tc>
          <w:tcPr>
            <w:tcW w:w="320" w:type="dxa"/>
            <w:vAlign w:val="bottom"/>
            <w:tcBorders>
              <w:bottom w:val="single" w:sz="8" w:color="auto"/>
            </w:tcBorders>
            <w:shd w:val="clear" w:color="auto" w:fill="F7F7F7"/>
          </w:tcPr>
          <w:p>
            <w:pPr>
              <w:spacing w:after="0"/>
              <w:rPr>
                <w:sz w:val="24"/>
                <w:szCs w:val="24"/>
                <w:color w:val="auto"/>
              </w:rPr>
            </w:pP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​09/05/2022</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82,625</w:t>
            </w:r>
          </w:p>
        </w:tc>
        <w:tc>
          <w:tcPr>
            <w:tcW w:w="2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F7F7F7"/>
          </w:tcPr>
          <w:p>
            <w:pPr>
              <w:spacing w:after="0"/>
              <w:rPr>
                <w:sz w:val="24"/>
                <w:szCs w:val="24"/>
                <w:color w:val="auto"/>
              </w:rPr>
            </w:pP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$ 15.16</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980" w:type="dxa"/>
            <w:vAlign w:val="bottom"/>
            <w:tcBorders>
              <w:bottom w:val="single" w:sz="8" w:color="auto"/>
            </w:tcBorders>
            <w:shd w:val="clear" w:color="auto" w:fill="F7F7F7"/>
          </w:tcPr>
          <w:p>
            <w:pPr>
              <w:jc w:val="right"/>
              <w:ind w:right="93"/>
              <w:spacing w:after="0"/>
              <w:rPr>
                <w:sz w:val="20"/>
                <w:szCs w:val="20"/>
                <w:color w:val="auto"/>
              </w:rPr>
            </w:pPr>
            <w:r>
              <w:rPr>
                <w:rFonts w:ascii="Arial" w:cs="Arial" w:eastAsia="Arial" w:hAnsi="Arial"/>
                <w:sz w:val="14"/>
                <w:szCs w:val="14"/>
                <w:color w:val="auto"/>
              </w:rPr>
              <w:t>1,252,595</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03/31/2021</w:t>
            </w:r>
            <w:r>
              <w:rPr>
                <w:rFonts w:ascii="Arial" w:cs="Arial" w:eastAsia="Arial" w:hAnsi="Arial"/>
                <w:sz w:val="28"/>
                <w:szCs w:val="28"/>
                <w:color w:val="auto"/>
                <w:vertAlign w:val="subscript"/>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​12/05/2022</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82,625</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$ 10.15</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838,643</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9"/>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320" w:type="dxa"/>
            <w:vAlign w:val="bottom"/>
            <w:tcBorders>
              <w:bottom w:val="single" w:sz="8" w:color="auto"/>
            </w:tcBorders>
            <w:shd w:val="clear" w:color="auto" w:fill="F7F7F7"/>
          </w:tcPr>
          <w:p>
            <w:pPr>
              <w:spacing w:after="0"/>
              <w:rPr>
                <w:sz w:val="24"/>
                <w:szCs w:val="24"/>
                <w:color w:val="auto"/>
              </w:rPr>
            </w:pP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​09/05/2022</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F7F7F7"/>
          </w:tcPr>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34,265</w:t>
            </w:r>
          </w:p>
        </w:tc>
        <w:tc>
          <w:tcPr>
            <w:tcW w:w="22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F7F7F7"/>
          </w:tcPr>
          <w:p>
            <w:pPr>
              <w:spacing w:after="0"/>
              <w:rPr>
                <w:sz w:val="24"/>
                <w:szCs w:val="24"/>
                <w:color w:val="auto"/>
              </w:rPr>
            </w:pP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$ 15.16</w:t>
            </w:r>
            <w:r>
              <w:rPr>
                <w:rFonts w:ascii="Arial" w:cs="Arial" w:eastAsia="Arial" w:hAnsi="Arial"/>
                <w:sz w:val="28"/>
                <w:szCs w:val="28"/>
                <w:color w:val="auto"/>
                <w:vertAlign w:val="subscript"/>
              </w:rPr>
              <w:t>​</w:t>
            </w:r>
          </w:p>
        </w:tc>
        <w:tc>
          <w:tcPr>
            <w:tcW w:w="6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ind w:left="140"/>
              <w:spacing w:after="0"/>
              <w:rPr>
                <w:sz w:val="20"/>
                <w:szCs w:val="20"/>
                <w:color w:val="auto"/>
              </w:rPr>
            </w:pPr>
            <w:r>
              <w:rPr>
                <w:rFonts w:ascii="Arial" w:cs="Arial" w:eastAsia="Arial" w:hAnsi="Arial"/>
                <w:sz w:val="14"/>
                <w:szCs w:val="14"/>
                <w:color w:val="auto"/>
                <w:w w:val="76"/>
              </w:rPr>
              <w:t>​</w:t>
            </w:r>
            <w:r>
              <w:rPr>
                <w:rFonts w:ascii="Arial" w:cs="Arial" w:eastAsia="Arial" w:hAnsi="Arial"/>
                <w:sz w:val="28"/>
                <w:szCs w:val="28"/>
                <w:color w:val="auto"/>
                <w:w w:val="76"/>
                <w:vertAlign w:val="superscript"/>
              </w:rPr>
              <w:t>$</w:t>
            </w:r>
          </w:p>
        </w:tc>
        <w:tc>
          <w:tcPr>
            <w:tcW w:w="980" w:type="dxa"/>
            <w:vAlign w:val="bottom"/>
            <w:tcBorders>
              <w:bottom w:val="single" w:sz="8" w:color="auto"/>
            </w:tcBorders>
            <w:shd w:val="clear" w:color="auto" w:fill="F7F7F7"/>
          </w:tcPr>
          <w:p>
            <w:pPr>
              <w:jc w:val="right"/>
              <w:ind w:right="93"/>
              <w:spacing w:after="0"/>
              <w:rPr>
                <w:sz w:val="20"/>
                <w:szCs w:val="20"/>
                <w:color w:val="auto"/>
              </w:rPr>
            </w:pPr>
            <w:r>
              <w:rPr>
                <w:rFonts w:ascii="Arial" w:cs="Arial" w:eastAsia="Arial" w:hAnsi="Arial"/>
                <w:sz w:val="14"/>
                <w:szCs w:val="14"/>
                <w:color w:val="auto"/>
              </w:rPr>
              <w:t>519,457</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06/06/2022</w:t>
            </w:r>
            <w:r>
              <w:rPr>
                <w:rFonts w:ascii="Arial" w:cs="Arial" w:eastAsia="Arial" w:hAnsi="Arial"/>
                <w:sz w:val="28"/>
                <w:szCs w:val="28"/>
                <w:color w:val="auto"/>
                <w:vertAlign w:val="subscript"/>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​12/05/2022</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52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17,132</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$ 10.15</w:t>
            </w:r>
            <w:r>
              <w:rPr>
                <w:rFonts w:ascii="Arial" w:cs="Arial" w:eastAsia="Arial" w:hAnsi="Arial"/>
                <w:sz w:val="28"/>
                <w:szCs w:val="28"/>
                <w:color w:val="auto"/>
                <w:vertAlign w:val="subscript"/>
              </w:rPr>
              <w:t>​</w:t>
            </w: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173,889</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59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Potential Payments Upon Termination or Change in Control</w:t>
      </w:r>
    </w:p>
    <w:p>
      <w:pPr>
        <w:spacing w:after="0" w:line="400" w:lineRule="exact"/>
        <w:rPr>
          <w:sz w:val="20"/>
          <w:szCs w:val="20"/>
          <w:color w:val="auto"/>
        </w:rPr>
      </w:pPr>
    </w:p>
    <w:p>
      <w:pPr>
        <w:ind w:left="660" w:right="280"/>
        <w:spacing w:after="0" w:line="295" w:lineRule="auto"/>
        <w:rPr>
          <w:sz w:val="20"/>
          <w:szCs w:val="20"/>
          <w:color w:val="auto"/>
        </w:rPr>
      </w:pPr>
      <w:r>
        <w:rPr>
          <w:rFonts w:ascii="Arial" w:cs="Arial" w:eastAsia="Arial" w:hAnsi="Arial"/>
          <w:sz w:val="16"/>
          <w:szCs w:val="16"/>
          <w:color w:val="auto"/>
        </w:rPr>
        <w:t>The table below sets forth the amounts of the payments and benefits that each NEO would have been entitled to receive upon a qualifying termination of employment by the Company and/or in connection with the occurrence of a change in control, in each case assuming the relevant event occurred on December 31, 2022. Please refer to “Termination and Change in Control Agreements” above for more information.</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02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000" w:type="dxa"/>
            <w:vAlign w:val="bottom"/>
            <w:gridSpan w:val="2"/>
            <w:shd w:val="clear" w:color="auto" w:fill="000000"/>
          </w:tcPr>
          <w:p>
            <w:pPr>
              <w:jc w:val="right"/>
              <w:ind w:right="12"/>
              <w:spacing w:after="0"/>
              <w:rPr>
                <w:sz w:val="20"/>
                <w:szCs w:val="20"/>
                <w:color w:val="auto"/>
              </w:rPr>
            </w:pPr>
            <w:r>
              <w:rPr>
                <w:rFonts w:ascii="Arial" w:cs="Arial" w:eastAsia="Arial" w:hAnsi="Arial"/>
                <w:sz w:val="13"/>
                <w:szCs w:val="13"/>
                <w:b w:val="1"/>
                <w:bCs w:val="1"/>
                <w:color w:val="FEFEFE"/>
              </w:rPr>
              <w:t>​</w:t>
            </w:r>
          </w:p>
        </w:tc>
        <w:tc>
          <w:tcPr>
            <w:tcW w:w="2460" w:type="dxa"/>
            <w:vAlign w:val="bottom"/>
            <w:gridSpan w:val="2"/>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000000"/>
          </w:tcPr>
          <w:p>
            <w:pPr>
              <w:spacing w:after="0"/>
              <w:rPr>
                <w:sz w:val="13"/>
                <w:szCs w:val="13"/>
                <w:color w:val="auto"/>
              </w:rPr>
            </w:pPr>
          </w:p>
        </w:tc>
        <w:tc>
          <w:tcPr>
            <w:tcW w:w="100" w:type="dxa"/>
            <w:vAlign w:val="bottom"/>
            <w:gridSpan w:val="2"/>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4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800" w:type="dxa"/>
            <w:vAlign w:val="bottom"/>
            <w:shd w:val="clear" w:color="auto" w:fill="000000"/>
          </w:tcPr>
          <w:p>
            <w:pPr>
              <w:spacing w:after="0"/>
              <w:rPr>
                <w:sz w:val="13"/>
                <w:szCs w:val="13"/>
                <w:color w:val="auto"/>
              </w:rPr>
            </w:pPr>
          </w:p>
        </w:tc>
        <w:tc>
          <w:tcPr>
            <w:tcW w:w="16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000000"/>
          </w:tcPr>
          <w:p>
            <w:pPr>
              <w:spacing w:after="0"/>
              <w:rPr>
                <w:sz w:val="13"/>
                <w:szCs w:val="13"/>
                <w:color w:val="auto"/>
              </w:rPr>
            </w:pPr>
          </w:p>
        </w:tc>
        <w:tc>
          <w:tcPr>
            <w:tcW w:w="10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380" w:type="dxa"/>
            <w:vAlign w:val="bottom"/>
            <w:shd w:val="clear" w:color="auto" w:fill="000000"/>
          </w:tcPr>
          <w:p>
            <w:pPr>
              <w:spacing w:after="0"/>
              <w:rPr>
                <w:sz w:val="13"/>
                <w:szCs w:val="13"/>
                <w:color w:val="auto"/>
              </w:rPr>
            </w:pPr>
          </w:p>
        </w:tc>
        <w:tc>
          <w:tcPr>
            <w:tcW w:w="5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2020" w:type="dxa"/>
            <w:vAlign w:val="bottom"/>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Name</w:t>
            </w:r>
          </w:p>
        </w:tc>
        <w:tc>
          <w:tcPr>
            <w:tcW w:w="9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2400" w:type="dxa"/>
            <w:vAlign w:val="bottom"/>
            <w:shd w:val="clear" w:color="auto" w:fill="000000"/>
          </w:tcPr>
          <w:p>
            <w:pPr>
              <w:spacing w:after="0" w:line="135" w:lineRule="exact"/>
              <w:rPr>
                <w:sz w:val="20"/>
                <w:szCs w:val="20"/>
                <w:color w:val="auto"/>
              </w:rPr>
            </w:pPr>
            <w:r>
              <w:rPr>
                <w:rFonts w:ascii="Arial" w:cs="Arial" w:eastAsia="Arial" w:hAnsi="Arial"/>
                <w:sz w:val="13"/>
                <w:szCs w:val="13"/>
                <w:b w:val="1"/>
                <w:bCs w:val="1"/>
                <w:color w:val="FEFEFE"/>
              </w:rPr>
              <w:t>Benefit</w:t>
            </w:r>
          </w:p>
        </w:tc>
        <w:tc>
          <w:tcPr>
            <w:tcW w:w="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1200" w:type="dxa"/>
            <w:vAlign w:val="bottom"/>
            <w:gridSpan w:val="2"/>
            <w:shd w:val="clear" w:color="auto" w:fill="000000"/>
          </w:tcPr>
          <w:p>
            <w:pPr>
              <w:jc w:val="center"/>
              <w:ind w:left="51"/>
              <w:spacing w:after="0" w:line="135" w:lineRule="exact"/>
              <w:rPr>
                <w:sz w:val="20"/>
                <w:szCs w:val="20"/>
                <w:color w:val="auto"/>
              </w:rPr>
            </w:pPr>
            <w:r>
              <w:rPr>
                <w:rFonts w:ascii="Arial" w:cs="Arial" w:eastAsia="Arial" w:hAnsi="Arial"/>
                <w:sz w:val="13"/>
                <w:szCs w:val="13"/>
                <w:b w:val="1"/>
                <w:bCs w:val="1"/>
                <w:color w:val="FEFEFE"/>
                <w:w w:val="96"/>
              </w:rPr>
              <w:t>Termination</w:t>
            </w:r>
          </w:p>
        </w:tc>
        <w:tc>
          <w:tcPr>
            <w:tcW w:w="16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1020" w:type="dxa"/>
            <w:vAlign w:val="bottom"/>
            <w:shd w:val="clear" w:color="auto" w:fill="000000"/>
          </w:tcPr>
          <w:p>
            <w:pPr>
              <w:jc w:val="center"/>
              <w:ind w:right="211"/>
              <w:spacing w:after="0" w:line="135" w:lineRule="exact"/>
              <w:rPr>
                <w:sz w:val="20"/>
                <w:szCs w:val="20"/>
                <w:color w:val="auto"/>
              </w:rPr>
            </w:pPr>
            <w:r>
              <w:rPr>
                <w:rFonts w:ascii="Arial" w:cs="Arial" w:eastAsia="Arial" w:hAnsi="Arial"/>
                <w:sz w:val="13"/>
                <w:szCs w:val="13"/>
                <w:b w:val="1"/>
                <w:bCs w:val="1"/>
                <w:color w:val="FEFEFE"/>
                <w:w w:val="94"/>
              </w:rPr>
              <w:t>Termination</w:t>
            </w:r>
          </w:p>
        </w:tc>
        <w:tc>
          <w:tcPr>
            <w:tcW w:w="100" w:type="dxa"/>
            <w:vAlign w:val="bottom"/>
            <w:shd w:val="clear" w:color="auto" w:fill="000000"/>
          </w:tcPr>
          <w:p>
            <w:pPr>
              <w:spacing w:after="0"/>
              <w:rPr>
                <w:sz w:val="11"/>
                <w:szCs w:val="11"/>
                <w:color w:val="auto"/>
              </w:rPr>
            </w:pPr>
          </w:p>
        </w:tc>
        <w:tc>
          <w:tcPr>
            <w:tcW w:w="960" w:type="dxa"/>
            <w:vAlign w:val="bottom"/>
            <w:gridSpan w:val="2"/>
            <w:shd w:val="clear" w:color="auto" w:fill="000000"/>
          </w:tcPr>
          <w:p>
            <w:pPr>
              <w:jc w:val="right"/>
              <w:ind w:right="251"/>
              <w:spacing w:after="0" w:line="135" w:lineRule="exact"/>
              <w:rPr>
                <w:sz w:val="20"/>
                <w:szCs w:val="20"/>
                <w:color w:val="auto"/>
              </w:rPr>
            </w:pPr>
            <w:r>
              <w:rPr>
                <w:rFonts w:ascii="Arial" w:cs="Arial" w:eastAsia="Arial" w:hAnsi="Arial"/>
                <w:sz w:val="13"/>
                <w:szCs w:val="13"/>
                <w:b w:val="1"/>
                <w:bCs w:val="1"/>
                <w:color w:val="FEFEFE"/>
              </w:rPr>
              <w:t>Death or</w:t>
            </w:r>
          </w:p>
        </w:tc>
        <w:tc>
          <w:tcPr>
            <w:tcW w:w="0" w:type="dxa"/>
            <w:vAlign w:val="bottom"/>
          </w:tcPr>
          <w:p>
            <w:pPr>
              <w:spacing w:after="0"/>
              <w:rPr>
                <w:sz w:val="1"/>
                <w:szCs w:val="1"/>
                <w:color w:val="auto"/>
              </w:rPr>
            </w:pPr>
          </w:p>
        </w:tc>
      </w:tr>
      <w:tr>
        <w:trPr>
          <w:trHeight w:val="148"/>
        </w:trPr>
        <w:tc>
          <w:tcPr>
            <w:tcW w:w="202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240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jc w:val="center"/>
              <w:ind w:left="51"/>
              <w:spacing w:after="0"/>
              <w:rPr>
                <w:sz w:val="20"/>
                <w:szCs w:val="20"/>
                <w:color w:val="auto"/>
              </w:rPr>
            </w:pPr>
            <w:r>
              <w:rPr>
                <w:rFonts w:ascii="Arial" w:cs="Arial" w:eastAsia="Arial" w:hAnsi="Arial"/>
                <w:sz w:val="13"/>
                <w:szCs w:val="13"/>
                <w:b w:val="1"/>
                <w:bCs w:val="1"/>
                <w:color w:val="FEFEFE"/>
                <w:w w:val="96"/>
              </w:rPr>
              <w:t>Without Cause or</w:t>
            </w:r>
          </w:p>
        </w:tc>
        <w:tc>
          <w:tcPr>
            <w:tcW w:w="16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jc w:val="center"/>
              <w:ind w:right="51"/>
              <w:spacing w:after="0"/>
              <w:rPr>
                <w:sz w:val="20"/>
                <w:szCs w:val="20"/>
                <w:color w:val="auto"/>
              </w:rPr>
            </w:pPr>
            <w:r>
              <w:rPr>
                <w:rFonts w:ascii="Arial" w:cs="Arial" w:eastAsia="Arial" w:hAnsi="Arial"/>
                <w:sz w:val="13"/>
                <w:szCs w:val="13"/>
                <w:b w:val="1"/>
                <w:bCs w:val="1"/>
                <w:color w:val="FEFEFE"/>
                <w:w w:val="96"/>
              </w:rPr>
              <w:t>Without Cause or</w:t>
            </w:r>
          </w:p>
        </w:tc>
        <w:tc>
          <w:tcPr>
            <w:tcW w:w="100" w:type="dxa"/>
            <w:vAlign w:val="bottom"/>
            <w:shd w:val="clear" w:color="auto" w:fill="000000"/>
          </w:tcPr>
          <w:p>
            <w:pPr>
              <w:spacing w:after="0"/>
              <w:rPr>
                <w:sz w:val="12"/>
                <w:szCs w:val="12"/>
                <w:color w:val="auto"/>
              </w:rPr>
            </w:pPr>
          </w:p>
        </w:tc>
        <w:tc>
          <w:tcPr>
            <w:tcW w:w="960" w:type="dxa"/>
            <w:vAlign w:val="bottom"/>
            <w:gridSpan w:val="2"/>
            <w:shd w:val="clear" w:color="auto" w:fill="000000"/>
          </w:tcPr>
          <w:p>
            <w:pPr>
              <w:jc w:val="right"/>
              <w:ind w:right="171"/>
              <w:spacing w:after="0" w:line="148" w:lineRule="exact"/>
              <w:rPr>
                <w:sz w:val="20"/>
                <w:szCs w:val="20"/>
                <w:color w:val="auto"/>
              </w:rPr>
            </w:pPr>
            <w:r>
              <w:rPr>
                <w:rFonts w:ascii="Arial" w:cs="Arial" w:eastAsia="Arial" w:hAnsi="Arial"/>
                <w:sz w:val="13"/>
                <w:szCs w:val="13"/>
                <w:b w:val="1"/>
                <w:bCs w:val="1"/>
                <w:color w:val="FEFEFE"/>
                <w:w w:val="98"/>
              </w:rPr>
              <w:t>Disability</w:t>
            </w:r>
            <w:r>
              <w:rPr>
                <w:rFonts w:ascii="Arial" w:cs="Arial" w:eastAsia="Arial" w:hAnsi="Arial"/>
                <w:sz w:val="16"/>
                <w:szCs w:val="16"/>
                <w:b w:val="1"/>
                <w:bCs w:val="1"/>
                <w:color w:val="FEFEFE"/>
                <w:w w:val="98"/>
                <w:vertAlign w:val="superscript"/>
              </w:rPr>
              <w:t>(1)</w:t>
            </w:r>
          </w:p>
        </w:tc>
        <w:tc>
          <w:tcPr>
            <w:tcW w:w="0" w:type="dxa"/>
            <w:vAlign w:val="bottom"/>
          </w:tcPr>
          <w:p>
            <w:pPr>
              <w:spacing w:after="0"/>
              <w:rPr>
                <w:sz w:val="1"/>
                <w:szCs w:val="1"/>
                <w:color w:val="auto"/>
              </w:rPr>
            </w:pPr>
          </w:p>
        </w:tc>
      </w:tr>
      <w:tr>
        <w:trPr>
          <w:trHeight w:val="148"/>
        </w:trPr>
        <w:tc>
          <w:tcPr>
            <w:tcW w:w="202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240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jc w:val="center"/>
              <w:ind w:left="51"/>
              <w:spacing w:after="0"/>
              <w:rPr>
                <w:sz w:val="20"/>
                <w:szCs w:val="20"/>
                <w:color w:val="auto"/>
              </w:rPr>
            </w:pPr>
            <w:r>
              <w:rPr>
                <w:rFonts w:ascii="Arial" w:cs="Arial" w:eastAsia="Arial" w:hAnsi="Arial"/>
                <w:sz w:val="13"/>
                <w:szCs w:val="13"/>
                <w:b w:val="1"/>
                <w:bCs w:val="1"/>
                <w:color w:val="FEFEFE"/>
                <w:w w:val="96"/>
              </w:rPr>
              <w:t>Resignation for</w:t>
            </w:r>
          </w:p>
        </w:tc>
        <w:tc>
          <w:tcPr>
            <w:tcW w:w="16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ind w:left="80"/>
              <w:spacing w:after="0"/>
              <w:rPr>
                <w:sz w:val="20"/>
                <w:szCs w:val="20"/>
                <w:color w:val="auto"/>
              </w:rPr>
            </w:pPr>
            <w:r>
              <w:rPr>
                <w:rFonts w:ascii="Arial" w:cs="Arial" w:eastAsia="Arial" w:hAnsi="Arial"/>
                <w:sz w:val="13"/>
                <w:szCs w:val="13"/>
                <w:b w:val="1"/>
                <w:bCs w:val="1"/>
                <w:color w:val="FEFEFE"/>
              </w:rPr>
              <w:t>Resignation for</w:t>
            </w:r>
          </w:p>
        </w:tc>
        <w:tc>
          <w:tcPr>
            <w:tcW w:w="100" w:type="dxa"/>
            <w:vAlign w:val="bottom"/>
            <w:shd w:val="clear" w:color="auto" w:fill="000000"/>
          </w:tcPr>
          <w:p>
            <w:pPr>
              <w:spacing w:after="0"/>
              <w:rPr>
                <w:sz w:val="12"/>
                <w:szCs w:val="12"/>
                <w:color w:val="auto"/>
              </w:rPr>
            </w:pPr>
          </w:p>
        </w:tc>
        <w:tc>
          <w:tcPr>
            <w:tcW w:w="38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240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1360" w:type="dxa"/>
            <w:vAlign w:val="bottom"/>
            <w:gridSpan w:val="3"/>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EFEFE"/>
                <w:w w:val="96"/>
              </w:rPr>
              <w:t>Good Reason Other</w:t>
            </w:r>
          </w:p>
        </w:tc>
        <w:tc>
          <w:tcPr>
            <w:tcW w:w="120" w:type="dxa"/>
            <w:vAlign w:val="bottom"/>
            <w:shd w:val="clear" w:color="auto" w:fill="000000"/>
          </w:tcPr>
          <w:p>
            <w:pPr>
              <w:spacing w:after="0"/>
              <w:rPr>
                <w:sz w:val="11"/>
                <w:szCs w:val="11"/>
                <w:color w:val="auto"/>
              </w:rPr>
            </w:pPr>
          </w:p>
        </w:tc>
        <w:tc>
          <w:tcPr>
            <w:tcW w:w="1200" w:type="dxa"/>
            <w:vAlign w:val="bottom"/>
            <w:gridSpan w:val="2"/>
            <w:shd w:val="clear" w:color="auto" w:fill="000000"/>
          </w:tcPr>
          <w:p>
            <w:pPr>
              <w:jc w:val="center"/>
              <w:ind w:right="31"/>
              <w:spacing w:after="0" w:line="135" w:lineRule="exact"/>
              <w:rPr>
                <w:sz w:val="20"/>
                <w:szCs w:val="20"/>
                <w:color w:val="auto"/>
              </w:rPr>
            </w:pPr>
            <w:r>
              <w:rPr>
                <w:rFonts w:ascii="Arial" w:cs="Arial" w:eastAsia="Arial" w:hAnsi="Arial"/>
                <w:sz w:val="13"/>
                <w:szCs w:val="13"/>
                <w:b w:val="1"/>
                <w:bCs w:val="1"/>
                <w:color w:val="FEFEFE"/>
                <w:w w:val="98"/>
              </w:rPr>
              <w:t>Good Reason in</w:t>
            </w:r>
          </w:p>
        </w:tc>
        <w:tc>
          <w:tcPr>
            <w:tcW w:w="100" w:type="dxa"/>
            <w:vAlign w:val="bottom"/>
            <w:shd w:val="clear" w:color="auto" w:fill="000000"/>
          </w:tcPr>
          <w:p>
            <w:pPr>
              <w:spacing w:after="0"/>
              <w:rPr>
                <w:sz w:val="11"/>
                <w:szCs w:val="11"/>
                <w:color w:val="auto"/>
              </w:rPr>
            </w:pPr>
          </w:p>
        </w:tc>
        <w:tc>
          <w:tcPr>
            <w:tcW w:w="380" w:type="dxa"/>
            <w:vAlign w:val="bottom"/>
            <w:shd w:val="clear" w:color="auto" w:fill="000000"/>
          </w:tcPr>
          <w:p>
            <w:pPr>
              <w:spacing w:after="0"/>
              <w:rPr>
                <w:sz w:val="11"/>
                <w:szCs w:val="11"/>
                <w:color w:val="auto"/>
              </w:rPr>
            </w:pPr>
          </w:p>
        </w:tc>
        <w:tc>
          <w:tcPr>
            <w:tcW w:w="5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240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60" w:type="dxa"/>
            <w:vAlign w:val="bottom"/>
            <w:shd w:val="clear" w:color="auto" w:fill="000000"/>
          </w:tcPr>
          <w:p>
            <w:pPr>
              <w:spacing w:after="0"/>
              <w:rPr>
                <w:sz w:val="12"/>
                <w:szCs w:val="12"/>
                <w:color w:val="auto"/>
              </w:rPr>
            </w:pPr>
          </w:p>
        </w:tc>
        <w:tc>
          <w:tcPr>
            <w:tcW w:w="4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jc w:val="center"/>
              <w:ind w:left="71"/>
              <w:spacing w:after="0"/>
              <w:rPr>
                <w:sz w:val="20"/>
                <w:szCs w:val="20"/>
                <w:color w:val="auto"/>
              </w:rPr>
            </w:pPr>
            <w:r>
              <w:rPr>
                <w:rFonts w:ascii="Arial" w:cs="Arial" w:eastAsia="Arial" w:hAnsi="Arial"/>
                <w:sz w:val="13"/>
                <w:szCs w:val="13"/>
                <w:b w:val="1"/>
                <w:bCs w:val="1"/>
                <w:color w:val="FEFEFE"/>
                <w:w w:val="95"/>
              </w:rPr>
              <w:t>than Change in</w:t>
            </w:r>
          </w:p>
        </w:tc>
        <w:tc>
          <w:tcPr>
            <w:tcW w:w="16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00" w:type="dxa"/>
            <w:vAlign w:val="bottom"/>
            <w:gridSpan w:val="2"/>
            <w:shd w:val="clear" w:color="auto" w:fill="000000"/>
          </w:tcPr>
          <w:p>
            <w:pPr>
              <w:jc w:val="center"/>
              <w:ind w:right="31"/>
              <w:spacing w:after="0"/>
              <w:rPr>
                <w:sz w:val="20"/>
                <w:szCs w:val="20"/>
                <w:color w:val="auto"/>
              </w:rPr>
            </w:pPr>
            <w:r>
              <w:rPr>
                <w:rFonts w:ascii="Arial" w:cs="Arial" w:eastAsia="Arial" w:hAnsi="Arial"/>
                <w:sz w:val="13"/>
                <w:szCs w:val="13"/>
                <w:b w:val="1"/>
                <w:bCs w:val="1"/>
                <w:color w:val="FEFEFE"/>
                <w:w w:val="98"/>
              </w:rPr>
              <w:t>Connection with a</w:t>
            </w:r>
          </w:p>
        </w:tc>
        <w:tc>
          <w:tcPr>
            <w:tcW w:w="100" w:type="dxa"/>
            <w:vAlign w:val="bottom"/>
            <w:shd w:val="clear" w:color="auto" w:fill="000000"/>
          </w:tcPr>
          <w:p>
            <w:pPr>
              <w:spacing w:after="0"/>
              <w:rPr>
                <w:sz w:val="12"/>
                <w:szCs w:val="12"/>
                <w:color w:val="auto"/>
              </w:rPr>
            </w:pPr>
          </w:p>
        </w:tc>
        <w:tc>
          <w:tcPr>
            <w:tcW w:w="38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20" w:type="dxa"/>
            <w:vAlign w:val="bottom"/>
            <w:shd w:val="clear" w:color="auto" w:fill="000000"/>
          </w:tcPr>
          <w:p>
            <w:pPr>
              <w:spacing w:after="0"/>
              <w:rPr>
                <w:sz w:val="14"/>
                <w:szCs w:val="14"/>
                <w:color w:val="auto"/>
              </w:rPr>
            </w:pPr>
          </w:p>
        </w:tc>
        <w:tc>
          <w:tcPr>
            <w:tcW w:w="94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240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40" w:type="dxa"/>
            <w:vAlign w:val="bottom"/>
            <w:shd w:val="clear" w:color="auto" w:fill="000000"/>
          </w:tcPr>
          <w:p>
            <w:pPr>
              <w:spacing w:after="0"/>
              <w:rPr>
                <w:sz w:val="14"/>
                <w:szCs w:val="14"/>
                <w:color w:val="auto"/>
              </w:rPr>
            </w:pPr>
          </w:p>
        </w:tc>
        <w:tc>
          <w:tcPr>
            <w:tcW w:w="400" w:type="dxa"/>
            <w:vAlign w:val="bottom"/>
            <w:shd w:val="clear" w:color="auto" w:fill="000000"/>
          </w:tcPr>
          <w:p>
            <w:pPr>
              <w:spacing w:after="0"/>
              <w:rPr>
                <w:sz w:val="14"/>
                <w:szCs w:val="14"/>
                <w:color w:val="auto"/>
              </w:rPr>
            </w:pPr>
          </w:p>
        </w:tc>
        <w:tc>
          <w:tcPr>
            <w:tcW w:w="800" w:type="dxa"/>
            <w:vAlign w:val="bottom"/>
            <w:shd w:val="clear" w:color="auto" w:fill="000000"/>
          </w:tcPr>
          <w:p>
            <w:pPr>
              <w:jc w:val="center"/>
              <w:ind w:right="210"/>
              <w:spacing w:after="0"/>
              <w:rPr>
                <w:sz w:val="20"/>
                <w:szCs w:val="20"/>
                <w:color w:val="auto"/>
              </w:rPr>
            </w:pPr>
            <w:r>
              <w:rPr>
                <w:rFonts w:ascii="Arial" w:cs="Arial" w:eastAsia="Arial" w:hAnsi="Arial"/>
                <w:sz w:val="13"/>
                <w:szCs w:val="13"/>
                <w:b w:val="1"/>
                <w:bCs w:val="1"/>
                <w:color w:val="FEFEFE"/>
                <w:w w:val="95"/>
              </w:rPr>
              <w:t>Control</w:t>
            </w:r>
          </w:p>
        </w:tc>
        <w:tc>
          <w:tcPr>
            <w:tcW w:w="16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200" w:type="dxa"/>
            <w:vAlign w:val="bottom"/>
            <w:gridSpan w:val="2"/>
            <w:shd w:val="clear" w:color="auto" w:fill="000000"/>
          </w:tcPr>
          <w:p>
            <w:pPr>
              <w:jc w:val="center"/>
              <w:ind w:right="31"/>
              <w:spacing w:after="0"/>
              <w:rPr>
                <w:sz w:val="20"/>
                <w:szCs w:val="20"/>
                <w:color w:val="auto"/>
              </w:rPr>
            </w:pPr>
            <w:r>
              <w:rPr>
                <w:rFonts w:ascii="Arial" w:cs="Arial" w:eastAsia="Arial" w:hAnsi="Arial"/>
                <w:sz w:val="13"/>
                <w:szCs w:val="13"/>
                <w:b w:val="1"/>
                <w:bCs w:val="1"/>
                <w:color w:val="FEFEFE"/>
                <w:w w:val="97"/>
              </w:rPr>
              <w:t>Change in Control</w:t>
            </w:r>
          </w:p>
        </w:tc>
        <w:tc>
          <w:tcPr>
            <w:tcW w:w="100" w:type="dxa"/>
            <w:vAlign w:val="bottom"/>
            <w:shd w:val="clear" w:color="auto" w:fill="000000"/>
          </w:tcPr>
          <w:p>
            <w:pPr>
              <w:spacing w:after="0"/>
              <w:rPr>
                <w:sz w:val="14"/>
                <w:szCs w:val="14"/>
                <w:color w:val="auto"/>
              </w:rPr>
            </w:pPr>
          </w:p>
        </w:tc>
        <w:tc>
          <w:tcPr>
            <w:tcW w:w="380" w:type="dxa"/>
            <w:vAlign w:val="bottom"/>
            <w:shd w:val="clear" w:color="auto" w:fill="000000"/>
          </w:tcPr>
          <w:p>
            <w:pPr>
              <w:spacing w:after="0"/>
              <w:rPr>
                <w:sz w:val="14"/>
                <w:szCs w:val="14"/>
                <w:color w:val="auto"/>
              </w:rPr>
            </w:pPr>
          </w:p>
        </w:tc>
        <w:tc>
          <w:tcPr>
            <w:tcW w:w="5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2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60" w:type="dxa"/>
            <w:vAlign w:val="bottom"/>
            <w:shd w:val="clear" w:color="auto" w:fill="000000"/>
          </w:tcPr>
          <w:p>
            <w:pPr>
              <w:spacing w:after="0"/>
              <w:rPr>
                <w:sz w:val="11"/>
                <w:szCs w:val="11"/>
                <w:color w:val="auto"/>
              </w:rPr>
            </w:pPr>
          </w:p>
        </w:tc>
        <w:tc>
          <w:tcPr>
            <w:tcW w:w="2400" w:type="dxa"/>
            <w:vAlign w:val="bottom"/>
            <w:shd w:val="clear" w:color="auto" w:fill="000000"/>
          </w:tcPr>
          <w:p>
            <w:pPr>
              <w:spacing w:after="0"/>
              <w:rPr>
                <w:sz w:val="11"/>
                <w:szCs w:val="11"/>
                <w:color w:val="auto"/>
              </w:rPr>
            </w:pPr>
          </w:p>
        </w:tc>
        <w:tc>
          <w:tcPr>
            <w:tcW w:w="120" w:type="dxa"/>
            <w:vAlign w:val="bottom"/>
            <w:gridSpan w:val="2"/>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40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280" w:type="dxa"/>
            <w:vAlign w:val="bottom"/>
            <w:gridSpan w:val="2"/>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1020" w:type="dxa"/>
            <w:vAlign w:val="bottom"/>
            <w:shd w:val="clear" w:color="auto" w:fill="000000"/>
          </w:tcPr>
          <w:p>
            <w:pPr>
              <w:spacing w:after="0"/>
              <w:rPr>
                <w:sz w:val="11"/>
                <w:szCs w:val="11"/>
                <w:color w:val="auto"/>
              </w:rPr>
            </w:pPr>
          </w:p>
        </w:tc>
        <w:tc>
          <w:tcPr>
            <w:tcW w:w="480" w:type="dxa"/>
            <w:vAlign w:val="bottom"/>
            <w:gridSpan w:val="2"/>
            <w:shd w:val="clear" w:color="auto" w:fill="000000"/>
          </w:tcPr>
          <w:p>
            <w:pPr>
              <w:spacing w:after="0"/>
              <w:rPr>
                <w:sz w:val="11"/>
                <w:szCs w:val="11"/>
                <w:color w:val="auto"/>
              </w:rPr>
            </w:pPr>
          </w:p>
        </w:tc>
        <w:tc>
          <w:tcPr>
            <w:tcW w:w="5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20" w:type="dxa"/>
            <w:vAlign w:val="bottom"/>
          </w:tcPr>
          <w:p>
            <w:pPr>
              <w:spacing w:after="0" w:line="13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 ​</w:t>
            </w:r>
          </w:p>
        </w:tc>
        <w:tc>
          <w:tcPr>
            <w:tcW w:w="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60" w:type="dxa"/>
            <w:vAlign w:val="bottom"/>
            <w:gridSpan w:val="3"/>
          </w:tcPr>
          <w:p>
            <w:pPr>
              <w:jc w:val="right"/>
              <w:spacing w:after="0" w:line="139" w:lineRule="exact"/>
              <w:rPr>
                <w:sz w:val="20"/>
                <w:szCs w:val="20"/>
                <w:color w:val="auto"/>
              </w:rPr>
            </w:pPr>
            <w:r>
              <w:rPr>
                <w:rFonts w:ascii="Arial" w:cs="Arial" w:eastAsia="Arial" w:hAnsi="Arial"/>
                <w:sz w:val="14"/>
                <w:szCs w:val="14"/>
                <w:color w:val="auto"/>
              </w:rPr>
              <w:t>​ ​</w:t>
            </w:r>
          </w:p>
        </w:tc>
        <w:tc>
          <w:tcPr>
            <w:tcW w:w="400" w:type="dxa"/>
            <w:vAlign w:val="bottom"/>
          </w:tcPr>
          <w:p>
            <w:pPr>
              <w:ind w:left="240"/>
              <w:spacing w:after="0" w:line="13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280" w:type="dxa"/>
            <w:vAlign w:val="bottom"/>
            <w:gridSpan w:val="2"/>
          </w:tcPr>
          <w:p>
            <w:pPr>
              <w:jc w:val="right"/>
              <w:spacing w:after="0" w:line="139" w:lineRule="exact"/>
              <w:rPr>
                <w:sz w:val="20"/>
                <w:szCs w:val="20"/>
                <w:color w:val="auto"/>
              </w:rPr>
            </w:pPr>
            <w:r>
              <w:rPr>
                <w:rFonts w:ascii="Arial" w:cs="Arial" w:eastAsia="Arial" w:hAnsi="Arial"/>
                <w:sz w:val="14"/>
                <w:szCs w:val="14"/>
                <w:color w:val="auto"/>
              </w:rPr>
              <w:t>​​ ​</w:t>
            </w:r>
          </w:p>
        </w:tc>
        <w:tc>
          <w:tcPr>
            <w:tcW w:w="180" w:type="dxa"/>
            <w:vAlign w:val="bottom"/>
          </w:tcPr>
          <w:p>
            <w:pPr>
              <w:spacing w:after="0"/>
              <w:rPr>
                <w:sz w:val="12"/>
                <w:szCs w:val="12"/>
                <w:color w:val="auto"/>
              </w:rPr>
            </w:pPr>
          </w:p>
        </w:tc>
        <w:tc>
          <w:tcPr>
            <w:tcW w:w="1020" w:type="dxa"/>
            <w:vAlign w:val="bottom"/>
          </w:tcPr>
          <w:p>
            <w:pPr>
              <w:jc w:val="right"/>
              <w:spacing w:after="0" w:line="139" w:lineRule="exact"/>
              <w:rPr>
                <w:sz w:val="20"/>
                <w:szCs w:val="20"/>
                <w:color w:val="auto"/>
              </w:rPr>
            </w:pPr>
            <w:r>
              <w:rPr>
                <w:rFonts w:ascii="Arial" w:cs="Arial" w:eastAsia="Arial" w:hAnsi="Arial"/>
                <w:sz w:val="14"/>
                <w:szCs w:val="14"/>
                <w:color w:val="auto"/>
              </w:rPr>
              <w:t>​</w:t>
            </w:r>
          </w:p>
        </w:tc>
        <w:tc>
          <w:tcPr>
            <w:tcW w:w="480" w:type="dxa"/>
            <w:vAlign w:val="bottom"/>
            <w:gridSpan w:val="2"/>
          </w:tcPr>
          <w:p>
            <w:pPr>
              <w:spacing w:after="0" w:line="139" w:lineRule="exact"/>
              <w:rPr>
                <w:sz w:val="20"/>
                <w:szCs w:val="20"/>
                <w:color w:val="auto"/>
              </w:rPr>
            </w:pPr>
            <w:r>
              <w:rPr>
                <w:rFonts w:ascii="Arial" w:cs="Arial" w:eastAsia="Arial" w:hAnsi="Arial"/>
                <w:sz w:val="14"/>
                <w:szCs w:val="14"/>
                <w:color w:val="auto"/>
              </w:rPr>
              <w:t>​ ​</w:t>
            </w:r>
          </w:p>
        </w:tc>
        <w:tc>
          <w:tcPr>
            <w:tcW w:w="580" w:type="dxa"/>
            <w:vAlign w:val="bottom"/>
          </w:tcPr>
          <w:p>
            <w:pPr>
              <w:jc w:val="right"/>
              <w:ind w:right="91"/>
              <w:spacing w:after="0" w:line="13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20" w:type="dxa"/>
            <w:vAlign w:val="bottom"/>
          </w:tcPr>
          <w:p>
            <w:pPr>
              <w:ind w:left="140"/>
              <w:spacing w:after="0"/>
              <w:rPr>
                <w:sz w:val="20"/>
                <w:szCs w:val="20"/>
                <w:color w:val="auto"/>
              </w:rPr>
            </w:pPr>
            <w:r>
              <w:rPr>
                <w:rFonts w:ascii="Arial" w:cs="Arial" w:eastAsia="Arial" w:hAnsi="Arial"/>
                <w:sz w:val="14"/>
                <w:szCs w:val="14"/>
                <w:color w:val="auto"/>
              </w:rPr>
              <w:t>Peter Rawlinson</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4"/>
                <w:szCs w:val="14"/>
                <w:color w:val="auto"/>
              </w:rPr>
              <w:t>Cash severance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575,000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862,500</w:t>
            </w:r>
          </w:p>
        </w:tc>
        <w:tc>
          <w:tcPr>
            <w:tcW w:w="100" w:type="dxa"/>
            <w:vAlign w:val="bottom"/>
          </w:tcPr>
          <w:p>
            <w:pPr>
              <w:spacing w:after="0"/>
              <w:rPr>
                <w:sz w:val="16"/>
                <w:szCs w:val="16"/>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3"/>
        </w:trPr>
        <w:tc>
          <w:tcPr>
            <w:tcW w:w="2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gridSpan w:val="3"/>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2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Accelerated Vesting of Equity Awards</w:t>
            </w:r>
          </w:p>
        </w:tc>
        <w:tc>
          <w:tcPr>
            <w:tcW w:w="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 ​</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9"/>
                <w:szCs w:val="9"/>
                <w:color w:val="auto"/>
              </w:rPr>
              <w:t>(2)</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64,962,786</w:t>
            </w:r>
            <w:r>
              <w:rPr>
                <w:rFonts w:ascii="Arial" w:cs="Arial" w:eastAsia="Arial" w:hAnsi="Arial"/>
                <w:sz w:val="17"/>
                <w:szCs w:val="17"/>
                <w:color w:val="auto"/>
                <w:vertAlign w:val="superscript"/>
              </w:rPr>
              <w:t>(3)</w:t>
            </w:r>
            <w:r>
              <w:rPr>
                <w:rFonts w:ascii="Arial" w:cs="Arial" w:eastAsia="Arial" w:hAnsi="Arial"/>
                <w:sz w:val="28"/>
                <w:szCs w:val="28"/>
                <w:color w:val="auto"/>
                <w:vertAlign w:val="superscript"/>
              </w:rPr>
              <w:t>​</w:t>
            </w: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28"/>
                <w:szCs w:val="28"/>
                <w:color w:val="auto"/>
                <w:vertAlign w:val="subscript"/>
              </w:rPr>
              <w:t>​</w:t>
            </w: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2400" w:type="dxa"/>
            <w:vAlign w:val="bottom"/>
            <w:vMerge w:val="restart"/>
          </w:tcPr>
          <w:p>
            <w:pPr>
              <w:spacing w:after="0"/>
              <w:rPr>
                <w:sz w:val="20"/>
                <w:szCs w:val="20"/>
                <w:color w:val="auto"/>
              </w:rPr>
            </w:pPr>
            <w:r>
              <w:rPr>
                <w:rFonts w:ascii="Arial" w:cs="Arial" w:eastAsia="Arial" w:hAnsi="Arial"/>
                <w:sz w:val="14"/>
                <w:szCs w:val="14"/>
                <w:color w:val="auto"/>
              </w:rPr>
              <w:t>Health Benefits</w:t>
            </w:r>
          </w:p>
        </w:tc>
        <w:tc>
          <w:tcPr>
            <w:tcW w:w="6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400" w:type="dxa"/>
            <w:vAlign w:val="bottom"/>
          </w:tcPr>
          <w:p>
            <w:pPr>
              <w:ind w:left="240"/>
              <w:spacing w:after="0" w:line="122" w:lineRule="exact"/>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70"/>
              <w:spacing w:after="0"/>
              <w:rPr>
                <w:sz w:val="20"/>
                <w:szCs w:val="20"/>
                <w:color w:val="auto"/>
              </w:rPr>
            </w:pPr>
            <w:r>
              <w:rPr>
                <w:rFonts w:ascii="Arial" w:cs="Arial" w:eastAsia="Arial" w:hAnsi="Arial"/>
                <w:sz w:val="14"/>
                <w:szCs w:val="14"/>
                <w:color w:val="auto"/>
              </w:rPr>
              <w:t>10,707</w:t>
            </w:r>
          </w:p>
        </w:tc>
        <w:tc>
          <w:tcPr>
            <w:tcW w:w="16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380" w:type="dxa"/>
            <w:vAlign w:val="bottom"/>
          </w:tcPr>
          <w:p>
            <w:pPr>
              <w:ind w:left="20"/>
              <w:spacing w:after="0" w:line="122"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91"/>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16,060</w:t>
            </w:r>
          </w:p>
        </w:tc>
        <w:tc>
          <w:tcPr>
            <w:tcW w:w="100" w:type="dxa"/>
            <w:vAlign w:val="bottom"/>
          </w:tcPr>
          <w:p>
            <w:pPr>
              <w:spacing w:after="0"/>
              <w:rPr>
                <w:sz w:val="16"/>
                <w:szCs w:val="16"/>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4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400" w:type="dxa"/>
            <w:vAlign w:val="bottom"/>
          </w:tcPr>
          <w:p>
            <w:pPr>
              <w:ind w:left="240"/>
              <w:spacing w:after="0" w:line="115" w:lineRule="exact"/>
              <w:rPr>
                <w:sz w:val="20"/>
                <w:szCs w:val="20"/>
                <w:color w:val="auto"/>
              </w:rPr>
            </w:pPr>
            <w:r>
              <w:rPr>
                <w:rFonts w:ascii="Arial" w:cs="Arial" w:eastAsia="Arial" w:hAnsi="Arial"/>
                <w:sz w:val="13"/>
                <w:szCs w:val="13"/>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585,707</w:t>
            </w:r>
            <w:r>
              <w:rPr>
                <w:rFonts w:ascii="Arial" w:cs="Arial" w:eastAsia="Arial" w:hAnsi="Arial"/>
                <w:sz w:val="17"/>
                <w:szCs w:val="17"/>
                <w:color w:val="auto"/>
                <w:vertAlign w:val="superscript"/>
              </w:rPr>
              <w:t>(2)</w:t>
            </w:r>
          </w:p>
        </w:tc>
        <w:tc>
          <w:tcPr>
            <w:tcW w:w="1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38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65,841,346</w:t>
            </w:r>
            <w:r>
              <w:rPr>
                <w:rFonts w:ascii="Arial" w:cs="Arial" w:eastAsia="Arial" w:hAnsi="Arial"/>
                <w:sz w:val="17"/>
                <w:szCs w:val="17"/>
                <w:color w:val="auto"/>
                <w:vertAlign w:val="superscript"/>
              </w:rPr>
              <w:t>(3)</w:t>
            </w:r>
          </w:p>
        </w:tc>
        <w:tc>
          <w:tcPr>
            <w:tcW w:w="100" w:type="dxa"/>
            <w:vAlign w:val="bottom"/>
          </w:tcPr>
          <w:p>
            <w:pPr>
              <w:spacing w:after="0"/>
              <w:rPr>
                <w:sz w:val="20"/>
                <w:szCs w:val="20"/>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4"/>
        </w:trPr>
        <w:tc>
          <w:tcPr>
            <w:tcW w:w="20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20" w:type="dxa"/>
            <w:vAlign w:val="bottom"/>
            <w:shd w:val="clear" w:color="auto" w:fill="F7F7F7"/>
          </w:tcPr>
          <w:p>
            <w:pPr>
              <w:spacing w:after="0" w:line="119" w:lineRule="exact"/>
              <w:rPr>
                <w:sz w:val="20"/>
                <w:szCs w:val="20"/>
                <w:color w:val="auto"/>
              </w:rPr>
            </w:pPr>
            <w:r>
              <w:rPr>
                <w:rFonts w:ascii="Arial" w:cs="Arial" w:eastAsia="Arial" w:hAnsi="Arial"/>
                <w:sz w:val="13"/>
                <w:szCs w:val="13"/>
                <w:color w:val="auto"/>
              </w:rPr>
              <w:t>​</w:t>
            </w:r>
          </w:p>
        </w:tc>
        <w:tc>
          <w:tcPr>
            <w:tcW w:w="940" w:type="dxa"/>
            <w:vAlign w:val="bottom"/>
            <w:shd w:val="clear" w:color="auto" w:fill="F7F7F7"/>
          </w:tcPr>
          <w:p>
            <w:pPr>
              <w:ind w:left="840"/>
              <w:spacing w:after="0" w:line="119"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jc w:val="right"/>
              <w:spacing w:after="0" w:line="119"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Cash Severance</w:t>
            </w:r>
          </w:p>
        </w:tc>
        <w:tc>
          <w:tcPr>
            <w:tcW w:w="160" w:type="dxa"/>
            <w:vAlign w:val="bottom"/>
            <w:gridSpan w:val="3"/>
            <w:shd w:val="clear" w:color="auto" w:fill="F7F7F7"/>
          </w:tcPr>
          <w:p>
            <w:pPr>
              <w:jc w:val="right"/>
              <w:spacing w:after="0" w:line="119" w:lineRule="exact"/>
              <w:rPr>
                <w:sz w:val="20"/>
                <w:szCs w:val="20"/>
                <w:color w:val="auto"/>
              </w:rPr>
            </w:pPr>
            <w:r>
              <w:rPr>
                <w:rFonts w:ascii="Arial" w:cs="Arial" w:eastAsia="Arial" w:hAnsi="Arial"/>
                <w:sz w:val="13"/>
                <w:szCs w:val="13"/>
                <w:color w:val="auto"/>
              </w:rPr>
              <w:t>​ ​</w:t>
            </w:r>
          </w:p>
        </w:tc>
        <w:tc>
          <w:tcPr>
            <w:tcW w:w="400" w:type="dxa"/>
            <w:vAlign w:val="bottom"/>
            <w:shd w:val="clear" w:color="auto" w:fill="F7F7F7"/>
          </w:tcPr>
          <w:p>
            <w:pPr>
              <w:ind w:left="240"/>
              <w:spacing w:after="0" w:line="119"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401,250</w:t>
            </w:r>
          </w:p>
        </w:tc>
        <w:tc>
          <w:tcPr>
            <w:tcW w:w="280" w:type="dxa"/>
            <w:vAlign w:val="bottom"/>
            <w:gridSpan w:val="2"/>
            <w:shd w:val="clear" w:color="auto" w:fill="F7F7F7"/>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19"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F7F7F7"/>
          </w:tcPr>
          <w:p>
            <w:pPr>
              <w:spacing w:after="0" w:line="119" w:lineRule="exact"/>
              <w:rPr>
                <w:sz w:val="20"/>
                <w:szCs w:val="20"/>
                <w:color w:val="auto"/>
              </w:rPr>
            </w:pPr>
            <w:r>
              <w:rPr>
                <w:rFonts w:ascii="Arial" w:cs="Arial" w:eastAsia="Arial" w:hAnsi="Arial"/>
                <w:sz w:val="13"/>
                <w:szCs w:val="13"/>
                <w:color w:val="auto"/>
              </w:rPr>
              <w:t>​ ​</w:t>
            </w:r>
          </w:p>
        </w:tc>
        <w:tc>
          <w:tcPr>
            <w:tcW w:w="580" w:type="dxa"/>
            <w:vAlign w:val="bottom"/>
            <w:shd w:val="clear" w:color="auto" w:fill="F7F7F7"/>
          </w:tcPr>
          <w:p>
            <w:pPr>
              <w:jc w:val="right"/>
              <w:ind w:right="91"/>
              <w:spacing w:after="0" w:line="11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020" w:type="dxa"/>
            <w:vAlign w:val="bottom"/>
            <w:shd w:val="clear" w:color="auto" w:fill="F7F7F7"/>
          </w:tcPr>
          <w:p>
            <w:pPr>
              <w:ind w:left="140"/>
              <w:spacing w:after="0"/>
              <w:rPr>
                <w:sz w:val="20"/>
                <w:szCs w:val="20"/>
                <w:color w:val="auto"/>
              </w:rPr>
            </w:pPr>
            <w:r>
              <w:rPr>
                <w:rFonts w:ascii="Arial" w:cs="Arial" w:eastAsia="Arial" w:hAnsi="Arial"/>
                <w:sz w:val="14"/>
                <w:szCs w:val="14"/>
                <w:color w:val="auto"/>
              </w:rPr>
              <w:t>Sherry House</w:t>
            </w:r>
          </w:p>
        </w:tc>
        <w:tc>
          <w:tcPr>
            <w:tcW w:w="94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2400" w:type="dxa"/>
            <w:vAlign w:val="bottom"/>
            <w:vMerge w:val="continue"/>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40" w:type="dxa"/>
            <w:vAlign w:val="bottom"/>
            <w:shd w:val="clear" w:color="auto" w:fill="F7F7F7"/>
          </w:tcPr>
          <w:p>
            <w:pPr>
              <w:spacing w:after="0"/>
              <w:rPr>
                <w:sz w:val="16"/>
                <w:szCs w:val="16"/>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120" w:type="dxa"/>
            <w:vAlign w:val="bottom"/>
            <w:shd w:val="clear" w:color="auto" w:fill="F7F7F7"/>
          </w:tcPr>
          <w:p>
            <w:pPr>
              <w:spacing w:after="0"/>
              <w:rPr>
                <w:sz w:val="16"/>
                <w:szCs w:val="16"/>
                <w:color w:val="auto"/>
              </w:rPr>
            </w:pPr>
          </w:p>
        </w:tc>
        <w:tc>
          <w:tcPr>
            <w:tcW w:w="180" w:type="dxa"/>
            <w:vAlign w:val="bottom"/>
            <w:vMerge w:val="continue"/>
            <w:shd w:val="clear" w:color="auto" w:fill="F7F7F7"/>
          </w:tcPr>
          <w:p>
            <w:pPr>
              <w:spacing w:after="0"/>
              <w:rPr>
                <w:sz w:val="16"/>
                <w:szCs w:val="16"/>
                <w:color w:val="auto"/>
              </w:rPr>
            </w:pPr>
          </w:p>
        </w:tc>
        <w:tc>
          <w:tcPr>
            <w:tcW w:w="1020" w:type="dxa"/>
            <w:vAlign w:val="bottom"/>
            <w:shd w:val="clear" w:color="auto" w:fill="F7F7F7"/>
          </w:tcPr>
          <w:p>
            <w:pPr>
              <w:jc w:val="right"/>
              <w:ind w:right="151"/>
              <w:spacing w:after="0"/>
              <w:rPr>
                <w:sz w:val="20"/>
                <w:szCs w:val="20"/>
                <w:color w:val="auto"/>
              </w:rPr>
            </w:pPr>
            <w:r>
              <w:rPr>
                <w:rFonts w:ascii="Arial" w:cs="Arial" w:eastAsia="Arial" w:hAnsi="Arial"/>
                <w:sz w:val="14"/>
                <w:szCs w:val="14"/>
                <w:color w:val="auto"/>
              </w:rPr>
              <w:t>535,000</w:t>
            </w:r>
          </w:p>
        </w:tc>
        <w:tc>
          <w:tcPr>
            <w:tcW w:w="100" w:type="dxa"/>
            <w:vAlign w:val="bottom"/>
            <w:shd w:val="clear" w:color="auto" w:fill="F7F7F7"/>
          </w:tcPr>
          <w:p>
            <w:pPr>
              <w:spacing w:after="0"/>
              <w:rPr>
                <w:sz w:val="16"/>
                <w:szCs w:val="16"/>
                <w:color w:val="auto"/>
              </w:rPr>
            </w:pPr>
          </w:p>
        </w:tc>
        <w:tc>
          <w:tcPr>
            <w:tcW w:w="38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3"/>
        </w:trPr>
        <w:tc>
          <w:tcPr>
            <w:tcW w:w="2020" w:type="dxa"/>
            <w:vAlign w:val="bottom"/>
            <w:tcBorders>
              <w:bottom w:val="single" w:sz="8" w:color="F7F7F7"/>
            </w:tcBorders>
            <w:shd w:val="clear" w:color="auto" w:fill="F7F7F7"/>
          </w:tcPr>
          <w:p>
            <w:pPr>
              <w:spacing w:after="0"/>
              <w:rPr>
                <w:sz w:val="8"/>
                <w:szCs w:val="8"/>
                <w:color w:val="auto"/>
              </w:rPr>
            </w:pPr>
          </w:p>
        </w:tc>
        <w:tc>
          <w:tcPr>
            <w:tcW w:w="940" w:type="dxa"/>
            <w:vAlign w:val="bottom"/>
            <w:tcBorders>
              <w:bottom w:val="single" w:sz="8" w:color="F7F7F7"/>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240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40" w:type="dxa"/>
            <w:vAlign w:val="bottom"/>
            <w:tcBorders>
              <w:bottom w:val="single" w:sz="8" w:color="auto"/>
            </w:tcBorders>
            <w:shd w:val="clear" w:color="auto" w:fill="F7F7F7"/>
          </w:tcPr>
          <w:p>
            <w:pPr>
              <w:spacing w:after="0"/>
              <w:rPr>
                <w:sz w:val="8"/>
                <w:szCs w:val="8"/>
                <w:color w:val="auto"/>
              </w:rPr>
            </w:pPr>
          </w:p>
        </w:tc>
        <w:tc>
          <w:tcPr>
            <w:tcW w:w="400" w:type="dxa"/>
            <w:vAlign w:val="bottom"/>
            <w:tcBorders>
              <w:bottom w:val="single" w:sz="8" w:color="auto"/>
            </w:tcBorders>
            <w:shd w:val="clear" w:color="auto" w:fill="F7F7F7"/>
          </w:tcPr>
          <w:p>
            <w:pPr>
              <w:spacing w:after="0"/>
              <w:rPr>
                <w:sz w:val="8"/>
                <w:szCs w:val="8"/>
                <w:color w:val="auto"/>
              </w:rPr>
            </w:pPr>
          </w:p>
        </w:tc>
        <w:tc>
          <w:tcPr>
            <w:tcW w:w="800" w:type="dxa"/>
            <w:vAlign w:val="bottom"/>
            <w:tcBorders>
              <w:bottom w:val="single" w:sz="8" w:color="auto"/>
            </w:tcBorders>
            <w:shd w:val="clear" w:color="auto" w:fill="F7F7F7"/>
          </w:tcPr>
          <w:p>
            <w:pPr>
              <w:spacing w:after="0"/>
              <w:rPr>
                <w:sz w:val="8"/>
                <w:szCs w:val="8"/>
                <w:color w:val="auto"/>
              </w:rPr>
            </w:pPr>
          </w:p>
        </w:tc>
        <w:tc>
          <w:tcPr>
            <w:tcW w:w="160" w:type="dxa"/>
            <w:vAlign w:val="bottom"/>
            <w:tcBorders>
              <w:bottom w:val="single" w:sz="8" w:color="auto"/>
            </w:tcBorders>
            <w:shd w:val="clear" w:color="auto" w:fill="F7F7F7"/>
          </w:tcPr>
          <w:p>
            <w:pPr>
              <w:spacing w:after="0"/>
              <w:rPr>
                <w:sz w:val="8"/>
                <w:szCs w:val="8"/>
                <w:color w:val="auto"/>
              </w:rPr>
            </w:pPr>
          </w:p>
        </w:tc>
        <w:tc>
          <w:tcPr>
            <w:tcW w:w="120" w:type="dxa"/>
            <w:vAlign w:val="bottom"/>
            <w:tcBorders>
              <w:bottom w:val="single" w:sz="8" w:color="auto"/>
            </w:tcBorders>
            <w:shd w:val="clear" w:color="auto" w:fill="F7F7F7"/>
          </w:tcPr>
          <w:p>
            <w:pPr>
              <w:spacing w:after="0"/>
              <w:rPr>
                <w:sz w:val="8"/>
                <w:szCs w:val="8"/>
                <w:color w:val="auto"/>
              </w:rPr>
            </w:pPr>
          </w:p>
        </w:tc>
        <w:tc>
          <w:tcPr>
            <w:tcW w:w="180" w:type="dxa"/>
            <w:vAlign w:val="bottom"/>
            <w:tcBorders>
              <w:bottom w:val="single" w:sz="8" w:color="auto"/>
            </w:tcBorders>
            <w:shd w:val="clear" w:color="auto" w:fill="F7F7F7"/>
          </w:tcPr>
          <w:p>
            <w:pPr>
              <w:spacing w:after="0"/>
              <w:rPr>
                <w:sz w:val="8"/>
                <w:szCs w:val="8"/>
                <w:color w:val="auto"/>
              </w:rPr>
            </w:pPr>
          </w:p>
        </w:tc>
        <w:tc>
          <w:tcPr>
            <w:tcW w:w="102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c>
          <w:tcPr>
            <w:tcW w:w="5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F7F7F7"/>
          </w:tcPr>
          <w:p>
            <w:pPr>
              <w:spacing w:after="0"/>
              <w:rPr>
                <w:sz w:val="10"/>
                <w:szCs w:val="10"/>
                <w:color w:val="auto"/>
              </w:rPr>
            </w:pPr>
          </w:p>
        </w:tc>
        <w:tc>
          <w:tcPr>
            <w:tcW w:w="94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Accelerated Vesting of Equity Awards</w:t>
            </w:r>
          </w:p>
        </w:tc>
        <w:tc>
          <w:tcPr>
            <w:tcW w:w="6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4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400" w:type="dxa"/>
            <w:vAlign w:val="bottom"/>
            <w:shd w:val="clear" w:color="auto" w:fill="F7F7F7"/>
          </w:tcPr>
          <w:p>
            <w:pPr>
              <w:ind w:left="240"/>
              <w:spacing w:after="0" w:line="115"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987,577</w:t>
            </w:r>
          </w:p>
        </w:tc>
        <w:tc>
          <w:tcPr>
            <w:tcW w:w="16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8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580" w:type="dxa"/>
            <w:vAlign w:val="bottom"/>
            <w:shd w:val="clear" w:color="auto" w:fill="F7F7F7"/>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020" w:type="dxa"/>
            <w:vAlign w:val="bottom"/>
            <w:shd w:val="clear" w:color="auto" w:fill="F7F7F7"/>
          </w:tcPr>
          <w:p>
            <w:pPr>
              <w:spacing w:after="0"/>
              <w:rPr>
                <w:sz w:val="16"/>
                <w:szCs w:val="16"/>
                <w:color w:val="auto"/>
              </w:rPr>
            </w:pPr>
          </w:p>
        </w:tc>
        <w:tc>
          <w:tcPr>
            <w:tcW w:w="94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2400" w:type="dxa"/>
            <w:vAlign w:val="bottom"/>
            <w:vMerge w:val="continue"/>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40" w:type="dxa"/>
            <w:vAlign w:val="bottom"/>
            <w:shd w:val="clear" w:color="auto" w:fill="F7F7F7"/>
          </w:tcPr>
          <w:p>
            <w:pPr>
              <w:spacing w:after="0"/>
              <w:rPr>
                <w:sz w:val="16"/>
                <w:szCs w:val="16"/>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120" w:type="dxa"/>
            <w:vAlign w:val="bottom"/>
            <w:shd w:val="clear" w:color="auto" w:fill="F7F7F7"/>
          </w:tcPr>
          <w:p>
            <w:pPr>
              <w:spacing w:after="0"/>
              <w:rPr>
                <w:sz w:val="16"/>
                <w:szCs w:val="16"/>
                <w:color w:val="auto"/>
              </w:rPr>
            </w:pPr>
          </w:p>
        </w:tc>
        <w:tc>
          <w:tcPr>
            <w:tcW w:w="180" w:type="dxa"/>
            <w:vAlign w:val="bottom"/>
            <w:vMerge w:val="continue"/>
            <w:shd w:val="clear" w:color="auto" w:fill="F7F7F7"/>
          </w:tcPr>
          <w:p>
            <w:pPr>
              <w:spacing w:after="0"/>
              <w:rPr>
                <w:sz w:val="16"/>
                <w:szCs w:val="16"/>
                <w:color w:val="auto"/>
              </w:rPr>
            </w:pPr>
          </w:p>
        </w:tc>
        <w:tc>
          <w:tcPr>
            <w:tcW w:w="1020" w:type="dxa"/>
            <w:vAlign w:val="bottom"/>
            <w:shd w:val="clear" w:color="auto" w:fill="F7F7F7"/>
          </w:tcPr>
          <w:p>
            <w:pPr>
              <w:jc w:val="right"/>
              <w:ind w:right="151"/>
              <w:spacing w:after="0"/>
              <w:rPr>
                <w:sz w:val="20"/>
                <w:szCs w:val="20"/>
                <w:color w:val="auto"/>
              </w:rPr>
            </w:pPr>
            <w:r>
              <w:rPr>
                <w:rFonts w:ascii="Arial" w:cs="Arial" w:eastAsia="Arial" w:hAnsi="Arial"/>
                <w:sz w:val="14"/>
                <w:szCs w:val="14"/>
                <w:color w:val="auto"/>
              </w:rPr>
              <w:t>4,342,862</w:t>
            </w:r>
          </w:p>
        </w:tc>
        <w:tc>
          <w:tcPr>
            <w:tcW w:w="100" w:type="dxa"/>
            <w:vAlign w:val="bottom"/>
            <w:shd w:val="clear" w:color="auto" w:fill="F7F7F7"/>
          </w:tcPr>
          <w:p>
            <w:pPr>
              <w:spacing w:after="0"/>
              <w:rPr>
                <w:sz w:val="16"/>
                <w:szCs w:val="16"/>
                <w:color w:val="auto"/>
              </w:rPr>
            </w:pPr>
          </w:p>
        </w:tc>
        <w:tc>
          <w:tcPr>
            <w:tcW w:w="960" w:type="dxa"/>
            <w:vAlign w:val="bottom"/>
            <w:gridSpan w:val="2"/>
            <w:shd w:val="clear" w:color="auto" w:fill="F7F7F7"/>
          </w:tcPr>
          <w:p>
            <w:pPr>
              <w:jc w:val="right"/>
              <w:ind w:right="131"/>
              <w:spacing w:after="0"/>
              <w:rPr>
                <w:sz w:val="20"/>
                <w:szCs w:val="20"/>
                <w:color w:val="auto"/>
              </w:rPr>
            </w:pPr>
            <w:r>
              <w:rPr>
                <w:rFonts w:ascii="Arial" w:cs="Arial" w:eastAsia="Arial" w:hAnsi="Arial"/>
                <w:sz w:val="14"/>
                <w:szCs w:val="14"/>
                <w:color w:val="auto"/>
              </w:rPr>
              <w:t>$4,342,862</w:t>
            </w:r>
          </w:p>
        </w:tc>
        <w:tc>
          <w:tcPr>
            <w:tcW w:w="0" w:type="dxa"/>
            <w:vAlign w:val="bottom"/>
          </w:tcPr>
          <w:p>
            <w:pPr>
              <w:spacing w:after="0"/>
              <w:rPr>
                <w:sz w:val="1"/>
                <w:szCs w:val="1"/>
                <w:color w:val="auto"/>
              </w:rPr>
            </w:pPr>
          </w:p>
        </w:tc>
      </w:tr>
      <w:tr>
        <w:trPr>
          <w:trHeight w:val="93"/>
        </w:trPr>
        <w:tc>
          <w:tcPr>
            <w:tcW w:w="2020" w:type="dxa"/>
            <w:vAlign w:val="bottom"/>
            <w:tcBorders>
              <w:bottom w:val="single" w:sz="8" w:color="F7F7F7"/>
            </w:tcBorders>
            <w:shd w:val="clear" w:color="auto" w:fill="F7F7F7"/>
          </w:tcPr>
          <w:p>
            <w:pPr>
              <w:spacing w:after="0"/>
              <w:rPr>
                <w:sz w:val="8"/>
                <w:szCs w:val="8"/>
                <w:color w:val="auto"/>
              </w:rPr>
            </w:pPr>
          </w:p>
        </w:tc>
        <w:tc>
          <w:tcPr>
            <w:tcW w:w="940" w:type="dxa"/>
            <w:vAlign w:val="bottom"/>
            <w:tcBorders>
              <w:bottom w:val="single" w:sz="8" w:color="F7F7F7"/>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240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40" w:type="dxa"/>
            <w:vAlign w:val="bottom"/>
            <w:tcBorders>
              <w:bottom w:val="single" w:sz="8" w:color="auto"/>
            </w:tcBorders>
            <w:shd w:val="clear" w:color="auto" w:fill="F7F7F7"/>
          </w:tcPr>
          <w:p>
            <w:pPr>
              <w:spacing w:after="0"/>
              <w:rPr>
                <w:sz w:val="8"/>
                <w:szCs w:val="8"/>
                <w:color w:val="auto"/>
              </w:rPr>
            </w:pPr>
          </w:p>
        </w:tc>
        <w:tc>
          <w:tcPr>
            <w:tcW w:w="400" w:type="dxa"/>
            <w:vAlign w:val="bottom"/>
            <w:tcBorders>
              <w:bottom w:val="single" w:sz="8" w:color="auto"/>
            </w:tcBorders>
            <w:shd w:val="clear" w:color="auto" w:fill="F7F7F7"/>
          </w:tcPr>
          <w:p>
            <w:pPr>
              <w:spacing w:after="0"/>
              <w:rPr>
                <w:sz w:val="8"/>
                <w:szCs w:val="8"/>
                <w:color w:val="auto"/>
              </w:rPr>
            </w:pPr>
          </w:p>
        </w:tc>
        <w:tc>
          <w:tcPr>
            <w:tcW w:w="800" w:type="dxa"/>
            <w:vAlign w:val="bottom"/>
            <w:tcBorders>
              <w:bottom w:val="single" w:sz="8" w:color="auto"/>
            </w:tcBorders>
            <w:shd w:val="clear" w:color="auto" w:fill="F7F7F7"/>
          </w:tcPr>
          <w:p>
            <w:pPr>
              <w:spacing w:after="0"/>
              <w:rPr>
                <w:sz w:val="8"/>
                <w:szCs w:val="8"/>
                <w:color w:val="auto"/>
              </w:rPr>
            </w:pPr>
          </w:p>
        </w:tc>
        <w:tc>
          <w:tcPr>
            <w:tcW w:w="160" w:type="dxa"/>
            <w:vAlign w:val="bottom"/>
            <w:tcBorders>
              <w:bottom w:val="single" w:sz="8" w:color="auto"/>
            </w:tcBorders>
            <w:shd w:val="clear" w:color="auto" w:fill="F7F7F7"/>
          </w:tcPr>
          <w:p>
            <w:pPr>
              <w:spacing w:after="0"/>
              <w:rPr>
                <w:sz w:val="8"/>
                <w:szCs w:val="8"/>
                <w:color w:val="auto"/>
              </w:rPr>
            </w:pPr>
          </w:p>
        </w:tc>
        <w:tc>
          <w:tcPr>
            <w:tcW w:w="120" w:type="dxa"/>
            <w:vAlign w:val="bottom"/>
            <w:tcBorders>
              <w:bottom w:val="single" w:sz="8" w:color="auto"/>
            </w:tcBorders>
            <w:shd w:val="clear" w:color="auto" w:fill="F7F7F7"/>
          </w:tcPr>
          <w:p>
            <w:pPr>
              <w:spacing w:after="0"/>
              <w:rPr>
                <w:sz w:val="8"/>
                <w:szCs w:val="8"/>
                <w:color w:val="auto"/>
              </w:rPr>
            </w:pPr>
          </w:p>
        </w:tc>
        <w:tc>
          <w:tcPr>
            <w:tcW w:w="180" w:type="dxa"/>
            <w:vAlign w:val="bottom"/>
            <w:tcBorders>
              <w:bottom w:val="single" w:sz="8" w:color="auto"/>
            </w:tcBorders>
            <w:shd w:val="clear" w:color="auto" w:fill="F7F7F7"/>
          </w:tcPr>
          <w:p>
            <w:pPr>
              <w:spacing w:after="0"/>
              <w:rPr>
                <w:sz w:val="8"/>
                <w:szCs w:val="8"/>
                <w:color w:val="auto"/>
              </w:rPr>
            </w:pPr>
          </w:p>
        </w:tc>
        <w:tc>
          <w:tcPr>
            <w:tcW w:w="102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c>
          <w:tcPr>
            <w:tcW w:w="5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F7F7F7"/>
          </w:tcPr>
          <w:p>
            <w:pPr>
              <w:spacing w:after="0"/>
              <w:rPr>
                <w:sz w:val="10"/>
                <w:szCs w:val="10"/>
                <w:color w:val="auto"/>
              </w:rPr>
            </w:pPr>
          </w:p>
        </w:tc>
        <w:tc>
          <w:tcPr>
            <w:tcW w:w="94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Health Benefits</w:t>
            </w:r>
          </w:p>
        </w:tc>
        <w:tc>
          <w:tcPr>
            <w:tcW w:w="6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4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400" w:type="dxa"/>
            <w:vAlign w:val="bottom"/>
            <w:shd w:val="clear" w:color="auto" w:fill="F7F7F7"/>
          </w:tcPr>
          <w:p>
            <w:pPr>
              <w:ind w:left="240"/>
              <w:spacing w:after="0" w:line="115"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25,100</w:t>
            </w:r>
          </w:p>
        </w:tc>
        <w:tc>
          <w:tcPr>
            <w:tcW w:w="16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8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580" w:type="dxa"/>
            <w:vAlign w:val="bottom"/>
            <w:shd w:val="clear" w:color="auto" w:fill="F7F7F7"/>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020" w:type="dxa"/>
            <w:vAlign w:val="bottom"/>
            <w:shd w:val="clear" w:color="auto" w:fill="F7F7F7"/>
          </w:tcPr>
          <w:p>
            <w:pPr>
              <w:spacing w:after="0"/>
              <w:rPr>
                <w:sz w:val="16"/>
                <w:szCs w:val="16"/>
                <w:color w:val="auto"/>
              </w:rPr>
            </w:pPr>
          </w:p>
        </w:tc>
        <w:tc>
          <w:tcPr>
            <w:tcW w:w="94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2400" w:type="dxa"/>
            <w:vAlign w:val="bottom"/>
            <w:vMerge w:val="continue"/>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40" w:type="dxa"/>
            <w:vAlign w:val="bottom"/>
            <w:shd w:val="clear" w:color="auto" w:fill="F7F7F7"/>
          </w:tcPr>
          <w:p>
            <w:pPr>
              <w:spacing w:after="0"/>
              <w:rPr>
                <w:sz w:val="16"/>
                <w:szCs w:val="16"/>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120" w:type="dxa"/>
            <w:vAlign w:val="bottom"/>
            <w:shd w:val="clear" w:color="auto" w:fill="F7F7F7"/>
          </w:tcPr>
          <w:p>
            <w:pPr>
              <w:spacing w:after="0"/>
              <w:rPr>
                <w:sz w:val="16"/>
                <w:szCs w:val="16"/>
                <w:color w:val="auto"/>
              </w:rPr>
            </w:pPr>
          </w:p>
        </w:tc>
        <w:tc>
          <w:tcPr>
            <w:tcW w:w="180" w:type="dxa"/>
            <w:vAlign w:val="bottom"/>
            <w:vMerge w:val="continue"/>
            <w:shd w:val="clear" w:color="auto" w:fill="F7F7F7"/>
          </w:tcPr>
          <w:p>
            <w:pPr>
              <w:spacing w:after="0"/>
              <w:rPr>
                <w:sz w:val="16"/>
                <w:szCs w:val="16"/>
                <w:color w:val="auto"/>
              </w:rPr>
            </w:pPr>
          </w:p>
        </w:tc>
        <w:tc>
          <w:tcPr>
            <w:tcW w:w="1020" w:type="dxa"/>
            <w:vAlign w:val="bottom"/>
            <w:shd w:val="clear" w:color="auto" w:fill="F7F7F7"/>
          </w:tcPr>
          <w:p>
            <w:pPr>
              <w:jc w:val="right"/>
              <w:ind w:right="151"/>
              <w:spacing w:after="0"/>
              <w:rPr>
                <w:sz w:val="20"/>
                <w:szCs w:val="20"/>
                <w:color w:val="auto"/>
              </w:rPr>
            </w:pPr>
            <w:r>
              <w:rPr>
                <w:rFonts w:ascii="Arial" w:cs="Arial" w:eastAsia="Arial" w:hAnsi="Arial"/>
                <w:sz w:val="14"/>
                <w:szCs w:val="14"/>
                <w:color w:val="auto"/>
              </w:rPr>
              <w:t>33,466</w:t>
            </w:r>
          </w:p>
        </w:tc>
        <w:tc>
          <w:tcPr>
            <w:tcW w:w="100" w:type="dxa"/>
            <w:vAlign w:val="bottom"/>
            <w:shd w:val="clear" w:color="auto" w:fill="F7F7F7"/>
          </w:tcPr>
          <w:p>
            <w:pPr>
              <w:spacing w:after="0"/>
              <w:rPr>
                <w:sz w:val="16"/>
                <w:szCs w:val="16"/>
                <w:color w:val="auto"/>
              </w:rPr>
            </w:pPr>
          </w:p>
        </w:tc>
        <w:tc>
          <w:tcPr>
            <w:tcW w:w="38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20" w:type="dxa"/>
            <w:vAlign w:val="bottom"/>
            <w:tcBorders>
              <w:bottom w:val="single" w:sz="8" w:color="F7F7F7"/>
            </w:tcBorders>
            <w:shd w:val="clear" w:color="auto" w:fill="F7F7F7"/>
          </w:tcPr>
          <w:p>
            <w:pPr>
              <w:spacing w:after="0"/>
              <w:rPr>
                <w:sz w:val="8"/>
                <w:szCs w:val="8"/>
                <w:color w:val="auto"/>
              </w:rPr>
            </w:pPr>
          </w:p>
        </w:tc>
        <w:tc>
          <w:tcPr>
            <w:tcW w:w="940" w:type="dxa"/>
            <w:vAlign w:val="bottom"/>
            <w:tcBorders>
              <w:bottom w:val="single" w:sz="8" w:color="F7F7F7"/>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240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40" w:type="dxa"/>
            <w:vAlign w:val="bottom"/>
            <w:tcBorders>
              <w:bottom w:val="single" w:sz="8" w:color="auto"/>
            </w:tcBorders>
            <w:shd w:val="clear" w:color="auto" w:fill="F7F7F7"/>
          </w:tcPr>
          <w:p>
            <w:pPr>
              <w:spacing w:after="0"/>
              <w:rPr>
                <w:sz w:val="8"/>
                <w:szCs w:val="8"/>
                <w:color w:val="auto"/>
              </w:rPr>
            </w:pPr>
          </w:p>
        </w:tc>
        <w:tc>
          <w:tcPr>
            <w:tcW w:w="400" w:type="dxa"/>
            <w:vAlign w:val="bottom"/>
            <w:tcBorders>
              <w:bottom w:val="single" w:sz="8" w:color="auto"/>
            </w:tcBorders>
            <w:shd w:val="clear" w:color="auto" w:fill="F7F7F7"/>
          </w:tcPr>
          <w:p>
            <w:pPr>
              <w:spacing w:after="0"/>
              <w:rPr>
                <w:sz w:val="8"/>
                <w:szCs w:val="8"/>
                <w:color w:val="auto"/>
              </w:rPr>
            </w:pPr>
          </w:p>
        </w:tc>
        <w:tc>
          <w:tcPr>
            <w:tcW w:w="800" w:type="dxa"/>
            <w:vAlign w:val="bottom"/>
            <w:tcBorders>
              <w:bottom w:val="single" w:sz="8" w:color="auto"/>
            </w:tcBorders>
            <w:shd w:val="clear" w:color="auto" w:fill="F7F7F7"/>
          </w:tcPr>
          <w:p>
            <w:pPr>
              <w:spacing w:after="0"/>
              <w:rPr>
                <w:sz w:val="8"/>
                <w:szCs w:val="8"/>
                <w:color w:val="auto"/>
              </w:rPr>
            </w:pPr>
          </w:p>
        </w:tc>
        <w:tc>
          <w:tcPr>
            <w:tcW w:w="160" w:type="dxa"/>
            <w:vAlign w:val="bottom"/>
            <w:tcBorders>
              <w:bottom w:val="single" w:sz="8" w:color="auto"/>
            </w:tcBorders>
            <w:shd w:val="clear" w:color="auto" w:fill="F7F7F7"/>
          </w:tcPr>
          <w:p>
            <w:pPr>
              <w:spacing w:after="0"/>
              <w:rPr>
                <w:sz w:val="8"/>
                <w:szCs w:val="8"/>
                <w:color w:val="auto"/>
              </w:rPr>
            </w:pPr>
          </w:p>
        </w:tc>
        <w:tc>
          <w:tcPr>
            <w:tcW w:w="120" w:type="dxa"/>
            <w:vAlign w:val="bottom"/>
            <w:tcBorders>
              <w:bottom w:val="single" w:sz="8" w:color="auto"/>
            </w:tcBorders>
            <w:shd w:val="clear" w:color="auto" w:fill="F7F7F7"/>
          </w:tcPr>
          <w:p>
            <w:pPr>
              <w:spacing w:after="0"/>
              <w:rPr>
                <w:sz w:val="8"/>
                <w:szCs w:val="8"/>
                <w:color w:val="auto"/>
              </w:rPr>
            </w:pPr>
          </w:p>
        </w:tc>
        <w:tc>
          <w:tcPr>
            <w:tcW w:w="180" w:type="dxa"/>
            <w:vAlign w:val="bottom"/>
            <w:tcBorders>
              <w:bottom w:val="single" w:sz="8" w:color="auto"/>
            </w:tcBorders>
            <w:shd w:val="clear" w:color="auto" w:fill="F7F7F7"/>
          </w:tcPr>
          <w:p>
            <w:pPr>
              <w:spacing w:after="0"/>
              <w:rPr>
                <w:sz w:val="8"/>
                <w:szCs w:val="8"/>
                <w:color w:val="auto"/>
              </w:rPr>
            </w:pPr>
          </w:p>
        </w:tc>
        <w:tc>
          <w:tcPr>
            <w:tcW w:w="102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c>
          <w:tcPr>
            <w:tcW w:w="5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F7F7F7"/>
          </w:tcPr>
          <w:p>
            <w:pPr>
              <w:spacing w:after="0"/>
              <w:rPr>
                <w:sz w:val="10"/>
                <w:szCs w:val="10"/>
                <w:color w:val="auto"/>
              </w:rPr>
            </w:pPr>
          </w:p>
        </w:tc>
        <w:tc>
          <w:tcPr>
            <w:tcW w:w="94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Total</w:t>
            </w:r>
          </w:p>
        </w:tc>
        <w:tc>
          <w:tcPr>
            <w:tcW w:w="6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4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400" w:type="dxa"/>
            <w:vAlign w:val="bottom"/>
            <w:shd w:val="clear" w:color="auto" w:fill="F7F7F7"/>
          </w:tcPr>
          <w:p>
            <w:pPr>
              <w:ind w:left="240"/>
              <w:spacing w:after="0" w:line="115"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1,413,927</w:t>
            </w:r>
          </w:p>
        </w:tc>
        <w:tc>
          <w:tcPr>
            <w:tcW w:w="16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8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580" w:type="dxa"/>
            <w:vAlign w:val="bottom"/>
            <w:shd w:val="clear" w:color="auto" w:fill="F7F7F7"/>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020" w:type="dxa"/>
            <w:vAlign w:val="bottom"/>
            <w:shd w:val="clear" w:color="auto" w:fill="F7F7F7"/>
          </w:tcPr>
          <w:p>
            <w:pPr>
              <w:spacing w:after="0"/>
              <w:rPr>
                <w:sz w:val="16"/>
                <w:szCs w:val="16"/>
                <w:color w:val="auto"/>
              </w:rPr>
            </w:pPr>
          </w:p>
        </w:tc>
        <w:tc>
          <w:tcPr>
            <w:tcW w:w="94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2400" w:type="dxa"/>
            <w:vAlign w:val="bottom"/>
            <w:vMerge w:val="continue"/>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40" w:type="dxa"/>
            <w:vAlign w:val="bottom"/>
            <w:shd w:val="clear" w:color="auto" w:fill="F7F7F7"/>
          </w:tcPr>
          <w:p>
            <w:pPr>
              <w:spacing w:after="0"/>
              <w:rPr>
                <w:sz w:val="16"/>
                <w:szCs w:val="16"/>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120" w:type="dxa"/>
            <w:vAlign w:val="bottom"/>
            <w:shd w:val="clear" w:color="auto" w:fill="F7F7F7"/>
          </w:tcPr>
          <w:p>
            <w:pPr>
              <w:spacing w:after="0"/>
              <w:rPr>
                <w:sz w:val="16"/>
                <w:szCs w:val="16"/>
                <w:color w:val="auto"/>
              </w:rPr>
            </w:pPr>
          </w:p>
        </w:tc>
        <w:tc>
          <w:tcPr>
            <w:tcW w:w="180" w:type="dxa"/>
            <w:vAlign w:val="bottom"/>
            <w:vMerge w:val="continue"/>
            <w:shd w:val="clear" w:color="auto" w:fill="F7F7F7"/>
          </w:tcPr>
          <w:p>
            <w:pPr>
              <w:spacing w:after="0"/>
              <w:rPr>
                <w:sz w:val="16"/>
                <w:szCs w:val="16"/>
                <w:color w:val="auto"/>
              </w:rPr>
            </w:pPr>
          </w:p>
        </w:tc>
        <w:tc>
          <w:tcPr>
            <w:tcW w:w="1020" w:type="dxa"/>
            <w:vAlign w:val="bottom"/>
            <w:shd w:val="clear" w:color="auto" w:fill="F7F7F7"/>
          </w:tcPr>
          <w:p>
            <w:pPr>
              <w:jc w:val="right"/>
              <w:ind w:right="151"/>
              <w:spacing w:after="0"/>
              <w:rPr>
                <w:sz w:val="20"/>
                <w:szCs w:val="20"/>
                <w:color w:val="auto"/>
              </w:rPr>
            </w:pPr>
            <w:r>
              <w:rPr>
                <w:rFonts w:ascii="Arial" w:cs="Arial" w:eastAsia="Arial" w:hAnsi="Arial"/>
                <w:sz w:val="14"/>
                <w:szCs w:val="14"/>
                <w:color w:val="auto"/>
              </w:rPr>
              <w:t>4,911,328</w:t>
            </w:r>
          </w:p>
        </w:tc>
        <w:tc>
          <w:tcPr>
            <w:tcW w:w="100" w:type="dxa"/>
            <w:vAlign w:val="bottom"/>
            <w:shd w:val="clear" w:color="auto" w:fill="F7F7F7"/>
          </w:tcPr>
          <w:p>
            <w:pPr>
              <w:spacing w:after="0"/>
              <w:rPr>
                <w:sz w:val="16"/>
                <w:szCs w:val="16"/>
                <w:color w:val="auto"/>
              </w:rPr>
            </w:pPr>
          </w:p>
        </w:tc>
        <w:tc>
          <w:tcPr>
            <w:tcW w:w="960" w:type="dxa"/>
            <w:vAlign w:val="bottom"/>
            <w:gridSpan w:val="2"/>
            <w:shd w:val="clear" w:color="auto" w:fill="F7F7F7"/>
          </w:tcPr>
          <w:p>
            <w:pPr>
              <w:jc w:val="right"/>
              <w:ind w:right="131"/>
              <w:spacing w:after="0"/>
              <w:rPr>
                <w:sz w:val="20"/>
                <w:szCs w:val="20"/>
                <w:color w:val="auto"/>
              </w:rPr>
            </w:pPr>
            <w:r>
              <w:rPr>
                <w:rFonts w:ascii="Arial" w:cs="Arial" w:eastAsia="Arial" w:hAnsi="Arial"/>
                <w:sz w:val="14"/>
                <w:szCs w:val="14"/>
                <w:color w:val="auto"/>
              </w:rPr>
              <w:t>$4,342,862</w:t>
            </w:r>
          </w:p>
        </w:tc>
        <w:tc>
          <w:tcPr>
            <w:tcW w:w="0" w:type="dxa"/>
            <w:vAlign w:val="bottom"/>
          </w:tcPr>
          <w:p>
            <w:pPr>
              <w:spacing w:after="0"/>
              <w:rPr>
                <w:sz w:val="1"/>
                <w:szCs w:val="1"/>
                <w:color w:val="auto"/>
              </w:rPr>
            </w:pPr>
          </w:p>
        </w:tc>
      </w:tr>
      <w:tr>
        <w:trPr>
          <w:trHeight w:val="93"/>
        </w:trPr>
        <w:tc>
          <w:tcPr>
            <w:tcW w:w="2020" w:type="dxa"/>
            <w:vAlign w:val="bottom"/>
            <w:tcBorders>
              <w:bottom w:val="single" w:sz="8" w:color="auto"/>
            </w:tcBorders>
            <w:shd w:val="clear" w:color="auto" w:fill="F7F7F7"/>
          </w:tcPr>
          <w:p>
            <w:pPr>
              <w:spacing w:after="0"/>
              <w:rPr>
                <w:sz w:val="8"/>
                <w:szCs w:val="8"/>
                <w:color w:val="auto"/>
              </w:rPr>
            </w:pPr>
          </w:p>
        </w:tc>
        <w:tc>
          <w:tcPr>
            <w:tcW w:w="1000" w:type="dxa"/>
            <w:vAlign w:val="bottom"/>
            <w:tcBorders>
              <w:bottom w:val="single" w:sz="8" w:color="auto"/>
            </w:tcBorders>
            <w:gridSpan w:val="2"/>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2400" w:type="dxa"/>
            <w:vAlign w:val="bottom"/>
            <w:tcBorders>
              <w:bottom w:val="single" w:sz="8" w:color="auto"/>
            </w:tcBorders>
            <w:shd w:val="clear" w:color="auto" w:fill="F7F7F7"/>
          </w:tcPr>
          <w:p>
            <w:pPr>
              <w:spacing w:after="0"/>
              <w:rPr>
                <w:sz w:val="8"/>
                <w:szCs w:val="8"/>
                <w:color w:val="auto"/>
              </w:rPr>
            </w:pPr>
          </w:p>
        </w:tc>
        <w:tc>
          <w:tcPr>
            <w:tcW w:w="120" w:type="dxa"/>
            <w:vAlign w:val="bottom"/>
            <w:tcBorders>
              <w:bottom w:val="single" w:sz="8" w:color="auto"/>
            </w:tcBorders>
            <w:gridSpan w:val="2"/>
            <w:shd w:val="clear" w:color="auto" w:fill="F7F7F7"/>
          </w:tcPr>
          <w:p>
            <w:pPr>
              <w:spacing w:after="0"/>
              <w:rPr>
                <w:sz w:val="8"/>
                <w:szCs w:val="8"/>
                <w:color w:val="auto"/>
              </w:rPr>
            </w:pPr>
          </w:p>
        </w:tc>
        <w:tc>
          <w:tcPr>
            <w:tcW w:w="40" w:type="dxa"/>
            <w:vAlign w:val="bottom"/>
            <w:tcBorders>
              <w:bottom w:val="single" w:sz="8" w:color="auto"/>
            </w:tcBorders>
            <w:shd w:val="clear" w:color="auto" w:fill="F7F7F7"/>
          </w:tcPr>
          <w:p>
            <w:pPr>
              <w:spacing w:after="0"/>
              <w:rPr>
                <w:sz w:val="8"/>
                <w:szCs w:val="8"/>
                <w:color w:val="auto"/>
              </w:rPr>
            </w:pPr>
          </w:p>
        </w:tc>
        <w:tc>
          <w:tcPr>
            <w:tcW w:w="400" w:type="dxa"/>
            <w:vAlign w:val="bottom"/>
            <w:tcBorders>
              <w:bottom w:val="single" w:sz="8" w:color="auto"/>
            </w:tcBorders>
            <w:shd w:val="clear" w:color="auto" w:fill="F7F7F7"/>
          </w:tcPr>
          <w:p>
            <w:pPr>
              <w:spacing w:after="0"/>
              <w:rPr>
                <w:sz w:val="8"/>
                <w:szCs w:val="8"/>
                <w:color w:val="auto"/>
              </w:rPr>
            </w:pPr>
          </w:p>
        </w:tc>
        <w:tc>
          <w:tcPr>
            <w:tcW w:w="800" w:type="dxa"/>
            <w:vAlign w:val="bottom"/>
            <w:tcBorders>
              <w:bottom w:val="single" w:sz="8" w:color="auto"/>
            </w:tcBorders>
            <w:shd w:val="clear" w:color="auto" w:fill="F7F7F7"/>
          </w:tcPr>
          <w:p>
            <w:pPr>
              <w:spacing w:after="0"/>
              <w:rPr>
                <w:sz w:val="8"/>
                <w:szCs w:val="8"/>
                <w:color w:val="auto"/>
              </w:rPr>
            </w:pPr>
          </w:p>
        </w:tc>
        <w:tc>
          <w:tcPr>
            <w:tcW w:w="280" w:type="dxa"/>
            <w:vAlign w:val="bottom"/>
            <w:tcBorders>
              <w:bottom w:val="single" w:sz="8" w:color="auto"/>
            </w:tcBorders>
            <w:gridSpan w:val="2"/>
            <w:shd w:val="clear" w:color="auto" w:fill="F7F7F7"/>
          </w:tcPr>
          <w:p>
            <w:pPr>
              <w:spacing w:after="0"/>
              <w:rPr>
                <w:sz w:val="8"/>
                <w:szCs w:val="8"/>
                <w:color w:val="auto"/>
              </w:rPr>
            </w:pPr>
          </w:p>
        </w:tc>
        <w:tc>
          <w:tcPr>
            <w:tcW w:w="180" w:type="dxa"/>
            <w:vAlign w:val="bottom"/>
            <w:tcBorders>
              <w:bottom w:val="single" w:sz="8" w:color="auto"/>
            </w:tcBorders>
            <w:shd w:val="clear" w:color="auto" w:fill="F7F7F7"/>
          </w:tcPr>
          <w:p>
            <w:pPr>
              <w:spacing w:after="0"/>
              <w:rPr>
                <w:sz w:val="8"/>
                <w:szCs w:val="8"/>
                <w:color w:val="auto"/>
              </w:rPr>
            </w:pPr>
          </w:p>
        </w:tc>
        <w:tc>
          <w:tcPr>
            <w:tcW w:w="1020" w:type="dxa"/>
            <w:vAlign w:val="bottom"/>
            <w:tcBorders>
              <w:bottom w:val="single" w:sz="8" w:color="auto"/>
            </w:tcBorders>
            <w:shd w:val="clear" w:color="auto" w:fill="F7F7F7"/>
          </w:tcPr>
          <w:p>
            <w:pPr>
              <w:spacing w:after="0"/>
              <w:rPr>
                <w:sz w:val="8"/>
                <w:szCs w:val="8"/>
                <w:color w:val="auto"/>
              </w:rPr>
            </w:pPr>
          </w:p>
        </w:tc>
        <w:tc>
          <w:tcPr>
            <w:tcW w:w="480" w:type="dxa"/>
            <w:vAlign w:val="bottom"/>
            <w:tcBorders>
              <w:bottom w:val="single" w:sz="8" w:color="auto"/>
            </w:tcBorders>
            <w:gridSpan w:val="2"/>
            <w:shd w:val="clear" w:color="auto" w:fill="F7F7F7"/>
          </w:tcPr>
          <w:p>
            <w:pPr>
              <w:spacing w:after="0"/>
              <w:rPr>
                <w:sz w:val="8"/>
                <w:szCs w:val="8"/>
                <w:color w:val="auto"/>
              </w:rPr>
            </w:pPr>
          </w:p>
        </w:tc>
        <w:tc>
          <w:tcPr>
            <w:tcW w:w="5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20" w:type="dxa"/>
            <w:vAlign w:val="bottom"/>
          </w:tcPr>
          <w:p>
            <w:pPr>
              <w:spacing w:after="0" w:line="119"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 ​</w:t>
            </w:r>
          </w:p>
        </w:tc>
        <w:tc>
          <w:tcPr>
            <w:tcW w:w="60" w:type="dxa"/>
            <w:vAlign w:val="bottom"/>
          </w:tcPr>
          <w:p>
            <w:pPr>
              <w:spacing w:after="0"/>
              <w:rPr>
                <w:sz w:val="10"/>
                <w:szCs w:val="10"/>
                <w:color w:val="auto"/>
              </w:rPr>
            </w:pPr>
          </w:p>
        </w:tc>
        <w:tc>
          <w:tcPr>
            <w:tcW w:w="2400" w:type="dxa"/>
            <w:vAlign w:val="bottom"/>
            <w:vMerge w:val="restart"/>
          </w:tcPr>
          <w:p>
            <w:pPr>
              <w:spacing w:after="0"/>
              <w:rPr>
                <w:sz w:val="20"/>
                <w:szCs w:val="20"/>
                <w:color w:val="auto"/>
              </w:rPr>
            </w:pPr>
            <w:r>
              <w:rPr>
                <w:rFonts w:ascii="Arial" w:cs="Arial" w:eastAsia="Arial" w:hAnsi="Arial"/>
                <w:sz w:val="14"/>
                <w:szCs w:val="14"/>
                <w:color w:val="auto"/>
              </w:rPr>
              <w:t>Cash Severance</w:t>
            </w:r>
          </w:p>
        </w:tc>
        <w:tc>
          <w:tcPr>
            <w:tcW w:w="120" w:type="dxa"/>
            <w:vAlign w:val="bottom"/>
            <w:gridSpan w:val="2"/>
          </w:tcPr>
          <w:p>
            <w:pPr>
              <w:spacing w:after="0" w:line="119" w:lineRule="exact"/>
              <w:rPr>
                <w:sz w:val="20"/>
                <w:szCs w:val="20"/>
                <w:color w:val="auto"/>
              </w:rPr>
            </w:pPr>
            <w:r>
              <w:rPr>
                <w:rFonts w:ascii="Arial" w:cs="Arial" w:eastAsia="Arial" w:hAnsi="Arial"/>
                <w:sz w:val="13"/>
                <w:szCs w:val="13"/>
                <w:color w:val="auto"/>
              </w:rPr>
              <w:t>​</w:t>
            </w:r>
          </w:p>
        </w:tc>
        <w:tc>
          <w:tcPr>
            <w:tcW w:w="4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400" w:type="dxa"/>
            <w:vAlign w:val="bottom"/>
          </w:tcPr>
          <w:p>
            <w:pPr>
              <w:ind w:left="240"/>
              <w:spacing w:after="0" w:line="119" w:lineRule="exact"/>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0"/>
              <w:spacing w:after="0"/>
              <w:rPr>
                <w:sz w:val="20"/>
                <w:szCs w:val="20"/>
                <w:color w:val="auto"/>
              </w:rPr>
            </w:pPr>
            <w:r>
              <w:rPr>
                <w:rFonts w:ascii="Arial" w:cs="Arial" w:eastAsia="Arial" w:hAnsi="Arial"/>
                <w:sz w:val="14"/>
                <w:szCs w:val="14"/>
                <w:color w:val="auto"/>
              </w:rPr>
              <w:t>393,750</w:t>
            </w:r>
          </w:p>
        </w:tc>
        <w:tc>
          <w:tcPr>
            <w:tcW w:w="28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19" w:lineRule="exact"/>
              <w:rPr>
                <w:sz w:val="20"/>
                <w:szCs w:val="20"/>
                <w:color w:val="auto"/>
              </w:rPr>
            </w:pPr>
            <w:r>
              <w:rPr>
                <w:rFonts w:ascii="Arial" w:cs="Arial" w:eastAsia="Arial" w:hAnsi="Arial"/>
                <w:sz w:val="13"/>
                <w:szCs w:val="13"/>
                <w:color w:val="auto"/>
              </w:rPr>
              <w:t>​</w:t>
            </w:r>
          </w:p>
        </w:tc>
        <w:tc>
          <w:tcPr>
            <w:tcW w:w="480" w:type="dxa"/>
            <w:vAlign w:val="bottom"/>
            <w:gridSpan w:val="2"/>
          </w:tcPr>
          <w:p>
            <w:pPr>
              <w:spacing w:after="0" w:line="119" w:lineRule="exact"/>
              <w:rPr>
                <w:sz w:val="20"/>
                <w:szCs w:val="20"/>
                <w:color w:val="auto"/>
              </w:rPr>
            </w:pPr>
            <w:r>
              <w:rPr>
                <w:rFonts w:ascii="Arial" w:cs="Arial" w:eastAsia="Arial" w:hAnsi="Arial"/>
                <w:sz w:val="13"/>
                <w:szCs w:val="13"/>
                <w:color w:val="auto"/>
              </w:rPr>
              <w:t>​ ​</w:t>
            </w:r>
          </w:p>
        </w:tc>
        <w:tc>
          <w:tcPr>
            <w:tcW w:w="580" w:type="dxa"/>
            <w:vAlign w:val="bottom"/>
          </w:tcPr>
          <w:p>
            <w:pPr>
              <w:jc w:val="right"/>
              <w:ind w:right="91"/>
              <w:spacing w:after="0" w:line="11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020" w:type="dxa"/>
            <w:vAlign w:val="bottom"/>
          </w:tcPr>
          <w:p>
            <w:pPr>
              <w:ind w:left="140"/>
              <w:spacing w:after="0"/>
              <w:rPr>
                <w:sz w:val="20"/>
                <w:szCs w:val="20"/>
                <w:color w:val="auto"/>
              </w:rPr>
            </w:pPr>
            <w:r>
              <w:rPr>
                <w:rFonts w:ascii="Arial" w:cs="Arial" w:eastAsia="Arial" w:hAnsi="Arial"/>
                <w:sz w:val="14"/>
                <w:szCs w:val="14"/>
                <w:color w:val="auto"/>
              </w:rPr>
              <w:t>Eric Bach</w:t>
            </w: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525,000</w:t>
            </w:r>
          </w:p>
        </w:tc>
        <w:tc>
          <w:tcPr>
            <w:tcW w:w="100" w:type="dxa"/>
            <w:vAlign w:val="bottom"/>
          </w:tcPr>
          <w:p>
            <w:pPr>
              <w:spacing w:after="0"/>
              <w:rPr>
                <w:sz w:val="16"/>
                <w:szCs w:val="16"/>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3"/>
        </w:trPr>
        <w:tc>
          <w:tcPr>
            <w:tcW w:w="2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400" w:type="dxa"/>
            <w:vAlign w:val="bottom"/>
            <w:vMerge w:val="restart"/>
          </w:tcPr>
          <w:p>
            <w:pPr>
              <w:spacing w:after="0"/>
              <w:rPr>
                <w:sz w:val="20"/>
                <w:szCs w:val="20"/>
                <w:color w:val="auto"/>
              </w:rPr>
            </w:pPr>
            <w:r>
              <w:rPr>
                <w:rFonts w:ascii="Arial" w:cs="Arial" w:eastAsia="Arial" w:hAnsi="Arial"/>
                <w:sz w:val="14"/>
                <w:szCs w:val="14"/>
                <w:color w:val="auto"/>
              </w:rPr>
              <w:t>Accelerated Vesting of Equity Awards</w:t>
            </w:r>
          </w:p>
        </w:tc>
        <w:tc>
          <w:tcPr>
            <w:tcW w:w="6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400" w:type="dxa"/>
            <w:vAlign w:val="bottom"/>
          </w:tcPr>
          <w:p>
            <w:pPr>
              <w:ind w:left="240"/>
              <w:spacing w:after="0" w:line="115" w:lineRule="exact"/>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0"/>
              <w:spacing w:after="0"/>
              <w:rPr>
                <w:sz w:val="20"/>
                <w:szCs w:val="20"/>
                <w:color w:val="auto"/>
              </w:rPr>
            </w:pPr>
            <w:r>
              <w:rPr>
                <w:rFonts w:ascii="Arial" w:cs="Arial" w:eastAsia="Arial" w:hAnsi="Arial"/>
                <w:sz w:val="14"/>
                <w:szCs w:val="14"/>
                <w:color w:val="auto"/>
              </w:rPr>
              <w:t>3,508,236</w:t>
            </w:r>
          </w:p>
        </w:tc>
        <w:tc>
          <w:tcPr>
            <w:tcW w:w="1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38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8,337,684</w:t>
            </w:r>
          </w:p>
        </w:tc>
        <w:tc>
          <w:tcPr>
            <w:tcW w:w="100" w:type="dxa"/>
            <w:vAlign w:val="bottom"/>
          </w:tcPr>
          <w:p>
            <w:pPr>
              <w:spacing w:after="0"/>
              <w:rPr>
                <w:sz w:val="16"/>
                <w:szCs w:val="16"/>
                <w:color w:val="auto"/>
              </w:rPr>
            </w:pPr>
          </w:p>
        </w:tc>
        <w:tc>
          <w:tcPr>
            <w:tcW w:w="960" w:type="dxa"/>
            <w:vAlign w:val="bottom"/>
            <w:gridSpan w:val="2"/>
          </w:tcPr>
          <w:p>
            <w:pPr>
              <w:jc w:val="right"/>
              <w:ind w:right="131"/>
              <w:spacing w:after="0"/>
              <w:rPr>
                <w:sz w:val="20"/>
                <w:szCs w:val="20"/>
                <w:color w:val="auto"/>
              </w:rPr>
            </w:pPr>
            <w:r>
              <w:rPr>
                <w:rFonts w:ascii="Arial" w:cs="Arial" w:eastAsia="Arial" w:hAnsi="Arial"/>
                <w:sz w:val="14"/>
                <w:szCs w:val="14"/>
                <w:color w:val="auto"/>
              </w:rPr>
              <w:t>$8,337,684</w:t>
            </w:r>
          </w:p>
        </w:tc>
        <w:tc>
          <w:tcPr>
            <w:tcW w:w="0" w:type="dxa"/>
            <w:vAlign w:val="bottom"/>
          </w:tcPr>
          <w:p>
            <w:pPr>
              <w:spacing w:after="0"/>
              <w:rPr>
                <w:sz w:val="1"/>
                <w:szCs w:val="1"/>
                <w:color w:val="auto"/>
              </w:rPr>
            </w:pPr>
          </w:p>
        </w:tc>
      </w:tr>
      <w:tr>
        <w:trPr>
          <w:trHeight w:val="93"/>
        </w:trPr>
        <w:tc>
          <w:tcPr>
            <w:tcW w:w="2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400" w:type="dxa"/>
            <w:vAlign w:val="bottom"/>
            <w:vMerge w:val="restart"/>
          </w:tcPr>
          <w:p>
            <w:pPr>
              <w:spacing w:after="0"/>
              <w:rPr>
                <w:sz w:val="20"/>
                <w:szCs w:val="20"/>
                <w:color w:val="auto"/>
              </w:rPr>
            </w:pPr>
            <w:r>
              <w:rPr>
                <w:rFonts w:ascii="Arial" w:cs="Arial" w:eastAsia="Arial" w:hAnsi="Arial"/>
                <w:sz w:val="14"/>
                <w:szCs w:val="14"/>
                <w:color w:val="auto"/>
              </w:rPr>
              <w:t>Health Benefits</w:t>
            </w:r>
          </w:p>
        </w:tc>
        <w:tc>
          <w:tcPr>
            <w:tcW w:w="6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400" w:type="dxa"/>
            <w:vAlign w:val="bottom"/>
          </w:tcPr>
          <w:p>
            <w:pPr>
              <w:ind w:left="240"/>
              <w:spacing w:after="0" w:line="115" w:lineRule="exact"/>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0"/>
              <w:spacing w:after="0"/>
              <w:rPr>
                <w:sz w:val="20"/>
                <w:szCs w:val="20"/>
                <w:color w:val="auto"/>
              </w:rPr>
            </w:pPr>
            <w:r>
              <w:rPr>
                <w:rFonts w:ascii="Arial" w:cs="Arial" w:eastAsia="Arial" w:hAnsi="Arial"/>
                <w:sz w:val="14"/>
                <w:szCs w:val="14"/>
                <w:color w:val="auto"/>
              </w:rPr>
              <w:t>23,426</w:t>
            </w:r>
          </w:p>
        </w:tc>
        <w:tc>
          <w:tcPr>
            <w:tcW w:w="1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38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31,235</w:t>
            </w:r>
          </w:p>
        </w:tc>
        <w:tc>
          <w:tcPr>
            <w:tcW w:w="100" w:type="dxa"/>
            <w:vAlign w:val="bottom"/>
          </w:tcPr>
          <w:p>
            <w:pPr>
              <w:spacing w:after="0"/>
              <w:rPr>
                <w:sz w:val="16"/>
                <w:szCs w:val="16"/>
                <w:color w:val="auto"/>
              </w:rPr>
            </w:pPr>
          </w:p>
        </w:tc>
        <w:tc>
          <w:tcPr>
            <w:tcW w:w="380" w:type="dxa"/>
            <w:vAlign w:val="bottom"/>
          </w:tcPr>
          <w:p>
            <w:pPr>
              <w:ind w:left="10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4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4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400" w:type="dxa"/>
            <w:vAlign w:val="bottom"/>
          </w:tcPr>
          <w:p>
            <w:pPr>
              <w:ind w:left="240"/>
              <w:spacing w:after="0" w:line="115" w:lineRule="exact"/>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0"/>
              <w:spacing w:after="0"/>
              <w:rPr>
                <w:sz w:val="20"/>
                <w:szCs w:val="20"/>
                <w:color w:val="auto"/>
              </w:rPr>
            </w:pPr>
            <w:r>
              <w:rPr>
                <w:rFonts w:ascii="Arial" w:cs="Arial" w:eastAsia="Arial" w:hAnsi="Arial"/>
                <w:sz w:val="14"/>
                <w:szCs w:val="14"/>
                <w:color w:val="auto"/>
              </w:rPr>
              <w:t>3,925,412</w:t>
            </w:r>
          </w:p>
        </w:tc>
        <w:tc>
          <w:tcPr>
            <w:tcW w:w="16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15" w:lineRule="exact"/>
              <w:rPr>
                <w:sz w:val="20"/>
                <w:szCs w:val="20"/>
                <w:color w:val="auto"/>
              </w:rPr>
            </w:pPr>
            <w:r>
              <w:rPr>
                <w:rFonts w:ascii="Arial" w:cs="Arial" w:eastAsia="Arial" w:hAnsi="Arial"/>
                <w:sz w:val="13"/>
                <w:szCs w:val="13"/>
                <w:color w:val="auto"/>
              </w:rPr>
              <w:t>​</w:t>
            </w:r>
          </w:p>
        </w:tc>
        <w:tc>
          <w:tcPr>
            <w:tcW w:w="380" w:type="dxa"/>
            <w:vAlign w:val="bottom"/>
          </w:tcPr>
          <w:p>
            <w:pPr>
              <w:ind w:left="20"/>
              <w:spacing w:after="0" w:line="115"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8,893,919</w:t>
            </w:r>
          </w:p>
        </w:tc>
        <w:tc>
          <w:tcPr>
            <w:tcW w:w="100" w:type="dxa"/>
            <w:vAlign w:val="bottom"/>
          </w:tcPr>
          <w:p>
            <w:pPr>
              <w:spacing w:after="0"/>
              <w:rPr>
                <w:sz w:val="16"/>
                <w:szCs w:val="16"/>
                <w:color w:val="auto"/>
              </w:rPr>
            </w:pPr>
          </w:p>
        </w:tc>
        <w:tc>
          <w:tcPr>
            <w:tcW w:w="960" w:type="dxa"/>
            <w:vAlign w:val="bottom"/>
            <w:gridSpan w:val="2"/>
          </w:tcPr>
          <w:p>
            <w:pPr>
              <w:jc w:val="right"/>
              <w:ind w:right="131"/>
              <w:spacing w:after="0"/>
              <w:rPr>
                <w:sz w:val="20"/>
                <w:szCs w:val="20"/>
                <w:color w:val="auto"/>
              </w:rPr>
            </w:pPr>
            <w:r>
              <w:rPr>
                <w:rFonts w:ascii="Arial" w:cs="Arial" w:eastAsia="Arial" w:hAnsi="Arial"/>
                <w:sz w:val="14"/>
                <w:szCs w:val="14"/>
                <w:color w:val="auto"/>
              </w:rPr>
              <w:t>$8,337,684</w:t>
            </w:r>
          </w:p>
        </w:tc>
        <w:tc>
          <w:tcPr>
            <w:tcW w:w="0" w:type="dxa"/>
            <w:vAlign w:val="bottom"/>
          </w:tcPr>
          <w:p>
            <w:pPr>
              <w:spacing w:after="0"/>
              <w:rPr>
                <w:sz w:val="1"/>
                <w:szCs w:val="1"/>
                <w:color w:val="auto"/>
              </w:rPr>
            </w:pPr>
          </w:p>
        </w:tc>
      </w:tr>
      <w:tr>
        <w:trPr>
          <w:trHeight w:val="93"/>
        </w:trPr>
        <w:tc>
          <w:tcPr>
            <w:tcW w:w="20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gridSpan w:val="3"/>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20" w:type="dxa"/>
            <w:vAlign w:val="bottom"/>
            <w:shd w:val="clear" w:color="auto" w:fill="F7F7F7"/>
          </w:tcPr>
          <w:p>
            <w:pPr>
              <w:spacing w:after="0" w:line="119" w:lineRule="exact"/>
              <w:rPr>
                <w:sz w:val="20"/>
                <w:szCs w:val="20"/>
                <w:color w:val="auto"/>
              </w:rPr>
            </w:pPr>
            <w:r>
              <w:rPr>
                <w:rFonts w:ascii="Arial" w:cs="Arial" w:eastAsia="Arial" w:hAnsi="Arial"/>
                <w:sz w:val="13"/>
                <w:szCs w:val="13"/>
                <w:color w:val="auto"/>
              </w:rPr>
              <w:t>​</w:t>
            </w:r>
          </w:p>
        </w:tc>
        <w:tc>
          <w:tcPr>
            <w:tcW w:w="940" w:type="dxa"/>
            <w:vAlign w:val="bottom"/>
            <w:shd w:val="clear" w:color="auto" w:fill="F7F7F7"/>
          </w:tcPr>
          <w:p>
            <w:pPr>
              <w:ind w:left="840"/>
              <w:spacing w:after="0" w:line="119"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jc w:val="right"/>
              <w:spacing w:after="0" w:line="119"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Cash Severance</w:t>
            </w:r>
          </w:p>
        </w:tc>
        <w:tc>
          <w:tcPr>
            <w:tcW w:w="160" w:type="dxa"/>
            <w:vAlign w:val="bottom"/>
            <w:gridSpan w:val="3"/>
            <w:shd w:val="clear" w:color="auto" w:fill="F7F7F7"/>
          </w:tcPr>
          <w:p>
            <w:pPr>
              <w:jc w:val="right"/>
              <w:spacing w:after="0" w:line="119" w:lineRule="exact"/>
              <w:rPr>
                <w:sz w:val="20"/>
                <w:szCs w:val="20"/>
                <w:color w:val="auto"/>
              </w:rPr>
            </w:pPr>
            <w:r>
              <w:rPr>
                <w:rFonts w:ascii="Arial" w:cs="Arial" w:eastAsia="Arial" w:hAnsi="Arial"/>
                <w:sz w:val="13"/>
                <w:szCs w:val="13"/>
                <w:color w:val="auto"/>
              </w:rPr>
              <w:t>​ ​</w:t>
            </w:r>
          </w:p>
        </w:tc>
        <w:tc>
          <w:tcPr>
            <w:tcW w:w="400" w:type="dxa"/>
            <w:vAlign w:val="bottom"/>
            <w:shd w:val="clear" w:color="auto" w:fill="F7F7F7"/>
          </w:tcPr>
          <w:p>
            <w:pPr>
              <w:ind w:left="240"/>
              <w:spacing w:after="0" w:line="119"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393,750</w:t>
            </w:r>
          </w:p>
        </w:tc>
        <w:tc>
          <w:tcPr>
            <w:tcW w:w="280" w:type="dxa"/>
            <w:vAlign w:val="bottom"/>
            <w:gridSpan w:val="2"/>
            <w:shd w:val="clear" w:color="auto" w:fill="F7F7F7"/>
          </w:tcPr>
          <w:p>
            <w:pPr>
              <w:jc w:val="right"/>
              <w:spacing w:after="0" w:line="119" w:lineRule="exact"/>
              <w:rPr>
                <w:sz w:val="20"/>
                <w:szCs w:val="20"/>
                <w:color w:val="auto"/>
              </w:rPr>
            </w:pPr>
            <w:r>
              <w:rPr>
                <w:rFonts w:ascii="Arial" w:cs="Arial" w:eastAsia="Arial" w:hAnsi="Arial"/>
                <w:sz w:val="13"/>
                <w:szCs w:val="13"/>
                <w:color w:val="auto"/>
              </w:rPr>
              <w:t>​​ ​</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19"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F7F7F7"/>
          </w:tcPr>
          <w:p>
            <w:pPr>
              <w:spacing w:after="0" w:line="119" w:lineRule="exact"/>
              <w:rPr>
                <w:sz w:val="20"/>
                <w:szCs w:val="20"/>
                <w:color w:val="auto"/>
              </w:rPr>
            </w:pPr>
            <w:r>
              <w:rPr>
                <w:rFonts w:ascii="Arial" w:cs="Arial" w:eastAsia="Arial" w:hAnsi="Arial"/>
                <w:sz w:val="13"/>
                <w:szCs w:val="13"/>
                <w:color w:val="auto"/>
              </w:rPr>
              <w:t>​ ​</w:t>
            </w:r>
          </w:p>
        </w:tc>
        <w:tc>
          <w:tcPr>
            <w:tcW w:w="580" w:type="dxa"/>
            <w:vAlign w:val="bottom"/>
            <w:shd w:val="clear" w:color="auto" w:fill="F7F7F7"/>
          </w:tcPr>
          <w:p>
            <w:pPr>
              <w:jc w:val="right"/>
              <w:ind w:right="91"/>
              <w:spacing w:after="0" w:line="11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020" w:type="dxa"/>
            <w:vAlign w:val="bottom"/>
            <w:shd w:val="clear" w:color="auto" w:fill="F7F7F7"/>
          </w:tcPr>
          <w:p>
            <w:pPr>
              <w:ind w:left="140"/>
              <w:spacing w:after="0"/>
              <w:rPr>
                <w:sz w:val="20"/>
                <w:szCs w:val="20"/>
                <w:color w:val="auto"/>
              </w:rPr>
            </w:pPr>
            <w:r>
              <w:rPr>
                <w:rFonts w:ascii="Arial" w:cs="Arial" w:eastAsia="Arial" w:hAnsi="Arial"/>
                <w:sz w:val="14"/>
                <w:szCs w:val="14"/>
                <w:color w:val="auto"/>
              </w:rPr>
              <w:t>Michael Bell</w:t>
            </w:r>
          </w:p>
        </w:tc>
        <w:tc>
          <w:tcPr>
            <w:tcW w:w="94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2400" w:type="dxa"/>
            <w:vAlign w:val="bottom"/>
            <w:vMerge w:val="continue"/>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40" w:type="dxa"/>
            <w:vAlign w:val="bottom"/>
            <w:shd w:val="clear" w:color="auto" w:fill="F7F7F7"/>
          </w:tcPr>
          <w:p>
            <w:pPr>
              <w:spacing w:after="0"/>
              <w:rPr>
                <w:sz w:val="16"/>
                <w:szCs w:val="16"/>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120" w:type="dxa"/>
            <w:vAlign w:val="bottom"/>
            <w:shd w:val="clear" w:color="auto" w:fill="F7F7F7"/>
          </w:tcPr>
          <w:p>
            <w:pPr>
              <w:spacing w:after="0"/>
              <w:rPr>
                <w:sz w:val="16"/>
                <w:szCs w:val="16"/>
                <w:color w:val="auto"/>
              </w:rPr>
            </w:pPr>
          </w:p>
        </w:tc>
        <w:tc>
          <w:tcPr>
            <w:tcW w:w="180" w:type="dxa"/>
            <w:vAlign w:val="bottom"/>
            <w:vMerge w:val="continue"/>
            <w:shd w:val="clear" w:color="auto" w:fill="F7F7F7"/>
          </w:tcPr>
          <w:p>
            <w:pPr>
              <w:spacing w:after="0"/>
              <w:rPr>
                <w:sz w:val="16"/>
                <w:szCs w:val="16"/>
                <w:color w:val="auto"/>
              </w:rPr>
            </w:pPr>
          </w:p>
        </w:tc>
        <w:tc>
          <w:tcPr>
            <w:tcW w:w="1020" w:type="dxa"/>
            <w:vAlign w:val="bottom"/>
            <w:shd w:val="clear" w:color="auto" w:fill="F7F7F7"/>
          </w:tcPr>
          <w:p>
            <w:pPr>
              <w:jc w:val="right"/>
              <w:ind w:right="151"/>
              <w:spacing w:after="0"/>
              <w:rPr>
                <w:sz w:val="20"/>
                <w:szCs w:val="20"/>
                <w:color w:val="auto"/>
              </w:rPr>
            </w:pPr>
            <w:r>
              <w:rPr>
                <w:rFonts w:ascii="Arial" w:cs="Arial" w:eastAsia="Arial" w:hAnsi="Arial"/>
                <w:sz w:val="14"/>
                <w:szCs w:val="14"/>
                <w:color w:val="auto"/>
              </w:rPr>
              <w:t>525,000</w:t>
            </w:r>
          </w:p>
        </w:tc>
        <w:tc>
          <w:tcPr>
            <w:tcW w:w="100" w:type="dxa"/>
            <w:vAlign w:val="bottom"/>
            <w:shd w:val="clear" w:color="auto" w:fill="F7F7F7"/>
          </w:tcPr>
          <w:p>
            <w:pPr>
              <w:spacing w:after="0"/>
              <w:rPr>
                <w:sz w:val="16"/>
                <w:szCs w:val="16"/>
                <w:color w:val="auto"/>
              </w:rPr>
            </w:pPr>
          </w:p>
        </w:tc>
        <w:tc>
          <w:tcPr>
            <w:tcW w:w="38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3"/>
        </w:trPr>
        <w:tc>
          <w:tcPr>
            <w:tcW w:w="2020" w:type="dxa"/>
            <w:vAlign w:val="bottom"/>
            <w:tcBorders>
              <w:bottom w:val="single" w:sz="8" w:color="F7F7F7"/>
            </w:tcBorders>
            <w:shd w:val="clear" w:color="auto" w:fill="F7F7F7"/>
          </w:tcPr>
          <w:p>
            <w:pPr>
              <w:spacing w:after="0"/>
              <w:rPr>
                <w:sz w:val="8"/>
                <w:szCs w:val="8"/>
                <w:color w:val="auto"/>
              </w:rPr>
            </w:pPr>
          </w:p>
        </w:tc>
        <w:tc>
          <w:tcPr>
            <w:tcW w:w="940" w:type="dxa"/>
            <w:vAlign w:val="bottom"/>
            <w:tcBorders>
              <w:bottom w:val="single" w:sz="8" w:color="F7F7F7"/>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240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40" w:type="dxa"/>
            <w:vAlign w:val="bottom"/>
            <w:tcBorders>
              <w:bottom w:val="single" w:sz="8" w:color="auto"/>
            </w:tcBorders>
            <w:shd w:val="clear" w:color="auto" w:fill="F7F7F7"/>
          </w:tcPr>
          <w:p>
            <w:pPr>
              <w:spacing w:after="0"/>
              <w:rPr>
                <w:sz w:val="8"/>
                <w:szCs w:val="8"/>
                <w:color w:val="auto"/>
              </w:rPr>
            </w:pPr>
          </w:p>
        </w:tc>
        <w:tc>
          <w:tcPr>
            <w:tcW w:w="400" w:type="dxa"/>
            <w:vAlign w:val="bottom"/>
            <w:tcBorders>
              <w:bottom w:val="single" w:sz="8" w:color="auto"/>
            </w:tcBorders>
            <w:shd w:val="clear" w:color="auto" w:fill="F7F7F7"/>
          </w:tcPr>
          <w:p>
            <w:pPr>
              <w:spacing w:after="0"/>
              <w:rPr>
                <w:sz w:val="8"/>
                <w:szCs w:val="8"/>
                <w:color w:val="auto"/>
              </w:rPr>
            </w:pPr>
          </w:p>
        </w:tc>
        <w:tc>
          <w:tcPr>
            <w:tcW w:w="800" w:type="dxa"/>
            <w:vAlign w:val="bottom"/>
            <w:tcBorders>
              <w:bottom w:val="single" w:sz="8" w:color="auto"/>
            </w:tcBorders>
            <w:shd w:val="clear" w:color="auto" w:fill="F7F7F7"/>
          </w:tcPr>
          <w:p>
            <w:pPr>
              <w:spacing w:after="0"/>
              <w:rPr>
                <w:sz w:val="8"/>
                <w:szCs w:val="8"/>
                <w:color w:val="auto"/>
              </w:rPr>
            </w:pPr>
          </w:p>
        </w:tc>
        <w:tc>
          <w:tcPr>
            <w:tcW w:w="160" w:type="dxa"/>
            <w:vAlign w:val="bottom"/>
            <w:tcBorders>
              <w:bottom w:val="single" w:sz="8" w:color="auto"/>
            </w:tcBorders>
            <w:shd w:val="clear" w:color="auto" w:fill="F7F7F7"/>
          </w:tcPr>
          <w:p>
            <w:pPr>
              <w:spacing w:after="0"/>
              <w:rPr>
                <w:sz w:val="8"/>
                <w:szCs w:val="8"/>
                <w:color w:val="auto"/>
              </w:rPr>
            </w:pPr>
          </w:p>
        </w:tc>
        <w:tc>
          <w:tcPr>
            <w:tcW w:w="120" w:type="dxa"/>
            <w:vAlign w:val="bottom"/>
            <w:tcBorders>
              <w:bottom w:val="single" w:sz="8" w:color="auto"/>
            </w:tcBorders>
            <w:shd w:val="clear" w:color="auto" w:fill="F7F7F7"/>
          </w:tcPr>
          <w:p>
            <w:pPr>
              <w:spacing w:after="0"/>
              <w:rPr>
                <w:sz w:val="8"/>
                <w:szCs w:val="8"/>
                <w:color w:val="auto"/>
              </w:rPr>
            </w:pPr>
          </w:p>
        </w:tc>
        <w:tc>
          <w:tcPr>
            <w:tcW w:w="180" w:type="dxa"/>
            <w:vAlign w:val="bottom"/>
            <w:tcBorders>
              <w:bottom w:val="single" w:sz="8" w:color="auto"/>
            </w:tcBorders>
            <w:shd w:val="clear" w:color="auto" w:fill="F7F7F7"/>
          </w:tcPr>
          <w:p>
            <w:pPr>
              <w:spacing w:after="0"/>
              <w:rPr>
                <w:sz w:val="8"/>
                <w:szCs w:val="8"/>
                <w:color w:val="auto"/>
              </w:rPr>
            </w:pPr>
          </w:p>
        </w:tc>
        <w:tc>
          <w:tcPr>
            <w:tcW w:w="102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c>
          <w:tcPr>
            <w:tcW w:w="5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F7F7F7"/>
          </w:tcPr>
          <w:p>
            <w:pPr>
              <w:spacing w:after="0"/>
              <w:rPr>
                <w:sz w:val="10"/>
                <w:szCs w:val="10"/>
                <w:color w:val="auto"/>
              </w:rPr>
            </w:pPr>
          </w:p>
        </w:tc>
        <w:tc>
          <w:tcPr>
            <w:tcW w:w="94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Accelerated Vesting of Equity Awards</w:t>
            </w:r>
          </w:p>
        </w:tc>
        <w:tc>
          <w:tcPr>
            <w:tcW w:w="6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4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400" w:type="dxa"/>
            <w:vAlign w:val="bottom"/>
            <w:shd w:val="clear" w:color="auto" w:fill="F7F7F7"/>
          </w:tcPr>
          <w:p>
            <w:pPr>
              <w:ind w:left="240"/>
              <w:spacing w:after="0" w:line="115"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1,382,605</w:t>
            </w:r>
          </w:p>
        </w:tc>
        <w:tc>
          <w:tcPr>
            <w:tcW w:w="16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8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580" w:type="dxa"/>
            <w:vAlign w:val="bottom"/>
            <w:shd w:val="clear" w:color="auto" w:fill="F7F7F7"/>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020" w:type="dxa"/>
            <w:vAlign w:val="bottom"/>
            <w:shd w:val="clear" w:color="auto" w:fill="F7F7F7"/>
          </w:tcPr>
          <w:p>
            <w:pPr>
              <w:spacing w:after="0"/>
              <w:rPr>
                <w:sz w:val="16"/>
                <w:szCs w:val="16"/>
                <w:color w:val="auto"/>
              </w:rPr>
            </w:pPr>
          </w:p>
        </w:tc>
        <w:tc>
          <w:tcPr>
            <w:tcW w:w="94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2400" w:type="dxa"/>
            <w:vAlign w:val="bottom"/>
            <w:vMerge w:val="continue"/>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40" w:type="dxa"/>
            <w:vAlign w:val="bottom"/>
            <w:shd w:val="clear" w:color="auto" w:fill="F7F7F7"/>
          </w:tcPr>
          <w:p>
            <w:pPr>
              <w:spacing w:after="0"/>
              <w:rPr>
                <w:sz w:val="16"/>
                <w:szCs w:val="16"/>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120" w:type="dxa"/>
            <w:vAlign w:val="bottom"/>
            <w:shd w:val="clear" w:color="auto" w:fill="F7F7F7"/>
          </w:tcPr>
          <w:p>
            <w:pPr>
              <w:spacing w:after="0"/>
              <w:rPr>
                <w:sz w:val="16"/>
                <w:szCs w:val="16"/>
                <w:color w:val="auto"/>
              </w:rPr>
            </w:pPr>
          </w:p>
        </w:tc>
        <w:tc>
          <w:tcPr>
            <w:tcW w:w="180" w:type="dxa"/>
            <w:vAlign w:val="bottom"/>
            <w:vMerge w:val="continue"/>
            <w:shd w:val="clear" w:color="auto" w:fill="F7F7F7"/>
          </w:tcPr>
          <w:p>
            <w:pPr>
              <w:spacing w:after="0"/>
              <w:rPr>
                <w:sz w:val="16"/>
                <w:szCs w:val="16"/>
                <w:color w:val="auto"/>
              </w:rPr>
            </w:pPr>
          </w:p>
        </w:tc>
        <w:tc>
          <w:tcPr>
            <w:tcW w:w="1020" w:type="dxa"/>
            <w:vAlign w:val="bottom"/>
            <w:shd w:val="clear" w:color="auto" w:fill="F7F7F7"/>
          </w:tcPr>
          <w:p>
            <w:pPr>
              <w:jc w:val="right"/>
              <w:ind w:right="151"/>
              <w:spacing w:after="0"/>
              <w:rPr>
                <w:sz w:val="20"/>
                <w:szCs w:val="20"/>
                <w:color w:val="auto"/>
              </w:rPr>
            </w:pPr>
            <w:r>
              <w:rPr>
                <w:rFonts w:ascii="Arial" w:cs="Arial" w:eastAsia="Arial" w:hAnsi="Arial"/>
                <w:sz w:val="14"/>
                <w:szCs w:val="14"/>
                <w:color w:val="auto"/>
              </w:rPr>
              <w:t>5,471,513</w:t>
            </w:r>
          </w:p>
        </w:tc>
        <w:tc>
          <w:tcPr>
            <w:tcW w:w="100" w:type="dxa"/>
            <w:vAlign w:val="bottom"/>
            <w:shd w:val="clear" w:color="auto" w:fill="F7F7F7"/>
          </w:tcPr>
          <w:p>
            <w:pPr>
              <w:spacing w:after="0"/>
              <w:rPr>
                <w:sz w:val="16"/>
                <w:szCs w:val="16"/>
                <w:color w:val="auto"/>
              </w:rPr>
            </w:pPr>
          </w:p>
        </w:tc>
        <w:tc>
          <w:tcPr>
            <w:tcW w:w="960" w:type="dxa"/>
            <w:vAlign w:val="bottom"/>
            <w:gridSpan w:val="2"/>
            <w:shd w:val="clear" w:color="auto" w:fill="F7F7F7"/>
          </w:tcPr>
          <w:p>
            <w:pPr>
              <w:jc w:val="right"/>
              <w:ind w:right="131"/>
              <w:spacing w:after="0"/>
              <w:rPr>
                <w:sz w:val="20"/>
                <w:szCs w:val="20"/>
                <w:color w:val="auto"/>
              </w:rPr>
            </w:pPr>
            <w:r>
              <w:rPr>
                <w:rFonts w:ascii="Arial" w:cs="Arial" w:eastAsia="Arial" w:hAnsi="Arial"/>
                <w:sz w:val="14"/>
                <w:szCs w:val="14"/>
                <w:color w:val="auto"/>
              </w:rPr>
              <w:t>$5,471,513</w:t>
            </w:r>
          </w:p>
        </w:tc>
        <w:tc>
          <w:tcPr>
            <w:tcW w:w="0" w:type="dxa"/>
            <w:vAlign w:val="bottom"/>
          </w:tcPr>
          <w:p>
            <w:pPr>
              <w:spacing w:after="0"/>
              <w:rPr>
                <w:sz w:val="1"/>
                <w:szCs w:val="1"/>
                <w:color w:val="auto"/>
              </w:rPr>
            </w:pPr>
          </w:p>
        </w:tc>
      </w:tr>
      <w:tr>
        <w:trPr>
          <w:trHeight w:val="93"/>
        </w:trPr>
        <w:tc>
          <w:tcPr>
            <w:tcW w:w="2020" w:type="dxa"/>
            <w:vAlign w:val="bottom"/>
            <w:tcBorders>
              <w:bottom w:val="single" w:sz="8" w:color="F7F7F7"/>
            </w:tcBorders>
            <w:shd w:val="clear" w:color="auto" w:fill="F7F7F7"/>
          </w:tcPr>
          <w:p>
            <w:pPr>
              <w:spacing w:after="0"/>
              <w:rPr>
                <w:sz w:val="8"/>
                <w:szCs w:val="8"/>
                <w:color w:val="auto"/>
              </w:rPr>
            </w:pPr>
          </w:p>
        </w:tc>
        <w:tc>
          <w:tcPr>
            <w:tcW w:w="940" w:type="dxa"/>
            <w:vAlign w:val="bottom"/>
            <w:tcBorders>
              <w:bottom w:val="single" w:sz="8" w:color="F7F7F7"/>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240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40" w:type="dxa"/>
            <w:vAlign w:val="bottom"/>
            <w:tcBorders>
              <w:bottom w:val="single" w:sz="8" w:color="auto"/>
            </w:tcBorders>
            <w:shd w:val="clear" w:color="auto" w:fill="F7F7F7"/>
          </w:tcPr>
          <w:p>
            <w:pPr>
              <w:spacing w:after="0"/>
              <w:rPr>
                <w:sz w:val="8"/>
                <w:szCs w:val="8"/>
                <w:color w:val="auto"/>
              </w:rPr>
            </w:pPr>
          </w:p>
        </w:tc>
        <w:tc>
          <w:tcPr>
            <w:tcW w:w="400" w:type="dxa"/>
            <w:vAlign w:val="bottom"/>
            <w:tcBorders>
              <w:bottom w:val="single" w:sz="8" w:color="auto"/>
            </w:tcBorders>
            <w:shd w:val="clear" w:color="auto" w:fill="F7F7F7"/>
          </w:tcPr>
          <w:p>
            <w:pPr>
              <w:spacing w:after="0"/>
              <w:rPr>
                <w:sz w:val="8"/>
                <w:szCs w:val="8"/>
                <w:color w:val="auto"/>
              </w:rPr>
            </w:pPr>
          </w:p>
        </w:tc>
        <w:tc>
          <w:tcPr>
            <w:tcW w:w="800" w:type="dxa"/>
            <w:vAlign w:val="bottom"/>
            <w:tcBorders>
              <w:bottom w:val="single" w:sz="8" w:color="auto"/>
            </w:tcBorders>
            <w:shd w:val="clear" w:color="auto" w:fill="F7F7F7"/>
          </w:tcPr>
          <w:p>
            <w:pPr>
              <w:spacing w:after="0"/>
              <w:rPr>
                <w:sz w:val="8"/>
                <w:szCs w:val="8"/>
                <w:color w:val="auto"/>
              </w:rPr>
            </w:pPr>
          </w:p>
        </w:tc>
        <w:tc>
          <w:tcPr>
            <w:tcW w:w="160" w:type="dxa"/>
            <w:vAlign w:val="bottom"/>
            <w:tcBorders>
              <w:bottom w:val="single" w:sz="8" w:color="auto"/>
            </w:tcBorders>
            <w:shd w:val="clear" w:color="auto" w:fill="F7F7F7"/>
          </w:tcPr>
          <w:p>
            <w:pPr>
              <w:spacing w:after="0"/>
              <w:rPr>
                <w:sz w:val="8"/>
                <w:szCs w:val="8"/>
                <w:color w:val="auto"/>
              </w:rPr>
            </w:pPr>
          </w:p>
        </w:tc>
        <w:tc>
          <w:tcPr>
            <w:tcW w:w="120" w:type="dxa"/>
            <w:vAlign w:val="bottom"/>
            <w:tcBorders>
              <w:bottom w:val="single" w:sz="8" w:color="auto"/>
            </w:tcBorders>
            <w:shd w:val="clear" w:color="auto" w:fill="F7F7F7"/>
          </w:tcPr>
          <w:p>
            <w:pPr>
              <w:spacing w:after="0"/>
              <w:rPr>
                <w:sz w:val="8"/>
                <w:szCs w:val="8"/>
                <w:color w:val="auto"/>
              </w:rPr>
            </w:pPr>
          </w:p>
        </w:tc>
        <w:tc>
          <w:tcPr>
            <w:tcW w:w="180" w:type="dxa"/>
            <w:vAlign w:val="bottom"/>
            <w:tcBorders>
              <w:bottom w:val="single" w:sz="8" w:color="auto"/>
            </w:tcBorders>
            <w:shd w:val="clear" w:color="auto" w:fill="F7F7F7"/>
          </w:tcPr>
          <w:p>
            <w:pPr>
              <w:spacing w:after="0"/>
              <w:rPr>
                <w:sz w:val="8"/>
                <w:szCs w:val="8"/>
                <w:color w:val="auto"/>
              </w:rPr>
            </w:pPr>
          </w:p>
        </w:tc>
        <w:tc>
          <w:tcPr>
            <w:tcW w:w="102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c>
          <w:tcPr>
            <w:tcW w:w="5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F7F7F7"/>
          </w:tcPr>
          <w:p>
            <w:pPr>
              <w:spacing w:after="0"/>
              <w:rPr>
                <w:sz w:val="10"/>
                <w:szCs w:val="10"/>
                <w:color w:val="auto"/>
              </w:rPr>
            </w:pPr>
          </w:p>
        </w:tc>
        <w:tc>
          <w:tcPr>
            <w:tcW w:w="94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Health Benefits</w:t>
            </w:r>
          </w:p>
        </w:tc>
        <w:tc>
          <w:tcPr>
            <w:tcW w:w="6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4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400" w:type="dxa"/>
            <w:vAlign w:val="bottom"/>
            <w:shd w:val="clear" w:color="auto" w:fill="F7F7F7"/>
          </w:tcPr>
          <w:p>
            <w:pPr>
              <w:ind w:left="240"/>
              <w:spacing w:after="0" w:line="115"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25,100</w:t>
            </w:r>
          </w:p>
        </w:tc>
        <w:tc>
          <w:tcPr>
            <w:tcW w:w="16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8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580" w:type="dxa"/>
            <w:vAlign w:val="bottom"/>
            <w:shd w:val="clear" w:color="auto" w:fill="F7F7F7"/>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020" w:type="dxa"/>
            <w:vAlign w:val="bottom"/>
            <w:shd w:val="clear" w:color="auto" w:fill="F7F7F7"/>
          </w:tcPr>
          <w:p>
            <w:pPr>
              <w:spacing w:after="0"/>
              <w:rPr>
                <w:sz w:val="16"/>
                <w:szCs w:val="16"/>
                <w:color w:val="auto"/>
              </w:rPr>
            </w:pPr>
          </w:p>
        </w:tc>
        <w:tc>
          <w:tcPr>
            <w:tcW w:w="94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2400" w:type="dxa"/>
            <w:vAlign w:val="bottom"/>
            <w:vMerge w:val="continue"/>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40" w:type="dxa"/>
            <w:vAlign w:val="bottom"/>
            <w:shd w:val="clear" w:color="auto" w:fill="F7F7F7"/>
          </w:tcPr>
          <w:p>
            <w:pPr>
              <w:spacing w:after="0"/>
              <w:rPr>
                <w:sz w:val="16"/>
                <w:szCs w:val="16"/>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120" w:type="dxa"/>
            <w:vAlign w:val="bottom"/>
            <w:shd w:val="clear" w:color="auto" w:fill="F7F7F7"/>
          </w:tcPr>
          <w:p>
            <w:pPr>
              <w:spacing w:after="0"/>
              <w:rPr>
                <w:sz w:val="16"/>
                <w:szCs w:val="16"/>
                <w:color w:val="auto"/>
              </w:rPr>
            </w:pPr>
          </w:p>
        </w:tc>
        <w:tc>
          <w:tcPr>
            <w:tcW w:w="180" w:type="dxa"/>
            <w:vAlign w:val="bottom"/>
            <w:vMerge w:val="continue"/>
            <w:shd w:val="clear" w:color="auto" w:fill="F7F7F7"/>
          </w:tcPr>
          <w:p>
            <w:pPr>
              <w:spacing w:after="0"/>
              <w:rPr>
                <w:sz w:val="16"/>
                <w:szCs w:val="16"/>
                <w:color w:val="auto"/>
              </w:rPr>
            </w:pPr>
          </w:p>
        </w:tc>
        <w:tc>
          <w:tcPr>
            <w:tcW w:w="1020" w:type="dxa"/>
            <w:vAlign w:val="bottom"/>
            <w:shd w:val="clear" w:color="auto" w:fill="F7F7F7"/>
          </w:tcPr>
          <w:p>
            <w:pPr>
              <w:jc w:val="right"/>
              <w:ind w:right="151"/>
              <w:spacing w:after="0"/>
              <w:rPr>
                <w:sz w:val="20"/>
                <w:szCs w:val="20"/>
                <w:color w:val="auto"/>
              </w:rPr>
            </w:pPr>
            <w:r>
              <w:rPr>
                <w:rFonts w:ascii="Arial" w:cs="Arial" w:eastAsia="Arial" w:hAnsi="Arial"/>
                <w:sz w:val="14"/>
                <w:szCs w:val="14"/>
                <w:color w:val="auto"/>
              </w:rPr>
              <w:t>33,466</w:t>
            </w:r>
          </w:p>
        </w:tc>
        <w:tc>
          <w:tcPr>
            <w:tcW w:w="100" w:type="dxa"/>
            <w:vAlign w:val="bottom"/>
            <w:shd w:val="clear" w:color="auto" w:fill="F7F7F7"/>
          </w:tcPr>
          <w:p>
            <w:pPr>
              <w:spacing w:after="0"/>
              <w:rPr>
                <w:sz w:val="16"/>
                <w:szCs w:val="16"/>
                <w:color w:val="auto"/>
              </w:rPr>
            </w:pPr>
          </w:p>
        </w:tc>
        <w:tc>
          <w:tcPr>
            <w:tcW w:w="38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jc w:val="right"/>
              <w:ind w:right="1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2020" w:type="dxa"/>
            <w:vAlign w:val="bottom"/>
            <w:tcBorders>
              <w:bottom w:val="single" w:sz="8" w:color="F7F7F7"/>
            </w:tcBorders>
            <w:shd w:val="clear" w:color="auto" w:fill="F7F7F7"/>
          </w:tcPr>
          <w:p>
            <w:pPr>
              <w:spacing w:after="0"/>
              <w:rPr>
                <w:sz w:val="8"/>
                <w:szCs w:val="8"/>
                <w:color w:val="auto"/>
              </w:rPr>
            </w:pPr>
          </w:p>
        </w:tc>
        <w:tc>
          <w:tcPr>
            <w:tcW w:w="940" w:type="dxa"/>
            <w:vAlign w:val="bottom"/>
            <w:tcBorders>
              <w:bottom w:val="single" w:sz="8" w:color="F7F7F7"/>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240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40" w:type="dxa"/>
            <w:vAlign w:val="bottom"/>
            <w:tcBorders>
              <w:bottom w:val="single" w:sz="8" w:color="auto"/>
            </w:tcBorders>
            <w:shd w:val="clear" w:color="auto" w:fill="F7F7F7"/>
          </w:tcPr>
          <w:p>
            <w:pPr>
              <w:spacing w:after="0"/>
              <w:rPr>
                <w:sz w:val="8"/>
                <w:szCs w:val="8"/>
                <w:color w:val="auto"/>
              </w:rPr>
            </w:pPr>
          </w:p>
        </w:tc>
        <w:tc>
          <w:tcPr>
            <w:tcW w:w="400" w:type="dxa"/>
            <w:vAlign w:val="bottom"/>
            <w:tcBorders>
              <w:bottom w:val="single" w:sz="8" w:color="auto"/>
            </w:tcBorders>
            <w:shd w:val="clear" w:color="auto" w:fill="F7F7F7"/>
          </w:tcPr>
          <w:p>
            <w:pPr>
              <w:spacing w:after="0"/>
              <w:rPr>
                <w:sz w:val="8"/>
                <w:szCs w:val="8"/>
                <w:color w:val="auto"/>
              </w:rPr>
            </w:pPr>
          </w:p>
        </w:tc>
        <w:tc>
          <w:tcPr>
            <w:tcW w:w="800" w:type="dxa"/>
            <w:vAlign w:val="bottom"/>
            <w:tcBorders>
              <w:bottom w:val="single" w:sz="8" w:color="auto"/>
            </w:tcBorders>
            <w:shd w:val="clear" w:color="auto" w:fill="F7F7F7"/>
          </w:tcPr>
          <w:p>
            <w:pPr>
              <w:spacing w:after="0"/>
              <w:rPr>
                <w:sz w:val="8"/>
                <w:szCs w:val="8"/>
                <w:color w:val="auto"/>
              </w:rPr>
            </w:pPr>
          </w:p>
        </w:tc>
        <w:tc>
          <w:tcPr>
            <w:tcW w:w="160" w:type="dxa"/>
            <w:vAlign w:val="bottom"/>
            <w:tcBorders>
              <w:bottom w:val="single" w:sz="8" w:color="auto"/>
            </w:tcBorders>
            <w:shd w:val="clear" w:color="auto" w:fill="F7F7F7"/>
          </w:tcPr>
          <w:p>
            <w:pPr>
              <w:spacing w:after="0"/>
              <w:rPr>
                <w:sz w:val="8"/>
                <w:szCs w:val="8"/>
                <w:color w:val="auto"/>
              </w:rPr>
            </w:pPr>
          </w:p>
        </w:tc>
        <w:tc>
          <w:tcPr>
            <w:tcW w:w="120" w:type="dxa"/>
            <w:vAlign w:val="bottom"/>
            <w:tcBorders>
              <w:bottom w:val="single" w:sz="8" w:color="auto"/>
            </w:tcBorders>
            <w:shd w:val="clear" w:color="auto" w:fill="F7F7F7"/>
          </w:tcPr>
          <w:p>
            <w:pPr>
              <w:spacing w:after="0"/>
              <w:rPr>
                <w:sz w:val="8"/>
                <w:szCs w:val="8"/>
                <w:color w:val="auto"/>
              </w:rPr>
            </w:pPr>
          </w:p>
        </w:tc>
        <w:tc>
          <w:tcPr>
            <w:tcW w:w="180" w:type="dxa"/>
            <w:vAlign w:val="bottom"/>
            <w:tcBorders>
              <w:bottom w:val="single" w:sz="8" w:color="auto"/>
            </w:tcBorders>
            <w:shd w:val="clear" w:color="auto" w:fill="F7F7F7"/>
          </w:tcPr>
          <w:p>
            <w:pPr>
              <w:spacing w:after="0"/>
              <w:rPr>
                <w:sz w:val="8"/>
                <w:szCs w:val="8"/>
                <w:color w:val="auto"/>
              </w:rPr>
            </w:pPr>
          </w:p>
        </w:tc>
        <w:tc>
          <w:tcPr>
            <w:tcW w:w="102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c>
          <w:tcPr>
            <w:tcW w:w="5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20" w:type="dxa"/>
            <w:vAlign w:val="bottom"/>
            <w:shd w:val="clear" w:color="auto" w:fill="F7F7F7"/>
          </w:tcPr>
          <w:p>
            <w:pPr>
              <w:spacing w:after="0"/>
              <w:rPr>
                <w:sz w:val="10"/>
                <w:szCs w:val="10"/>
                <w:color w:val="auto"/>
              </w:rPr>
            </w:pPr>
          </w:p>
        </w:tc>
        <w:tc>
          <w:tcPr>
            <w:tcW w:w="940" w:type="dxa"/>
            <w:vAlign w:val="bottom"/>
            <w:shd w:val="clear" w:color="auto" w:fill="F7F7F7"/>
          </w:tcPr>
          <w:p>
            <w:pPr>
              <w:spacing w:after="0"/>
              <w:rPr>
                <w:sz w:val="10"/>
                <w:szCs w:val="10"/>
                <w:color w:val="auto"/>
              </w:rPr>
            </w:pPr>
          </w:p>
        </w:tc>
        <w:tc>
          <w:tcPr>
            <w:tcW w:w="6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24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Total</w:t>
            </w:r>
          </w:p>
        </w:tc>
        <w:tc>
          <w:tcPr>
            <w:tcW w:w="6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60" w:type="dxa"/>
            <w:vAlign w:val="bottom"/>
            <w:shd w:val="clear" w:color="auto" w:fill="F7F7F7"/>
          </w:tcPr>
          <w:p>
            <w:pPr>
              <w:spacing w:after="0"/>
              <w:rPr>
                <w:sz w:val="10"/>
                <w:szCs w:val="10"/>
                <w:color w:val="auto"/>
              </w:rPr>
            </w:pPr>
          </w:p>
        </w:tc>
        <w:tc>
          <w:tcPr>
            <w:tcW w:w="4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400" w:type="dxa"/>
            <w:vAlign w:val="bottom"/>
            <w:shd w:val="clear" w:color="auto" w:fill="F7F7F7"/>
          </w:tcPr>
          <w:p>
            <w:pPr>
              <w:ind w:left="240"/>
              <w:spacing w:after="0" w:line="115" w:lineRule="exact"/>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F7F7F7"/>
          </w:tcPr>
          <w:p>
            <w:pPr>
              <w:jc w:val="right"/>
              <w:ind w:right="70"/>
              <w:spacing w:after="0"/>
              <w:rPr>
                <w:sz w:val="20"/>
                <w:szCs w:val="20"/>
                <w:color w:val="auto"/>
              </w:rPr>
            </w:pPr>
            <w:r>
              <w:rPr>
                <w:rFonts w:ascii="Arial" w:cs="Arial" w:eastAsia="Arial" w:hAnsi="Arial"/>
                <w:sz w:val="14"/>
                <w:szCs w:val="14"/>
                <w:color w:val="auto"/>
              </w:rPr>
              <w:t>1,801,455</w:t>
            </w:r>
          </w:p>
        </w:tc>
        <w:tc>
          <w:tcPr>
            <w:tcW w:w="16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F7F7F7"/>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F7F7F7"/>
          </w:tcPr>
          <w:p>
            <w:pPr>
              <w:jc w:val="right"/>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F7F7F7"/>
          </w:tcPr>
          <w:p>
            <w:pPr>
              <w:spacing w:after="0" w:line="115" w:lineRule="exact"/>
              <w:rPr>
                <w:sz w:val="20"/>
                <w:szCs w:val="20"/>
                <w:color w:val="auto"/>
              </w:rPr>
            </w:pPr>
            <w:r>
              <w:rPr>
                <w:rFonts w:ascii="Arial" w:cs="Arial" w:eastAsia="Arial" w:hAnsi="Arial"/>
                <w:sz w:val="13"/>
                <w:szCs w:val="13"/>
                <w:color w:val="auto"/>
              </w:rPr>
              <w:t>​</w:t>
            </w:r>
          </w:p>
        </w:tc>
        <w:tc>
          <w:tcPr>
            <w:tcW w:w="380" w:type="dxa"/>
            <w:vAlign w:val="bottom"/>
            <w:shd w:val="clear" w:color="auto" w:fill="F7F7F7"/>
          </w:tcPr>
          <w:p>
            <w:pPr>
              <w:ind w:left="20"/>
              <w:spacing w:after="0" w:line="115" w:lineRule="exact"/>
              <w:rPr>
                <w:sz w:val="20"/>
                <w:szCs w:val="20"/>
                <w:color w:val="auto"/>
              </w:rPr>
            </w:pPr>
            <w:r>
              <w:rPr>
                <w:rFonts w:ascii="Arial" w:cs="Arial" w:eastAsia="Arial" w:hAnsi="Arial"/>
                <w:sz w:val="13"/>
                <w:szCs w:val="13"/>
                <w:color w:val="auto"/>
              </w:rPr>
              <w:t>​</w:t>
            </w:r>
          </w:p>
        </w:tc>
        <w:tc>
          <w:tcPr>
            <w:tcW w:w="580" w:type="dxa"/>
            <w:vAlign w:val="bottom"/>
            <w:shd w:val="clear" w:color="auto" w:fill="F7F7F7"/>
          </w:tcPr>
          <w:p>
            <w:pPr>
              <w:jc w:val="right"/>
              <w:ind w:right="91"/>
              <w:spacing w:after="0" w:line="11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2020" w:type="dxa"/>
            <w:vAlign w:val="bottom"/>
            <w:shd w:val="clear" w:color="auto" w:fill="F7F7F7"/>
          </w:tcPr>
          <w:p>
            <w:pPr>
              <w:spacing w:after="0"/>
              <w:rPr>
                <w:sz w:val="16"/>
                <w:szCs w:val="16"/>
                <w:color w:val="auto"/>
              </w:rPr>
            </w:pPr>
          </w:p>
        </w:tc>
        <w:tc>
          <w:tcPr>
            <w:tcW w:w="94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2400" w:type="dxa"/>
            <w:vAlign w:val="bottom"/>
            <w:vMerge w:val="continue"/>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60" w:type="dxa"/>
            <w:vAlign w:val="bottom"/>
            <w:shd w:val="clear" w:color="auto" w:fill="F7F7F7"/>
          </w:tcPr>
          <w:p>
            <w:pPr>
              <w:spacing w:after="0"/>
              <w:rPr>
                <w:sz w:val="16"/>
                <w:szCs w:val="16"/>
                <w:color w:val="auto"/>
              </w:rPr>
            </w:pPr>
          </w:p>
        </w:tc>
        <w:tc>
          <w:tcPr>
            <w:tcW w:w="40" w:type="dxa"/>
            <w:vAlign w:val="bottom"/>
            <w:shd w:val="clear" w:color="auto" w:fill="F7F7F7"/>
          </w:tcPr>
          <w:p>
            <w:pPr>
              <w:spacing w:after="0"/>
              <w:rPr>
                <w:sz w:val="16"/>
                <w:szCs w:val="16"/>
                <w:color w:val="auto"/>
              </w:rPr>
            </w:pPr>
          </w:p>
        </w:tc>
        <w:tc>
          <w:tcPr>
            <w:tcW w:w="400" w:type="dxa"/>
            <w:vAlign w:val="bottom"/>
            <w:shd w:val="clear" w:color="auto" w:fill="F7F7F7"/>
          </w:tcPr>
          <w:p>
            <w:pPr>
              <w:ind w:left="260"/>
              <w:spacing w:after="0"/>
              <w:rPr>
                <w:sz w:val="20"/>
                <w:szCs w:val="20"/>
                <w:color w:val="auto"/>
              </w:rPr>
            </w:pPr>
            <w:r>
              <w:rPr>
                <w:rFonts w:ascii="Arial" w:cs="Arial" w:eastAsia="Arial" w:hAnsi="Arial"/>
                <w:sz w:val="14"/>
                <w:szCs w:val="14"/>
                <w:color w:val="auto"/>
              </w:rPr>
              <w:t>$</w:t>
            </w:r>
          </w:p>
        </w:tc>
        <w:tc>
          <w:tcPr>
            <w:tcW w:w="800" w:type="dxa"/>
            <w:vAlign w:val="bottom"/>
            <w:vMerge w:val="continue"/>
            <w:shd w:val="clear" w:color="auto" w:fill="F7F7F7"/>
          </w:tcPr>
          <w:p>
            <w:pPr>
              <w:spacing w:after="0"/>
              <w:rPr>
                <w:sz w:val="16"/>
                <w:szCs w:val="16"/>
                <w:color w:val="auto"/>
              </w:rPr>
            </w:pPr>
          </w:p>
        </w:tc>
        <w:tc>
          <w:tcPr>
            <w:tcW w:w="160" w:type="dxa"/>
            <w:vAlign w:val="bottom"/>
            <w:shd w:val="clear" w:color="auto" w:fill="F7F7F7"/>
          </w:tcPr>
          <w:p>
            <w:pPr>
              <w:spacing w:after="0"/>
              <w:rPr>
                <w:sz w:val="16"/>
                <w:szCs w:val="16"/>
                <w:color w:val="auto"/>
              </w:rPr>
            </w:pPr>
          </w:p>
        </w:tc>
        <w:tc>
          <w:tcPr>
            <w:tcW w:w="120" w:type="dxa"/>
            <w:vAlign w:val="bottom"/>
            <w:shd w:val="clear" w:color="auto" w:fill="F7F7F7"/>
          </w:tcPr>
          <w:p>
            <w:pPr>
              <w:spacing w:after="0"/>
              <w:rPr>
                <w:sz w:val="16"/>
                <w:szCs w:val="16"/>
                <w:color w:val="auto"/>
              </w:rPr>
            </w:pPr>
          </w:p>
        </w:tc>
        <w:tc>
          <w:tcPr>
            <w:tcW w:w="180" w:type="dxa"/>
            <w:vAlign w:val="bottom"/>
            <w:vMerge w:val="continue"/>
            <w:shd w:val="clear" w:color="auto" w:fill="F7F7F7"/>
          </w:tcPr>
          <w:p>
            <w:pPr>
              <w:spacing w:after="0"/>
              <w:rPr>
                <w:sz w:val="16"/>
                <w:szCs w:val="16"/>
                <w:color w:val="auto"/>
              </w:rPr>
            </w:pPr>
          </w:p>
        </w:tc>
        <w:tc>
          <w:tcPr>
            <w:tcW w:w="1020" w:type="dxa"/>
            <w:vAlign w:val="bottom"/>
            <w:shd w:val="clear" w:color="auto" w:fill="F7F7F7"/>
          </w:tcPr>
          <w:p>
            <w:pPr>
              <w:jc w:val="right"/>
              <w:ind w:right="151"/>
              <w:spacing w:after="0"/>
              <w:rPr>
                <w:sz w:val="20"/>
                <w:szCs w:val="20"/>
                <w:color w:val="auto"/>
              </w:rPr>
            </w:pPr>
            <w:r>
              <w:rPr>
                <w:rFonts w:ascii="Arial" w:cs="Arial" w:eastAsia="Arial" w:hAnsi="Arial"/>
                <w:sz w:val="14"/>
                <w:szCs w:val="14"/>
                <w:color w:val="auto"/>
              </w:rPr>
              <w:t>6,029,979</w:t>
            </w:r>
          </w:p>
        </w:tc>
        <w:tc>
          <w:tcPr>
            <w:tcW w:w="100" w:type="dxa"/>
            <w:vAlign w:val="bottom"/>
            <w:shd w:val="clear" w:color="auto" w:fill="F7F7F7"/>
          </w:tcPr>
          <w:p>
            <w:pPr>
              <w:spacing w:after="0"/>
              <w:rPr>
                <w:sz w:val="16"/>
                <w:szCs w:val="16"/>
                <w:color w:val="auto"/>
              </w:rPr>
            </w:pPr>
          </w:p>
        </w:tc>
        <w:tc>
          <w:tcPr>
            <w:tcW w:w="960" w:type="dxa"/>
            <w:vAlign w:val="bottom"/>
            <w:gridSpan w:val="2"/>
            <w:shd w:val="clear" w:color="auto" w:fill="F7F7F7"/>
          </w:tcPr>
          <w:p>
            <w:pPr>
              <w:jc w:val="right"/>
              <w:ind w:right="131"/>
              <w:spacing w:after="0"/>
              <w:rPr>
                <w:sz w:val="20"/>
                <w:szCs w:val="20"/>
                <w:color w:val="auto"/>
              </w:rPr>
            </w:pPr>
            <w:r>
              <w:rPr>
                <w:rFonts w:ascii="Arial" w:cs="Arial" w:eastAsia="Arial" w:hAnsi="Arial"/>
                <w:sz w:val="14"/>
                <w:szCs w:val="14"/>
                <w:color w:val="auto"/>
              </w:rPr>
              <w:t>$5,471,513</w:t>
            </w:r>
          </w:p>
        </w:tc>
        <w:tc>
          <w:tcPr>
            <w:tcW w:w="0" w:type="dxa"/>
            <w:vAlign w:val="bottom"/>
          </w:tcPr>
          <w:p>
            <w:pPr>
              <w:spacing w:after="0"/>
              <w:rPr>
                <w:sz w:val="1"/>
                <w:szCs w:val="1"/>
                <w:color w:val="auto"/>
              </w:rPr>
            </w:pPr>
          </w:p>
        </w:tc>
      </w:tr>
      <w:tr>
        <w:trPr>
          <w:trHeight w:val="93"/>
        </w:trPr>
        <w:tc>
          <w:tcPr>
            <w:tcW w:w="2020" w:type="dxa"/>
            <w:vAlign w:val="bottom"/>
            <w:tcBorders>
              <w:bottom w:val="single" w:sz="8" w:color="auto"/>
            </w:tcBorders>
            <w:shd w:val="clear" w:color="auto" w:fill="F7F7F7"/>
          </w:tcPr>
          <w:p>
            <w:pPr>
              <w:spacing w:after="0"/>
              <w:rPr>
                <w:sz w:val="8"/>
                <w:szCs w:val="8"/>
                <w:color w:val="auto"/>
              </w:rPr>
            </w:pPr>
          </w:p>
        </w:tc>
        <w:tc>
          <w:tcPr>
            <w:tcW w:w="94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240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60" w:type="dxa"/>
            <w:vAlign w:val="bottom"/>
            <w:tcBorders>
              <w:bottom w:val="single" w:sz="8" w:color="auto"/>
            </w:tcBorders>
            <w:shd w:val="clear" w:color="auto" w:fill="F7F7F7"/>
          </w:tcPr>
          <w:p>
            <w:pPr>
              <w:spacing w:after="0"/>
              <w:rPr>
                <w:sz w:val="8"/>
                <w:szCs w:val="8"/>
                <w:color w:val="auto"/>
              </w:rPr>
            </w:pPr>
          </w:p>
        </w:tc>
        <w:tc>
          <w:tcPr>
            <w:tcW w:w="40" w:type="dxa"/>
            <w:vAlign w:val="bottom"/>
            <w:tcBorders>
              <w:bottom w:val="single" w:sz="8" w:color="auto"/>
            </w:tcBorders>
            <w:shd w:val="clear" w:color="auto" w:fill="F7F7F7"/>
          </w:tcPr>
          <w:p>
            <w:pPr>
              <w:spacing w:after="0"/>
              <w:rPr>
                <w:sz w:val="8"/>
                <w:szCs w:val="8"/>
                <w:color w:val="auto"/>
              </w:rPr>
            </w:pPr>
          </w:p>
        </w:tc>
        <w:tc>
          <w:tcPr>
            <w:tcW w:w="400" w:type="dxa"/>
            <w:vAlign w:val="bottom"/>
            <w:tcBorders>
              <w:bottom w:val="single" w:sz="8" w:color="auto"/>
            </w:tcBorders>
            <w:shd w:val="clear" w:color="auto" w:fill="F7F7F7"/>
          </w:tcPr>
          <w:p>
            <w:pPr>
              <w:spacing w:after="0"/>
              <w:rPr>
                <w:sz w:val="8"/>
                <w:szCs w:val="8"/>
                <w:color w:val="auto"/>
              </w:rPr>
            </w:pPr>
          </w:p>
        </w:tc>
        <w:tc>
          <w:tcPr>
            <w:tcW w:w="800" w:type="dxa"/>
            <w:vAlign w:val="bottom"/>
            <w:tcBorders>
              <w:bottom w:val="single" w:sz="8" w:color="auto"/>
            </w:tcBorders>
            <w:shd w:val="clear" w:color="auto" w:fill="F7F7F7"/>
          </w:tcPr>
          <w:p>
            <w:pPr>
              <w:spacing w:after="0"/>
              <w:rPr>
                <w:sz w:val="8"/>
                <w:szCs w:val="8"/>
                <w:color w:val="auto"/>
              </w:rPr>
            </w:pPr>
          </w:p>
        </w:tc>
        <w:tc>
          <w:tcPr>
            <w:tcW w:w="160" w:type="dxa"/>
            <w:vAlign w:val="bottom"/>
            <w:tcBorders>
              <w:bottom w:val="single" w:sz="8" w:color="auto"/>
            </w:tcBorders>
            <w:shd w:val="clear" w:color="auto" w:fill="F7F7F7"/>
          </w:tcPr>
          <w:p>
            <w:pPr>
              <w:spacing w:after="0"/>
              <w:rPr>
                <w:sz w:val="8"/>
                <w:szCs w:val="8"/>
                <w:color w:val="auto"/>
              </w:rPr>
            </w:pPr>
          </w:p>
        </w:tc>
        <w:tc>
          <w:tcPr>
            <w:tcW w:w="120" w:type="dxa"/>
            <w:vAlign w:val="bottom"/>
            <w:tcBorders>
              <w:bottom w:val="single" w:sz="8" w:color="auto"/>
            </w:tcBorders>
            <w:shd w:val="clear" w:color="auto" w:fill="F7F7F7"/>
          </w:tcPr>
          <w:p>
            <w:pPr>
              <w:spacing w:after="0"/>
              <w:rPr>
                <w:sz w:val="8"/>
                <w:szCs w:val="8"/>
                <w:color w:val="auto"/>
              </w:rPr>
            </w:pPr>
          </w:p>
        </w:tc>
        <w:tc>
          <w:tcPr>
            <w:tcW w:w="180" w:type="dxa"/>
            <w:vAlign w:val="bottom"/>
            <w:tcBorders>
              <w:bottom w:val="single" w:sz="8" w:color="auto"/>
            </w:tcBorders>
            <w:shd w:val="clear" w:color="auto" w:fill="F7F7F7"/>
          </w:tcPr>
          <w:p>
            <w:pPr>
              <w:spacing w:after="0"/>
              <w:rPr>
                <w:sz w:val="8"/>
                <w:szCs w:val="8"/>
                <w:color w:val="auto"/>
              </w:rPr>
            </w:pPr>
          </w:p>
        </w:tc>
        <w:tc>
          <w:tcPr>
            <w:tcW w:w="1020" w:type="dxa"/>
            <w:vAlign w:val="bottom"/>
            <w:tcBorders>
              <w:bottom w:val="single" w:sz="8" w:color="auto"/>
            </w:tcBorders>
            <w:shd w:val="clear" w:color="auto" w:fill="F7F7F7"/>
          </w:tcPr>
          <w:p>
            <w:pPr>
              <w:spacing w:after="0"/>
              <w:rPr>
                <w:sz w:val="8"/>
                <w:szCs w:val="8"/>
                <w:color w:val="auto"/>
              </w:rPr>
            </w:pPr>
          </w:p>
        </w:tc>
        <w:tc>
          <w:tcPr>
            <w:tcW w:w="100" w:type="dxa"/>
            <w:vAlign w:val="bottom"/>
            <w:tcBorders>
              <w:bottom w:val="single" w:sz="8" w:color="auto"/>
            </w:tcBorders>
            <w:shd w:val="clear" w:color="auto" w:fill="F7F7F7"/>
          </w:tcPr>
          <w:p>
            <w:pPr>
              <w:spacing w:after="0"/>
              <w:rPr>
                <w:sz w:val="8"/>
                <w:szCs w:val="8"/>
                <w:color w:val="auto"/>
              </w:rPr>
            </w:pPr>
          </w:p>
        </w:tc>
        <w:tc>
          <w:tcPr>
            <w:tcW w:w="380" w:type="dxa"/>
            <w:vAlign w:val="bottom"/>
            <w:tcBorders>
              <w:bottom w:val="single" w:sz="8" w:color="auto"/>
            </w:tcBorders>
            <w:shd w:val="clear" w:color="auto" w:fill="F7F7F7"/>
          </w:tcPr>
          <w:p>
            <w:pPr>
              <w:spacing w:after="0"/>
              <w:rPr>
                <w:sz w:val="8"/>
                <w:szCs w:val="8"/>
                <w:color w:val="auto"/>
              </w:rPr>
            </w:pPr>
          </w:p>
        </w:tc>
        <w:tc>
          <w:tcPr>
            <w:tcW w:w="580" w:type="dxa"/>
            <w:vAlign w:val="bottom"/>
            <w:tcBorders>
              <w:bottom w:val="single" w:sz="8" w:color="auto"/>
            </w:tcBorders>
            <w:shd w:val="clear" w:color="auto" w:fill="F7F7F7"/>
          </w:tcPr>
          <w:p>
            <w:pPr>
              <w:spacing w:after="0"/>
              <w:rPr>
                <w:sz w:val="8"/>
                <w:szCs w:val="8"/>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780" w:right="220" w:hanging="126"/>
        <w:spacing w:after="0"/>
        <w:tabs>
          <w:tab w:leader="none" w:pos="780" w:val="left"/>
        </w:tabs>
        <w:numPr>
          <w:ilvl w:val="0"/>
          <w:numId w:val="44"/>
        </w:numPr>
        <w:rPr>
          <w:rFonts w:ascii="Arial" w:cs="Arial" w:eastAsia="Arial" w:hAnsi="Arial"/>
          <w:sz w:val="15"/>
          <w:szCs w:val="15"/>
          <w:color w:val="auto"/>
          <w:vertAlign w:val="superscript"/>
        </w:rPr>
      </w:pPr>
      <w:r>
        <w:rPr>
          <w:rFonts w:ascii="Arial" w:cs="Arial" w:eastAsia="Arial" w:hAnsi="Arial"/>
          <w:sz w:val="10"/>
          <w:szCs w:val="10"/>
          <w:color w:val="auto"/>
        </w:rPr>
        <w:t>Under the Acceleration Policy, except in the case of the CEO Time-Based RSUs and CEO Performance RSUs, upon the death or disability of a NEO on December 31, 2022, all of such NEO’s outstanding equity awards would have vested. In addition, the NEOs are eligible for executive short-term and long-term disability benefits in the amounts of  $3,000 per week and $15,000 per month, respectively.</w:t>
      </w:r>
    </w:p>
    <w:p>
      <w:pPr>
        <w:spacing w:after="0" w:line="185" w:lineRule="exact"/>
        <w:rPr>
          <w:rFonts w:ascii="Arial" w:cs="Arial" w:eastAsia="Arial" w:hAnsi="Arial"/>
          <w:sz w:val="15"/>
          <w:szCs w:val="15"/>
          <w:color w:val="auto"/>
          <w:vertAlign w:val="superscript"/>
        </w:rPr>
      </w:pPr>
    </w:p>
    <w:p>
      <w:pPr>
        <w:jc w:val="both"/>
        <w:ind w:left="780" w:right="120" w:hanging="126"/>
        <w:spacing w:after="0" w:line="237" w:lineRule="auto"/>
        <w:tabs>
          <w:tab w:leader="none" w:pos="780" w:val="left"/>
        </w:tabs>
        <w:numPr>
          <w:ilvl w:val="0"/>
          <w:numId w:val="44"/>
        </w:numPr>
        <w:rPr>
          <w:rFonts w:ascii="Arial" w:cs="Arial" w:eastAsia="Arial" w:hAnsi="Arial"/>
          <w:sz w:val="15"/>
          <w:szCs w:val="15"/>
          <w:color w:val="auto"/>
          <w:vertAlign w:val="superscript"/>
        </w:rPr>
      </w:pPr>
      <w:r>
        <w:rPr>
          <w:rFonts w:ascii="Arial" w:cs="Arial" w:eastAsia="Arial" w:hAnsi="Arial"/>
          <w:sz w:val="10"/>
          <w:szCs w:val="10"/>
          <w:color w:val="auto"/>
        </w:rPr>
        <w:t>Assuming a termination without “cause” or a “constructive termination” on December 31, 2022, the remaining unvested CEO Time-Based RSUs (9,511,389 units) would have been forfeited, and the remaining unvested CEO Performance RSUs (2,090,140 units) would have remained outstanding and eligible to vest upon attainment of the performance goals for six months following such termination of employment, after which they would be forfeited if the performance goals were not attained.</w:t>
      </w:r>
    </w:p>
    <w:p>
      <w:pPr>
        <w:spacing w:after="0" w:line="88" w:lineRule="exact"/>
        <w:rPr>
          <w:rFonts w:ascii="Arial" w:cs="Arial" w:eastAsia="Arial" w:hAnsi="Arial"/>
          <w:sz w:val="15"/>
          <w:szCs w:val="15"/>
          <w:color w:val="auto"/>
          <w:vertAlign w:val="superscript"/>
        </w:rPr>
      </w:pPr>
    </w:p>
    <w:p>
      <w:pPr>
        <w:ind w:left="780" w:right="100" w:hanging="126"/>
        <w:spacing w:after="0" w:line="248" w:lineRule="auto"/>
        <w:tabs>
          <w:tab w:leader="none" w:pos="780" w:val="left"/>
        </w:tabs>
        <w:numPr>
          <w:ilvl w:val="0"/>
          <w:numId w:val="44"/>
        </w:numPr>
        <w:rPr>
          <w:rFonts w:ascii="Arial" w:cs="Arial" w:eastAsia="Arial" w:hAnsi="Arial"/>
          <w:sz w:val="15"/>
          <w:szCs w:val="15"/>
          <w:color w:val="auto"/>
          <w:vertAlign w:val="superscript"/>
        </w:rPr>
      </w:pPr>
      <w:r>
        <w:rPr>
          <w:rFonts w:ascii="Arial" w:cs="Arial" w:eastAsia="Arial" w:hAnsi="Arial"/>
          <w:sz w:val="10"/>
          <w:szCs w:val="10"/>
          <w:color w:val="auto"/>
        </w:rPr>
        <w:t>Represents the value of unvested CEO Time-Based RSUs as of December 31, 2022 (9,511,389 units) which would have vested upon a termination of employment without “cause” or upon “constructive termination” on such date (or if such restricted stock units were not continued, assumed or substituted), assuming a change in control occurred on such date. The value is based on the closing price of our Common Stock on December 31, 2022 ($6.83). If a change in control had occurred on December 31, 2022 then, regardless of whether Mr. Rawlinson had terminated employment on such date, the remaining unvested CEO Performance RSU tranche (2,090,140 units) would have vested to the extent the change in control value (the product of the number of our shares outstanding as of such date and the per share price received in the change in control) equaled or exceeded the 6-month market capitalization threshold applicable to such tranche. Assuming a per share price received in such a hypothetical change in control on December 31, 2022 equal to the closing price of our Common Stock on December 31, 2022 ($6.83), such tranche would not have vested and would have been forfeited upon such change in control.</w:t>
      </w:r>
    </w:p>
    <w:p>
      <w:pPr>
        <w:spacing w:after="0" w:line="200" w:lineRule="exact"/>
        <w:rPr>
          <w:sz w:val="20"/>
          <w:szCs w:val="20"/>
          <w:color w:val="auto"/>
        </w:rPr>
      </w:pPr>
    </w:p>
    <w:p>
      <w:pPr>
        <w:spacing w:after="0" w:line="278"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60​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Director Compensation</w:t>
      </w:r>
    </w:p>
    <w:p>
      <w:pPr>
        <w:spacing w:after="0" w:line="400" w:lineRule="exact"/>
        <w:rPr>
          <w:sz w:val="20"/>
          <w:szCs w:val="20"/>
          <w:color w:val="auto"/>
        </w:rPr>
      </w:pPr>
    </w:p>
    <w:p>
      <w:pPr>
        <w:ind w:left="660" w:right="80"/>
        <w:spacing w:after="0" w:line="288" w:lineRule="auto"/>
        <w:rPr>
          <w:sz w:val="20"/>
          <w:szCs w:val="20"/>
          <w:color w:val="auto"/>
        </w:rPr>
      </w:pPr>
      <w:r>
        <w:rPr>
          <w:rFonts w:ascii="Arial" w:cs="Arial" w:eastAsia="Arial" w:hAnsi="Arial"/>
          <w:sz w:val="16"/>
          <w:szCs w:val="16"/>
          <w:color w:val="auto"/>
        </w:rPr>
        <w:t>The Nominating and Corporate Governance Committee intends to periodically review our director compensation program with the assistance of its independent compensation consultant, Pay Governance. In November 2022, Pay Governance conducted an independent review of our director compensation program and recommended certain increases in the annual compensation for our non-employee directors to more closely align with the median of our peer group. Based in part on Pay Governance’s recommendations, the Nominating and Corporate Governance Committee recommended to the Board, and the Board approved, an increase of  $70,000 in the annual equity retainer to $250,000, and an increase of  $105,000 in the initial equity retainer to $375,000, in each case, effective for grants on or after our Annual Meeting.</w:t>
      </w:r>
    </w:p>
    <w:p>
      <w:pPr>
        <w:spacing w:after="0" w:line="183" w:lineRule="exact"/>
        <w:rPr>
          <w:sz w:val="20"/>
          <w:szCs w:val="20"/>
          <w:color w:val="auto"/>
        </w:rPr>
      </w:pPr>
    </w:p>
    <w:p>
      <w:pPr>
        <w:ind w:left="660" w:right="100"/>
        <w:spacing w:after="0" w:line="321" w:lineRule="auto"/>
        <w:rPr>
          <w:sz w:val="20"/>
          <w:szCs w:val="20"/>
          <w:color w:val="auto"/>
        </w:rPr>
      </w:pPr>
      <w:r>
        <w:rPr>
          <w:rFonts w:ascii="Arial" w:cs="Arial" w:eastAsia="Arial" w:hAnsi="Arial"/>
          <w:sz w:val="16"/>
          <w:szCs w:val="16"/>
          <w:color w:val="auto"/>
        </w:rPr>
        <w:t>As amended, our director compensation program permits our non-employee directors to receive the following annual retainers and equity compensation grants:</w:t>
      </w:r>
    </w:p>
    <w:p>
      <w:pPr>
        <w:spacing w:after="0" w:line="75" w:lineRule="exact"/>
        <w:rPr>
          <w:sz w:val="20"/>
          <w:szCs w:val="20"/>
          <w:color w:val="auto"/>
        </w:rPr>
      </w:pPr>
    </w:p>
    <w:p>
      <w:pPr>
        <w:ind w:left="820" w:right="140" w:hanging="166"/>
        <w:spacing w:after="0" w:line="291" w:lineRule="auto"/>
        <w:tabs>
          <w:tab w:leader="none" w:pos="820" w:val="left"/>
        </w:tabs>
        <w:numPr>
          <w:ilvl w:val="0"/>
          <w:numId w:val="45"/>
        </w:numPr>
        <w:rPr>
          <w:rFonts w:ascii="Arial" w:cs="Arial" w:eastAsia="Arial" w:hAnsi="Arial"/>
          <w:sz w:val="16"/>
          <w:szCs w:val="16"/>
          <w:color w:val="8A6B24"/>
        </w:rPr>
      </w:pPr>
      <w:r>
        <w:rPr>
          <w:rFonts w:ascii="Arial" w:cs="Arial" w:eastAsia="Arial" w:hAnsi="Arial"/>
          <w:sz w:val="16"/>
          <w:szCs w:val="16"/>
          <w:b w:val="1"/>
          <w:bCs w:val="1"/>
          <w:color w:val="auto"/>
        </w:rPr>
        <w:t xml:space="preserve">Board Member: </w:t>
      </w:r>
      <w:r>
        <w:rPr>
          <w:rFonts w:ascii="Arial" w:cs="Arial" w:eastAsia="Arial" w:hAnsi="Arial"/>
          <w:sz w:val="16"/>
          <w:szCs w:val="16"/>
          <w:color w:val="auto"/>
        </w:rPr>
        <w:t>$280,000, of which $30,000 is an annual cash retainer paid in quarterly installments and $250,000 of which is</w:t>
      </w:r>
      <w:r>
        <w:rPr>
          <w:rFonts w:ascii="Arial" w:cs="Arial" w:eastAsia="Arial" w:hAnsi="Arial"/>
          <w:sz w:val="16"/>
          <w:szCs w:val="16"/>
          <w:b w:val="1"/>
          <w:bCs w:val="1"/>
          <w:color w:val="auto"/>
        </w:rPr>
        <w:t xml:space="preserve"> </w:t>
      </w:r>
      <w:r>
        <w:rPr>
          <w:rFonts w:ascii="Arial" w:cs="Arial" w:eastAsia="Arial" w:hAnsi="Arial"/>
          <w:sz w:val="16"/>
          <w:szCs w:val="16"/>
          <w:color w:val="auto"/>
        </w:rPr>
        <w:t>an annual equity retainer in the form of RSUs vesting in full on the earlier of one year following grant and the date of the next annual meeting following the grant, subject to the director’s continued service as of the applicable vesting date. For new directors, the initial equity retainer is $375,000 (instead of  $250,000) in RSUs which vest in three equal installments on the first, second, and third anniversary of the director’s service commencement date.</w:t>
      </w:r>
    </w:p>
    <w:p>
      <w:pPr>
        <w:spacing w:after="0" w:line="113" w:lineRule="exact"/>
        <w:rPr>
          <w:rFonts w:ascii="Arial" w:cs="Arial" w:eastAsia="Arial" w:hAnsi="Arial"/>
          <w:sz w:val="16"/>
          <w:szCs w:val="16"/>
          <w:color w:val="8A6B24"/>
        </w:rPr>
      </w:pPr>
    </w:p>
    <w:p>
      <w:pPr>
        <w:ind w:left="820" w:right="80" w:hanging="166"/>
        <w:spacing w:after="0" w:line="321" w:lineRule="auto"/>
        <w:tabs>
          <w:tab w:leader="none" w:pos="820" w:val="left"/>
        </w:tabs>
        <w:numPr>
          <w:ilvl w:val="0"/>
          <w:numId w:val="45"/>
        </w:numPr>
        <w:rPr>
          <w:rFonts w:ascii="Arial" w:cs="Arial" w:eastAsia="Arial" w:hAnsi="Arial"/>
          <w:sz w:val="16"/>
          <w:szCs w:val="16"/>
          <w:color w:val="8A6B24"/>
        </w:rPr>
      </w:pPr>
      <w:r>
        <w:rPr>
          <w:rFonts w:ascii="Arial" w:cs="Arial" w:eastAsia="Arial" w:hAnsi="Arial"/>
          <w:sz w:val="16"/>
          <w:szCs w:val="16"/>
          <w:b w:val="1"/>
          <w:bCs w:val="1"/>
          <w:color w:val="auto"/>
        </w:rPr>
        <w:t xml:space="preserve">Independent Chairman: </w:t>
      </w:r>
      <w:r>
        <w:rPr>
          <w:rFonts w:ascii="Arial" w:cs="Arial" w:eastAsia="Arial" w:hAnsi="Arial"/>
          <w:sz w:val="16"/>
          <w:szCs w:val="16"/>
          <w:color w:val="auto"/>
        </w:rPr>
        <w:t>An additional $30,000 is paid for service as an independent Chairman of the Board, as an annual cash</w:t>
      </w:r>
      <w:r>
        <w:rPr>
          <w:rFonts w:ascii="Arial" w:cs="Arial" w:eastAsia="Arial" w:hAnsi="Arial"/>
          <w:sz w:val="16"/>
          <w:szCs w:val="16"/>
          <w:b w:val="1"/>
          <w:bCs w:val="1"/>
          <w:color w:val="auto"/>
        </w:rPr>
        <w:t xml:space="preserve"> </w:t>
      </w:r>
      <w:r>
        <w:rPr>
          <w:rFonts w:ascii="Arial" w:cs="Arial" w:eastAsia="Arial" w:hAnsi="Arial"/>
          <w:sz w:val="16"/>
          <w:szCs w:val="16"/>
          <w:color w:val="auto"/>
        </w:rPr>
        <w:t>retainer.</w:t>
      </w:r>
    </w:p>
    <w:p>
      <w:pPr>
        <w:spacing w:after="0" w:line="88" w:lineRule="exact"/>
        <w:rPr>
          <w:rFonts w:ascii="Arial" w:cs="Arial" w:eastAsia="Arial" w:hAnsi="Arial"/>
          <w:sz w:val="16"/>
          <w:szCs w:val="16"/>
          <w:color w:val="8A6B24"/>
        </w:rPr>
      </w:pPr>
    </w:p>
    <w:p>
      <w:pPr>
        <w:ind w:left="820" w:right="580" w:hanging="166"/>
        <w:spacing w:after="0" w:line="321" w:lineRule="auto"/>
        <w:tabs>
          <w:tab w:leader="none" w:pos="820" w:val="left"/>
        </w:tabs>
        <w:numPr>
          <w:ilvl w:val="0"/>
          <w:numId w:val="45"/>
        </w:numPr>
        <w:rPr>
          <w:rFonts w:ascii="Arial" w:cs="Arial" w:eastAsia="Arial" w:hAnsi="Arial"/>
          <w:sz w:val="16"/>
          <w:szCs w:val="16"/>
          <w:color w:val="8A6B24"/>
        </w:rPr>
      </w:pPr>
      <w:r>
        <w:rPr>
          <w:rFonts w:ascii="Arial" w:cs="Arial" w:eastAsia="Arial" w:hAnsi="Arial"/>
          <w:sz w:val="16"/>
          <w:szCs w:val="16"/>
          <w:b w:val="1"/>
          <w:bCs w:val="1"/>
          <w:color w:val="auto"/>
        </w:rPr>
        <w:t xml:space="preserve">Committee Chairs: </w:t>
      </w:r>
      <w:r>
        <w:rPr>
          <w:rFonts w:ascii="Arial" w:cs="Arial" w:eastAsia="Arial" w:hAnsi="Arial"/>
          <w:sz w:val="16"/>
          <w:szCs w:val="16"/>
          <w:color w:val="auto"/>
        </w:rPr>
        <w:t>Chairs of the audit, compensation, nominating and corporate governance, and executive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an additional $20,000, $15,000, $8,000, and $20,000, respectively, as an annual cash retainer.</w:t>
      </w:r>
    </w:p>
    <w:p>
      <w:pPr>
        <w:spacing w:after="0" w:line="101" w:lineRule="exact"/>
        <w:rPr>
          <w:rFonts w:ascii="Arial" w:cs="Arial" w:eastAsia="Arial" w:hAnsi="Arial"/>
          <w:sz w:val="16"/>
          <w:szCs w:val="16"/>
          <w:color w:val="8A6B24"/>
        </w:rPr>
      </w:pPr>
    </w:p>
    <w:p>
      <w:pPr>
        <w:ind w:left="820" w:right="180" w:hanging="166"/>
        <w:spacing w:after="0" w:line="321" w:lineRule="auto"/>
        <w:tabs>
          <w:tab w:leader="none" w:pos="820" w:val="left"/>
        </w:tabs>
        <w:numPr>
          <w:ilvl w:val="0"/>
          <w:numId w:val="45"/>
        </w:numPr>
        <w:rPr>
          <w:rFonts w:ascii="Arial" w:cs="Arial" w:eastAsia="Arial" w:hAnsi="Arial"/>
          <w:sz w:val="16"/>
          <w:szCs w:val="16"/>
          <w:color w:val="8A6B24"/>
        </w:rPr>
      </w:pPr>
      <w:r>
        <w:rPr>
          <w:rFonts w:ascii="Arial" w:cs="Arial" w:eastAsia="Arial" w:hAnsi="Arial"/>
          <w:sz w:val="16"/>
          <w:szCs w:val="16"/>
          <w:b w:val="1"/>
          <w:bCs w:val="1"/>
          <w:color w:val="auto"/>
        </w:rPr>
        <w:t xml:space="preserve">Committee Members: </w:t>
      </w:r>
      <w:r>
        <w:rPr>
          <w:rFonts w:ascii="Arial" w:cs="Arial" w:eastAsia="Arial" w:hAnsi="Arial"/>
          <w:sz w:val="16"/>
          <w:szCs w:val="16"/>
          <w:color w:val="auto"/>
        </w:rPr>
        <w:t>Members of the audit, compensation, nominating and corporate governance, and executive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an additional $10,000, $7,500, $4,000, and $10,000, respectively, as an annual cash retainer.</w:t>
      </w:r>
    </w:p>
    <w:p>
      <w:pPr>
        <w:spacing w:after="0" w:line="156" w:lineRule="exact"/>
        <w:rPr>
          <w:sz w:val="20"/>
          <w:szCs w:val="20"/>
          <w:color w:val="auto"/>
        </w:rPr>
      </w:pPr>
    </w:p>
    <w:p>
      <w:pPr>
        <w:ind w:left="660" w:right="300"/>
        <w:spacing w:after="0" w:line="321" w:lineRule="auto"/>
        <w:rPr>
          <w:sz w:val="20"/>
          <w:szCs w:val="20"/>
          <w:color w:val="auto"/>
        </w:rPr>
      </w:pPr>
      <w:r>
        <w:rPr>
          <w:rFonts w:ascii="Arial" w:cs="Arial" w:eastAsia="Arial" w:hAnsi="Arial"/>
          <w:sz w:val="16"/>
          <w:szCs w:val="16"/>
          <w:color w:val="auto"/>
        </w:rPr>
        <w:t>We also reimburse all of our directors for (i) up to $10,000 annually for director educational programs and (ii) their reasonable travel and other expenses incurred in attending meetings of the Board or committees and training and educational conferences.</w:t>
      </w:r>
    </w:p>
    <w:p>
      <w:pPr>
        <w:spacing w:after="0" w:line="156" w:lineRule="exact"/>
        <w:rPr>
          <w:sz w:val="20"/>
          <w:szCs w:val="20"/>
          <w:color w:val="auto"/>
        </w:rPr>
      </w:pPr>
    </w:p>
    <w:p>
      <w:pPr>
        <w:ind w:left="660" w:right="180"/>
        <w:spacing w:after="0" w:line="289" w:lineRule="auto"/>
        <w:rPr>
          <w:sz w:val="20"/>
          <w:szCs w:val="20"/>
          <w:color w:val="auto"/>
        </w:rPr>
      </w:pPr>
      <w:r>
        <w:rPr>
          <w:rFonts w:ascii="Arial" w:cs="Arial" w:eastAsia="Arial" w:hAnsi="Arial"/>
          <w:sz w:val="16"/>
          <w:szCs w:val="16"/>
          <w:color w:val="auto"/>
        </w:rPr>
        <w:t>We permit directors to elect to defer settlement (beyond vesting) of annual RSUs granted following the conclusion of each regular annual meeting of stockholders, commencing with the 2022 Annual Meeting of Stockholders. Such an election generally only applies to annual RSU awards granted after the year the election is made and will continue to apply to future annual RSU awards unless the director revokes the election with respect to annual RSU awards granted after the year of revocation. Deferred RSUs, together with any additional RSUs credited by reason of a dividend paid by us, are settled upon the earlier of  (i) termination of service and (ii) a change in control.</w:t>
      </w:r>
    </w:p>
    <w:p>
      <w:pPr>
        <w:spacing w:after="0" w:line="183" w:lineRule="exact"/>
        <w:rPr>
          <w:sz w:val="20"/>
          <w:szCs w:val="20"/>
          <w:color w:val="auto"/>
        </w:rPr>
      </w:pPr>
    </w:p>
    <w:p>
      <w:pPr>
        <w:jc w:val="both"/>
        <w:ind w:left="660" w:right="220"/>
        <w:spacing w:after="0" w:line="301" w:lineRule="auto"/>
        <w:rPr>
          <w:sz w:val="20"/>
          <w:szCs w:val="20"/>
          <w:color w:val="auto"/>
        </w:rPr>
      </w:pPr>
      <w:r>
        <w:rPr>
          <w:rFonts w:ascii="Arial" w:cs="Arial" w:eastAsia="Arial" w:hAnsi="Arial"/>
          <w:sz w:val="16"/>
          <w:szCs w:val="16"/>
          <w:color w:val="auto"/>
        </w:rPr>
        <w:t>The following table reflects information with respect to the compensation of all non-employee directors of the Company for 2022. For 2022 (i.e., prior to the above-referenced increases), the annual equity retainer was $180,000 and the initial equity retainer for new directors was $270,000.</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48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400" w:type="dxa"/>
            <w:vAlign w:val="bottom"/>
            <w:shd w:val="clear" w:color="auto" w:fill="000000"/>
          </w:tcPr>
          <w:p>
            <w:pPr>
              <w:ind w:left="1260"/>
              <w:spacing w:after="0"/>
              <w:rPr>
                <w:sz w:val="20"/>
                <w:szCs w:val="20"/>
                <w:color w:val="auto"/>
              </w:rPr>
            </w:pPr>
            <w:r>
              <w:rPr>
                <w:rFonts w:ascii="Arial" w:cs="Arial" w:eastAsia="Arial" w:hAnsi="Arial"/>
                <w:sz w:val="13"/>
                <w:szCs w:val="13"/>
                <w:b w:val="1"/>
                <w:bCs w:val="1"/>
                <w:color w:val="FEFEFE"/>
              </w:rPr>
              <w:t>​ ​</w:t>
            </w:r>
          </w:p>
        </w:tc>
        <w:tc>
          <w:tcPr>
            <w:tcW w:w="880" w:type="dxa"/>
            <w:vAlign w:val="bottom"/>
            <w:shd w:val="clear" w:color="auto" w:fill="000000"/>
          </w:tcPr>
          <w:p>
            <w:pPr>
              <w:spacing w:after="0"/>
              <w:rPr>
                <w:sz w:val="12"/>
                <w:szCs w:val="12"/>
                <w:color w:val="auto"/>
              </w:rPr>
            </w:pPr>
          </w:p>
        </w:tc>
        <w:tc>
          <w:tcPr>
            <w:tcW w:w="26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 ​</w:t>
            </w:r>
          </w:p>
        </w:tc>
        <w:tc>
          <w:tcPr>
            <w:tcW w:w="760" w:type="dxa"/>
            <w:vAlign w:val="bottom"/>
            <w:shd w:val="clear" w:color="auto" w:fill="000000"/>
          </w:tcPr>
          <w:p>
            <w:pPr>
              <w:spacing w:after="0"/>
              <w:rPr>
                <w:sz w:val="12"/>
                <w:szCs w:val="12"/>
                <w:color w:val="auto"/>
              </w:rPr>
            </w:pPr>
          </w:p>
        </w:tc>
        <w:tc>
          <w:tcPr>
            <w:tcW w:w="30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 ​</w:t>
            </w:r>
          </w:p>
        </w:tc>
        <w:tc>
          <w:tcPr>
            <w:tcW w:w="700" w:type="dxa"/>
            <w:vAlign w:val="bottom"/>
            <w:shd w:val="clear" w:color="auto" w:fill="000000"/>
          </w:tcPr>
          <w:p>
            <w:pPr>
              <w:spacing w:after="0"/>
              <w:rPr>
                <w:sz w:val="12"/>
                <w:szCs w:val="12"/>
                <w:color w:val="auto"/>
              </w:rPr>
            </w:pPr>
          </w:p>
        </w:tc>
        <w:tc>
          <w:tcPr>
            <w:tcW w:w="420" w:type="dxa"/>
            <w:vAlign w:val="bottom"/>
            <w:shd w:val="clear" w:color="auto" w:fill="000000"/>
          </w:tcPr>
          <w:p>
            <w:pPr>
              <w:ind w:left="260"/>
              <w:spacing w:after="0"/>
              <w:rPr>
                <w:sz w:val="20"/>
                <w:szCs w:val="20"/>
                <w:color w:val="auto"/>
              </w:rPr>
            </w:pPr>
            <w:r>
              <w:rPr>
                <w:rFonts w:ascii="Arial" w:cs="Arial" w:eastAsia="Arial" w:hAnsi="Arial"/>
                <w:sz w:val="13"/>
                <w:szCs w:val="13"/>
                <w:b w:val="1"/>
                <w:bCs w:val="1"/>
                <w:color w:val="FEFEFE"/>
              </w:rPr>
              <w:t>​ ​</w:t>
            </w:r>
          </w:p>
        </w:tc>
        <w:tc>
          <w:tcPr>
            <w:tcW w:w="780" w:type="dxa"/>
            <w:vAlign w:val="bottom"/>
            <w:vMerge w:val="restart"/>
            <w:shd w:val="clear" w:color="auto" w:fill="000000"/>
          </w:tcPr>
          <w:p>
            <w:pPr>
              <w:jc w:val="center"/>
              <w:ind w:left="30"/>
              <w:spacing w:after="0"/>
              <w:rPr>
                <w:sz w:val="20"/>
                <w:szCs w:val="20"/>
                <w:color w:val="auto"/>
              </w:rPr>
            </w:pPr>
            <w:r>
              <w:rPr>
                <w:rFonts w:ascii="Arial" w:cs="Arial" w:eastAsia="Arial" w:hAnsi="Arial"/>
                <w:sz w:val="13"/>
                <w:szCs w:val="13"/>
                <w:b w:val="1"/>
                <w:bCs w:val="1"/>
                <w:color w:val="FEFEFE"/>
                <w:w w:val="94"/>
              </w:rPr>
              <w:t>All Other</w:t>
            </w:r>
          </w:p>
        </w:tc>
        <w:tc>
          <w:tcPr>
            <w:tcW w:w="30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 ​</w:t>
            </w:r>
          </w:p>
        </w:tc>
        <w:tc>
          <w:tcPr>
            <w:tcW w:w="800" w:type="dxa"/>
            <w:vAlign w:val="bottom"/>
            <w:vMerge w:val="restart"/>
            <w:shd w:val="clear" w:color="auto" w:fill="000000"/>
          </w:tcPr>
          <w:p>
            <w:pPr>
              <w:jc w:val="center"/>
              <w:ind w:left="30"/>
              <w:spacing w:after="0"/>
              <w:rPr>
                <w:sz w:val="20"/>
                <w:szCs w:val="20"/>
                <w:color w:val="auto"/>
              </w:rPr>
            </w:pPr>
            <w:r>
              <w:rPr>
                <w:rFonts w:ascii="Arial" w:cs="Arial" w:eastAsia="Arial" w:hAnsi="Arial"/>
                <w:sz w:val="13"/>
                <w:szCs w:val="13"/>
                <w:b w:val="1"/>
                <w:bCs w:val="1"/>
                <w:color w:val="FEFEFE"/>
                <w:w w:val="96"/>
              </w:rPr>
              <w:t>Total</w:t>
            </w:r>
          </w:p>
        </w:tc>
        <w:tc>
          <w:tcPr>
            <w:tcW w:w="300" w:type="dxa"/>
            <w:vAlign w:val="bottom"/>
            <w:shd w:val="clear" w:color="auto" w:fill="000000"/>
          </w:tcPr>
          <w:p>
            <w:pPr>
              <w:ind w:left="2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2480" w:type="dxa"/>
            <w:vAlign w:val="bottom"/>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Name</w:t>
            </w:r>
          </w:p>
        </w:tc>
        <w:tc>
          <w:tcPr>
            <w:tcW w:w="1400" w:type="dxa"/>
            <w:vAlign w:val="bottom"/>
            <w:shd w:val="clear" w:color="auto" w:fill="000000"/>
          </w:tcPr>
          <w:p>
            <w:pPr>
              <w:spacing w:after="0"/>
              <w:rPr>
                <w:sz w:val="11"/>
                <w:szCs w:val="11"/>
                <w:color w:val="auto"/>
              </w:rPr>
            </w:pPr>
          </w:p>
        </w:tc>
        <w:tc>
          <w:tcPr>
            <w:tcW w:w="1140" w:type="dxa"/>
            <w:vAlign w:val="bottom"/>
            <w:gridSpan w:val="2"/>
            <w:shd w:val="clear" w:color="auto" w:fill="000000"/>
          </w:tcPr>
          <w:p>
            <w:pPr>
              <w:jc w:val="center"/>
              <w:ind w:right="130"/>
              <w:spacing w:after="0" w:line="135" w:lineRule="exact"/>
              <w:rPr>
                <w:sz w:val="20"/>
                <w:szCs w:val="20"/>
                <w:color w:val="auto"/>
              </w:rPr>
            </w:pPr>
            <w:r>
              <w:rPr>
                <w:rFonts w:ascii="Arial" w:cs="Arial" w:eastAsia="Arial" w:hAnsi="Arial"/>
                <w:sz w:val="13"/>
                <w:szCs w:val="13"/>
                <w:b w:val="1"/>
                <w:bCs w:val="1"/>
                <w:color w:val="FEFEFE"/>
                <w:w w:val="95"/>
              </w:rPr>
              <w:t>Fees Earned or</w:t>
            </w:r>
          </w:p>
        </w:tc>
        <w:tc>
          <w:tcPr>
            <w:tcW w:w="1060" w:type="dxa"/>
            <w:vAlign w:val="bottom"/>
            <w:gridSpan w:val="2"/>
            <w:shd w:val="clear" w:color="auto" w:fill="000000"/>
          </w:tcPr>
          <w:p>
            <w:pPr>
              <w:ind w:left="20"/>
              <w:spacing w:after="0" w:line="135" w:lineRule="exact"/>
              <w:rPr>
                <w:sz w:val="20"/>
                <w:szCs w:val="20"/>
                <w:color w:val="auto"/>
              </w:rPr>
            </w:pPr>
            <w:r>
              <w:rPr>
                <w:rFonts w:ascii="Arial" w:cs="Arial" w:eastAsia="Arial" w:hAnsi="Arial"/>
                <w:sz w:val="13"/>
                <w:szCs w:val="13"/>
                <w:b w:val="1"/>
                <w:bCs w:val="1"/>
                <w:color w:val="FEFEFE"/>
              </w:rPr>
              <w:t>Stock Awards</w:t>
            </w:r>
          </w:p>
        </w:tc>
        <w:tc>
          <w:tcPr>
            <w:tcW w:w="1120" w:type="dxa"/>
            <w:vAlign w:val="bottom"/>
            <w:gridSpan w:val="2"/>
            <w:shd w:val="clear" w:color="auto" w:fill="000000"/>
          </w:tcPr>
          <w:p>
            <w:pPr>
              <w:spacing w:after="0" w:line="135" w:lineRule="exact"/>
              <w:rPr>
                <w:sz w:val="20"/>
                <w:szCs w:val="20"/>
                <w:color w:val="auto"/>
              </w:rPr>
            </w:pPr>
            <w:r>
              <w:rPr>
                <w:rFonts w:ascii="Arial" w:cs="Arial" w:eastAsia="Arial" w:hAnsi="Arial"/>
                <w:sz w:val="13"/>
                <w:szCs w:val="13"/>
                <w:b w:val="1"/>
                <w:bCs w:val="1"/>
                <w:color w:val="FEFEFE"/>
              </w:rPr>
              <w:t>Option Awards</w:t>
            </w:r>
          </w:p>
        </w:tc>
        <w:tc>
          <w:tcPr>
            <w:tcW w:w="780" w:type="dxa"/>
            <w:vAlign w:val="bottom"/>
            <w:vMerge w:val="continue"/>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800" w:type="dxa"/>
            <w:vAlign w:val="bottom"/>
            <w:vMerge w:val="continue"/>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000000"/>
          </w:tcPr>
          <w:p>
            <w:pPr>
              <w:spacing w:after="0"/>
              <w:rPr>
                <w:sz w:val="12"/>
                <w:szCs w:val="12"/>
                <w:color w:val="auto"/>
              </w:rPr>
            </w:pPr>
          </w:p>
        </w:tc>
        <w:tc>
          <w:tcPr>
            <w:tcW w:w="1400" w:type="dxa"/>
            <w:vAlign w:val="bottom"/>
            <w:shd w:val="clear" w:color="auto" w:fill="000000"/>
          </w:tcPr>
          <w:p>
            <w:pPr>
              <w:spacing w:after="0"/>
              <w:rPr>
                <w:sz w:val="12"/>
                <w:szCs w:val="12"/>
                <w:color w:val="auto"/>
              </w:rPr>
            </w:pPr>
          </w:p>
        </w:tc>
        <w:tc>
          <w:tcPr>
            <w:tcW w:w="880" w:type="dxa"/>
            <w:vAlign w:val="bottom"/>
            <w:shd w:val="clear" w:color="auto" w:fill="000000"/>
          </w:tcPr>
          <w:p>
            <w:pPr>
              <w:jc w:val="center"/>
              <w:ind w:left="10"/>
              <w:spacing w:after="0"/>
              <w:rPr>
                <w:sz w:val="20"/>
                <w:szCs w:val="20"/>
                <w:color w:val="auto"/>
              </w:rPr>
            </w:pPr>
            <w:r>
              <w:rPr>
                <w:rFonts w:ascii="Arial" w:cs="Arial" w:eastAsia="Arial" w:hAnsi="Arial"/>
                <w:sz w:val="13"/>
                <w:szCs w:val="13"/>
                <w:b w:val="1"/>
                <w:bCs w:val="1"/>
                <w:color w:val="FEFEFE"/>
                <w:w w:val="97"/>
              </w:rPr>
              <w:t>Paid in Cash</w:t>
            </w:r>
          </w:p>
        </w:tc>
        <w:tc>
          <w:tcPr>
            <w:tcW w:w="260" w:type="dxa"/>
            <w:vAlign w:val="bottom"/>
            <w:shd w:val="clear" w:color="auto" w:fill="000000"/>
          </w:tcPr>
          <w:p>
            <w:pPr>
              <w:spacing w:after="0"/>
              <w:rPr>
                <w:sz w:val="12"/>
                <w:szCs w:val="12"/>
                <w:color w:val="auto"/>
              </w:rPr>
            </w:pPr>
          </w:p>
        </w:tc>
        <w:tc>
          <w:tcPr>
            <w:tcW w:w="760" w:type="dxa"/>
            <w:vAlign w:val="bottom"/>
            <w:shd w:val="clear" w:color="auto" w:fill="000000"/>
          </w:tcPr>
          <w:p>
            <w:pPr>
              <w:ind w:left="300"/>
              <w:spacing w:after="0" w:line="148" w:lineRule="exact"/>
              <w:rPr>
                <w:sz w:val="20"/>
                <w:szCs w:val="20"/>
                <w:color w:val="auto"/>
              </w:rPr>
            </w:pPr>
            <w:r>
              <w:rPr>
                <w:rFonts w:ascii="Arial" w:cs="Arial" w:eastAsia="Arial" w:hAnsi="Arial"/>
                <w:sz w:val="13"/>
                <w:szCs w:val="13"/>
                <w:b w:val="1"/>
                <w:bCs w:val="1"/>
                <w:color w:val="FEFEFE"/>
              </w:rPr>
              <w:t>($)</w:t>
            </w:r>
            <w:r>
              <w:rPr>
                <w:rFonts w:ascii="Arial" w:cs="Arial" w:eastAsia="Arial" w:hAnsi="Arial"/>
                <w:sz w:val="16"/>
                <w:szCs w:val="16"/>
                <w:b w:val="1"/>
                <w:bCs w:val="1"/>
                <w:color w:val="FEFEFE"/>
                <w:vertAlign w:val="superscript"/>
              </w:rPr>
              <w:t>(1)</w:t>
            </w:r>
          </w:p>
        </w:tc>
        <w:tc>
          <w:tcPr>
            <w:tcW w:w="300" w:type="dxa"/>
            <w:vAlign w:val="bottom"/>
            <w:shd w:val="clear" w:color="auto" w:fill="000000"/>
          </w:tcPr>
          <w:p>
            <w:pPr>
              <w:spacing w:after="0"/>
              <w:rPr>
                <w:sz w:val="12"/>
                <w:szCs w:val="12"/>
                <w:color w:val="auto"/>
              </w:rPr>
            </w:pPr>
          </w:p>
        </w:tc>
        <w:tc>
          <w:tcPr>
            <w:tcW w:w="700" w:type="dxa"/>
            <w:vAlign w:val="bottom"/>
            <w:shd w:val="clear" w:color="auto" w:fill="000000"/>
          </w:tcPr>
          <w:p>
            <w:pPr>
              <w:ind w:left="380"/>
              <w:spacing w:after="0"/>
              <w:rPr>
                <w:sz w:val="20"/>
                <w:szCs w:val="20"/>
                <w:color w:val="auto"/>
              </w:rPr>
            </w:pPr>
            <w:r>
              <w:rPr>
                <w:rFonts w:ascii="Arial" w:cs="Arial" w:eastAsia="Arial" w:hAnsi="Arial"/>
                <w:sz w:val="13"/>
                <w:szCs w:val="13"/>
                <w:b w:val="1"/>
                <w:bCs w:val="1"/>
                <w:color w:val="FEFEFE"/>
              </w:rPr>
              <w:t>($)</w:t>
            </w:r>
          </w:p>
        </w:tc>
        <w:tc>
          <w:tcPr>
            <w:tcW w:w="420" w:type="dxa"/>
            <w:vAlign w:val="bottom"/>
            <w:shd w:val="clear" w:color="auto" w:fill="000000"/>
          </w:tcPr>
          <w:p>
            <w:pPr>
              <w:spacing w:after="0"/>
              <w:rPr>
                <w:sz w:val="12"/>
                <w:szCs w:val="12"/>
                <w:color w:val="auto"/>
              </w:rPr>
            </w:pPr>
          </w:p>
        </w:tc>
        <w:tc>
          <w:tcPr>
            <w:tcW w:w="1080" w:type="dxa"/>
            <w:vAlign w:val="bottom"/>
            <w:gridSpan w:val="2"/>
            <w:shd w:val="clear" w:color="auto" w:fill="000000"/>
          </w:tcPr>
          <w:p>
            <w:pPr>
              <w:jc w:val="center"/>
              <w:ind w:right="130"/>
              <w:spacing w:after="0"/>
              <w:rPr>
                <w:sz w:val="20"/>
                <w:szCs w:val="20"/>
                <w:color w:val="auto"/>
              </w:rPr>
            </w:pPr>
            <w:r>
              <w:rPr>
                <w:rFonts w:ascii="Arial" w:cs="Arial" w:eastAsia="Arial" w:hAnsi="Arial"/>
                <w:sz w:val="13"/>
                <w:szCs w:val="13"/>
                <w:b w:val="1"/>
                <w:bCs w:val="1"/>
                <w:color w:val="FEFEFE"/>
                <w:w w:val="97"/>
              </w:rPr>
              <w:t>Compensation</w:t>
            </w:r>
          </w:p>
        </w:tc>
        <w:tc>
          <w:tcPr>
            <w:tcW w:w="1100" w:type="dxa"/>
            <w:vAlign w:val="bottom"/>
            <w:gridSpan w:val="2"/>
            <w:shd w:val="clear" w:color="auto" w:fill="000000"/>
          </w:tcPr>
          <w:p>
            <w:pPr>
              <w:jc w:val="center"/>
              <w:ind w:right="110"/>
              <w:spacing w:after="0"/>
              <w:rPr>
                <w:sz w:val="20"/>
                <w:szCs w:val="20"/>
                <w:color w:val="auto"/>
              </w:rPr>
            </w:pPr>
            <w:r>
              <w:rPr>
                <w:rFonts w:ascii="Arial" w:cs="Arial" w:eastAsia="Arial" w:hAnsi="Arial"/>
                <w:sz w:val="13"/>
                <w:szCs w:val="13"/>
                <w:b w:val="1"/>
                <w:bCs w:val="1"/>
                <w:color w:val="FEFEFE"/>
                <w:w w:val="97"/>
              </w:rPr>
              <w:t>Compensation</w:t>
            </w:r>
          </w:p>
        </w:tc>
        <w:tc>
          <w:tcPr>
            <w:tcW w:w="0" w:type="dxa"/>
            <w:vAlign w:val="bottom"/>
          </w:tcPr>
          <w:p>
            <w:pPr>
              <w:spacing w:after="0"/>
              <w:rPr>
                <w:sz w:val="1"/>
                <w:szCs w:val="1"/>
                <w:color w:val="auto"/>
              </w:rPr>
            </w:pPr>
          </w:p>
        </w:tc>
      </w:tr>
      <w:tr>
        <w:trPr>
          <w:trHeight w:val="172"/>
        </w:trPr>
        <w:tc>
          <w:tcPr>
            <w:tcW w:w="2480" w:type="dxa"/>
            <w:vAlign w:val="bottom"/>
            <w:shd w:val="clear" w:color="auto" w:fill="000000"/>
          </w:tcPr>
          <w:p>
            <w:pPr>
              <w:spacing w:after="0"/>
              <w:rPr>
                <w:sz w:val="14"/>
                <w:szCs w:val="14"/>
                <w:color w:val="auto"/>
              </w:rPr>
            </w:pPr>
          </w:p>
        </w:tc>
        <w:tc>
          <w:tcPr>
            <w:tcW w:w="1400" w:type="dxa"/>
            <w:vAlign w:val="bottom"/>
            <w:shd w:val="clear" w:color="auto" w:fill="000000"/>
          </w:tcPr>
          <w:p>
            <w:pPr>
              <w:spacing w:after="0"/>
              <w:rPr>
                <w:sz w:val="14"/>
                <w:szCs w:val="14"/>
                <w:color w:val="auto"/>
              </w:rPr>
            </w:pPr>
          </w:p>
        </w:tc>
        <w:tc>
          <w:tcPr>
            <w:tcW w:w="880" w:type="dxa"/>
            <w:vAlign w:val="bottom"/>
            <w:shd w:val="clear" w:color="auto" w:fill="000000"/>
          </w:tcPr>
          <w:p>
            <w:pPr>
              <w:jc w:val="center"/>
              <w:ind w:left="10"/>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300" w:type="dxa"/>
            <w:vAlign w:val="bottom"/>
            <w:shd w:val="clear" w:color="auto" w:fill="000000"/>
          </w:tcPr>
          <w:p>
            <w:pPr>
              <w:spacing w:after="0"/>
              <w:rPr>
                <w:sz w:val="14"/>
                <w:szCs w:val="14"/>
                <w:color w:val="auto"/>
              </w:rPr>
            </w:pPr>
          </w:p>
        </w:tc>
        <w:tc>
          <w:tcPr>
            <w:tcW w:w="700" w:type="dxa"/>
            <w:vAlign w:val="bottom"/>
            <w:shd w:val="clear" w:color="auto" w:fill="000000"/>
          </w:tcPr>
          <w:p>
            <w:pPr>
              <w:spacing w:after="0"/>
              <w:rPr>
                <w:sz w:val="14"/>
                <w:szCs w:val="14"/>
                <w:color w:val="auto"/>
              </w:rPr>
            </w:pPr>
          </w:p>
        </w:tc>
        <w:tc>
          <w:tcPr>
            <w:tcW w:w="420" w:type="dxa"/>
            <w:vAlign w:val="bottom"/>
            <w:shd w:val="clear" w:color="auto" w:fill="000000"/>
          </w:tcPr>
          <w:p>
            <w:pPr>
              <w:spacing w:after="0"/>
              <w:rPr>
                <w:sz w:val="14"/>
                <w:szCs w:val="14"/>
                <w:color w:val="auto"/>
              </w:rPr>
            </w:pPr>
          </w:p>
        </w:tc>
        <w:tc>
          <w:tcPr>
            <w:tcW w:w="780" w:type="dxa"/>
            <w:vAlign w:val="bottom"/>
            <w:shd w:val="clear" w:color="auto" w:fill="000000"/>
          </w:tcPr>
          <w:p>
            <w:pPr>
              <w:jc w:val="center"/>
              <w:ind w:left="30"/>
              <w:spacing w:after="0"/>
              <w:rPr>
                <w:sz w:val="20"/>
                <w:szCs w:val="20"/>
                <w:color w:val="auto"/>
              </w:rPr>
            </w:pPr>
            <w:r>
              <w:rPr>
                <w:rFonts w:ascii="Arial" w:cs="Arial" w:eastAsia="Arial" w:hAnsi="Arial"/>
                <w:sz w:val="13"/>
                <w:szCs w:val="13"/>
                <w:b w:val="1"/>
                <w:bCs w:val="1"/>
                <w:color w:val="FEFEFE"/>
              </w:rPr>
              <w:t>($)</w:t>
            </w:r>
          </w:p>
        </w:tc>
        <w:tc>
          <w:tcPr>
            <w:tcW w:w="300" w:type="dxa"/>
            <w:vAlign w:val="bottom"/>
            <w:shd w:val="clear" w:color="auto" w:fill="000000"/>
          </w:tcPr>
          <w:p>
            <w:pPr>
              <w:spacing w:after="0"/>
              <w:rPr>
                <w:sz w:val="14"/>
                <w:szCs w:val="14"/>
                <w:color w:val="auto"/>
              </w:rPr>
            </w:pPr>
          </w:p>
        </w:tc>
        <w:tc>
          <w:tcPr>
            <w:tcW w:w="800" w:type="dxa"/>
            <w:vAlign w:val="bottom"/>
            <w:shd w:val="clear" w:color="auto" w:fill="000000"/>
          </w:tcPr>
          <w:p>
            <w:pPr>
              <w:jc w:val="center"/>
              <w:ind w:left="50"/>
              <w:spacing w:after="0"/>
              <w:rPr>
                <w:sz w:val="20"/>
                <w:szCs w:val="20"/>
                <w:color w:val="auto"/>
              </w:rPr>
            </w:pPr>
            <w:r>
              <w:rPr>
                <w:rFonts w:ascii="Arial" w:cs="Arial" w:eastAsia="Arial" w:hAnsi="Arial"/>
                <w:sz w:val="13"/>
                <w:szCs w:val="13"/>
                <w:b w:val="1"/>
                <w:bCs w:val="1"/>
                <w:color w:val="FEFEFE"/>
              </w:rPr>
              <w:t>($)</w:t>
            </w:r>
          </w:p>
        </w:tc>
        <w:tc>
          <w:tcPr>
            <w:tcW w:w="3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80" w:type="dxa"/>
            <w:vAlign w:val="bottom"/>
            <w:shd w:val="clear" w:color="auto" w:fill="000000"/>
          </w:tcPr>
          <w:p>
            <w:pPr>
              <w:spacing w:after="0"/>
              <w:rPr>
                <w:sz w:val="11"/>
                <w:szCs w:val="11"/>
                <w:color w:val="auto"/>
              </w:rPr>
            </w:pPr>
          </w:p>
        </w:tc>
        <w:tc>
          <w:tcPr>
            <w:tcW w:w="1400" w:type="dxa"/>
            <w:vAlign w:val="bottom"/>
            <w:shd w:val="clear" w:color="auto" w:fill="000000"/>
          </w:tcPr>
          <w:p>
            <w:pPr>
              <w:spacing w:after="0"/>
              <w:rPr>
                <w:sz w:val="11"/>
                <w:szCs w:val="11"/>
                <w:color w:val="auto"/>
              </w:rPr>
            </w:pPr>
          </w:p>
        </w:tc>
        <w:tc>
          <w:tcPr>
            <w:tcW w:w="88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76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480" w:type="dxa"/>
            <w:vAlign w:val="bottom"/>
          </w:tcPr>
          <w:p>
            <w:pPr>
              <w:ind w:left="140"/>
              <w:spacing w:after="0"/>
              <w:rPr>
                <w:sz w:val="20"/>
                <w:szCs w:val="20"/>
                <w:color w:val="auto"/>
              </w:rPr>
            </w:pPr>
            <w:r>
              <w:rPr>
                <w:rFonts w:ascii="Arial" w:cs="Arial" w:eastAsia="Arial" w:hAnsi="Arial"/>
                <w:sz w:val="14"/>
                <w:szCs w:val="14"/>
                <w:color w:val="auto"/>
              </w:rPr>
              <w:t>Andrew Liveris</w:t>
            </w:r>
          </w:p>
        </w:tc>
        <w:tc>
          <w:tcPr>
            <w:tcW w:w="1400" w:type="dxa"/>
            <w:vAlign w:val="bottom"/>
            <w:vMerge w:val="restart"/>
          </w:tcPr>
          <w:p>
            <w:pPr>
              <w:ind w:left="1200"/>
              <w:spacing w:after="0"/>
              <w:rPr>
                <w:sz w:val="20"/>
                <w:szCs w:val="20"/>
                <w:color w:val="auto"/>
              </w:rPr>
            </w:pPr>
            <w:r>
              <w:rPr>
                <w:rFonts w:ascii="Arial" w:cs="Arial" w:eastAsia="Arial" w:hAnsi="Arial"/>
                <w:sz w:val="14"/>
                <w:szCs w:val="14"/>
                <w:color w:val="auto"/>
              </w:rPr>
              <w:t>​ ​</w:t>
            </w:r>
          </w:p>
        </w:tc>
        <w:tc>
          <w:tcPr>
            <w:tcW w:w="880" w:type="dxa"/>
            <w:vAlign w:val="bottom"/>
          </w:tcPr>
          <w:p>
            <w:pPr>
              <w:jc w:val="center"/>
              <w:spacing w:after="0"/>
              <w:rPr>
                <w:sz w:val="20"/>
                <w:szCs w:val="20"/>
                <w:color w:val="auto"/>
              </w:rPr>
            </w:pPr>
            <w:r>
              <w:rPr>
                <w:rFonts w:ascii="Arial" w:cs="Arial" w:eastAsia="Arial" w:hAnsi="Arial"/>
                <w:sz w:val="14"/>
                <w:szCs w:val="14"/>
                <w:color w:val="auto"/>
              </w:rPr>
              <w:t>​95,000</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auto"/>
              </w:rPr>
              <w:t>​​ ​</w:t>
            </w:r>
          </w:p>
        </w:tc>
        <w:tc>
          <w:tcPr>
            <w:tcW w:w="780" w:type="dxa"/>
            <w:vAlign w:val="bottom"/>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800" w:type="dxa"/>
            <w:vAlign w:val="bottom"/>
          </w:tcPr>
          <w:p>
            <w:pPr>
              <w:ind w:left="160"/>
              <w:spacing w:after="0"/>
              <w:rPr>
                <w:sz w:val="20"/>
                <w:szCs w:val="20"/>
                <w:color w:val="auto"/>
              </w:rPr>
            </w:pPr>
            <w:r>
              <w:rPr>
                <w:rFonts w:ascii="Arial" w:cs="Arial" w:eastAsia="Arial" w:hAnsi="Arial"/>
                <w:sz w:val="14"/>
                <w:szCs w:val="14"/>
                <w:color w:val="auto"/>
              </w:rPr>
              <w:t>​280,496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Turqi Alnowaiser</w:t>
            </w:r>
          </w:p>
        </w:tc>
        <w:tc>
          <w:tcPr>
            <w:tcW w:w="1400" w:type="dxa"/>
            <w:vAlign w:val="bottom"/>
            <w:vMerge w:val="restart"/>
            <w:shd w:val="clear" w:color="auto" w:fill="F7F7F7"/>
          </w:tcPr>
          <w:p>
            <w:pPr>
              <w:ind w:left="1200"/>
              <w:spacing w:after="0"/>
              <w:rPr>
                <w:sz w:val="20"/>
                <w:szCs w:val="20"/>
                <w:color w:val="auto"/>
              </w:rPr>
            </w:pPr>
            <w:r>
              <w:rPr>
                <w:rFonts w:ascii="Arial" w:cs="Arial" w:eastAsia="Arial" w:hAnsi="Arial"/>
                <w:sz w:val="14"/>
                <w:szCs w:val="14"/>
                <w:color w:val="auto"/>
              </w:rPr>
              <w:t>​ ​</w:t>
            </w:r>
          </w:p>
        </w:tc>
        <w:tc>
          <w:tcPr>
            <w:tcW w:w="88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​48,000</w:t>
            </w:r>
          </w:p>
        </w:tc>
        <w:tc>
          <w:tcPr>
            <w:tcW w:w="2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 ​</w:t>
            </w:r>
          </w:p>
        </w:tc>
        <w:tc>
          <w:tcPr>
            <w:tcW w:w="70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F7F7F7"/>
          </w:tcPr>
          <w:p>
            <w:pPr>
              <w:ind w:left="80"/>
              <w:spacing w:after="0"/>
              <w:rPr>
                <w:sz w:val="20"/>
                <w:szCs w:val="20"/>
                <w:color w:val="auto"/>
              </w:rPr>
            </w:pPr>
            <w:r>
              <w:rPr>
                <w:rFonts w:ascii="Arial" w:cs="Arial" w:eastAsia="Arial" w:hAnsi="Arial"/>
                <w:sz w:val="14"/>
                <w:szCs w:val="14"/>
                <w:color w:val="auto"/>
              </w:rPr>
              <w:t>​​ ​</w:t>
            </w:r>
          </w:p>
        </w:tc>
        <w:tc>
          <w:tcPr>
            <w:tcW w:w="800" w:type="dxa"/>
            <w:vAlign w:val="bottom"/>
            <w:shd w:val="clear" w:color="auto" w:fill="F7F7F7"/>
          </w:tcPr>
          <w:p>
            <w:pPr>
              <w:ind w:left="160"/>
              <w:spacing w:after="0"/>
              <w:rPr>
                <w:sz w:val="20"/>
                <w:szCs w:val="20"/>
                <w:color w:val="auto"/>
              </w:rPr>
            </w:pPr>
            <w:r>
              <w:rPr>
                <w:rFonts w:ascii="Arial" w:cs="Arial" w:eastAsia="Arial" w:hAnsi="Arial"/>
                <w:sz w:val="14"/>
                <w:szCs w:val="14"/>
                <w:color w:val="auto"/>
              </w:rPr>
              <w:t>​233,496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shd w:val="clear" w:color="auto" w:fill="F7F7F7"/>
          </w:tcPr>
          <w:p>
            <w:pPr>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vMerge w:val="continue"/>
            <w:shd w:val="clear" w:color="auto" w:fill="F7F7F7"/>
          </w:tcPr>
          <w:p>
            <w:pPr>
              <w:spacing w:after="0"/>
              <w:rPr>
                <w:sz w:val="12"/>
                <w:szCs w:val="12"/>
                <w:color w:val="auto"/>
              </w:rPr>
            </w:pPr>
          </w:p>
        </w:tc>
        <w:tc>
          <w:tcPr>
            <w:tcW w:w="880" w:type="dxa"/>
            <w:vAlign w:val="bottom"/>
            <w:tcBorders>
              <w:bottom w:val="single" w:sz="8" w:color="auto"/>
            </w:tcBorders>
            <w:shd w:val="clear" w:color="auto" w:fill="F7F7F7"/>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shd w:val="clear" w:color="auto" w:fill="F7F7F7"/>
          </w:tcPr>
          <w:p>
            <w:pPr>
              <w:spacing w:after="0"/>
              <w:rPr>
                <w:sz w:val="12"/>
                <w:szCs w:val="12"/>
                <w:color w:val="auto"/>
              </w:rPr>
            </w:pPr>
          </w:p>
        </w:tc>
        <w:tc>
          <w:tcPr>
            <w:tcW w:w="760" w:type="dxa"/>
            <w:vAlign w:val="bottom"/>
            <w:tcBorders>
              <w:bottom w:val="single" w:sz="8" w:color="auto"/>
            </w:tcBorders>
            <w:shd w:val="clear" w:color="auto" w:fill="F7F7F7"/>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70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shd w:val="clear" w:color="auto" w:fill="F7F7F7"/>
          </w:tcPr>
          <w:p>
            <w:pPr>
              <w:spacing w:after="0"/>
              <w:rPr>
                <w:sz w:val="12"/>
                <w:szCs w:val="12"/>
                <w:color w:val="auto"/>
              </w:rPr>
            </w:pPr>
          </w:p>
        </w:tc>
        <w:tc>
          <w:tcPr>
            <w:tcW w:w="78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800" w:type="dxa"/>
            <w:vAlign w:val="bottom"/>
            <w:tcBorders>
              <w:bottom w:val="single" w:sz="8" w:color="auto"/>
            </w:tcBorders>
            <w:shd w:val="clear" w:color="auto" w:fill="F7F7F7"/>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140"/>
              <w:spacing w:after="0"/>
              <w:rPr>
                <w:sz w:val="20"/>
                <w:szCs w:val="20"/>
                <w:color w:val="auto"/>
              </w:rPr>
            </w:pPr>
            <w:r>
              <w:rPr>
                <w:rFonts w:ascii="Arial" w:cs="Arial" w:eastAsia="Arial" w:hAnsi="Arial"/>
                <w:sz w:val="14"/>
                <w:szCs w:val="14"/>
                <w:color w:val="auto"/>
              </w:rPr>
              <w:t>Glenn R. August</w:t>
            </w:r>
          </w:p>
        </w:tc>
        <w:tc>
          <w:tcPr>
            <w:tcW w:w="1400" w:type="dxa"/>
            <w:vAlign w:val="bottom"/>
            <w:vMerge w:val="restart"/>
          </w:tcPr>
          <w:p>
            <w:pPr>
              <w:ind w:left="1200"/>
              <w:spacing w:after="0"/>
              <w:rPr>
                <w:sz w:val="20"/>
                <w:szCs w:val="20"/>
                <w:color w:val="auto"/>
              </w:rPr>
            </w:pPr>
            <w:r>
              <w:rPr>
                <w:rFonts w:ascii="Arial" w:cs="Arial" w:eastAsia="Arial" w:hAnsi="Arial"/>
                <w:sz w:val="14"/>
                <w:szCs w:val="14"/>
                <w:color w:val="auto"/>
              </w:rPr>
              <w:t>​ ​</w:t>
            </w:r>
          </w:p>
        </w:tc>
        <w:tc>
          <w:tcPr>
            <w:tcW w:w="880" w:type="dxa"/>
            <w:vAlign w:val="bottom"/>
          </w:tcPr>
          <w:p>
            <w:pPr>
              <w:jc w:val="center"/>
              <w:spacing w:after="0"/>
              <w:rPr>
                <w:sz w:val="20"/>
                <w:szCs w:val="20"/>
                <w:color w:val="auto"/>
              </w:rPr>
            </w:pPr>
            <w:r>
              <w:rPr>
                <w:rFonts w:ascii="Arial" w:cs="Arial" w:eastAsia="Arial" w:hAnsi="Arial"/>
                <w:sz w:val="14"/>
                <w:szCs w:val="14"/>
                <w:color w:val="auto"/>
              </w:rPr>
              <w:t>​44,000</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auto"/>
              </w:rPr>
              <w:t>​​ ​</w:t>
            </w:r>
          </w:p>
        </w:tc>
        <w:tc>
          <w:tcPr>
            <w:tcW w:w="780" w:type="dxa"/>
            <w:vAlign w:val="bottom"/>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800" w:type="dxa"/>
            <w:vAlign w:val="bottom"/>
          </w:tcPr>
          <w:p>
            <w:pPr>
              <w:ind w:left="160"/>
              <w:spacing w:after="0"/>
              <w:rPr>
                <w:sz w:val="20"/>
                <w:szCs w:val="20"/>
                <w:color w:val="auto"/>
              </w:rPr>
            </w:pPr>
            <w:r>
              <w:rPr>
                <w:rFonts w:ascii="Arial" w:cs="Arial" w:eastAsia="Arial" w:hAnsi="Arial"/>
                <w:sz w:val="14"/>
                <w:szCs w:val="14"/>
                <w:color w:val="auto"/>
              </w:rPr>
              <w:t>​229,496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480" w:type="dxa"/>
            <w:vAlign w:val="bottom"/>
            <w:shd w:val="clear" w:color="auto" w:fill="F7F7F7"/>
          </w:tcPr>
          <w:p>
            <w:pPr>
              <w:ind w:left="140"/>
              <w:spacing w:after="0"/>
              <w:rPr>
                <w:sz w:val="20"/>
                <w:szCs w:val="20"/>
                <w:color w:val="auto"/>
              </w:rPr>
            </w:pPr>
            <w:r>
              <w:rPr>
                <w:rFonts w:ascii="Arial" w:cs="Arial" w:eastAsia="Arial" w:hAnsi="Arial"/>
                <w:sz w:val="14"/>
                <w:szCs w:val="14"/>
                <w:color w:val="auto"/>
              </w:rPr>
              <w:t>Nancy Gioia</w:t>
            </w:r>
          </w:p>
        </w:tc>
        <w:tc>
          <w:tcPr>
            <w:tcW w:w="1400" w:type="dxa"/>
            <w:vAlign w:val="bottom"/>
            <w:vMerge w:val="restart"/>
            <w:shd w:val="clear" w:color="auto" w:fill="F7F7F7"/>
          </w:tcPr>
          <w:p>
            <w:pPr>
              <w:ind w:left="1200"/>
              <w:spacing w:after="0"/>
              <w:rPr>
                <w:sz w:val="20"/>
                <w:szCs w:val="20"/>
                <w:color w:val="auto"/>
              </w:rPr>
            </w:pPr>
            <w:r>
              <w:rPr>
                <w:rFonts w:ascii="Arial" w:cs="Arial" w:eastAsia="Arial" w:hAnsi="Arial"/>
                <w:sz w:val="14"/>
                <w:szCs w:val="14"/>
                <w:color w:val="auto"/>
              </w:rPr>
              <w:t>​ ​</w:t>
            </w:r>
          </w:p>
        </w:tc>
        <w:tc>
          <w:tcPr>
            <w:tcW w:w="88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​40,000</w:t>
            </w:r>
          </w:p>
        </w:tc>
        <w:tc>
          <w:tcPr>
            <w:tcW w:w="2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 ​</w:t>
            </w:r>
          </w:p>
        </w:tc>
        <w:tc>
          <w:tcPr>
            <w:tcW w:w="70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F7F7F7"/>
          </w:tcPr>
          <w:p>
            <w:pPr>
              <w:ind w:left="80"/>
              <w:spacing w:after="0"/>
              <w:rPr>
                <w:sz w:val="20"/>
                <w:szCs w:val="20"/>
                <w:color w:val="auto"/>
              </w:rPr>
            </w:pPr>
            <w:r>
              <w:rPr>
                <w:rFonts w:ascii="Arial" w:cs="Arial" w:eastAsia="Arial" w:hAnsi="Arial"/>
                <w:sz w:val="14"/>
                <w:szCs w:val="14"/>
                <w:color w:val="auto"/>
              </w:rPr>
              <w:t>​​ ​</w:t>
            </w:r>
          </w:p>
        </w:tc>
        <w:tc>
          <w:tcPr>
            <w:tcW w:w="800" w:type="dxa"/>
            <w:vAlign w:val="bottom"/>
            <w:shd w:val="clear" w:color="auto" w:fill="F7F7F7"/>
          </w:tcPr>
          <w:p>
            <w:pPr>
              <w:ind w:left="160"/>
              <w:spacing w:after="0"/>
              <w:rPr>
                <w:sz w:val="20"/>
                <w:szCs w:val="20"/>
                <w:color w:val="auto"/>
              </w:rPr>
            </w:pPr>
            <w:r>
              <w:rPr>
                <w:rFonts w:ascii="Arial" w:cs="Arial" w:eastAsia="Arial" w:hAnsi="Arial"/>
                <w:sz w:val="14"/>
                <w:szCs w:val="14"/>
                <w:color w:val="auto"/>
              </w:rPr>
              <w:t>​225,496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shd w:val="clear" w:color="auto" w:fill="F7F7F7"/>
          </w:tcPr>
          <w:p>
            <w:pPr>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vMerge w:val="continue"/>
            <w:shd w:val="clear" w:color="auto" w:fill="F7F7F7"/>
          </w:tcPr>
          <w:p>
            <w:pPr>
              <w:spacing w:after="0"/>
              <w:rPr>
                <w:sz w:val="12"/>
                <w:szCs w:val="12"/>
                <w:color w:val="auto"/>
              </w:rPr>
            </w:pPr>
          </w:p>
        </w:tc>
        <w:tc>
          <w:tcPr>
            <w:tcW w:w="880" w:type="dxa"/>
            <w:vAlign w:val="bottom"/>
            <w:tcBorders>
              <w:bottom w:val="single" w:sz="8" w:color="auto"/>
            </w:tcBorders>
            <w:shd w:val="clear" w:color="auto" w:fill="F7F7F7"/>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shd w:val="clear" w:color="auto" w:fill="F7F7F7"/>
          </w:tcPr>
          <w:p>
            <w:pPr>
              <w:spacing w:after="0"/>
              <w:rPr>
                <w:sz w:val="12"/>
                <w:szCs w:val="12"/>
                <w:color w:val="auto"/>
              </w:rPr>
            </w:pPr>
          </w:p>
        </w:tc>
        <w:tc>
          <w:tcPr>
            <w:tcW w:w="760" w:type="dxa"/>
            <w:vAlign w:val="bottom"/>
            <w:tcBorders>
              <w:bottom w:val="single" w:sz="8" w:color="auto"/>
            </w:tcBorders>
            <w:shd w:val="clear" w:color="auto" w:fill="F7F7F7"/>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70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shd w:val="clear" w:color="auto" w:fill="F7F7F7"/>
          </w:tcPr>
          <w:p>
            <w:pPr>
              <w:spacing w:after="0"/>
              <w:rPr>
                <w:sz w:val="12"/>
                <w:szCs w:val="12"/>
                <w:color w:val="auto"/>
              </w:rPr>
            </w:pPr>
          </w:p>
        </w:tc>
        <w:tc>
          <w:tcPr>
            <w:tcW w:w="78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800" w:type="dxa"/>
            <w:vAlign w:val="bottom"/>
            <w:tcBorders>
              <w:bottom w:val="single" w:sz="8" w:color="auto"/>
            </w:tcBorders>
            <w:shd w:val="clear" w:color="auto" w:fill="F7F7F7"/>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480" w:type="dxa"/>
            <w:vAlign w:val="bottom"/>
          </w:tcPr>
          <w:p>
            <w:pPr>
              <w:ind w:left="140"/>
              <w:spacing w:after="0"/>
              <w:rPr>
                <w:sz w:val="20"/>
                <w:szCs w:val="20"/>
                <w:color w:val="auto"/>
              </w:rPr>
            </w:pPr>
            <w:r>
              <w:rPr>
                <w:rFonts w:ascii="Arial" w:cs="Arial" w:eastAsia="Arial" w:hAnsi="Arial"/>
                <w:sz w:val="14"/>
                <w:szCs w:val="14"/>
                <w:color w:val="auto"/>
              </w:rPr>
              <w:t>Frank Lindenberg</w:t>
            </w:r>
          </w:p>
        </w:tc>
        <w:tc>
          <w:tcPr>
            <w:tcW w:w="1400" w:type="dxa"/>
            <w:vAlign w:val="bottom"/>
            <w:vMerge w:val="restart"/>
          </w:tcPr>
          <w:p>
            <w:pPr>
              <w:ind w:left="1200"/>
              <w:spacing w:after="0"/>
              <w:rPr>
                <w:sz w:val="20"/>
                <w:szCs w:val="20"/>
                <w:color w:val="auto"/>
              </w:rPr>
            </w:pPr>
            <w:r>
              <w:rPr>
                <w:rFonts w:ascii="Arial" w:cs="Arial" w:eastAsia="Arial" w:hAnsi="Arial"/>
                <w:sz w:val="14"/>
                <w:szCs w:val="14"/>
                <w:color w:val="auto"/>
              </w:rPr>
              <w:t>​ ​</w:t>
            </w:r>
          </w:p>
        </w:tc>
        <w:tc>
          <w:tcPr>
            <w:tcW w:w="880" w:type="dxa"/>
            <w:vAlign w:val="bottom"/>
          </w:tcPr>
          <w:p>
            <w:pPr>
              <w:jc w:val="center"/>
              <w:spacing w:after="0"/>
              <w:rPr>
                <w:sz w:val="20"/>
                <w:szCs w:val="20"/>
                <w:color w:val="auto"/>
              </w:rPr>
            </w:pPr>
            <w:r>
              <w:rPr>
                <w:rFonts w:ascii="Arial" w:cs="Arial" w:eastAsia="Arial" w:hAnsi="Arial"/>
                <w:sz w:val="14"/>
                <w:szCs w:val="14"/>
                <w:color w:val="auto"/>
              </w:rPr>
              <w:t>​47,500</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auto"/>
              </w:rPr>
              <w:t>​​ ​</w:t>
            </w:r>
          </w:p>
        </w:tc>
        <w:tc>
          <w:tcPr>
            <w:tcW w:w="780" w:type="dxa"/>
            <w:vAlign w:val="bottom"/>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800" w:type="dxa"/>
            <w:vAlign w:val="bottom"/>
          </w:tcPr>
          <w:p>
            <w:pPr>
              <w:ind w:left="160"/>
              <w:spacing w:after="0"/>
              <w:rPr>
                <w:sz w:val="20"/>
                <w:szCs w:val="20"/>
                <w:color w:val="auto"/>
              </w:rPr>
            </w:pPr>
            <w:r>
              <w:rPr>
                <w:rFonts w:ascii="Arial" w:cs="Arial" w:eastAsia="Arial" w:hAnsi="Arial"/>
                <w:sz w:val="14"/>
                <w:szCs w:val="14"/>
                <w:color w:val="auto"/>
              </w:rPr>
              <w:t>​232,996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97" w:right="1239" w:bottom="1440" w:gutter="0" w:footer="0" w:header="0"/>
        </w:sectPr>
      </w:pPr>
    </w:p>
    <w:p>
      <w:pPr>
        <w:spacing w:after="0" w:line="20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61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660" w:type="dxa"/>
            <w:vAlign w:val="bottom"/>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1220" w:type="dxa"/>
            <w:vAlign w:val="bottom"/>
            <w:shd w:val="clear" w:color="auto" w:fill="000000"/>
          </w:tcPr>
          <w:p>
            <w:pPr>
              <w:ind w:left="1080"/>
              <w:spacing w:after="0"/>
              <w:rPr>
                <w:sz w:val="20"/>
                <w:szCs w:val="20"/>
                <w:color w:val="auto"/>
              </w:rPr>
            </w:pPr>
            <w:r>
              <w:rPr>
                <w:rFonts w:ascii="Arial" w:cs="Arial" w:eastAsia="Arial" w:hAnsi="Arial"/>
                <w:sz w:val="13"/>
                <w:szCs w:val="13"/>
                <w:b w:val="1"/>
                <w:bCs w:val="1"/>
                <w:color w:val="FEFEFE"/>
              </w:rPr>
              <w:t>​ ​</w:t>
            </w:r>
          </w:p>
        </w:tc>
        <w:tc>
          <w:tcPr>
            <w:tcW w:w="880" w:type="dxa"/>
            <w:vAlign w:val="bottom"/>
            <w:shd w:val="clear" w:color="auto" w:fill="000000"/>
          </w:tcPr>
          <w:p>
            <w:pPr>
              <w:spacing w:after="0"/>
              <w:rPr>
                <w:sz w:val="13"/>
                <w:szCs w:val="13"/>
                <w:color w:val="auto"/>
              </w:rPr>
            </w:pPr>
          </w:p>
        </w:tc>
        <w:tc>
          <w:tcPr>
            <w:tcW w:w="26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 ​</w:t>
            </w:r>
          </w:p>
        </w:tc>
        <w:tc>
          <w:tcPr>
            <w:tcW w:w="760" w:type="dxa"/>
            <w:vAlign w:val="bottom"/>
            <w:shd w:val="clear" w:color="auto" w:fill="000000"/>
          </w:tcPr>
          <w:p>
            <w:pPr>
              <w:spacing w:after="0"/>
              <w:rPr>
                <w:sz w:val="13"/>
                <w:szCs w:val="13"/>
                <w:color w:val="auto"/>
              </w:rPr>
            </w:pPr>
          </w:p>
        </w:tc>
        <w:tc>
          <w:tcPr>
            <w:tcW w:w="30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EFEFE"/>
              </w:rPr>
              <w:t>​ ​</w:t>
            </w:r>
          </w:p>
        </w:tc>
        <w:tc>
          <w:tcPr>
            <w:tcW w:w="700" w:type="dxa"/>
            <w:vAlign w:val="bottom"/>
            <w:shd w:val="clear" w:color="auto" w:fill="000000"/>
          </w:tcPr>
          <w:p>
            <w:pPr>
              <w:spacing w:after="0"/>
              <w:rPr>
                <w:sz w:val="13"/>
                <w:szCs w:val="13"/>
                <w:color w:val="auto"/>
              </w:rPr>
            </w:pPr>
          </w:p>
        </w:tc>
        <w:tc>
          <w:tcPr>
            <w:tcW w:w="420" w:type="dxa"/>
            <w:vAlign w:val="bottom"/>
            <w:shd w:val="clear" w:color="auto" w:fill="000000"/>
          </w:tcPr>
          <w:p>
            <w:pPr>
              <w:ind w:left="260"/>
              <w:spacing w:after="0"/>
              <w:rPr>
                <w:sz w:val="20"/>
                <w:szCs w:val="20"/>
                <w:color w:val="auto"/>
              </w:rPr>
            </w:pPr>
            <w:r>
              <w:rPr>
                <w:rFonts w:ascii="Arial" w:cs="Arial" w:eastAsia="Arial" w:hAnsi="Arial"/>
                <w:sz w:val="13"/>
                <w:szCs w:val="13"/>
                <w:b w:val="1"/>
                <w:bCs w:val="1"/>
                <w:color w:val="FEFEFE"/>
              </w:rPr>
              <w:t>​ ​</w:t>
            </w:r>
          </w:p>
        </w:tc>
        <w:tc>
          <w:tcPr>
            <w:tcW w:w="780" w:type="dxa"/>
            <w:vAlign w:val="bottom"/>
            <w:vMerge w:val="restart"/>
            <w:shd w:val="clear" w:color="auto" w:fill="000000"/>
          </w:tcPr>
          <w:p>
            <w:pPr>
              <w:jc w:val="center"/>
              <w:ind w:left="31"/>
              <w:spacing w:after="0"/>
              <w:rPr>
                <w:sz w:val="20"/>
                <w:szCs w:val="20"/>
                <w:color w:val="auto"/>
              </w:rPr>
            </w:pPr>
            <w:r>
              <w:rPr>
                <w:rFonts w:ascii="Arial" w:cs="Arial" w:eastAsia="Arial" w:hAnsi="Arial"/>
                <w:sz w:val="13"/>
                <w:szCs w:val="13"/>
                <w:b w:val="1"/>
                <w:bCs w:val="1"/>
                <w:color w:val="FEFEFE"/>
                <w:w w:val="94"/>
              </w:rPr>
              <w:t>All Other</w:t>
            </w:r>
          </w:p>
        </w:tc>
        <w:tc>
          <w:tcPr>
            <w:tcW w:w="300" w:type="dxa"/>
            <w:vAlign w:val="bottom"/>
            <w:shd w:val="clear" w:color="auto" w:fill="000000"/>
          </w:tcPr>
          <w:p>
            <w:pPr>
              <w:ind w:left="160"/>
              <w:spacing w:after="0"/>
              <w:rPr>
                <w:sz w:val="20"/>
                <w:szCs w:val="20"/>
                <w:color w:val="auto"/>
              </w:rPr>
            </w:pPr>
            <w:r>
              <w:rPr>
                <w:rFonts w:ascii="Arial" w:cs="Arial" w:eastAsia="Arial" w:hAnsi="Arial"/>
                <w:sz w:val="13"/>
                <w:szCs w:val="13"/>
                <w:b w:val="1"/>
                <w:bCs w:val="1"/>
                <w:color w:val="FEFEFE"/>
              </w:rPr>
              <w:t>​ ​</w:t>
            </w:r>
          </w:p>
        </w:tc>
        <w:tc>
          <w:tcPr>
            <w:tcW w:w="800" w:type="dxa"/>
            <w:vAlign w:val="bottom"/>
            <w:vMerge w:val="restart"/>
            <w:shd w:val="clear" w:color="auto" w:fill="000000"/>
          </w:tcPr>
          <w:p>
            <w:pPr>
              <w:jc w:val="center"/>
              <w:ind w:left="31"/>
              <w:spacing w:after="0"/>
              <w:rPr>
                <w:sz w:val="20"/>
                <w:szCs w:val="20"/>
                <w:color w:val="auto"/>
              </w:rPr>
            </w:pPr>
            <w:r>
              <w:rPr>
                <w:rFonts w:ascii="Arial" w:cs="Arial" w:eastAsia="Arial" w:hAnsi="Arial"/>
                <w:sz w:val="13"/>
                <w:szCs w:val="13"/>
                <w:b w:val="1"/>
                <w:bCs w:val="1"/>
                <w:color w:val="FEFEFE"/>
                <w:w w:val="96"/>
              </w:rPr>
              <w:t>Total</w:t>
            </w:r>
          </w:p>
        </w:tc>
        <w:tc>
          <w:tcPr>
            <w:tcW w:w="300" w:type="dxa"/>
            <w:vAlign w:val="bottom"/>
            <w:shd w:val="clear" w:color="auto" w:fill="000000"/>
          </w:tcPr>
          <w:p>
            <w:pPr>
              <w:ind w:left="2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2660" w:type="dxa"/>
            <w:vAlign w:val="bottom"/>
            <w:shd w:val="clear" w:color="auto" w:fill="000000"/>
          </w:tcPr>
          <w:p>
            <w:pPr>
              <w:ind w:left="140"/>
              <w:spacing w:after="0" w:line="135" w:lineRule="exact"/>
              <w:rPr>
                <w:sz w:val="20"/>
                <w:szCs w:val="20"/>
                <w:color w:val="auto"/>
              </w:rPr>
            </w:pPr>
            <w:r>
              <w:rPr>
                <w:rFonts w:ascii="Arial" w:cs="Arial" w:eastAsia="Arial" w:hAnsi="Arial"/>
                <w:sz w:val="13"/>
                <w:szCs w:val="13"/>
                <w:b w:val="1"/>
                <w:bCs w:val="1"/>
                <w:color w:val="FEFEFE"/>
              </w:rPr>
              <w:t>Name</w:t>
            </w:r>
          </w:p>
        </w:tc>
        <w:tc>
          <w:tcPr>
            <w:tcW w:w="1220" w:type="dxa"/>
            <w:vAlign w:val="bottom"/>
            <w:shd w:val="clear" w:color="auto" w:fill="000000"/>
          </w:tcPr>
          <w:p>
            <w:pPr>
              <w:spacing w:after="0"/>
              <w:rPr>
                <w:sz w:val="11"/>
                <w:szCs w:val="11"/>
                <w:color w:val="auto"/>
              </w:rPr>
            </w:pPr>
          </w:p>
        </w:tc>
        <w:tc>
          <w:tcPr>
            <w:tcW w:w="1140" w:type="dxa"/>
            <w:vAlign w:val="bottom"/>
            <w:gridSpan w:val="2"/>
            <w:shd w:val="clear" w:color="auto" w:fill="000000"/>
          </w:tcPr>
          <w:p>
            <w:pPr>
              <w:jc w:val="center"/>
              <w:ind w:right="130"/>
              <w:spacing w:after="0" w:line="135" w:lineRule="exact"/>
              <w:rPr>
                <w:sz w:val="20"/>
                <w:szCs w:val="20"/>
                <w:color w:val="auto"/>
              </w:rPr>
            </w:pPr>
            <w:r>
              <w:rPr>
                <w:rFonts w:ascii="Arial" w:cs="Arial" w:eastAsia="Arial" w:hAnsi="Arial"/>
                <w:sz w:val="13"/>
                <w:szCs w:val="13"/>
                <w:b w:val="1"/>
                <w:bCs w:val="1"/>
                <w:color w:val="FEFEFE"/>
                <w:w w:val="95"/>
              </w:rPr>
              <w:t>Fees Earned or</w:t>
            </w:r>
          </w:p>
        </w:tc>
        <w:tc>
          <w:tcPr>
            <w:tcW w:w="1060" w:type="dxa"/>
            <w:vAlign w:val="bottom"/>
            <w:gridSpan w:val="2"/>
            <w:shd w:val="clear" w:color="auto" w:fill="000000"/>
          </w:tcPr>
          <w:p>
            <w:pPr>
              <w:ind w:left="20"/>
              <w:spacing w:after="0" w:line="135" w:lineRule="exact"/>
              <w:rPr>
                <w:sz w:val="20"/>
                <w:szCs w:val="20"/>
                <w:color w:val="auto"/>
              </w:rPr>
            </w:pPr>
            <w:r>
              <w:rPr>
                <w:rFonts w:ascii="Arial" w:cs="Arial" w:eastAsia="Arial" w:hAnsi="Arial"/>
                <w:sz w:val="13"/>
                <w:szCs w:val="13"/>
                <w:b w:val="1"/>
                <w:bCs w:val="1"/>
                <w:color w:val="FEFEFE"/>
              </w:rPr>
              <w:t>Stock Awards</w:t>
            </w:r>
          </w:p>
        </w:tc>
        <w:tc>
          <w:tcPr>
            <w:tcW w:w="1120" w:type="dxa"/>
            <w:vAlign w:val="bottom"/>
            <w:gridSpan w:val="2"/>
            <w:shd w:val="clear" w:color="auto" w:fill="000000"/>
          </w:tcPr>
          <w:p>
            <w:pPr>
              <w:spacing w:after="0" w:line="135" w:lineRule="exact"/>
              <w:rPr>
                <w:sz w:val="20"/>
                <w:szCs w:val="20"/>
                <w:color w:val="auto"/>
              </w:rPr>
            </w:pPr>
            <w:r>
              <w:rPr>
                <w:rFonts w:ascii="Arial" w:cs="Arial" w:eastAsia="Arial" w:hAnsi="Arial"/>
                <w:sz w:val="13"/>
                <w:szCs w:val="13"/>
                <w:b w:val="1"/>
                <w:bCs w:val="1"/>
                <w:color w:val="FEFEFE"/>
              </w:rPr>
              <w:t>Option Awards</w:t>
            </w:r>
          </w:p>
        </w:tc>
        <w:tc>
          <w:tcPr>
            <w:tcW w:w="780" w:type="dxa"/>
            <w:vAlign w:val="bottom"/>
            <w:vMerge w:val="continue"/>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800" w:type="dxa"/>
            <w:vAlign w:val="bottom"/>
            <w:vMerge w:val="continue"/>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shd w:val="clear" w:color="auto" w:fill="000000"/>
          </w:tcPr>
          <w:p>
            <w:pPr>
              <w:spacing w:after="0"/>
              <w:rPr>
                <w:sz w:val="12"/>
                <w:szCs w:val="12"/>
                <w:color w:val="auto"/>
              </w:rPr>
            </w:pPr>
          </w:p>
        </w:tc>
        <w:tc>
          <w:tcPr>
            <w:tcW w:w="1220" w:type="dxa"/>
            <w:vAlign w:val="bottom"/>
            <w:shd w:val="clear" w:color="auto" w:fill="000000"/>
          </w:tcPr>
          <w:p>
            <w:pPr>
              <w:spacing w:after="0"/>
              <w:rPr>
                <w:sz w:val="12"/>
                <w:szCs w:val="12"/>
                <w:color w:val="auto"/>
              </w:rPr>
            </w:pPr>
          </w:p>
        </w:tc>
        <w:tc>
          <w:tcPr>
            <w:tcW w:w="880" w:type="dxa"/>
            <w:vAlign w:val="bottom"/>
            <w:shd w:val="clear" w:color="auto" w:fill="000000"/>
          </w:tcPr>
          <w:p>
            <w:pPr>
              <w:jc w:val="center"/>
              <w:ind w:left="11"/>
              <w:spacing w:after="0"/>
              <w:rPr>
                <w:sz w:val="20"/>
                <w:szCs w:val="20"/>
                <w:color w:val="auto"/>
              </w:rPr>
            </w:pPr>
            <w:r>
              <w:rPr>
                <w:rFonts w:ascii="Arial" w:cs="Arial" w:eastAsia="Arial" w:hAnsi="Arial"/>
                <w:sz w:val="13"/>
                <w:szCs w:val="13"/>
                <w:b w:val="1"/>
                <w:bCs w:val="1"/>
                <w:color w:val="FEFEFE"/>
                <w:w w:val="97"/>
              </w:rPr>
              <w:t>Paid in Cash</w:t>
            </w:r>
          </w:p>
        </w:tc>
        <w:tc>
          <w:tcPr>
            <w:tcW w:w="260" w:type="dxa"/>
            <w:vAlign w:val="bottom"/>
            <w:shd w:val="clear" w:color="auto" w:fill="000000"/>
          </w:tcPr>
          <w:p>
            <w:pPr>
              <w:spacing w:after="0"/>
              <w:rPr>
                <w:sz w:val="12"/>
                <w:szCs w:val="12"/>
                <w:color w:val="auto"/>
              </w:rPr>
            </w:pPr>
          </w:p>
        </w:tc>
        <w:tc>
          <w:tcPr>
            <w:tcW w:w="760" w:type="dxa"/>
            <w:vAlign w:val="bottom"/>
            <w:shd w:val="clear" w:color="auto" w:fill="000000"/>
          </w:tcPr>
          <w:p>
            <w:pPr>
              <w:ind w:left="300"/>
              <w:spacing w:after="0" w:line="148" w:lineRule="exact"/>
              <w:rPr>
                <w:sz w:val="20"/>
                <w:szCs w:val="20"/>
                <w:color w:val="auto"/>
              </w:rPr>
            </w:pPr>
            <w:r>
              <w:rPr>
                <w:rFonts w:ascii="Arial" w:cs="Arial" w:eastAsia="Arial" w:hAnsi="Arial"/>
                <w:sz w:val="13"/>
                <w:szCs w:val="13"/>
                <w:b w:val="1"/>
                <w:bCs w:val="1"/>
                <w:color w:val="FEFEFE"/>
              </w:rPr>
              <w:t>($)</w:t>
            </w:r>
            <w:r>
              <w:rPr>
                <w:rFonts w:ascii="Arial" w:cs="Arial" w:eastAsia="Arial" w:hAnsi="Arial"/>
                <w:sz w:val="16"/>
                <w:szCs w:val="16"/>
                <w:b w:val="1"/>
                <w:bCs w:val="1"/>
                <w:color w:val="FEFEFE"/>
                <w:vertAlign w:val="superscript"/>
              </w:rPr>
              <w:t>(1)</w:t>
            </w:r>
          </w:p>
        </w:tc>
        <w:tc>
          <w:tcPr>
            <w:tcW w:w="300" w:type="dxa"/>
            <w:vAlign w:val="bottom"/>
            <w:shd w:val="clear" w:color="auto" w:fill="000000"/>
          </w:tcPr>
          <w:p>
            <w:pPr>
              <w:spacing w:after="0"/>
              <w:rPr>
                <w:sz w:val="12"/>
                <w:szCs w:val="12"/>
                <w:color w:val="auto"/>
              </w:rPr>
            </w:pPr>
          </w:p>
        </w:tc>
        <w:tc>
          <w:tcPr>
            <w:tcW w:w="700" w:type="dxa"/>
            <w:vAlign w:val="bottom"/>
            <w:shd w:val="clear" w:color="auto" w:fill="000000"/>
          </w:tcPr>
          <w:p>
            <w:pPr>
              <w:ind w:left="380"/>
              <w:spacing w:after="0"/>
              <w:rPr>
                <w:sz w:val="20"/>
                <w:szCs w:val="20"/>
                <w:color w:val="auto"/>
              </w:rPr>
            </w:pPr>
            <w:r>
              <w:rPr>
                <w:rFonts w:ascii="Arial" w:cs="Arial" w:eastAsia="Arial" w:hAnsi="Arial"/>
                <w:sz w:val="13"/>
                <w:szCs w:val="13"/>
                <w:b w:val="1"/>
                <w:bCs w:val="1"/>
                <w:color w:val="FEFEFE"/>
              </w:rPr>
              <w:t>($)</w:t>
            </w:r>
          </w:p>
        </w:tc>
        <w:tc>
          <w:tcPr>
            <w:tcW w:w="420" w:type="dxa"/>
            <w:vAlign w:val="bottom"/>
            <w:shd w:val="clear" w:color="auto" w:fill="000000"/>
          </w:tcPr>
          <w:p>
            <w:pPr>
              <w:spacing w:after="0"/>
              <w:rPr>
                <w:sz w:val="12"/>
                <w:szCs w:val="12"/>
                <w:color w:val="auto"/>
              </w:rPr>
            </w:pPr>
          </w:p>
        </w:tc>
        <w:tc>
          <w:tcPr>
            <w:tcW w:w="1080" w:type="dxa"/>
            <w:vAlign w:val="bottom"/>
            <w:gridSpan w:val="2"/>
            <w:shd w:val="clear" w:color="auto" w:fill="000000"/>
          </w:tcPr>
          <w:p>
            <w:pPr>
              <w:jc w:val="center"/>
              <w:ind w:right="130"/>
              <w:spacing w:after="0"/>
              <w:rPr>
                <w:sz w:val="20"/>
                <w:szCs w:val="20"/>
                <w:color w:val="auto"/>
              </w:rPr>
            </w:pPr>
            <w:r>
              <w:rPr>
                <w:rFonts w:ascii="Arial" w:cs="Arial" w:eastAsia="Arial" w:hAnsi="Arial"/>
                <w:sz w:val="13"/>
                <w:szCs w:val="13"/>
                <w:b w:val="1"/>
                <w:bCs w:val="1"/>
                <w:color w:val="FEFEFE"/>
                <w:w w:val="97"/>
              </w:rPr>
              <w:t>Compensation</w:t>
            </w:r>
          </w:p>
        </w:tc>
        <w:tc>
          <w:tcPr>
            <w:tcW w:w="1100" w:type="dxa"/>
            <w:vAlign w:val="bottom"/>
            <w:gridSpan w:val="2"/>
            <w:shd w:val="clear" w:color="auto" w:fill="000000"/>
          </w:tcPr>
          <w:p>
            <w:pPr>
              <w:jc w:val="center"/>
              <w:ind w:right="110"/>
              <w:spacing w:after="0"/>
              <w:rPr>
                <w:sz w:val="20"/>
                <w:szCs w:val="20"/>
                <w:color w:val="auto"/>
              </w:rPr>
            </w:pPr>
            <w:r>
              <w:rPr>
                <w:rFonts w:ascii="Arial" w:cs="Arial" w:eastAsia="Arial" w:hAnsi="Arial"/>
                <w:sz w:val="13"/>
                <w:szCs w:val="13"/>
                <w:b w:val="1"/>
                <w:bCs w:val="1"/>
                <w:color w:val="FEFEFE"/>
                <w:w w:val="97"/>
              </w:rPr>
              <w:t>Compensation</w:t>
            </w:r>
          </w:p>
        </w:tc>
        <w:tc>
          <w:tcPr>
            <w:tcW w:w="0" w:type="dxa"/>
            <w:vAlign w:val="bottom"/>
          </w:tcPr>
          <w:p>
            <w:pPr>
              <w:spacing w:after="0"/>
              <w:rPr>
                <w:sz w:val="1"/>
                <w:szCs w:val="1"/>
                <w:color w:val="auto"/>
              </w:rPr>
            </w:pPr>
          </w:p>
        </w:tc>
      </w:tr>
      <w:tr>
        <w:trPr>
          <w:trHeight w:val="172"/>
        </w:trPr>
        <w:tc>
          <w:tcPr>
            <w:tcW w:w="2660" w:type="dxa"/>
            <w:vAlign w:val="bottom"/>
            <w:shd w:val="clear" w:color="auto" w:fill="000000"/>
          </w:tcPr>
          <w:p>
            <w:pPr>
              <w:spacing w:after="0"/>
              <w:rPr>
                <w:sz w:val="14"/>
                <w:szCs w:val="14"/>
                <w:color w:val="auto"/>
              </w:rPr>
            </w:pPr>
          </w:p>
        </w:tc>
        <w:tc>
          <w:tcPr>
            <w:tcW w:w="1220" w:type="dxa"/>
            <w:vAlign w:val="bottom"/>
            <w:shd w:val="clear" w:color="auto" w:fill="000000"/>
          </w:tcPr>
          <w:p>
            <w:pPr>
              <w:spacing w:after="0"/>
              <w:rPr>
                <w:sz w:val="14"/>
                <w:szCs w:val="14"/>
                <w:color w:val="auto"/>
              </w:rPr>
            </w:pPr>
          </w:p>
        </w:tc>
        <w:tc>
          <w:tcPr>
            <w:tcW w:w="880" w:type="dxa"/>
            <w:vAlign w:val="bottom"/>
            <w:shd w:val="clear" w:color="auto" w:fill="000000"/>
          </w:tcPr>
          <w:p>
            <w:pPr>
              <w:jc w:val="center"/>
              <w:ind w:left="11"/>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spacing w:after="0"/>
              <w:rPr>
                <w:sz w:val="14"/>
                <w:szCs w:val="14"/>
                <w:color w:val="auto"/>
              </w:rPr>
            </w:pPr>
          </w:p>
        </w:tc>
        <w:tc>
          <w:tcPr>
            <w:tcW w:w="760" w:type="dxa"/>
            <w:vAlign w:val="bottom"/>
            <w:shd w:val="clear" w:color="auto" w:fill="000000"/>
          </w:tcPr>
          <w:p>
            <w:pPr>
              <w:spacing w:after="0"/>
              <w:rPr>
                <w:sz w:val="14"/>
                <w:szCs w:val="14"/>
                <w:color w:val="auto"/>
              </w:rPr>
            </w:pPr>
          </w:p>
        </w:tc>
        <w:tc>
          <w:tcPr>
            <w:tcW w:w="300" w:type="dxa"/>
            <w:vAlign w:val="bottom"/>
            <w:shd w:val="clear" w:color="auto" w:fill="000000"/>
          </w:tcPr>
          <w:p>
            <w:pPr>
              <w:spacing w:after="0"/>
              <w:rPr>
                <w:sz w:val="14"/>
                <w:szCs w:val="14"/>
                <w:color w:val="auto"/>
              </w:rPr>
            </w:pPr>
          </w:p>
        </w:tc>
        <w:tc>
          <w:tcPr>
            <w:tcW w:w="700" w:type="dxa"/>
            <w:vAlign w:val="bottom"/>
            <w:shd w:val="clear" w:color="auto" w:fill="000000"/>
          </w:tcPr>
          <w:p>
            <w:pPr>
              <w:spacing w:after="0"/>
              <w:rPr>
                <w:sz w:val="14"/>
                <w:szCs w:val="14"/>
                <w:color w:val="auto"/>
              </w:rPr>
            </w:pPr>
          </w:p>
        </w:tc>
        <w:tc>
          <w:tcPr>
            <w:tcW w:w="420" w:type="dxa"/>
            <w:vAlign w:val="bottom"/>
            <w:shd w:val="clear" w:color="auto" w:fill="000000"/>
          </w:tcPr>
          <w:p>
            <w:pPr>
              <w:spacing w:after="0"/>
              <w:rPr>
                <w:sz w:val="14"/>
                <w:szCs w:val="14"/>
                <w:color w:val="auto"/>
              </w:rPr>
            </w:pPr>
          </w:p>
        </w:tc>
        <w:tc>
          <w:tcPr>
            <w:tcW w:w="780" w:type="dxa"/>
            <w:vAlign w:val="bottom"/>
            <w:shd w:val="clear" w:color="auto" w:fill="000000"/>
          </w:tcPr>
          <w:p>
            <w:pPr>
              <w:jc w:val="center"/>
              <w:ind w:left="31"/>
              <w:spacing w:after="0"/>
              <w:rPr>
                <w:sz w:val="20"/>
                <w:szCs w:val="20"/>
                <w:color w:val="auto"/>
              </w:rPr>
            </w:pPr>
            <w:r>
              <w:rPr>
                <w:rFonts w:ascii="Arial" w:cs="Arial" w:eastAsia="Arial" w:hAnsi="Arial"/>
                <w:sz w:val="13"/>
                <w:szCs w:val="13"/>
                <w:b w:val="1"/>
                <w:bCs w:val="1"/>
                <w:color w:val="FEFEFE"/>
              </w:rPr>
              <w:t>($)</w:t>
            </w:r>
          </w:p>
        </w:tc>
        <w:tc>
          <w:tcPr>
            <w:tcW w:w="300" w:type="dxa"/>
            <w:vAlign w:val="bottom"/>
            <w:shd w:val="clear" w:color="auto" w:fill="000000"/>
          </w:tcPr>
          <w:p>
            <w:pPr>
              <w:spacing w:after="0"/>
              <w:rPr>
                <w:sz w:val="14"/>
                <w:szCs w:val="14"/>
                <w:color w:val="auto"/>
              </w:rPr>
            </w:pPr>
          </w:p>
        </w:tc>
        <w:tc>
          <w:tcPr>
            <w:tcW w:w="800" w:type="dxa"/>
            <w:vAlign w:val="bottom"/>
            <w:shd w:val="clear" w:color="auto" w:fill="000000"/>
          </w:tcPr>
          <w:p>
            <w:pPr>
              <w:jc w:val="center"/>
              <w:ind w:left="51"/>
              <w:spacing w:after="0"/>
              <w:rPr>
                <w:sz w:val="20"/>
                <w:szCs w:val="20"/>
                <w:color w:val="auto"/>
              </w:rPr>
            </w:pPr>
            <w:r>
              <w:rPr>
                <w:rFonts w:ascii="Arial" w:cs="Arial" w:eastAsia="Arial" w:hAnsi="Arial"/>
                <w:sz w:val="13"/>
                <w:szCs w:val="13"/>
                <w:b w:val="1"/>
                <w:bCs w:val="1"/>
                <w:color w:val="FEFEFE"/>
              </w:rPr>
              <w:t>($)</w:t>
            </w:r>
          </w:p>
        </w:tc>
        <w:tc>
          <w:tcPr>
            <w:tcW w:w="3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60" w:type="dxa"/>
            <w:vAlign w:val="bottom"/>
            <w:shd w:val="clear" w:color="auto" w:fill="000000"/>
          </w:tcPr>
          <w:p>
            <w:pPr>
              <w:spacing w:after="0"/>
              <w:rPr>
                <w:sz w:val="11"/>
                <w:szCs w:val="11"/>
                <w:color w:val="auto"/>
              </w:rPr>
            </w:pPr>
          </w:p>
        </w:tc>
        <w:tc>
          <w:tcPr>
            <w:tcW w:w="1220" w:type="dxa"/>
            <w:vAlign w:val="bottom"/>
            <w:shd w:val="clear" w:color="auto" w:fill="000000"/>
          </w:tcPr>
          <w:p>
            <w:pPr>
              <w:spacing w:after="0"/>
              <w:rPr>
                <w:sz w:val="11"/>
                <w:szCs w:val="11"/>
                <w:color w:val="auto"/>
              </w:rPr>
            </w:pPr>
          </w:p>
        </w:tc>
        <w:tc>
          <w:tcPr>
            <w:tcW w:w="88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76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78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6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Nichelle Maynard-Elliott</w:t>
            </w:r>
          </w:p>
        </w:tc>
        <w:tc>
          <w:tcPr>
            <w:tcW w:w="1220" w:type="dxa"/>
            <w:vAlign w:val="bottom"/>
            <w:vMerge w:val="restart"/>
            <w:shd w:val="clear" w:color="auto" w:fill="F7F7F7"/>
          </w:tcPr>
          <w:p>
            <w:pPr>
              <w:ind w:left="1020"/>
              <w:spacing w:after="0"/>
              <w:rPr>
                <w:sz w:val="20"/>
                <w:szCs w:val="20"/>
                <w:color w:val="auto"/>
              </w:rPr>
            </w:pPr>
            <w:r>
              <w:rPr>
                <w:rFonts w:ascii="Arial" w:cs="Arial" w:eastAsia="Arial" w:hAnsi="Arial"/>
                <w:sz w:val="14"/>
                <w:szCs w:val="14"/>
                <w:color w:val="auto"/>
              </w:rPr>
              <w:t>​ ​</w:t>
            </w:r>
          </w:p>
        </w:tc>
        <w:tc>
          <w:tcPr>
            <w:tcW w:w="88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​34,000</w:t>
            </w:r>
          </w:p>
        </w:tc>
        <w:tc>
          <w:tcPr>
            <w:tcW w:w="2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 ​</w:t>
            </w:r>
          </w:p>
        </w:tc>
        <w:tc>
          <w:tcPr>
            <w:tcW w:w="70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F7F7F7"/>
          </w:tcPr>
          <w:p>
            <w:pPr>
              <w:ind w:left="80"/>
              <w:spacing w:after="0"/>
              <w:rPr>
                <w:sz w:val="20"/>
                <w:szCs w:val="20"/>
                <w:color w:val="auto"/>
              </w:rPr>
            </w:pPr>
            <w:r>
              <w:rPr>
                <w:rFonts w:ascii="Arial" w:cs="Arial" w:eastAsia="Arial" w:hAnsi="Arial"/>
                <w:sz w:val="14"/>
                <w:szCs w:val="14"/>
                <w:color w:val="auto"/>
              </w:rPr>
              <w:t>​​ ​</w:t>
            </w:r>
          </w:p>
        </w:tc>
        <w:tc>
          <w:tcPr>
            <w:tcW w:w="800" w:type="dxa"/>
            <w:vAlign w:val="bottom"/>
            <w:shd w:val="clear" w:color="auto" w:fill="F7F7F7"/>
          </w:tcPr>
          <w:p>
            <w:pPr>
              <w:ind w:left="160"/>
              <w:spacing w:after="0"/>
              <w:rPr>
                <w:sz w:val="20"/>
                <w:szCs w:val="20"/>
                <w:color w:val="auto"/>
              </w:rPr>
            </w:pPr>
            <w:r>
              <w:rPr>
                <w:rFonts w:ascii="Arial" w:cs="Arial" w:eastAsia="Arial" w:hAnsi="Arial"/>
                <w:sz w:val="14"/>
                <w:szCs w:val="14"/>
                <w:color w:val="auto"/>
              </w:rPr>
              <w:t>​219,496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F7F7F7"/>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vMerge w:val="continue"/>
            <w:shd w:val="clear" w:color="auto" w:fill="F7F7F7"/>
          </w:tcPr>
          <w:p>
            <w:pPr>
              <w:spacing w:after="0"/>
              <w:rPr>
                <w:sz w:val="12"/>
                <w:szCs w:val="12"/>
                <w:color w:val="auto"/>
              </w:rPr>
            </w:pPr>
          </w:p>
        </w:tc>
        <w:tc>
          <w:tcPr>
            <w:tcW w:w="880" w:type="dxa"/>
            <w:vAlign w:val="bottom"/>
            <w:tcBorders>
              <w:bottom w:val="single" w:sz="8" w:color="auto"/>
            </w:tcBorders>
            <w:shd w:val="clear" w:color="auto" w:fill="F7F7F7"/>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shd w:val="clear" w:color="auto" w:fill="F7F7F7"/>
          </w:tcPr>
          <w:p>
            <w:pPr>
              <w:spacing w:after="0"/>
              <w:rPr>
                <w:sz w:val="12"/>
                <w:szCs w:val="12"/>
                <w:color w:val="auto"/>
              </w:rPr>
            </w:pPr>
          </w:p>
        </w:tc>
        <w:tc>
          <w:tcPr>
            <w:tcW w:w="760" w:type="dxa"/>
            <w:vAlign w:val="bottom"/>
            <w:tcBorders>
              <w:bottom w:val="single" w:sz="8" w:color="auto"/>
            </w:tcBorders>
            <w:shd w:val="clear" w:color="auto" w:fill="F7F7F7"/>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70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shd w:val="clear" w:color="auto" w:fill="F7F7F7"/>
          </w:tcPr>
          <w:p>
            <w:pPr>
              <w:spacing w:after="0"/>
              <w:rPr>
                <w:sz w:val="12"/>
                <w:szCs w:val="12"/>
                <w:color w:val="auto"/>
              </w:rPr>
            </w:pPr>
          </w:p>
        </w:tc>
        <w:tc>
          <w:tcPr>
            <w:tcW w:w="78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800" w:type="dxa"/>
            <w:vAlign w:val="bottom"/>
            <w:tcBorders>
              <w:bottom w:val="single" w:sz="8" w:color="auto"/>
            </w:tcBorders>
            <w:shd w:val="clear" w:color="auto" w:fill="F7F7F7"/>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660" w:type="dxa"/>
            <w:vAlign w:val="bottom"/>
          </w:tcPr>
          <w:p>
            <w:pPr>
              <w:ind w:left="140"/>
              <w:spacing w:after="0"/>
              <w:rPr>
                <w:sz w:val="20"/>
                <w:szCs w:val="20"/>
                <w:color w:val="auto"/>
              </w:rPr>
            </w:pPr>
            <w:r>
              <w:rPr>
                <w:rFonts w:ascii="Arial" w:cs="Arial" w:eastAsia="Arial" w:hAnsi="Arial"/>
                <w:sz w:val="14"/>
                <w:szCs w:val="14"/>
                <w:color w:val="auto"/>
              </w:rPr>
              <w:t>Tony Posawatz</w:t>
            </w:r>
          </w:p>
        </w:tc>
        <w:tc>
          <w:tcPr>
            <w:tcW w:w="1220" w:type="dxa"/>
            <w:vAlign w:val="bottom"/>
            <w:vMerge w:val="restart"/>
          </w:tcPr>
          <w:p>
            <w:pPr>
              <w:ind w:left="1020"/>
              <w:spacing w:after="0"/>
              <w:rPr>
                <w:sz w:val="20"/>
                <w:szCs w:val="20"/>
                <w:color w:val="auto"/>
              </w:rPr>
            </w:pPr>
            <w:r>
              <w:rPr>
                <w:rFonts w:ascii="Arial" w:cs="Arial" w:eastAsia="Arial" w:hAnsi="Arial"/>
                <w:sz w:val="14"/>
                <w:szCs w:val="14"/>
                <w:color w:val="auto"/>
              </w:rPr>
              <w:t>​ ​</w:t>
            </w:r>
          </w:p>
        </w:tc>
        <w:tc>
          <w:tcPr>
            <w:tcW w:w="880" w:type="dxa"/>
            <w:vAlign w:val="bottom"/>
          </w:tcPr>
          <w:p>
            <w:pPr>
              <w:jc w:val="center"/>
              <w:spacing w:after="0"/>
              <w:rPr>
                <w:sz w:val="20"/>
                <w:szCs w:val="20"/>
                <w:color w:val="auto"/>
              </w:rPr>
            </w:pPr>
            <w:r>
              <w:rPr>
                <w:rFonts w:ascii="Arial" w:cs="Arial" w:eastAsia="Arial" w:hAnsi="Arial"/>
                <w:sz w:val="14"/>
                <w:szCs w:val="14"/>
                <w:color w:val="auto"/>
              </w:rPr>
              <w:t>​47,500</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760" w:type="dxa"/>
            <w:vAlign w:val="bottom"/>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700" w:type="dxa"/>
            <w:vAlign w:val="bottom"/>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ind w:left="180"/>
              <w:spacing w:after="0"/>
              <w:rPr>
                <w:sz w:val="20"/>
                <w:szCs w:val="20"/>
                <w:color w:val="auto"/>
              </w:rPr>
            </w:pPr>
            <w:r>
              <w:rPr>
                <w:rFonts w:ascii="Arial" w:cs="Arial" w:eastAsia="Arial" w:hAnsi="Arial"/>
                <w:sz w:val="14"/>
                <w:szCs w:val="14"/>
                <w:color w:val="auto"/>
              </w:rPr>
              <w:t>​​ ​</w:t>
            </w:r>
          </w:p>
        </w:tc>
        <w:tc>
          <w:tcPr>
            <w:tcW w:w="780" w:type="dxa"/>
            <w:vAlign w:val="bottom"/>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800" w:type="dxa"/>
            <w:vAlign w:val="bottom"/>
          </w:tcPr>
          <w:p>
            <w:pPr>
              <w:ind w:left="160"/>
              <w:spacing w:after="0"/>
              <w:rPr>
                <w:sz w:val="20"/>
                <w:szCs w:val="20"/>
                <w:color w:val="auto"/>
              </w:rPr>
            </w:pPr>
            <w:r>
              <w:rPr>
                <w:rFonts w:ascii="Arial" w:cs="Arial" w:eastAsia="Arial" w:hAnsi="Arial"/>
                <w:sz w:val="14"/>
                <w:szCs w:val="14"/>
                <w:color w:val="auto"/>
              </w:rPr>
              <w:t>​232,996</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6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Janet S. Wong</w:t>
            </w:r>
          </w:p>
        </w:tc>
        <w:tc>
          <w:tcPr>
            <w:tcW w:w="1220" w:type="dxa"/>
            <w:vAlign w:val="bottom"/>
            <w:vMerge w:val="restart"/>
            <w:shd w:val="clear" w:color="auto" w:fill="F7F7F7"/>
          </w:tcPr>
          <w:p>
            <w:pPr>
              <w:ind w:left="1020"/>
              <w:spacing w:after="0"/>
              <w:rPr>
                <w:sz w:val="20"/>
                <w:szCs w:val="20"/>
                <w:color w:val="auto"/>
              </w:rPr>
            </w:pPr>
            <w:r>
              <w:rPr>
                <w:rFonts w:ascii="Arial" w:cs="Arial" w:eastAsia="Arial" w:hAnsi="Arial"/>
                <w:sz w:val="14"/>
                <w:szCs w:val="14"/>
                <w:color w:val="auto"/>
              </w:rPr>
              <w:t>​ ​</w:t>
            </w:r>
          </w:p>
        </w:tc>
        <w:tc>
          <w:tcPr>
            <w:tcW w:w="88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​50,000</w:t>
            </w:r>
          </w:p>
        </w:tc>
        <w:tc>
          <w:tcPr>
            <w:tcW w:w="2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 ​</w:t>
            </w:r>
          </w:p>
        </w:tc>
        <w:tc>
          <w:tcPr>
            <w:tcW w:w="760" w:type="dxa"/>
            <w:vAlign w:val="bottom"/>
            <w:shd w:val="clear" w:color="auto" w:fill="F7F7F7"/>
          </w:tcPr>
          <w:p>
            <w:pPr>
              <w:ind w:left="140"/>
              <w:spacing w:after="0"/>
              <w:rPr>
                <w:sz w:val="20"/>
                <w:szCs w:val="20"/>
                <w:color w:val="auto"/>
              </w:rPr>
            </w:pPr>
            <w:r>
              <w:rPr>
                <w:rFonts w:ascii="Arial" w:cs="Arial" w:eastAsia="Arial" w:hAnsi="Arial"/>
                <w:sz w:val="14"/>
                <w:szCs w:val="14"/>
                <w:color w:val="auto"/>
              </w:rPr>
              <w:t>​ 185,496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 ​</w:t>
            </w:r>
          </w:p>
        </w:tc>
        <w:tc>
          <w:tcPr>
            <w:tcW w:w="70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 ​</w:t>
            </w:r>
          </w:p>
        </w:tc>
        <w:tc>
          <w:tcPr>
            <w:tcW w:w="780" w:type="dxa"/>
            <w:vAlign w:val="bottom"/>
            <w:shd w:val="clear" w:color="auto" w:fill="F7F7F7"/>
          </w:tcPr>
          <w:p>
            <w:pPr>
              <w:ind w:left="360"/>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F7F7F7"/>
          </w:tcPr>
          <w:p>
            <w:pPr>
              <w:ind w:left="80"/>
              <w:spacing w:after="0"/>
              <w:rPr>
                <w:sz w:val="20"/>
                <w:szCs w:val="20"/>
                <w:color w:val="auto"/>
              </w:rPr>
            </w:pPr>
            <w:r>
              <w:rPr>
                <w:rFonts w:ascii="Arial" w:cs="Arial" w:eastAsia="Arial" w:hAnsi="Arial"/>
                <w:sz w:val="14"/>
                <w:szCs w:val="14"/>
                <w:color w:val="auto"/>
              </w:rPr>
              <w:t>​​ ​</w:t>
            </w:r>
          </w:p>
        </w:tc>
        <w:tc>
          <w:tcPr>
            <w:tcW w:w="800" w:type="dxa"/>
            <w:vAlign w:val="bottom"/>
            <w:shd w:val="clear" w:color="auto" w:fill="F7F7F7"/>
          </w:tcPr>
          <w:p>
            <w:pPr>
              <w:ind w:left="160"/>
              <w:spacing w:after="0"/>
              <w:rPr>
                <w:sz w:val="20"/>
                <w:szCs w:val="20"/>
                <w:color w:val="auto"/>
              </w:rPr>
            </w:pPr>
            <w:r>
              <w:rPr>
                <w:rFonts w:ascii="Arial" w:cs="Arial" w:eastAsia="Arial" w:hAnsi="Arial"/>
                <w:sz w:val="14"/>
                <w:szCs w:val="14"/>
                <w:color w:val="auto"/>
              </w:rPr>
              <w:t>​235,496</w:t>
            </w:r>
          </w:p>
        </w:tc>
        <w:tc>
          <w:tcPr>
            <w:tcW w:w="300" w:type="dxa"/>
            <w:vAlign w:val="bottom"/>
            <w:vMerge w:val="restart"/>
            <w:shd w:val="clear" w:color="auto" w:fill="F7F7F7"/>
          </w:tcPr>
          <w:p>
            <w:pPr>
              <w:ind w:lef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60" w:type="dxa"/>
            <w:vAlign w:val="bottom"/>
            <w:tcBorders>
              <w:bottom w:val="single" w:sz="8" w:color="auto"/>
            </w:tcBorders>
            <w:shd w:val="clear" w:color="auto" w:fill="F7F7F7"/>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vMerge w:val="continue"/>
            <w:shd w:val="clear" w:color="auto" w:fill="F7F7F7"/>
          </w:tcPr>
          <w:p>
            <w:pPr>
              <w:spacing w:after="0"/>
              <w:rPr>
                <w:sz w:val="12"/>
                <w:szCs w:val="12"/>
                <w:color w:val="auto"/>
              </w:rPr>
            </w:pPr>
          </w:p>
        </w:tc>
        <w:tc>
          <w:tcPr>
            <w:tcW w:w="880" w:type="dxa"/>
            <w:vAlign w:val="bottom"/>
            <w:tcBorders>
              <w:bottom w:val="single" w:sz="8" w:color="auto"/>
            </w:tcBorders>
            <w:shd w:val="clear" w:color="auto" w:fill="F7F7F7"/>
          </w:tcPr>
          <w:p>
            <w:pPr>
              <w:ind w:left="200"/>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vMerge w:val="continue"/>
            <w:shd w:val="clear" w:color="auto" w:fill="F7F7F7"/>
          </w:tcPr>
          <w:p>
            <w:pPr>
              <w:spacing w:after="0"/>
              <w:rPr>
                <w:sz w:val="12"/>
                <w:szCs w:val="12"/>
                <w:color w:val="auto"/>
              </w:rPr>
            </w:pPr>
          </w:p>
        </w:tc>
        <w:tc>
          <w:tcPr>
            <w:tcW w:w="760" w:type="dxa"/>
            <w:vAlign w:val="bottom"/>
            <w:tcBorders>
              <w:bottom w:val="single" w:sz="8" w:color="auto"/>
            </w:tcBorders>
            <w:shd w:val="clear" w:color="auto" w:fill="F7F7F7"/>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70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vMerge w:val="continue"/>
            <w:shd w:val="clear" w:color="auto" w:fill="F7F7F7"/>
          </w:tcPr>
          <w:p>
            <w:pPr>
              <w:spacing w:after="0"/>
              <w:rPr>
                <w:sz w:val="12"/>
                <w:szCs w:val="12"/>
                <w:color w:val="auto"/>
              </w:rPr>
            </w:pPr>
          </w:p>
        </w:tc>
        <w:tc>
          <w:tcPr>
            <w:tcW w:w="780" w:type="dxa"/>
            <w:vAlign w:val="bottom"/>
            <w:tcBorders>
              <w:bottom w:val="single" w:sz="8" w:color="auto"/>
            </w:tcBorders>
            <w:shd w:val="clear" w:color="auto" w:fill="F7F7F7"/>
          </w:tcPr>
          <w:p>
            <w:pPr>
              <w:ind w:left="3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800" w:type="dxa"/>
            <w:vAlign w:val="bottom"/>
            <w:tcBorders>
              <w:bottom w:val="single" w:sz="8" w:color="auto"/>
            </w:tcBorders>
            <w:shd w:val="clear" w:color="auto" w:fill="F7F7F7"/>
          </w:tcPr>
          <w:p>
            <w:pPr>
              <w:ind w:left="16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vMerge w:val="continue"/>
            <w:shd w:val="clear" w:color="auto" w:fill="F7F7F7"/>
          </w:tcPr>
          <w:p>
            <w:pPr>
              <w:spacing w:after="0"/>
              <w:rPr>
                <w:sz w:val="12"/>
                <w:szCs w:val="12"/>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780" w:right="40" w:hanging="126"/>
        <w:spacing w:after="0" w:line="219" w:lineRule="auto"/>
        <w:tabs>
          <w:tab w:leader="none" w:pos="780" w:val="left"/>
        </w:tabs>
        <w:numPr>
          <w:ilvl w:val="0"/>
          <w:numId w:val="46"/>
        </w:numPr>
        <w:rPr>
          <w:rFonts w:ascii="Arial" w:cs="Arial" w:eastAsia="Arial" w:hAnsi="Arial"/>
          <w:sz w:val="15"/>
          <w:szCs w:val="15"/>
          <w:color w:val="auto"/>
          <w:vertAlign w:val="superscript"/>
        </w:rPr>
      </w:pPr>
      <w:r>
        <w:rPr>
          <w:rFonts w:ascii="Arial" w:cs="Arial" w:eastAsia="Arial" w:hAnsi="Arial"/>
          <w:sz w:val="10"/>
          <w:szCs w:val="10"/>
          <w:color w:val="auto"/>
        </w:rPr>
        <w:t>The amounts in this column reflect the grant date fair values of the RSUs granted to our non-employee directors during 2022, calculated in accordance with FASB ASC Topic 718. Messrs. Liveris, August, and Posawatz, and Messes. Gioia and Maynard-Elliott, have elected to defer settlement of the RSUs.</w:t>
      </w:r>
    </w:p>
    <w:p>
      <w:pPr>
        <w:spacing w:after="0" w:line="223" w:lineRule="exact"/>
        <w:rPr>
          <w:sz w:val="20"/>
          <w:szCs w:val="20"/>
          <w:color w:val="auto"/>
        </w:rPr>
      </w:pPr>
    </w:p>
    <w:p>
      <w:pPr>
        <w:ind w:left="660" w:right="620"/>
        <w:spacing w:after="0" w:line="321" w:lineRule="auto"/>
        <w:rPr>
          <w:sz w:val="20"/>
          <w:szCs w:val="20"/>
          <w:color w:val="auto"/>
        </w:rPr>
      </w:pPr>
      <w:r>
        <w:rPr>
          <w:rFonts w:ascii="Arial" w:cs="Arial" w:eastAsia="Arial" w:hAnsi="Arial"/>
          <w:sz w:val="16"/>
          <w:szCs w:val="16"/>
          <w:color w:val="auto"/>
        </w:rPr>
        <w:t>As of December 31, 2022, the aggregate number of shares subject to outstanding equity awards held by our non-employee directors was as follows:</w:t>
      </w:r>
    </w:p>
    <w:p>
      <w:pPr>
        <w:spacing w:after="0" w:line="178" w:lineRule="exact"/>
        <w:rPr>
          <w:sz w:val="20"/>
          <w:szCs w:val="20"/>
          <w:color w:val="auto"/>
        </w:rPr>
      </w:pPr>
    </w:p>
    <w:tbl>
      <w:tblPr>
        <w:tblLayout w:type="fixed"/>
        <w:tblInd w:w="3080" w:type="dxa"/>
        <w:tblCellMar>
          <w:top w:w="0" w:type="dxa"/>
          <w:left w:w="0" w:type="dxa"/>
          <w:bottom w:w="0" w:type="dxa"/>
          <w:right w:w="0" w:type="dxa"/>
        </w:tblCellMar>
      </w:tblPr>
      <w:tr>
        <w:trPr>
          <w:trHeight w:val="149"/>
        </w:trPr>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22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Name</w:t>
            </w:r>
          </w:p>
        </w:tc>
        <w:tc>
          <w:tcPr>
            <w:tcW w:w="860" w:type="dxa"/>
            <w:vAlign w:val="bottom"/>
            <w:shd w:val="clear" w:color="auto" w:fill="000000"/>
          </w:tcPr>
          <w:p>
            <w:pPr>
              <w:ind w:left="660"/>
              <w:spacing w:after="0"/>
              <w:rPr>
                <w:sz w:val="20"/>
                <w:szCs w:val="20"/>
                <w:color w:val="auto"/>
              </w:rPr>
            </w:pPr>
            <w:r>
              <w:rPr>
                <w:rFonts w:ascii="Arial" w:cs="Arial" w:eastAsia="Arial" w:hAnsi="Arial"/>
                <w:sz w:val="13"/>
                <w:szCs w:val="13"/>
                <w:b w:val="1"/>
                <w:bCs w:val="1"/>
                <w:color w:val="FEFEFE"/>
              </w:rPr>
              <w:t>​ ​</w:t>
            </w:r>
          </w:p>
        </w:tc>
        <w:tc>
          <w:tcPr>
            <w:tcW w:w="1080" w:type="dxa"/>
            <w:vAlign w:val="bottom"/>
            <w:shd w:val="clear" w:color="auto" w:fill="000000"/>
          </w:tcPr>
          <w:p>
            <w:pPr>
              <w:spacing w:after="0"/>
              <w:rPr>
                <w:sz w:val="13"/>
                <w:szCs w:val="13"/>
                <w:color w:val="auto"/>
              </w:rPr>
            </w:pPr>
          </w:p>
        </w:tc>
        <w:tc>
          <w:tcPr>
            <w:tcW w:w="280" w:type="dxa"/>
            <w:vAlign w:val="bottom"/>
            <w:shd w:val="clear" w:color="auto" w:fill="000000"/>
          </w:tcPr>
          <w:p>
            <w:pPr>
              <w:jc w:val="right"/>
              <w:ind w:right="109"/>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100" w:type="dxa"/>
            <w:vAlign w:val="bottom"/>
            <w:shd w:val="clear" w:color="auto" w:fill="000000"/>
          </w:tcPr>
          <w:p>
            <w:pPr>
              <w:spacing w:after="0"/>
              <w:rPr>
                <w:sz w:val="11"/>
                <w:szCs w:val="11"/>
                <w:color w:val="auto"/>
              </w:rPr>
            </w:pPr>
          </w:p>
        </w:tc>
        <w:tc>
          <w:tcPr>
            <w:tcW w:w="2220" w:type="dxa"/>
            <w:vAlign w:val="bottom"/>
            <w:vMerge w:val="continue"/>
            <w:shd w:val="clear" w:color="auto" w:fill="000000"/>
          </w:tcPr>
          <w:p>
            <w:pPr>
              <w:spacing w:after="0"/>
              <w:rPr>
                <w:sz w:val="11"/>
                <w:szCs w:val="11"/>
                <w:color w:val="auto"/>
              </w:rPr>
            </w:pPr>
          </w:p>
        </w:tc>
        <w:tc>
          <w:tcPr>
            <w:tcW w:w="860" w:type="dxa"/>
            <w:vAlign w:val="bottom"/>
            <w:shd w:val="clear" w:color="auto" w:fill="000000"/>
          </w:tcPr>
          <w:p>
            <w:pPr>
              <w:spacing w:after="0"/>
              <w:rPr>
                <w:sz w:val="11"/>
                <w:szCs w:val="11"/>
                <w:color w:val="auto"/>
              </w:rPr>
            </w:pPr>
          </w:p>
        </w:tc>
        <w:tc>
          <w:tcPr>
            <w:tcW w:w="1360" w:type="dxa"/>
            <w:vAlign w:val="bottom"/>
            <w:gridSpan w:val="2"/>
            <w:shd w:val="clear" w:color="auto" w:fill="000000"/>
          </w:tcPr>
          <w:p>
            <w:pPr>
              <w:jc w:val="center"/>
              <w:ind w:right="129"/>
              <w:spacing w:after="0" w:line="135" w:lineRule="exact"/>
              <w:rPr>
                <w:sz w:val="20"/>
                <w:szCs w:val="20"/>
                <w:color w:val="auto"/>
              </w:rPr>
            </w:pPr>
            <w:r>
              <w:rPr>
                <w:rFonts w:ascii="Arial" w:cs="Arial" w:eastAsia="Arial" w:hAnsi="Arial"/>
                <w:sz w:val="13"/>
                <w:szCs w:val="13"/>
                <w:b w:val="1"/>
                <w:bCs w:val="1"/>
                <w:color w:val="FEFEFE"/>
                <w:w w:val="97"/>
              </w:rPr>
              <w:t>Shares Underlying</w:t>
            </w:r>
          </w:p>
        </w:tc>
        <w:tc>
          <w:tcPr>
            <w:tcW w:w="0" w:type="dxa"/>
            <w:vAlign w:val="bottom"/>
          </w:tcPr>
          <w:p>
            <w:pPr>
              <w:spacing w:after="0"/>
              <w:rPr>
                <w:sz w:val="1"/>
                <w:szCs w:val="1"/>
                <w:color w:val="auto"/>
              </w:rPr>
            </w:pPr>
          </w:p>
        </w:tc>
      </w:tr>
      <w:tr>
        <w:trPr>
          <w:trHeight w:val="225"/>
        </w:trPr>
        <w:tc>
          <w:tcPr>
            <w:tcW w:w="100" w:type="dxa"/>
            <w:vAlign w:val="bottom"/>
            <w:shd w:val="clear" w:color="auto" w:fill="000000"/>
          </w:tcPr>
          <w:p>
            <w:pPr>
              <w:spacing w:after="0"/>
              <w:rPr>
                <w:sz w:val="19"/>
                <w:szCs w:val="19"/>
                <w:color w:val="auto"/>
              </w:rPr>
            </w:pPr>
          </w:p>
        </w:tc>
        <w:tc>
          <w:tcPr>
            <w:tcW w:w="2220" w:type="dxa"/>
            <w:vAlign w:val="bottom"/>
            <w:shd w:val="clear" w:color="auto" w:fill="000000"/>
          </w:tcPr>
          <w:p>
            <w:pPr>
              <w:spacing w:after="0"/>
              <w:rPr>
                <w:sz w:val="19"/>
                <w:szCs w:val="19"/>
                <w:color w:val="auto"/>
              </w:rPr>
            </w:pPr>
          </w:p>
        </w:tc>
        <w:tc>
          <w:tcPr>
            <w:tcW w:w="860" w:type="dxa"/>
            <w:vAlign w:val="bottom"/>
            <w:shd w:val="clear" w:color="auto" w:fill="000000"/>
          </w:tcPr>
          <w:p>
            <w:pPr>
              <w:spacing w:after="0"/>
              <w:rPr>
                <w:sz w:val="19"/>
                <w:szCs w:val="19"/>
                <w:color w:val="auto"/>
              </w:rPr>
            </w:pPr>
          </w:p>
        </w:tc>
        <w:tc>
          <w:tcPr>
            <w:tcW w:w="1080" w:type="dxa"/>
            <w:vAlign w:val="bottom"/>
            <w:shd w:val="clear" w:color="auto" w:fill="000000"/>
          </w:tcPr>
          <w:p>
            <w:pPr>
              <w:jc w:val="center"/>
              <w:ind w:left="10"/>
              <w:spacing w:after="0"/>
              <w:rPr>
                <w:sz w:val="20"/>
                <w:szCs w:val="20"/>
                <w:color w:val="auto"/>
              </w:rPr>
            </w:pPr>
            <w:r>
              <w:rPr>
                <w:rFonts w:ascii="Arial" w:cs="Arial" w:eastAsia="Arial" w:hAnsi="Arial"/>
                <w:sz w:val="13"/>
                <w:szCs w:val="13"/>
                <w:b w:val="1"/>
                <w:bCs w:val="1"/>
                <w:color w:val="FEFEFE"/>
                <w:w w:val="92"/>
              </w:rPr>
              <w:t>Stock Awards</w:t>
            </w:r>
            <w:r>
              <w:rPr>
                <w:rFonts w:ascii="Arial" w:cs="Arial" w:eastAsia="Arial" w:hAnsi="Arial"/>
                <w:sz w:val="16"/>
                <w:szCs w:val="16"/>
                <w:b w:val="1"/>
                <w:bCs w:val="1"/>
                <w:color w:val="FEFEFE"/>
                <w:w w:val="92"/>
                <w:vertAlign w:val="superscript"/>
              </w:rPr>
              <w:t>(1)</w:t>
            </w:r>
          </w:p>
        </w:tc>
        <w:tc>
          <w:tcPr>
            <w:tcW w:w="28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100" w:type="dxa"/>
            <w:vAlign w:val="bottom"/>
            <w:shd w:val="clear" w:color="auto" w:fill="000000"/>
          </w:tcPr>
          <w:p>
            <w:pPr>
              <w:spacing w:after="0"/>
              <w:rPr>
                <w:sz w:val="7"/>
                <w:szCs w:val="7"/>
                <w:color w:val="auto"/>
              </w:rPr>
            </w:pPr>
          </w:p>
        </w:tc>
        <w:tc>
          <w:tcPr>
            <w:tcW w:w="2220" w:type="dxa"/>
            <w:vAlign w:val="bottom"/>
            <w:shd w:val="clear" w:color="auto" w:fill="000000"/>
          </w:tcPr>
          <w:p>
            <w:pPr>
              <w:spacing w:after="0"/>
              <w:rPr>
                <w:sz w:val="7"/>
                <w:szCs w:val="7"/>
                <w:color w:val="auto"/>
              </w:rPr>
            </w:pPr>
          </w:p>
        </w:tc>
        <w:tc>
          <w:tcPr>
            <w:tcW w:w="860" w:type="dxa"/>
            <w:vAlign w:val="bottom"/>
            <w:shd w:val="clear" w:color="auto" w:fill="000000"/>
          </w:tcPr>
          <w:p>
            <w:pPr>
              <w:spacing w:after="0"/>
              <w:rPr>
                <w:sz w:val="7"/>
                <w:szCs w:val="7"/>
                <w:color w:val="auto"/>
              </w:rPr>
            </w:pPr>
          </w:p>
        </w:tc>
        <w:tc>
          <w:tcPr>
            <w:tcW w:w="1080" w:type="dxa"/>
            <w:vAlign w:val="bottom"/>
            <w:shd w:val="clear" w:color="auto" w:fill="000000"/>
          </w:tcPr>
          <w:p>
            <w:pPr>
              <w:spacing w:after="0"/>
              <w:rPr>
                <w:sz w:val="7"/>
                <w:szCs w:val="7"/>
                <w:color w:val="auto"/>
              </w:rPr>
            </w:pPr>
          </w:p>
        </w:tc>
        <w:tc>
          <w:tcPr>
            <w:tcW w:w="28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Andrew Liveris</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9"/>
        </w:trPr>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Turqi Alnowaiser</w:t>
            </w:r>
          </w:p>
        </w:tc>
        <w:tc>
          <w:tcPr>
            <w:tcW w:w="860" w:type="dxa"/>
            <w:vAlign w:val="bottom"/>
            <w:tcBorders>
              <w:bottom w:val="single" w:sz="8" w:color="auto"/>
            </w:tcBorders>
            <w:shd w:val="clear" w:color="auto" w:fill="F7F7F7"/>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shd w:val="clear" w:color="auto" w:fill="F7F7F7"/>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Glenn R. August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Nancy Gioia</w:t>
            </w:r>
          </w:p>
        </w:tc>
        <w:tc>
          <w:tcPr>
            <w:tcW w:w="860" w:type="dxa"/>
            <w:vAlign w:val="bottom"/>
            <w:tcBorders>
              <w:bottom w:val="single" w:sz="8" w:color="auto"/>
            </w:tcBorders>
            <w:shd w:val="clear" w:color="auto" w:fill="F7F7F7"/>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shd w:val="clear" w:color="auto" w:fill="F7F7F7"/>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Frank Lindenberg</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Nichelle Maynard-Elliott</w:t>
            </w:r>
          </w:p>
        </w:tc>
        <w:tc>
          <w:tcPr>
            <w:tcW w:w="860" w:type="dxa"/>
            <w:vAlign w:val="bottom"/>
            <w:tcBorders>
              <w:bottom w:val="single" w:sz="8" w:color="auto"/>
            </w:tcBorders>
            <w:shd w:val="clear" w:color="auto" w:fill="F7F7F7"/>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shd w:val="clear" w:color="auto" w:fill="F7F7F7"/>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9"/>
        </w:trPr>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Tony Posawatz</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1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shd w:val="clear" w:color="auto" w:fill="F7F7F7"/>
          </w:tcPr>
          <w:p>
            <w:pPr>
              <w:ind w:left="60"/>
              <w:spacing w:after="0"/>
              <w:rPr>
                <w:sz w:val="20"/>
                <w:szCs w:val="20"/>
                <w:color w:val="auto"/>
              </w:rPr>
            </w:pPr>
            <w:r>
              <w:rPr>
                <w:rFonts w:ascii="Arial" w:cs="Arial" w:eastAsia="Arial" w:hAnsi="Arial"/>
                <w:sz w:val="14"/>
                <w:szCs w:val="14"/>
                <w:color w:val="auto"/>
              </w:rPr>
              <w:t>Janet S. Wong</w:t>
            </w:r>
          </w:p>
        </w:tc>
        <w:tc>
          <w:tcPr>
            <w:tcW w:w="860" w:type="dxa"/>
            <w:vAlign w:val="bottom"/>
            <w:tcBorders>
              <w:bottom w:val="single" w:sz="8" w:color="auto"/>
            </w:tcBorders>
            <w:shd w:val="clear" w:color="auto" w:fill="F7F7F7"/>
          </w:tcPr>
          <w:p>
            <w:pPr>
              <w:ind w:left="66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shd w:val="clear" w:color="auto" w:fill="F7F7F7"/>
          </w:tcPr>
          <w:p>
            <w:pPr>
              <w:jc w:val="cente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​17,295</w:t>
            </w:r>
          </w:p>
        </w:tc>
        <w:tc>
          <w:tcPr>
            <w:tcW w:w="280" w:type="dxa"/>
            <w:vAlign w:val="bottom"/>
            <w:tcBorders>
              <w:bottom w:val="single" w:sz="8" w:color="auto"/>
            </w:tcBorders>
            <w:shd w:val="clear" w:color="auto" w:fill="F7F7F7"/>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780" w:right="300" w:hanging="126"/>
        <w:spacing w:after="0"/>
        <w:tabs>
          <w:tab w:leader="none" w:pos="780" w:val="left"/>
        </w:tabs>
        <w:numPr>
          <w:ilvl w:val="0"/>
          <w:numId w:val="47"/>
        </w:numPr>
        <w:rPr>
          <w:rFonts w:ascii="Arial" w:cs="Arial" w:eastAsia="Arial" w:hAnsi="Arial"/>
          <w:sz w:val="15"/>
          <w:szCs w:val="15"/>
          <w:color w:val="auto"/>
          <w:vertAlign w:val="superscript"/>
        </w:rPr>
      </w:pPr>
      <w:r>
        <w:rPr>
          <w:rFonts w:ascii="Arial" w:cs="Arial" w:eastAsia="Arial" w:hAnsi="Arial"/>
          <w:sz w:val="10"/>
          <w:szCs w:val="10"/>
          <w:color w:val="auto"/>
        </w:rPr>
        <w:t>Represents the number of shares underlying any outstanding unvested RSUs and/or unsettled RSUs deferred by the non-employee director. As of the date of this filing, all of such RSUs are unvested.</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​62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EFEFE"/>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Equity Compensation Plan Information</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equity compensation plan information as of December 31, 2022:</w:t>
      </w:r>
    </w:p>
    <w:p>
      <w:pPr>
        <w:spacing w:after="0" w:line="270"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40" w:type="dxa"/>
            <w:vAlign w:val="bottom"/>
            <w:shd w:val="clear" w:color="auto" w:fill="000000"/>
          </w:tcPr>
          <w:p>
            <w:pPr>
              <w:spacing w:after="0"/>
              <w:rPr>
                <w:sz w:val="13"/>
                <w:szCs w:val="13"/>
                <w:color w:val="auto"/>
              </w:rPr>
            </w:pPr>
          </w:p>
        </w:tc>
        <w:tc>
          <w:tcPr>
            <w:tcW w:w="244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360" w:type="dxa"/>
            <w:vAlign w:val="bottom"/>
            <w:shd w:val="clear" w:color="auto" w:fill="000000"/>
          </w:tcPr>
          <w:p>
            <w:pPr>
              <w:ind w:left="220"/>
              <w:spacing w:after="0"/>
              <w:rPr>
                <w:sz w:val="20"/>
                <w:szCs w:val="20"/>
                <w:color w:val="auto"/>
              </w:rPr>
            </w:pPr>
            <w:r>
              <w:rPr>
                <w:rFonts w:ascii="Arial" w:cs="Arial" w:eastAsia="Arial" w:hAnsi="Arial"/>
                <w:sz w:val="13"/>
                <w:szCs w:val="13"/>
                <w:b w:val="1"/>
                <w:bCs w:val="1"/>
                <w:color w:val="FEFEFE"/>
              </w:rPr>
              <w:t>​ ​</w:t>
            </w:r>
          </w:p>
        </w:tc>
        <w:tc>
          <w:tcPr>
            <w:tcW w:w="1980" w:type="dxa"/>
            <w:vAlign w:val="bottom"/>
            <w:gridSpan w:val="2"/>
            <w:vMerge w:val="restart"/>
            <w:shd w:val="clear" w:color="auto" w:fill="000000"/>
          </w:tcPr>
          <w:p>
            <w:pPr>
              <w:jc w:val="center"/>
              <w:ind w:left="13"/>
              <w:spacing w:after="0"/>
              <w:rPr>
                <w:sz w:val="20"/>
                <w:szCs w:val="20"/>
                <w:color w:val="auto"/>
              </w:rPr>
            </w:pPr>
            <w:r>
              <w:rPr>
                <w:rFonts w:ascii="Arial" w:cs="Arial" w:eastAsia="Arial" w:hAnsi="Arial"/>
                <w:sz w:val="13"/>
                <w:szCs w:val="13"/>
                <w:b w:val="1"/>
                <w:bCs w:val="1"/>
                <w:color w:val="FEFEFE"/>
                <w:w w:val="97"/>
              </w:rPr>
              <w:t>Number of Securities to Be</w:t>
            </w:r>
          </w:p>
        </w:tc>
        <w:tc>
          <w:tcPr>
            <w:tcW w:w="240" w:type="dxa"/>
            <w:vAlign w:val="bottom"/>
            <w:shd w:val="clear" w:color="auto" w:fill="000000"/>
          </w:tcPr>
          <w:p>
            <w:pPr>
              <w:ind w:left="100"/>
              <w:spacing w:after="0"/>
              <w:rPr>
                <w:sz w:val="20"/>
                <w:szCs w:val="20"/>
                <w:color w:val="auto"/>
              </w:rPr>
            </w:pPr>
            <w:r>
              <w:rPr>
                <w:rFonts w:ascii="Arial" w:cs="Arial" w:eastAsia="Arial" w:hAnsi="Arial"/>
                <w:sz w:val="13"/>
                <w:szCs w:val="13"/>
                <w:b w:val="1"/>
                <w:bCs w:val="1"/>
                <w:color w:val="FEFEFE"/>
              </w:rPr>
              <w:t>​ ​</w:t>
            </w:r>
          </w:p>
        </w:tc>
        <w:tc>
          <w:tcPr>
            <w:tcW w:w="1840" w:type="dxa"/>
            <w:vAlign w:val="bottom"/>
            <w:shd w:val="clear" w:color="auto" w:fill="000000"/>
          </w:tcPr>
          <w:p>
            <w:pPr>
              <w:spacing w:after="0"/>
              <w:rPr>
                <w:sz w:val="13"/>
                <w:szCs w:val="13"/>
                <w:color w:val="auto"/>
              </w:rPr>
            </w:pPr>
          </w:p>
        </w:tc>
        <w:tc>
          <w:tcPr>
            <w:tcW w:w="340" w:type="dxa"/>
            <w:vAlign w:val="bottom"/>
            <w:shd w:val="clear" w:color="auto" w:fill="000000"/>
          </w:tcPr>
          <w:p>
            <w:pPr>
              <w:ind w:left="200"/>
              <w:spacing w:after="0"/>
              <w:rPr>
                <w:sz w:val="20"/>
                <w:szCs w:val="20"/>
                <w:color w:val="auto"/>
              </w:rPr>
            </w:pPr>
            <w:r>
              <w:rPr>
                <w:rFonts w:ascii="Arial" w:cs="Arial" w:eastAsia="Arial" w:hAnsi="Arial"/>
                <w:sz w:val="13"/>
                <w:szCs w:val="13"/>
                <w:b w:val="1"/>
                <w:bCs w:val="1"/>
                <w:color w:val="FEFEFE"/>
              </w:rPr>
              <w:t>​ ​</w:t>
            </w:r>
          </w:p>
        </w:tc>
        <w:tc>
          <w:tcPr>
            <w:tcW w:w="74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260" w:type="dxa"/>
            <w:vAlign w:val="bottom"/>
            <w:shd w:val="clear" w:color="auto" w:fill="000000"/>
          </w:tcPr>
          <w:p>
            <w:pPr>
              <w:ind w:left="18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40" w:type="dxa"/>
            <w:vAlign w:val="bottom"/>
            <w:shd w:val="clear" w:color="auto" w:fill="000000"/>
          </w:tcPr>
          <w:p>
            <w:pPr>
              <w:spacing w:after="0"/>
              <w:rPr>
                <w:sz w:val="11"/>
                <w:szCs w:val="11"/>
                <w:color w:val="auto"/>
              </w:rPr>
            </w:pPr>
          </w:p>
        </w:tc>
        <w:tc>
          <w:tcPr>
            <w:tcW w:w="2440" w:type="dxa"/>
            <w:vAlign w:val="bottom"/>
            <w:shd w:val="clear" w:color="auto" w:fill="000000"/>
          </w:tcPr>
          <w:p>
            <w:pPr>
              <w:ind w:left="80"/>
              <w:spacing w:after="0" w:line="135" w:lineRule="exact"/>
              <w:rPr>
                <w:sz w:val="20"/>
                <w:szCs w:val="20"/>
                <w:color w:val="auto"/>
              </w:rPr>
            </w:pPr>
            <w:r>
              <w:rPr>
                <w:rFonts w:ascii="Arial" w:cs="Arial" w:eastAsia="Arial" w:hAnsi="Arial"/>
                <w:sz w:val="13"/>
                <w:szCs w:val="13"/>
                <w:b w:val="1"/>
                <w:bCs w:val="1"/>
                <w:color w:val="FEFEFE"/>
              </w:rPr>
              <w:t>Plan Category</w:t>
            </w:r>
          </w:p>
        </w:tc>
        <w:tc>
          <w:tcPr>
            <w:tcW w:w="360" w:type="dxa"/>
            <w:vAlign w:val="bottom"/>
            <w:shd w:val="clear" w:color="auto" w:fill="000000"/>
          </w:tcPr>
          <w:p>
            <w:pPr>
              <w:spacing w:after="0"/>
              <w:rPr>
                <w:sz w:val="11"/>
                <w:szCs w:val="11"/>
                <w:color w:val="auto"/>
              </w:rPr>
            </w:pPr>
          </w:p>
        </w:tc>
        <w:tc>
          <w:tcPr>
            <w:tcW w:w="1980" w:type="dxa"/>
            <w:vAlign w:val="bottom"/>
            <w:gridSpan w:val="2"/>
            <w:vMerge w:val="continue"/>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2180" w:type="dxa"/>
            <w:vAlign w:val="bottom"/>
            <w:gridSpan w:val="2"/>
            <w:shd w:val="clear" w:color="auto" w:fill="000000"/>
          </w:tcPr>
          <w:p>
            <w:pPr>
              <w:jc w:val="center"/>
              <w:ind w:right="90"/>
              <w:spacing w:after="0" w:line="135" w:lineRule="exact"/>
              <w:rPr>
                <w:sz w:val="20"/>
                <w:szCs w:val="20"/>
                <w:color w:val="auto"/>
              </w:rPr>
            </w:pPr>
            <w:r>
              <w:rPr>
                <w:rFonts w:ascii="Arial" w:cs="Arial" w:eastAsia="Arial" w:hAnsi="Arial"/>
                <w:sz w:val="13"/>
                <w:szCs w:val="13"/>
                <w:b w:val="1"/>
                <w:bCs w:val="1"/>
                <w:color w:val="FEFEFE"/>
                <w:w w:val="96"/>
              </w:rPr>
              <w:t>Weighted-average Exercise Price</w:t>
            </w:r>
          </w:p>
        </w:tc>
        <w:tc>
          <w:tcPr>
            <w:tcW w:w="2140" w:type="dxa"/>
            <w:vAlign w:val="bottom"/>
            <w:gridSpan w:val="3"/>
            <w:shd w:val="clear" w:color="auto" w:fill="000000"/>
          </w:tcPr>
          <w:p>
            <w:pPr>
              <w:jc w:val="center"/>
              <w:ind w:right="110"/>
              <w:spacing w:after="0" w:line="135" w:lineRule="exact"/>
              <w:rPr>
                <w:sz w:val="20"/>
                <w:szCs w:val="20"/>
                <w:color w:val="auto"/>
              </w:rPr>
            </w:pPr>
            <w:r>
              <w:rPr>
                <w:rFonts w:ascii="Arial" w:cs="Arial" w:eastAsia="Arial" w:hAnsi="Arial"/>
                <w:sz w:val="13"/>
                <w:szCs w:val="13"/>
                <w:b w:val="1"/>
                <w:bCs w:val="1"/>
                <w:color w:val="FEFEFE"/>
                <w:w w:val="97"/>
              </w:rPr>
              <w:t>Number of Securities Remaining</w:t>
            </w:r>
          </w:p>
        </w:tc>
        <w:tc>
          <w:tcPr>
            <w:tcW w:w="0" w:type="dxa"/>
            <w:vAlign w:val="bottom"/>
          </w:tcPr>
          <w:p>
            <w:pPr>
              <w:spacing w:after="0"/>
              <w:rPr>
                <w:sz w:val="1"/>
                <w:szCs w:val="1"/>
                <w:color w:val="auto"/>
              </w:rPr>
            </w:pPr>
          </w:p>
        </w:tc>
      </w:tr>
      <w:tr>
        <w:trPr>
          <w:trHeight w:val="148"/>
        </w:trPr>
        <w:tc>
          <w:tcPr>
            <w:tcW w:w="40" w:type="dxa"/>
            <w:vAlign w:val="bottom"/>
            <w:shd w:val="clear" w:color="auto" w:fill="000000"/>
          </w:tcPr>
          <w:p>
            <w:pPr>
              <w:spacing w:after="0"/>
              <w:rPr>
                <w:sz w:val="12"/>
                <w:szCs w:val="12"/>
                <w:color w:val="auto"/>
              </w:rPr>
            </w:pPr>
          </w:p>
        </w:tc>
        <w:tc>
          <w:tcPr>
            <w:tcW w:w="244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980" w:type="dxa"/>
            <w:vAlign w:val="bottom"/>
            <w:gridSpan w:val="2"/>
            <w:shd w:val="clear" w:color="auto" w:fill="000000"/>
          </w:tcPr>
          <w:p>
            <w:pPr>
              <w:jc w:val="center"/>
              <w:ind w:left="13"/>
              <w:spacing w:after="0"/>
              <w:rPr>
                <w:sz w:val="20"/>
                <w:szCs w:val="20"/>
                <w:color w:val="auto"/>
              </w:rPr>
            </w:pPr>
            <w:r>
              <w:rPr>
                <w:rFonts w:ascii="Arial" w:cs="Arial" w:eastAsia="Arial" w:hAnsi="Arial"/>
                <w:sz w:val="13"/>
                <w:szCs w:val="13"/>
                <w:b w:val="1"/>
                <w:bCs w:val="1"/>
                <w:color w:val="FEFEFE"/>
                <w:w w:val="96"/>
              </w:rPr>
              <w:t>Issued Upon Exercise of</w:t>
            </w:r>
          </w:p>
        </w:tc>
        <w:tc>
          <w:tcPr>
            <w:tcW w:w="240" w:type="dxa"/>
            <w:vAlign w:val="bottom"/>
            <w:shd w:val="clear" w:color="auto" w:fill="000000"/>
          </w:tcPr>
          <w:p>
            <w:pPr>
              <w:spacing w:after="0"/>
              <w:rPr>
                <w:sz w:val="12"/>
                <w:szCs w:val="12"/>
                <w:color w:val="auto"/>
              </w:rPr>
            </w:pPr>
          </w:p>
        </w:tc>
        <w:tc>
          <w:tcPr>
            <w:tcW w:w="1840" w:type="dxa"/>
            <w:vAlign w:val="bottom"/>
            <w:shd w:val="clear" w:color="auto" w:fill="000000"/>
          </w:tcPr>
          <w:p>
            <w:pPr>
              <w:jc w:val="center"/>
              <w:ind w:left="93"/>
              <w:spacing w:after="0"/>
              <w:rPr>
                <w:sz w:val="20"/>
                <w:szCs w:val="20"/>
                <w:color w:val="auto"/>
              </w:rPr>
            </w:pPr>
            <w:r>
              <w:rPr>
                <w:rFonts w:ascii="Arial" w:cs="Arial" w:eastAsia="Arial" w:hAnsi="Arial"/>
                <w:sz w:val="13"/>
                <w:szCs w:val="13"/>
                <w:b w:val="1"/>
                <w:bCs w:val="1"/>
                <w:color w:val="FEFEFE"/>
                <w:w w:val="96"/>
              </w:rPr>
              <w:t>of Outstanding Options,</w:t>
            </w:r>
          </w:p>
        </w:tc>
        <w:tc>
          <w:tcPr>
            <w:tcW w:w="340" w:type="dxa"/>
            <w:vAlign w:val="bottom"/>
            <w:shd w:val="clear" w:color="auto" w:fill="000000"/>
          </w:tcPr>
          <w:p>
            <w:pPr>
              <w:spacing w:after="0"/>
              <w:rPr>
                <w:sz w:val="12"/>
                <w:szCs w:val="12"/>
                <w:color w:val="auto"/>
              </w:rPr>
            </w:pPr>
          </w:p>
        </w:tc>
        <w:tc>
          <w:tcPr>
            <w:tcW w:w="1880" w:type="dxa"/>
            <w:vAlign w:val="bottom"/>
            <w:gridSpan w:val="2"/>
            <w:shd w:val="clear" w:color="auto" w:fill="000000"/>
          </w:tcPr>
          <w:p>
            <w:pPr>
              <w:jc w:val="center"/>
              <w:ind w:left="14"/>
              <w:spacing w:after="0"/>
              <w:rPr>
                <w:sz w:val="20"/>
                <w:szCs w:val="20"/>
                <w:color w:val="auto"/>
              </w:rPr>
            </w:pPr>
            <w:r>
              <w:rPr>
                <w:rFonts w:ascii="Arial" w:cs="Arial" w:eastAsia="Arial" w:hAnsi="Arial"/>
                <w:sz w:val="13"/>
                <w:szCs w:val="13"/>
                <w:b w:val="1"/>
                <w:bCs w:val="1"/>
                <w:color w:val="FEFEFE"/>
                <w:w w:val="97"/>
              </w:rPr>
              <w:t>Available for Future Issuance</w:t>
            </w:r>
          </w:p>
        </w:tc>
        <w:tc>
          <w:tcPr>
            <w:tcW w:w="2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0" w:type="dxa"/>
            <w:vAlign w:val="bottom"/>
            <w:shd w:val="clear" w:color="auto" w:fill="000000"/>
          </w:tcPr>
          <w:p>
            <w:pPr>
              <w:spacing w:after="0"/>
              <w:rPr>
                <w:sz w:val="12"/>
                <w:szCs w:val="12"/>
                <w:color w:val="auto"/>
              </w:rPr>
            </w:pPr>
          </w:p>
        </w:tc>
        <w:tc>
          <w:tcPr>
            <w:tcW w:w="244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980" w:type="dxa"/>
            <w:vAlign w:val="bottom"/>
            <w:gridSpan w:val="2"/>
            <w:shd w:val="clear" w:color="auto" w:fill="000000"/>
          </w:tcPr>
          <w:p>
            <w:pPr>
              <w:jc w:val="center"/>
              <w:ind w:left="13"/>
              <w:spacing w:after="0" w:line="139" w:lineRule="exact"/>
              <w:rPr>
                <w:sz w:val="20"/>
                <w:szCs w:val="20"/>
                <w:color w:val="auto"/>
              </w:rPr>
            </w:pPr>
            <w:r>
              <w:rPr>
                <w:rFonts w:ascii="Arial" w:cs="Arial" w:eastAsia="Arial" w:hAnsi="Arial"/>
                <w:sz w:val="13"/>
                <w:szCs w:val="13"/>
                <w:b w:val="1"/>
                <w:bCs w:val="1"/>
                <w:color w:val="FEFEFE"/>
                <w:w w:val="96"/>
              </w:rPr>
              <w:t>Outstanding Options, Warrants,</w:t>
            </w:r>
          </w:p>
        </w:tc>
        <w:tc>
          <w:tcPr>
            <w:tcW w:w="240" w:type="dxa"/>
            <w:vAlign w:val="bottom"/>
            <w:shd w:val="clear" w:color="auto" w:fill="000000"/>
          </w:tcPr>
          <w:p>
            <w:pPr>
              <w:spacing w:after="0"/>
              <w:rPr>
                <w:sz w:val="12"/>
                <w:szCs w:val="12"/>
                <w:color w:val="auto"/>
              </w:rPr>
            </w:pPr>
          </w:p>
        </w:tc>
        <w:tc>
          <w:tcPr>
            <w:tcW w:w="1840" w:type="dxa"/>
            <w:vAlign w:val="bottom"/>
            <w:shd w:val="clear" w:color="auto" w:fill="000000"/>
          </w:tcPr>
          <w:p>
            <w:pPr>
              <w:jc w:val="center"/>
              <w:ind w:left="93"/>
              <w:spacing w:after="0" w:line="139" w:lineRule="exact"/>
              <w:rPr>
                <w:sz w:val="20"/>
                <w:szCs w:val="20"/>
                <w:color w:val="auto"/>
              </w:rPr>
            </w:pPr>
            <w:r>
              <w:rPr>
                <w:rFonts w:ascii="Arial" w:cs="Arial" w:eastAsia="Arial" w:hAnsi="Arial"/>
                <w:sz w:val="13"/>
                <w:szCs w:val="13"/>
                <w:b w:val="1"/>
                <w:bCs w:val="1"/>
                <w:color w:val="FEFEFE"/>
                <w:w w:val="97"/>
              </w:rPr>
              <w:t>Warrants and Rights</w:t>
            </w:r>
          </w:p>
        </w:tc>
        <w:tc>
          <w:tcPr>
            <w:tcW w:w="340" w:type="dxa"/>
            <w:vAlign w:val="bottom"/>
            <w:shd w:val="clear" w:color="auto" w:fill="000000"/>
          </w:tcPr>
          <w:p>
            <w:pPr>
              <w:spacing w:after="0"/>
              <w:rPr>
                <w:sz w:val="12"/>
                <w:szCs w:val="12"/>
                <w:color w:val="auto"/>
              </w:rPr>
            </w:pPr>
          </w:p>
        </w:tc>
        <w:tc>
          <w:tcPr>
            <w:tcW w:w="1880" w:type="dxa"/>
            <w:vAlign w:val="bottom"/>
            <w:gridSpan w:val="2"/>
            <w:shd w:val="clear" w:color="auto" w:fill="000000"/>
          </w:tcPr>
          <w:p>
            <w:pPr>
              <w:jc w:val="center"/>
              <w:ind w:left="14"/>
              <w:spacing w:after="0" w:line="139" w:lineRule="exact"/>
              <w:rPr>
                <w:sz w:val="20"/>
                <w:szCs w:val="20"/>
                <w:color w:val="auto"/>
              </w:rPr>
            </w:pPr>
            <w:r>
              <w:rPr>
                <w:rFonts w:ascii="Arial" w:cs="Arial" w:eastAsia="Arial" w:hAnsi="Arial"/>
                <w:sz w:val="13"/>
                <w:szCs w:val="13"/>
                <w:b w:val="1"/>
                <w:bCs w:val="1"/>
                <w:color w:val="FEFEFE"/>
                <w:w w:val="96"/>
              </w:rPr>
              <w:t>Under Equity Compensation</w:t>
            </w:r>
          </w:p>
        </w:tc>
        <w:tc>
          <w:tcPr>
            <w:tcW w:w="2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shd w:val="clear" w:color="auto" w:fill="000000"/>
          </w:tcPr>
          <w:p>
            <w:pPr>
              <w:spacing w:after="0"/>
              <w:rPr>
                <w:sz w:val="12"/>
                <w:szCs w:val="12"/>
                <w:color w:val="auto"/>
              </w:rPr>
            </w:pPr>
          </w:p>
        </w:tc>
        <w:tc>
          <w:tcPr>
            <w:tcW w:w="244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2220" w:type="dxa"/>
            <w:vAlign w:val="bottom"/>
            <w:gridSpan w:val="3"/>
            <w:shd w:val="clear" w:color="auto" w:fill="000000"/>
          </w:tcPr>
          <w:p>
            <w:pPr>
              <w:jc w:val="center"/>
              <w:ind w:right="110"/>
              <w:spacing w:after="0" w:line="144" w:lineRule="exact"/>
              <w:rPr>
                <w:sz w:val="20"/>
                <w:szCs w:val="20"/>
                <w:color w:val="auto"/>
              </w:rPr>
            </w:pPr>
            <w:r>
              <w:rPr>
                <w:rFonts w:ascii="Arial" w:cs="Arial" w:eastAsia="Arial" w:hAnsi="Arial"/>
                <w:sz w:val="13"/>
                <w:szCs w:val="13"/>
                <w:b w:val="1"/>
                <w:bCs w:val="1"/>
                <w:color w:val="FEFEFE"/>
                <w:w w:val="97"/>
              </w:rPr>
              <w:t>Rights and Restricted Stock Units</w:t>
            </w:r>
          </w:p>
        </w:tc>
        <w:tc>
          <w:tcPr>
            <w:tcW w:w="1840" w:type="dxa"/>
            <w:vAlign w:val="bottom"/>
            <w:shd w:val="clear" w:color="auto" w:fill="000000"/>
          </w:tcPr>
          <w:p>
            <w:pPr>
              <w:jc w:val="center"/>
              <w:ind w:left="113"/>
              <w:spacing w:after="0" w:line="145" w:lineRule="exact"/>
              <w:rPr>
                <w:sz w:val="20"/>
                <w:szCs w:val="20"/>
                <w:color w:val="auto"/>
              </w:rPr>
            </w:pPr>
            <w:r>
              <w:rPr>
                <w:rFonts w:ascii="Arial" w:cs="Arial" w:eastAsia="Arial" w:hAnsi="Arial"/>
                <w:sz w:val="13"/>
                <w:szCs w:val="13"/>
                <w:b w:val="1"/>
                <w:bCs w:val="1"/>
                <w:color w:val="FEFEFE"/>
                <w:w w:val="87"/>
              </w:rPr>
              <w:t>(b)</w:t>
            </w:r>
            <w:r>
              <w:rPr>
                <w:rFonts w:ascii="Arial" w:cs="Arial" w:eastAsia="Arial" w:hAnsi="Arial"/>
                <w:sz w:val="16"/>
                <w:szCs w:val="16"/>
                <w:b w:val="1"/>
                <w:bCs w:val="1"/>
                <w:color w:val="FEFEFE"/>
                <w:w w:val="87"/>
                <w:vertAlign w:val="superscript"/>
              </w:rPr>
              <w:t>(2)</w:t>
            </w:r>
          </w:p>
        </w:tc>
        <w:tc>
          <w:tcPr>
            <w:tcW w:w="340" w:type="dxa"/>
            <w:vAlign w:val="bottom"/>
            <w:shd w:val="clear" w:color="auto" w:fill="000000"/>
          </w:tcPr>
          <w:p>
            <w:pPr>
              <w:spacing w:after="0"/>
              <w:rPr>
                <w:sz w:val="12"/>
                <w:szCs w:val="12"/>
                <w:color w:val="auto"/>
              </w:rPr>
            </w:pPr>
          </w:p>
        </w:tc>
        <w:tc>
          <w:tcPr>
            <w:tcW w:w="1880" w:type="dxa"/>
            <w:vAlign w:val="bottom"/>
            <w:gridSpan w:val="2"/>
            <w:shd w:val="clear" w:color="auto" w:fill="000000"/>
          </w:tcPr>
          <w:p>
            <w:pPr>
              <w:jc w:val="center"/>
              <w:ind w:left="34"/>
              <w:spacing w:after="0" w:line="144" w:lineRule="exact"/>
              <w:rPr>
                <w:sz w:val="20"/>
                <w:szCs w:val="20"/>
                <w:color w:val="auto"/>
              </w:rPr>
            </w:pPr>
            <w:r>
              <w:rPr>
                <w:rFonts w:ascii="Arial" w:cs="Arial" w:eastAsia="Arial" w:hAnsi="Arial"/>
                <w:sz w:val="13"/>
                <w:szCs w:val="13"/>
                <w:b w:val="1"/>
                <w:bCs w:val="1"/>
                <w:color w:val="FEFEFE"/>
                <w:w w:val="96"/>
              </w:rPr>
              <w:t>Plans (excluding securities</w:t>
            </w:r>
          </w:p>
        </w:tc>
        <w:tc>
          <w:tcPr>
            <w:tcW w:w="2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0" w:type="dxa"/>
            <w:vAlign w:val="bottom"/>
            <w:shd w:val="clear" w:color="auto" w:fill="000000"/>
          </w:tcPr>
          <w:p>
            <w:pPr>
              <w:spacing w:after="0"/>
              <w:rPr>
                <w:sz w:val="12"/>
                <w:szCs w:val="12"/>
                <w:color w:val="auto"/>
              </w:rPr>
            </w:pPr>
          </w:p>
        </w:tc>
        <w:tc>
          <w:tcPr>
            <w:tcW w:w="244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1200" w:type="dxa"/>
            <w:vAlign w:val="bottom"/>
            <w:shd w:val="clear" w:color="auto" w:fill="000000"/>
          </w:tcPr>
          <w:p>
            <w:pPr>
              <w:jc w:val="center"/>
              <w:ind w:right="667"/>
              <w:spacing w:after="0" w:line="139" w:lineRule="exact"/>
              <w:rPr>
                <w:sz w:val="20"/>
                <w:szCs w:val="20"/>
                <w:color w:val="auto"/>
              </w:rPr>
            </w:pPr>
            <w:r>
              <w:rPr>
                <w:rFonts w:ascii="Arial" w:cs="Arial" w:eastAsia="Arial" w:hAnsi="Arial"/>
                <w:sz w:val="16"/>
                <w:szCs w:val="16"/>
                <w:b w:val="1"/>
                <w:bCs w:val="1"/>
                <w:color w:val="FEFEFE"/>
                <w:vertAlign w:val="subscript"/>
              </w:rPr>
              <w:t>(a)</w:t>
            </w:r>
            <w:r>
              <w:rPr>
                <w:rFonts w:ascii="Arial" w:cs="Arial" w:eastAsia="Arial" w:hAnsi="Arial"/>
                <w:sz w:val="7"/>
                <w:szCs w:val="7"/>
                <w:b w:val="1"/>
                <w:bCs w:val="1"/>
                <w:color w:val="FEFEFE"/>
              </w:rPr>
              <w:t>(1)</w:t>
            </w:r>
          </w:p>
        </w:tc>
        <w:tc>
          <w:tcPr>
            <w:tcW w:w="240" w:type="dxa"/>
            <w:vAlign w:val="bottom"/>
            <w:shd w:val="clear" w:color="auto" w:fill="000000"/>
          </w:tcPr>
          <w:p>
            <w:pPr>
              <w:spacing w:after="0"/>
              <w:rPr>
                <w:sz w:val="12"/>
                <w:szCs w:val="12"/>
                <w:color w:val="auto"/>
              </w:rPr>
            </w:pPr>
          </w:p>
        </w:tc>
        <w:tc>
          <w:tcPr>
            <w:tcW w:w="1840" w:type="dxa"/>
            <w:vAlign w:val="bottom"/>
            <w:shd w:val="clear" w:color="auto" w:fill="000000"/>
          </w:tcPr>
          <w:p>
            <w:pPr>
              <w:spacing w:after="0"/>
              <w:rPr>
                <w:sz w:val="12"/>
                <w:szCs w:val="12"/>
                <w:color w:val="auto"/>
              </w:rPr>
            </w:pPr>
          </w:p>
        </w:tc>
        <w:tc>
          <w:tcPr>
            <w:tcW w:w="340" w:type="dxa"/>
            <w:vAlign w:val="bottom"/>
            <w:shd w:val="clear" w:color="auto" w:fill="000000"/>
          </w:tcPr>
          <w:p>
            <w:pPr>
              <w:spacing w:after="0"/>
              <w:rPr>
                <w:sz w:val="12"/>
                <w:szCs w:val="12"/>
                <w:color w:val="auto"/>
              </w:rPr>
            </w:pPr>
          </w:p>
        </w:tc>
        <w:tc>
          <w:tcPr>
            <w:tcW w:w="1880" w:type="dxa"/>
            <w:vAlign w:val="bottom"/>
            <w:gridSpan w:val="2"/>
            <w:shd w:val="clear" w:color="auto" w:fill="000000"/>
          </w:tcPr>
          <w:p>
            <w:pPr>
              <w:jc w:val="center"/>
              <w:ind w:left="14"/>
              <w:spacing w:after="0" w:line="139" w:lineRule="exact"/>
              <w:rPr>
                <w:sz w:val="20"/>
                <w:szCs w:val="20"/>
                <w:color w:val="auto"/>
              </w:rPr>
            </w:pPr>
            <w:r>
              <w:rPr>
                <w:rFonts w:ascii="Arial" w:cs="Arial" w:eastAsia="Arial" w:hAnsi="Arial"/>
                <w:sz w:val="13"/>
                <w:szCs w:val="13"/>
                <w:b w:val="1"/>
                <w:bCs w:val="1"/>
                <w:color w:val="FEFEFE"/>
                <w:w w:val="97"/>
              </w:rPr>
              <w:t>reflected in column (a))</w:t>
            </w:r>
          </w:p>
        </w:tc>
        <w:tc>
          <w:tcPr>
            <w:tcW w:w="2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40" w:type="dxa"/>
            <w:vAlign w:val="bottom"/>
            <w:shd w:val="clear" w:color="auto" w:fill="000000"/>
          </w:tcPr>
          <w:p>
            <w:pPr>
              <w:spacing w:after="0"/>
              <w:rPr>
                <w:sz w:val="19"/>
                <w:szCs w:val="19"/>
                <w:color w:val="auto"/>
              </w:rPr>
            </w:pPr>
          </w:p>
        </w:tc>
        <w:tc>
          <w:tcPr>
            <w:tcW w:w="2440" w:type="dxa"/>
            <w:vAlign w:val="bottom"/>
            <w:shd w:val="clear" w:color="auto" w:fill="000000"/>
          </w:tcPr>
          <w:p>
            <w:pPr>
              <w:spacing w:after="0"/>
              <w:rPr>
                <w:sz w:val="19"/>
                <w:szCs w:val="19"/>
                <w:color w:val="auto"/>
              </w:rPr>
            </w:pPr>
          </w:p>
        </w:tc>
        <w:tc>
          <w:tcPr>
            <w:tcW w:w="360" w:type="dxa"/>
            <w:vAlign w:val="bottom"/>
            <w:shd w:val="clear" w:color="auto" w:fill="000000"/>
          </w:tcPr>
          <w:p>
            <w:pPr>
              <w:spacing w:after="0"/>
              <w:rPr>
                <w:sz w:val="19"/>
                <w:szCs w:val="19"/>
                <w:color w:val="auto"/>
              </w:rPr>
            </w:pPr>
          </w:p>
        </w:tc>
        <w:tc>
          <w:tcPr>
            <w:tcW w:w="780" w:type="dxa"/>
            <w:vAlign w:val="bottom"/>
            <w:shd w:val="clear" w:color="auto" w:fill="000000"/>
          </w:tcPr>
          <w:p>
            <w:pPr>
              <w:spacing w:after="0"/>
              <w:rPr>
                <w:sz w:val="19"/>
                <w:szCs w:val="19"/>
                <w:color w:val="auto"/>
              </w:rPr>
            </w:pPr>
          </w:p>
        </w:tc>
        <w:tc>
          <w:tcPr>
            <w:tcW w:w="1200" w:type="dxa"/>
            <w:vAlign w:val="bottom"/>
            <w:shd w:val="clear" w:color="auto" w:fill="000000"/>
          </w:tcPr>
          <w:p>
            <w:pPr>
              <w:spacing w:after="0"/>
              <w:rPr>
                <w:sz w:val="19"/>
                <w:szCs w:val="19"/>
                <w:color w:val="auto"/>
              </w:rPr>
            </w:pPr>
          </w:p>
        </w:tc>
        <w:tc>
          <w:tcPr>
            <w:tcW w:w="240" w:type="dxa"/>
            <w:vAlign w:val="bottom"/>
            <w:shd w:val="clear" w:color="auto" w:fill="000000"/>
          </w:tcPr>
          <w:p>
            <w:pPr>
              <w:spacing w:after="0"/>
              <w:rPr>
                <w:sz w:val="19"/>
                <w:szCs w:val="19"/>
                <w:color w:val="auto"/>
              </w:rPr>
            </w:pPr>
          </w:p>
        </w:tc>
        <w:tc>
          <w:tcPr>
            <w:tcW w:w="1840" w:type="dxa"/>
            <w:vAlign w:val="bottom"/>
            <w:shd w:val="clear" w:color="auto" w:fill="000000"/>
          </w:tcPr>
          <w:p>
            <w:pPr>
              <w:spacing w:after="0"/>
              <w:rPr>
                <w:sz w:val="19"/>
                <w:szCs w:val="19"/>
                <w:color w:val="auto"/>
              </w:rPr>
            </w:pPr>
          </w:p>
        </w:tc>
        <w:tc>
          <w:tcPr>
            <w:tcW w:w="340" w:type="dxa"/>
            <w:vAlign w:val="bottom"/>
            <w:shd w:val="clear" w:color="auto" w:fill="000000"/>
          </w:tcPr>
          <w:p>
            <w:pPr>
              <w:spacing w:after="0"/>
              <w:rPr>
                <w:sz w:val="19"/>
                <w:szCs w:val="19"/>
                <w:color w:val="auto"/>
              </w:rPr>
            </w:pPr>
          </w:p>
        </w:tc>
        <w:tc>
          <w:tcPr>
            <w:tcW w:w="740" w:type="dxa"/>
            <w:vAlign w:val="bottom"/>
            <w:shd w:val="clear" w:color="auto" w:fill="000000"/>
          </w:tcPr>
          <w:p>
            <w:pPr>
              <w:spacing w:after="0"/>
              <w:rPr>
                <w:sz w:val="19"/>
                <w:szCs w:val="19"/>
                <w:color w:val="auto"/>
              </w:rPr>
            </w:pPr>
          </w:p>
        </w:tc>
        <w:tc>
          <w:tcPr>
            <w:tcW w:w="1140" w:type="dxa"/>
            <w:vAlign w:val="bottom"/>
            <w:shd w:val="clear" w:color="auto" w:fill="000000"/>
          </w:tcPr>
          <w:p>
            <w:pPr>
              <w:jc w:val="center"/>
              <w:ind w:right="593"/>
              <w:spacing w:after="0"/>
              <w:rPr>
                <w:sz w:val="20"/>
                <w:szCs w:val="20"/>
                <w:color w:val="auto"/>
              </w:rPr>
            </w:pPr>
            <w:r>
              <w:rPr>
                <w:rFonts w:ascii="Arial" w:cs="Arial" w:eastAsia="Arial" w:hAnsi="Arial"/>
                <w:sz w:val="13"/>
                <w:szCs w:val="13"/>
                <w:b w:val="1"/>
                <w:bCs w:val="1"/>
                <w:color w:val="FEFEFE"/>
                <w:w w:val="82"/>
              </w:rPr>
              <w:t>(c)</w:t>
            </w:r>
            <w:r>
              <w:rPr>
                <w:rFonts w:ascii="Arial" w:cs="Arial" w:eastAsia="Arial" w:hAnsi="Arial"/>
                <w:sz w:val="16"/>
                <w:szCs w:val="16"/>
                <w:b w:val="1"/>
                <w:bCs w:val="1"/>
                <w:color w:val="FEFEFE"/>
                <w:w w:val="82"/>
                <w:vertAlign w:val="superscript"/>
              </w:rPr>
              <w:t>(3)</w:t>
            </w:r>
          </w:p>
        </w:tc>
        <w:tc>
          <w:tcPr>
            <w:tcW w:w="26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40" w:type="dxa"/>
            <w:vAlign w:val="bottom"/>
            <w:shd w:val="clear" w:color="auto" w:fill="000000"/>
          </w:tcPr>
          <w:p>
            <w:pPr>
              <w:spacing w:after="0"/>
              <w:rPr>
                <w:sz w:val="8"/>
                <w:szCs w:val="8"/>
                <w:color w:val="auto"/>
              </w:rPr>
            </w:pPr>
          </w:p>
        </w:tc>
        <w:tc>
          <w:tcPr>
            <w:tcW w:w="2440" w:type="dxa"/>
            <w:vAlign w:val="bottom"/>
            <w:shd w:val="clear" w:color="auto" w:fill="000000"/>
          </w:tcPr>
          <w:p>
            <w:pPr>
              <w:spacing w:after="0"/>
              <w:rPr>
                <w:sz w:val="8"/>
                <w:szCs w:val="8"/>
                <w:color w:val="auto"/>
              </w:rPr>
            </w:pPr>
          </w:p>
        </w:tc>
        <w:tc>
          <w:tcPr>
            <w:tcW w:w="360" w:type="dxa"/>
            <w:vAlign w:val="bottom"/>
            <w:shd w:val="clear" w:color="auto" w:fill="000000"/>
          </w:tcPr>
          <w:p>
            <w:pPr>
              <w:spacing w:after="0"/>
              <w:rPr>
                <w:sz w:val="8"/>
                <w:szCs w:val="8"/>
                <w:color w:val="auto"/>
              </w:rPr>
            </w:pPr>
          </w:p>
        </w:tc>
        <w:tc>
          <w:tcPr>
            <w:tcW w:w="780" w:type="dxa"/>
            <w:vAlign w:val="bottom"/>
            <w:shd w:val="clear" w:color="auto" w:fill="000000"/>
          </w:tcPr>
          <w:p>
            <w:pPr>
              <w:spacing w:after="0"/>
              <w:rPr>
                <w:sz w:val="8"/>
                <w:szCs w:val="8"/>
                <w:color w:val="auto"/>
              </w:rPr>
            </w:pPr>
          </w:p>
        </w:tc>
        <w:tc>
          <w:tcPr>
            <w:tcW w:w="1200" w:type="dxa"/>
            <w:vAlign w:val="bottom"/>
            <w:shd w:val="clear" w:color="auto" w:fill="000000"/>
          </w:tcPr>
          <w:p>
            <w:pPr>
              <w:spacing w:after="0"/>
              <w:rPr>
                <w:sz w:val="8"/>
                <w:szCs w:val="8"/>
                <w:color w:val="auto"/>
              </w:rPr>
            </w:pPr>
          </w:p>
        </w:tc>
        <w:tc>
          <w:tcPr>
            <w:tcW w:w="240" w:type="dxa"/>
            <w:vAlign w:val="bottom"/>
            <w:shd w:val="clear" w:color="auto" w:fill="000000"/>
          </w:tcPr>
          <w:p>
            <w:pPr>
              <w:spacing w:after="0"/>
              <w:rPr>
                <w:sz w:val="8"/>
                <w:szCs w:val="8"/>
                <w:color w:val="auto"/>
              </w:rPr>
            </w:pPr>
          </w:p>
        </w:tc>
        <w:tc>
          <w:tcPr>
            <w:tcW w:w="1840" w:type="dxa"/>
            <w:vAlign w:val="bottom"/>
            <w:shd w:val="clear" w:color="auto" w:fill="000000"/>
          </w:tcPr>
          <w:p>
            <w:pPr>
              <w:spacing w:after="0"/>
              <w:rPr>
                <w:sz w:val="8"/>
                <w:szCs w:val="8"/>
                <w:color w:val="auto"/>
              </w:rPr>
            </w:pPr>
          </w:p>
        </w:tc>
        <w:tc>
          <w:tcPr>
            <w:tcW w:w="340" w:type="dxa"/>
            <w:vAlign w:val="bottom"/>
            <w:shd w:val="clear" w:color="auto" w:fill="000000"/>
          </w:tcPr>
          <w:p>
            <w:pPr>
              <w:spacing w:after="0"/>
              <w:rPr>
                <w:sz w:val="8"/>
                <w:szCs w:val="8"/>
                <w:color w:val="auto"/>
              </w:rPr>
            </w:pPr>
          </w:p>
        </w:tc>
        <w:tc>
          <w:tcPr>
            <w:tcW w:w="740" w:type="dxa"/>
            <w:vAlign w:val="bottom"/>
            <w:shd w:val="clear" w:color="auto" w:fill="000000"/>
          </w:tcPr>
          <w:p>
            <w:pPr>
              <w:spacing w:after="0"/>
              <w:rPr>
                <w:sz w:val="8"/>
                <w:szCs w:val="8"/>
                <w:color w:val="auto"/>
              </w:rPr>
            </w:pPr>
          </w:p>
        </w:tc>
        <w:tc>
          <w:tcPr>
            <w:tcW w:w="1140" w:type="dxa"/>
            <w:vAlign w:val="bottom"/>
            <w:shd w:val="clear" w:color="auto" w:fill="000000"/>
          </w:tcPr>
          <w:p>
            <w:pPr>
              <w:spacing w:after="0"/>
              <w:rPr>
                <w:sz w:val="8"/>
                <w:szCs w:val="8"/>
                <w:color w:val="auto"/>
              </w:rPr>
            </w:pPr>
          </w:p>
        </w:tc>
        <w:tc>
          <w:tcPr>
            <w:tcW w:w="26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2440" w:type="dxa"/>
            <w:vAlign w:val="bottom"/>
          </w:tcPr>
          <w:p>
            <w:pPr>
              <w:ind w:left="80"/>
              <w:spacing w:after="0"/>
              <w:rPr>
                <w:sz w:val="20"/>
                <w:szCs w:val="20"/>
                <w:color w:val="auto"/>
              </w:rPr>
            </w:pPr>
            <w:r>
              <w:rPr>
                <w:rFonts w:ascii="Arial" w:cs="Arial" w:eastAsia="Arial" w:hAnsi="Arial"/>
                <w:sz w:val="14"/>
                <w:szCs w:val="14"/>
                <w:color w:val="auto"/>
              </w:rPr>
              <w:t>Equity Compensation Plans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Approved by Security Holders</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 ​</w:t>
            </w:r>
          </w:p>
        </w:tc>
        <w:tc>
          <w:tcPr>
            <w:tcW w:w="1980" w:type="dxa"/>
            <w:vAlign w:val="bottom"/>
            <w:tcBorders>
              <w:bottom w:val="single" w:sz="8" w:color="auto"/>
            </w:tcBorders>
            <w:gridSpan w:val="2"/>
          </w:tcPr>
          <w:p>
            <w:pPr>
              <w:jc w:val="right"/>
              <w:ind w:right="527"/>
              <w:spacing w:after="0" w:line="29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​79,583,873</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1840" w:type="dxa"/>
            <w:vAlign w:val="bottom"/>
            <w:tcBorders>
              <w:bottom w:val="single" w:sz="8" w:color="auto"/>
            </w:tcBorders>
          </w:tcPr>
          <w:p>
            <w:pPr>
              <w:ind w:left="780"/>
              <w:spacing w:after="0" w:line="29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$ 1.19</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w:t>
            </w:r>
          </w:p>
        </w:tc>
        <w:tc>
          <w:tcPr>
            <w:tcW w:w="1880" w:type="dxa"/>
            <w:vAlign w:val="bottom"/>
            <w:tcBorders>
              <w:bottom w:val="single" w:sz="8" w:color="auto"/>
            </w:tcBorders>
            <w:gridSpan w:val="2"/>
          </w:tcPr>
          <w:p>
            <w:pPr>
              <w:jc w:val="right"/>
              <w:ind w:right="453"/>
              <w:spacing w:after="0" w:line="29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​26,904,705</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0" w:type="dxa"/>
            <w:vAlign w:val="bottom"/>
            <w:shd w:val="clear" w:color="auto" w:fill="F7F7F7"/>
          </w:tcPr>
          <w:p>
            <w:pPr>
              <w:spacing w:after="0"/>
              <w:rPr>
                <w:sz w:val="23"/>
                <w:szCs w:val="23"/>
                <w:color w:val="auto"/>
              </w:rPr>
            </w:pPr>
          </w:p>
        </w:tc>
        <w:tc>
          <w:tcPr>
            <w:tcW w:w="2440" w:type="dxa"/>
            <w:vAlign w:val="bottom"/>
            <w:shd w:val="clear" w:color="auto" w:fill="F7F7F7"/>
          </w:tcPr>
          <w:p>
            <w:pPr>
              <w:ind w:left="80"/>
              <w:spacing w:after="0"/>
              <w:rPr>
                <w:sz w:val="20"/>
                <w:szCs w:val="20"/>
                <w:color w:val="auto"/>
              </w:rPr>
            </w:pPr>
            <w:r>
              <w:rPr>
                <w:rFonts w:ascii="Arial" w:cs="Arial" w:eastAsia="Arial" w:hAnsi="Arial"/>
                <w:sz w:val="14"/>
                <w:szCs w:val="14"/>
                <w:color w:val="auto"/>
              </w:rPr>
              <w:t>Equity Compensation Plans</w:t>
            </w:r>
          </w:p>
        </w:tc>
        <w:tc>
          <w:tcPr>
            <w:tcW w:w="360" w:type="dxa"/>
            <w:vAlign w:val="bottom"/>
            <w:shd w:val="clear" w:color="auto" w:fill="F7F7F7"/>
          </w:tcPr>
          <w:p>
            <w:pPr>
              <w:spacing w:after="0"/>
              <w:rPr>
                <w:sz w:val="23"/>
                <w:szCs w:val="23"/>
                <w:color w:val="auto"/>
              </w:rPr>
            </w:pPr>
          </w:p>
        </w:tc>
        <w:tc>
          <w:tcPr>
            <w:tcW w:w="780" w:type="dxa"/>
            <w:vAlign w:val="bottom"/>
            <w:shd w:val="clear" w:color="auto" w:fill="F7F7F7"/>
          </w:tcPr>
          <w:p>
            <w:pPr>
              <w:spacing w:after="0"/>
              <w:rPr>
                <w:sz w:val="23"/>
                <w:szCs w:val="23"/>
                <w:color w:val="auto"/>
              </w:rPr>
            </w:pPr>
          </w:p>
        </w:tc>
        <w:tc>
          <w:tcPr>
            <w:tcW w:w="1200" w:type="dxa"/>
            <w:vAlign w:val="bottom"/>
            <w:shd w:val="clear" w:color="auto" w:fill="F7F7F7"/>
          </w:tcPr>
          <w:p>
            <w:pPr>
              <w:spacing w:after="0"/>
              <w:rPr>
                <w:sz w:val="23"/>
                <w:szCs w:val="23"/>
                <w:color w:val="auto"/>
              </w:rPr>
            </w:pPr>
          </w:p>
        </w:tc>
        <w:tc>
          <w:tcPr>
            <w:tcW w:w="240" w:type="dxa"/>
            <w:vAlign w:val="bottom"/>
            <w:shd w:val="clear" w:color="auto" w:fill="F7F7F7"/>
          </w:tcPr>
          <w:p>
            <w:pPr>
              <w:spacing w:after="0"/>
              <w:rPr>
                <w:sz w:val="23"/>
                <w:szCs w:val="23"/>
                <w:color w:val="auto"/>
              </w:rPr>
            </w:pPr>
          </w:p>
        </w:tc>
        <w:tc>
          <w:tcPr>
            <w:tcW w:w="1840" w:type="dxa"/>
            <w:vAlign w:val="bottom"/>
            <w:shd w:val="clear" w:color="auto" w:fill="F7F7F7"/>
          </w:tcPr>
          <w:p>
            <w:pPr>
              <w:spacing w:after="0"/>
              <w:rPr>
                <w:sz w:val="23"/>
                <w:szCs w:val="23"/>
                <w:color w:val="auto"/>
              </w:rPr>
            </w:pPr>
          </w:p>
        </w:tc>
        <w:tc>
          <w:tcPr>
            <w:tcW w:w="340" w:type="dxa"/>
            <w:vAlign w:val="bottom"/>
            <w:shd w:val="clear" w:color="auto" w:fill="F7F7F7"/>
          </w:tcPr>
          <w:p>
            <w:pPr>
              <w:spacing w:after="0"/>
              <w:rPr>
                <w:sz w:val="23"/>
                <w:szCs w:val="23"/>
                <w:color w:val="auto"/>
              </w:rPr>
            </w:pPr>
          </w:p>
        </w:tc>
        <w:tc>
          <w:tcPr>
            <w:tcW w:w="740" w:type="dxa"/>
            <w:vAlign w:val="bottom"/>
            <w:shd w:val="clear" w:color="auto" w:fill="F7F7F7"/>
          </w:tcPr>
          <w:p>
            <w:pPr>
              <w:spacing w:after="0"/>
              <w:rPr>
                <w:sz w:val="23"/>
                <w:szCs w:val="23"/>
                <w:color w:val="auto"/>
              </w:rPr>
            </w:pPr>
          </w:p>
        </w:tc>
        <w:tc>
          <w:tcPr>
            <w:tcW w:w="1140" w:type="dxa"/>
            <w:vAlign w:val="bottom"/>
            <w:shd w:val="clear" w:color="auto" w:fill="F7F7F7"/>
          </w:tcPr>
          <w:p>
            <w:pPr>
              <w:spacing w:after="0"/>
              <w:rPr>
                <w:sz w:val="23"/>
                <w:szCs w:val="23"/>
                <w:color w:val="auto"/>
              </w:rPr>
            </w:pPr>
          </w:p>
        </w:tc>
        <w:tc>
          <w:tcPr>
            <w:tcW w:w="260" w:type="dxa"/>
            <w:vAlign w:val="bottom"/>
            <w:shd w:val="clear" w:color="auto" w:fill="F7F7F7"/>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auto"/>
            </w:tcBorders>
            <w:shd w:val="clear" w:color="auto" w:fill="F7F7F7"/>
          </w:tcPr>
          <w:p>
            <w:pPr>
              <w:ind w:left="80"/>
              <w:spacing w:after="0"/>
              <w:rPr>
                <w:sz w:val="20"/>
                <w:szCs w:val="20"/>
                <w:color w:val="auto"/>
              </w:rPr>
            </w:pPr>
            <w:r>
              <w:rPr>
                <w:rFonts w:ascii="Arial" w:cs="Arial" w:eastAsia="Arial" w:hAnsi="Arial"/>
                <w:sz w:val="14"/>
                <w:szCs w:val="14"/>
                <w:color w:val="auto"/>
              </w:rPr>
              <w:t>Not Approved by Security Holders</w:t>
            </w:r>
          </w:p>
        </w:tc>
        <w:tc>
          <w:tcPr>
            <w:tcW w:w="360" w:type="dxa"/>
            <w:vAlign w:val="bottom"/>
            <w:tcBorders>
              <w:bottom w:val="single" w:sz="8" w:color="auto"/>
            </w:tcBorders>
            <w:shd w:val="clear" w:color="auto" w:fill="F7F7F7"/>
          </w:tcPr>
          <w:p>
            <w:pPr>
              <w:ind w:left="18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F7F7F7"/>
          </w:tcPr>
          <w:p>
            <w:pPr>
              <w:ind w:left="600"/>
              <w:spacing w:after="0" w:line="29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200" w:type="dxa"/>
            <w:vAlign w:val="bottom"/>
            <w:tcBorders>
              <w:bottom w:val="single" w:sz="8" w:color="auto"/>
            </w:tcBorders>
            <w:shd w:val="clear" w:color="auto" w:fill="F7F7F7"/>
          </w:tcPr>
          <w:p>
            <w:pPr>
              <w:jc w:val="right"/>
              <w:ind w:right="52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 ​</w:t>
            </w:r>
          </w:p>
        </w:tc>
        <w:tc>
          <w:tcPr>
            <w:tcW w:w="1840" w:type="dxa"/>
            <w:vAlign w:val="bottom"/>
            <w:tcBorders>
              <w:bottom w:val="single" w:sz="8" w:color="auto"/>
            </w:tcBorders>
            <w:shd w:val="clear" w:color="auto" w:fill="F7F7F7"/>
          </w:tcPr>
          <w:p>
            <w:pPr>
              <w:ind w:left="780"/>
              <w:spacing w:after="0" w:line="29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  —</w:t>
            </w:r>
          </w:p>
        </w:tc>
        <w:tc>
          <w:tcPr>
            <w:tcW w:w="340" w:type="dxa"/>
            <w:vAlign w:val="bottom"/>
            <w:tcBorders>
              <w:bottom w:val="single" w:sz="8" w:color="auto"/>
            </w:tcBorders>
            <w:shd w:val="clear" w:color="auto" w:fill="F7F7F7"/>
          </w:tcPr>
          <w:p>
            <w:pPr>
              <w:ind w:left="1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auto"/>
            </w:tcBorders>
            <w:shd w:val="clear" w:color="auto" w:fill="F7F7F7"/>
          </w:tcPr>
          <w:p>
            <w:pPr>
              <w:ind w:left="560"/>
              <w:spacing w:after="0" w:line="29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140" w:type="dxa"/>
            <w:vAlign w:val="bottom"/>
            <w:tcBorders>
              <w:bottom w:val="single" w:sz="8" w:color="auto"/>
            </w:tcBorders>
            <w:shd w:val="clear" w:color="auto" w:fill="F7F7F7"/>
          </w:tcPr>
          <w:p>
            <w:pPr>
              <w:jc w:val="right"/>
              <w:ind w:right="453"/>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2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 ​</w:t>
            </w:r>
          </w:p>
        </w:tc>
        <w:tc>
          <w:tcPr>
            <w:tcW w:w="1980" w:type="dxa"/>
            <w:vAlign w:val="bottom"/>
            <w:tcBorders>
              <w:bottom w:val="single" w:sz="8" w:color="auto"/>
            </w:tcBorders>
            <w:gridSpan w:val="2"/>
          </w:tcPr>
          <w:p>
            <w:pPr>
              <w:jc w:val="right"/>
              <w:ind w:right="527"/>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​79,583,873</w:t>
            </w: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w:t>
            </w:r>
          </w:p>
        </w:tc>
        <w:tc>
          <w:tcPr>
            <w:tcW w:w="1840" w:type="dxa"/>
            <w:vAlign w:val="bottom"/>
            <w:tcBorders>
              <w:bottom w:val="single" w:sz="8" w:color="auto"/>
            </w:tcBorders>
          </w:tcPr>
          <w:p>
            <w:pPr>
              <w:ind w:left="7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$ 1.19</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w:t>
            </w:r>
          </w:p>
        </w:tc>
        <w:tc>
          <w:tcPr>
            <w:tcW w:w="1880" w:type="dxa"/>
            <w:vAlign w:val="bottom"/>
            <w:tcBorders>
              <w:bottom w:val="single" w:sz="8" w:color="auto"/>
            </w:tcBorders>
            <w:gridSpan w:val="2"/>
          </w:tcPr>
          <w:p>
            <w:pPr>
              <w:jc w:val="right"/>
              <w:ind w:right="453"/>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​26,904,705</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780" w:hanging="126"/>
        <w:spacing w:after="0"/>
        <w:tabs>
          <w:tab w:leader="none" w:pos="780" w:val="left"/>
        </w:tabs>
        <w:numPr>
          <w:ilvl w:val="0"/>
          <w:numId w:val="48"/>
        </w:numPr>
        <w:rPr>
          <w:rFonts w:ascii="Arial" w:cs="Arial" w:eastAsia="Arial" w:hAnsi="Arial"/>
          <w:sz w:val="15"/>
          <w:szCs w:val="15"/>
          <w:color w:val="auto"/>
          <w:vertAlign w:val="superscript"/>
        </w:rPr>
      </w:pPr>
      <w:r>
        <w:rPr>
          <w:rFonts w:ascii="Arial" w:cs="Arial" w:eastAsia="Arial" w:hAnsi="Arial"/>
          <w:sz w:val="10"/>
          <w:szCs w:val="10"/>
          <w:color w:val="auto"/>
        </w:rPr>
        <w:t>Consists of options to purchase shares of our Common Stock and restricted stock unit awards representing the right to acquire shares of our Common Stock.</w:t>
      </w:r>
    </w:p>
    <w:p>
      <w:pPr>
        <w:spacing w:after="0" w:line="87" w:lineRule="exact"/>
        <w:rPr>
          <w:rFonts w:ascii="Arial" w:cs="Arial" w:eastAsia="Arial" w:hAnsi="Arial"/>
          <w:sz w:val="15"/>
          <w:szCs w:val="15"/>
          <w:color w:val="auto"/>
          <w:vertAlign w:val="superscript"/>
        </w:rPr>
      </w:pPr>
    </w:p>
    <w:p>
      <w:pPr>
        <w:ind w:left="780" w:right="240" w:hanging="126"/>
        <w:spacing w:after="0" w:line="219" w:lineRule="auto"/>
        <w:tabs>
          <w:tab w:leader="none" w:pos="780" w:val="left"/>
        </w:tabs>
        <w:numPr>
          <w:ilvl w:val="0"/>
          <w:numId w:val="48"/>
        </w:numPr>
        <w:rPr>
          <w:rFonts w:ascii="Arial" w:cs="Arial" w:eastAsia="Arial" w:hAnsi="Arial"/>
          <w:sz w:val="15"/>
          <w:szCs w:val="15"/>
          <w:color w:val="auto"/>
          <w:vertAlign w:val="superscript"/>
        </w:rPr>
      </w:pPr>
      <w:r>
        <w:rPr>
          <w:rFonts w:ascii="Arial" w:cs="Arial" w:eastAsia="Arial" w:hAnsi="Arial"/>
          <w:sz w:val="10"/>
          <w:szCs w:val="10"/>
          <w:color w:val="auto"/>
        </w:rPr>
        <w:t>The weighted average exercise price is calculated based solely on the outstanding stock options. It does not take into account the shares issuable upon vesting of outstanding restricted stock unit awards, which have no exercise price.</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48"/>
        </w:numPr>
        <w:rPr>
          <w:rFonts w:ascii="Arial" w:cs="Arial" w:eastAsia="Arial" w:hAnsi="Arial"/>
          <w:sz w:val="15"/>
          <w:szCs w:val="15"/>
          <w:color w:val="auto"/>
          <w:vertAlign w:val="superscript"/>
        </w:rPr>
      </w:pPr>
      <w:r>
        <w:rPr>
          <w:rFonts w:ascii="Arial" w:cs="Arial" w:eastAsia="Arial" w:hAnsi="Arial"/>
          <w:sz w:val="10"/>
          <w:szCs w:val="10"/>
          <w:color w:val="auto"/>
        </w:rPr>
        <w:t>Consists of shares of Common Stock remaining available for issuance under both the Plan and the ESPP Addendum.</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63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CEO Pay Ratio</w:t>
      </w:r>
    </w:p>
    <w:p>
      <w:pPr>
        <w:spacing w:after="0" w:line="400" w:lineRule="exact"/>
        <w:rPr>
          <w:sz w:val="20"/>
          <w:szCs w:val="20"/>
          <w:color w:val="auto"/>
        </w:rPr>
      </w:pPr>
    </w:p>
    <w:p>
      <w:pPr>
        <w:ind w:left="660" w:right="180"/>
        <w:spacing w:after="0" w:line="301" w:lineRule="auto"/>
        <w:rPr>
          <w:sz w:val="20"/>
          <w:szCs w:val="20"/>
          <w:color w:val="auto"/>
        </w:rPr>
      </w:pPr>
      <w:r>
        <w:rPr>
          <w:rFonts w:ascii="Arial" w:cs="Arial" w:eastAsia="Arial" w:hAnsi="Arial"/>
          <w:sz w:val="16"/>
          <w:szCs w:val="16"/>
          <w:color w:val="auto"/>
        </w:rPr>
        <w:t>In accordance with the requirements of Section 953(b) of the Dodd-Frank Act and Item 402(u) of Regulation S-K (which we collectively refer to as the “Pay Ratio Rule”), we are providing the following estimated information for 2022 (the first year for which we are required to provide such information):</w:t>
      </w:r>
    </w:p>
    <w:p>
      <w:pPr>
        <w:spacing w:after="0" w:line="91" w:lineRule="exact"/>
        <w:rPr>
          <w:sz w:val="20"/>
          <w:szCs w:val="20"/>
          <w:color w:val="auto"/>
        </w:rPr>
      </w:pPr>
    </w:p>
    <w:p>
      <w:pPr>
        <w:ind w:left="820" w:hanging="166"/>
        <w:spacing w:after="0"/>
        <w:tabs>
          <w:tab w:leader="none" w:pos="820" w:val="left"/>
        </w:tabs>
        <w:numPr>
          <w:ilvl w:val="0"/>
          <w:numId w:val="49"/>
        </w:numPr>
        <w:rPr>
          <w:rFonts w:ascii="Arial" w:cs="Arial" w:eastAsia="Arial" w:hAnsi="Arial"/>
          <w:sz w:val="16"/>
          <w:szCs w:val="16"/>
          <w:color w:val="8A6B24"/>
        </w:rPr>
      </w:pPr>
      <w:r>
        <w:rPr>
          <w:rFonts w:ascii="Arial" w:cs="Arial" w:eastAsia="Arial" w:hAnsi="Arial"/>
          <w:sz w:val="16"/>
          <w:szCs w:val="16"/>
          <w:color w:val="auto"/>
        </w:rPr>
        <w:t>the Annual Total Compensation of our CEO was $604,114;</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49"/>
        </w:numPr>
        <w:rPr>
          <w:rFonts w:ascii="Arial" w:cs="Arial" w:eastAsia="Arial" w:hAnsi="Arial"/>
          <w:sz w:val="16"/>
          <w:szCs w:val="16"/>
          <w:color w:val="8A6B24"/>
        </w:rPr>
      </w:pPr>
      <w:r>
        <w:rPr>
          <w:rFonts w:ascii="Arial" w:cs="Arial" w:eastAsia="Arial" w:hAnsi="Arial"/>
          <w:sz w:val="16"/>
          <w:szCs w:val="16"/>
          <w:color w:val="auto"/>
        </w:rPr>
        <w:t>the Annual Total Compensation of our median employee was $106,229; and</w:t>
      </w:r>
    </w:p>
    <w:p>
      <w:pPr>
        <w:spacing w:after="0" w:line="167" w:lineRule="exact"/>
        <w:rPr>
          <w:rFonts w:ascii="Arial" w:cs="Arial" w:eastAsia="Arial" w:hAnsi="Arial"/>
          <w:sz w:val="16"/>
          <w:szCs w:val="16"/>
          <w:color w:val="8A6B24"/>
        </w:rPr>
      </w:pPr>
    </w:p>
    <w:p>
      <w:pPr>
        <w:ind w:left="820" w:right="200" w:hanging="166"/>
        <w:spacing w:after="0" w:line="321" w:lineRule="auto"/>
        <w:tabs>
          <w:tab w:leader="none" w:pos="820" w:val="left"/>
        </w:tabs>
        <w:numPr>
          <w:ilvl w:val="0"/>
          <w:numId w:val="49"/>
        </w:numPr>
        <w:rPr>
          <w:rFonts w:ascii="Arial" w:cs="Arial" w:eastAsia="Arial" w:hAnsi="Arial"/>
          <w:sz w:val="16"/>
          <w:szCs w:val="16"/>
          <w:color w:val="8A6B24"/>
        </w:rPr>
      </w:pPr>
      <w:r>
        <w:rPr>
          <w:rFonts w:ascii="Arial" w:cs="Arial" w:eastAsia="Arial" w:hAnsi="Arial"/>
          <w:sz w:val="16"/>
          <w:szCs w:val="16"/>
          <w:color w:val="auto"/>
        </w:rPr>
        <w:t>the ratio of these two amounts was 6 to 1. We believe that this ratio is a reasonable estimate calculated in a manner consistent with the requirements of the Pay Ratio Rule.</w:t>
      </w:r>
    </w:p>
    <w:p>
      <w:pPr>
        <w:spacing w:after="0" w:line="156" w:lineRule="exact"/>
        <w:rPr>
          <w:sz w:val="20"/>
          <w:szCs w:val="20"/>
          <w:color w:val="auto"/>
        </w:rPr>
      </w:pPr>
    </w:p>
    <w:p>
      <w:pPr>
        <w:ind w:left="660" w:right="80"/>
        <w:spacing w:after="0" w:line="289" w:lineRule="auto"/>
        <w:rPr>
          <w:sz w:val="20"/>
          <w:szCs w:val="20"/>
          <w:color w:val="auto"/>
        </w:rPr>
      </w:pPr>
      <w:r>
        <w:rPr>
          <w:rFonts w:ascii="Arial" w:cs="Arial" w:eastAsia="Arial" w:hAnsi="Arial"/>
          <w:sz w:val="16"/>
          <w:szCs w:val="16"/>
          <w:color w:val="auto"/>
        </w:rPr>
        <w:t>“Annual Total Compensation” of our CEO and median employee for purposes of the Pay Ratio Rule was calculated using the same methodology we used for purposes of determining the annual total compensation for our NEOs for 2022 (as set forth in the Summary Compensation Table), adjusted to include the cost to the Company in 2022 of group medical, dental, and vision coverages, which are provided to all employees on a non-discriminatory basis. SEC rules for identifying the median employee and calculating the pay ratio allow companies to apply various methodologies and apply various assumptions and, as result, the pay ratio reported by us may not be comparable to the pay ratio reported by other companies.</w:t>
      </w:r>
    </w:p>
    <w:p>
      <w:pPr>
        <w:spacing w:after="0" w:line="183" w:lineRule="exact"/>
        <w:rPr>
          <w:sz w:val="20"/>
          <w:szCs w:val="20"/>
          <w:color w:val="auto"/>
        </w:rPr>
      </w:pPr>
    </w:p>
    <w:p>
      <w:pPr>
        <w:ind w:left="660" w:right="40"/>
        <w:spacing w:after="0" w:line="295" w:lineRule="auto"/>
        <w:rPr>
          <w:sz w:val="20"/>
          <w:szCs w:val="20"/>
          <w:color w:val="auto"/>
        </w:rPr>
      </w:pPr>
      <w:r>
        <w:rPr>
          <w:rFonts w:ascii="Arial" w:cs="Arial" w:eastAsia="Arial" w:hAnsi="Arial"/>
          <w:sz w:val="16"/>
          <w:szCs w:val="16"/>
          <w:color w:val="auto"/>
        </w:rPr>
        <w:t>We used December 31 as the date for determining the employees to be considered in computing the pay ratio. As of December 31, 2022, our employee population consisted of approximately 7,260 individuals (of which approximately 96% were located in the United States and approximately 4% were located in jurisdictions outside the United States). Our employee population consisted of our global workforce of full-time, part-time, seasonal, and temporary employees.</w:t>
      </w:r>
    </w:p>
    <w:p>
      <w:pPr>
        <w:spacing w:after="0" w:line="175"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To identify our median employee from our total employee population (excluding our CEO), we used “base pay” for the full 2022 calendar year as our consistently applied compensation measure, which was determined using base salary or base hourly wage as reflected in our payroll records. Based on our consistently applied compensation measure, several employees were at the median compensation level. The median employee was determined by calculating Annual Total Compensation for all such employees and identifying the median compensated employee from this group. Using the methodologies described above, our median employee was a full-time, hourly employee located in the United States with Annual Total Compensation of  $106,229.</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​64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Pay Versus Performance</w:t>
      </w:r>
    </w:p>
    <w:p>
      <w:pPr>
        <w:spacing w:after="0" w:line="400" w:lineRule="exact"/>
        <w:rPr>
          <w:sz w:val="20"/>
          <w:szCs w:val="20"/>
          <w:color w:val="auto"/>
        </w:rPr>
      </w:pPr>
    </w:p>
    <w:p>
      <w:pPr>
        <w:ind w:left="660" w:right="220"/>
        <w:spacing w:after="0" w:line="306" w:lineRule="auto"/>
        <w:rPr>
          <w:sz w:val="20"/>
          <w:szCs w:val="20"/>
          <w:color w:val="auto"/>
        </w:rPr>
      </w:pPr>
      <w:r>
        <w:rPr>
          <w:rFonts w:ascii="Arial" w:cs="Arial" w:eastAsia="Arial" w:hAnsi="Arial"/>
          <w:sz w:val="16"/>
          <w:szCs w:val="16"/>
          <w:color w:val="auto"/>
        </w:rPr>
        <w:t>The following table sets forth the compensation for our CEO (also referred to as “PEO”) and the average compensation for our other NEOs, both as reported in the Summary Compensation Table and with certain adjustments to reflect the “compensation actually paid” to such individuals, as defined under SEC rules, for each of 2022 and 2021. The table also provides information on our cumulative total shareholder return (“TSR”), the cumulative TSR of our peer group, Net Income and Revenue.</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10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EFEFE"/>
              </w:rPr>
              <w:t>​</w:t>
            </w:r>
          </w:p>
        </w:tc>
        <w:tc>
          <w:tcPr>
            <w:tcW w:w="52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80" w:type="dxa"/>
            <w:vAlign w:val="bottom"/>
            <w:shd w:val="clear" w:color="auto" w:fill="000000"/>
          </w:tcPr>
          <w:p>
            <w:pPr>
              <w:spacing w:after="0"/>
              <w:rPr>
                <w:sz w:val="16"/>
                <w:szCs w:val="16"/>
                <w:color w:val="auto"/>
              </w:rPr>
            </w:pPr>
          </w:p>
        </w:tc>
        <w:tc>
          <w:tcPr>
            <w:tcW w:w="820" w:type="dxa"/>
            <w:vAlign w:val="bottom"/>
            <w:shd w:val="clear" w:color="auto" w:fill="000000"/>
          </w:tcPr>
          <w:p>
            <w:pPr>
              <w:spacing w:after="0"/>
              <w:rPr>
                <w:sz w:val="16"/>
                <w:szCs w:val="16"/>
                <w:color w:val="auto"/>
              </w:rPr>
            </w:pPr>
          </w:p>
        </w:tc>
        <w:tc>
          <w:tcPr>
            <w:tcW w:w="1140" w:type="dxa"/>
            <w:vAlign w:val="bottom"/>
            <w:shd w:val="clear" w:color="auto" w:fill="000000"/>
          </w:tcPr>
          <w:p>
            <w:pPr>
              <w:spacing w:after="0"/>
              <w:rPr>
                <w:sz w:val="16"/>
                <w:szCs w:val="16"/>
                <w:color w:val="auto"/>
              </w:rPr>
            </w:pPr>
          </w:p>
        </w:tc>
        <w:tc>
          <w:tcPr>
            <w:tcW w:w="106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0" w:type="dxa"/>
            <w:vAlign w:val="bottom"/>
            <w:gridSpan w:val="4"/>
            <w:vMerge w:val="restart"/>
            <w:shd w:val="clear" w:color="auto" w:fill="000000"/>
          </w:tcPr>
          <w:p>
            <w:pPr>
              <w:spacing w:after="0"/>
              <w:rPr>
                <w:sz w:val="20"/>
                <w:szCs w:val="20"/>
                <w:color w:val="auto"/>
              </w:rPr>
            </w:pPr>
            <w:r>
              <w:rPr>
                <w:rFonts w:ascii="Arial" w:cs="Arial" w:eastAsia="Arial" w:hAnsi="Arial"/>
                <w:sz w:val="13"/>
                <w:szCs w:val="13"/>
                <w:b w:val="1"/>
                <w:bCs w:val="1"/>
                <w:color w:val="FEFEFE"/>
              </w:rPr>
              <w:t>Pay Versus Performance</w:t>
            </w:r>
          </w:p>
        </w:tc>
        <w:tc>
          <w:tcPr>
            <w:tcW w:w="420" w:type="dxa"/>
            <w:vAlign w:val="bottom"/>
            <w:shd w:val="clear" w:color="auto" w:fill="000000"/>
          </w:tcPr>
          <w:p>
            <w:pPr>
              <w:spacing w:after="0"/>
              <w:rPr>
                <w:sz w:val="16"/>
                <w:szCs w:val="16"/>
                <w:color w:val="auto"/>
              </w:rPr>
            </w:pPr>
          </w:p>
        </w:tc>
        <w:tc>
          <w:tcPr>
            <w:tcW w:w="34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440" w:type="dxa"/>
            <w:vAlign w:val="bottom"/>
            <w:shd w:val="clear" w:color="auto" w:fill="000000"/>
          </w:tcPr>
          <w:p>
            <w:pPr>
              <w:spacing w:after="0"/>
              <w:rPr>
                <w:sz w:val="16"/>
                <w:szCs w:val="16"/>
                <w:color w:val="auto"/>
              </w:rPr>
            </w:pPr>
          </w:p>
        </w:tc>
        <w:tc>
          <w:tcPr>
            <w:tcW w:w="14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240" w:type="dxa"/>
            <w:vAlign w:val="bottom"/>
            <w:shd w:val="clear" w:color="auto" w:fill="000000"/>
          </w:tcPr>
          <w:p>
            <w:pPr>
              <w:spacing w:after="0"/>
              <w:rPr>
                <w:sz w:val="16"/>
                <w:szCs w:val="16"/>
                <w:color w:val="auto"/>
              </w:rPr>
            </w:pPr>
          </w:p>
        </w:tc>
        <w:tc>
          <w:tcPr>
            <w:tcW w:w="580" w:type="dxa"/>
            <w:vAlign w:val="bottom"/>
            <w:shd w:val="clear" w:color="auto" w:fill="000000"/>
          </w:tcPr>
          <w:p>
            <w:pPr>
              <w:spacing w:after="0"/>
              <w:rPr>
                <w:sz w:val="16"/>
                <w:szCs w:val="16"/>
                <w:color w:val="auto"/>
              </w:rPr>
            </w:pPr>
          </w:p>
        </w:tc>
        <w:tc>
          <w:tcPr>
            <w:tcW w:w="260" w:type="dxa"/>
            <w:vAlign w:val="bottom"/>
            <w:shd w:val="clear" w:color="auto" w:fill="000000"/>
          </w:tcPr>
          <w:p>
            <w:pPr>
              <w:spacing w:after="0"/>
              <w:rPr>
                <w:sz w:val="16"/>
                <w:szCs w:val="16"/>
                <w:color w:val="auto"/>
              </w:rPr>
            </w:pPr>
          </w:p>
        </w:tc>
        <w:tc>
          <w:tcPr>
            <w:tcW w:w="240" w:type="dxa"/>
            <w:vAlign w:val="bottom"/>
            <w:shd w:val="clear" w:color="auto" w:fill="000000"/>
          </w:tcPr>
          <w:p>
            <w:pPr>
              <w:spacing w:after="0"/>
              <w:rPr>
                <w:sz w:val="16"/>
                <w:szCs w:val="16"/>
                <w:color w:val="auto"/>
              </w:rPr>
            </w:pPr>
          </w:p>
        </w:tc>
        <w:tc>
          <w:tcPr>
            <w:tcW w:w="480" w:type="dxa"/>
            <w:vAlign w:val="bottom"/>
            <w:shd w:val="clear" w:color="auto" w:fill="000000"/>
          </w:tcPr>
          <w:p>
            <w:pPr>
              <w:spacing w:after="0"/>
              <w:rPr>
                <w:sz w:val="16"/>
                <w:szCs w:val="16"/>
                <w:color w:val="auto"/>
              </w:rPr>
            </w:pPr>
          </w:p>
        </w:tc>
        <w:tc>
          <w:tcPr>
            <w:tcW w:w="140" w:type="dxa"/>
            <w:vAlign w:val="bottom"/>
            <w:shd w:val="clear" w:color="auto" w:fill="000000"/>
          </w:tcPr>
          <w:p>
            <w:pPr>
              <w:spacing w:after="0"/>
              <w:rPr>
                <w:sz w:val="16"/>
                <w:szCs w:val="16"/>
                <w:color w:val="auto"/>
              </w:rPr>
            </w:pPr>
          </w:p>
        </w:tc>
        <w:tc>
          <w:tcPr>
            <w:tcW w:w="1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17"/>
        </w:trPr>
        <w:tc>
          <w:tcPr>
            <w:tcW w:w="100" w:type="dxa"/>
            <w:vAlign w:val="bottom"/>
            <w:shd w:val="clear" w:color="auto" w:fill="000000"/>
          </w:tcPr>
          <w:p>
            <w:pPr>
              <w:spacing w:after="0"/>
              <w:rPr>
                <w:sz w:val="10"/>
                <w:szCs w:val="10"/>
                <w:color w:val="auto"/>
              </w:rPr>
            </w:pPr>
          </w:p>
        </w:tc>
        <w:tc>
          <w:tcPr>
            <w:tcW w:w="52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820" w:type="dxa"/>
            <w:vAlign w:val="bottom"/>
            <w:shd w:val="clear" w:color="auto" w:fill="000000"/>
          </w:tcPr>
          <w:p>
            <w:pPr>
              <w:spacing w:after="0"/>
              <w:rPr>
                <w:sz w:val="10"/>
                <w:szCs w:val="10"/>
                <w:color w:val="auto"/>
              </w:rPr>
            </w:pPr>
          </w:p>
        </w:tc>
        <w:tc>
          <w:tcPr>
            <w:tcW w:w="1140" w:type="dxa"/>
            <w:vAlign w:val="bottom"/>
            <w:shd w:val="clear" w:color="auto" w:fill="000000"/>
          </w:tcPr>
          <w:p>
            <w:pPr>
              <w:spacing w:after="0"/>
              <w:rPr>
                <w:sz w:val="10"/>
                <w:szCs w:val="10"/>
                <w:color w:val="auto"/>
              </w:rPr>
            </w:pPr>
          </w:p>
        </w:tc>
        <w:tc>
          <w:tcPr>
            <w:tcW w:w="1060" w:type="dxa"/>
            <w:vAlign w:val="bottom"/>
            <w:shd w:val="clear" w:color="auto" w:fill="000000"/>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600" w:type="dxa"/>
            <w:vAlign w:val="bottom"/>
            <w:gridSpan w:val="4"/>
            <w:vMerge w:val="continue"/>
            <w:shd w:val="clear" w:color="auto" w:fill="000000"/>
          </w:tcPr>
          <w:p>
            <w:pPr>
              <w:spacing w:after="0"/>
              <w:rPr>
                <w:sz w:val="10"/>
                <w:szCs w:val="10"/>
                <w:color w:val="auto"/>
              </w:rPr>
            </w:pPr>
          </w:p>
        </w:tc>
        <w:tc>
          <w:tcPr>
            <w:tcW w:w="420" w:type="dxa"/>
            <w:vAlign w:val="bottom"/>
            <w:shd w:val="clear" w:color="auto" w:fill="000000"/>
          </w:tcPr>
          <w:p>
            <w:pPr>
              <w:spacing w:after="0"/>
              <w:rPr>
                <w:sz w:val="10"/>
                <w:szCs w:val="10"/>
                <w:color w:val="auto"/>
              </w:rPr>
            </w:pPr>
          </w:p>
        </w:tc>
        <w:tc>
          <w:tcPr>
            <w:tcW w:w="34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580" w:type="dxa"/>
            <w:vAlign w:val="bottom"/>
            <w:shd w:val="clear" w:color="auto" w:fill="000000"/>
          </w:tcPr>
          <w:p>
            <w:pPr>
              <w:spacing w:after="0"/>
              <w:rPr>
                <w:sz w:val="10"/>
                <w:szCs w:val="10"/>
                <w:color w:val="auto"/>
              </w:rPr>
            </w:pPr>
          </w:p>
        </w:tc>
        <w:tc>
          <w:tcPr>
            <w:tcW w:w="260" w:type="dxa"/>
            <w:vAlign w:val="bottom"/>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48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0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w:t>
            </w:r>
          </w:p>
        </w:tc>
        <w:tc>
          <w:tcPr>
            <w:tcW w:w="52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820" w:type="dxa"/>
            <w:vAlign w:val="bottom"/>
            <w:shd w:val="clear" w:color="auto" w:fill="000000"/>
          </w:tcPr>
          <w:p>
            <w:pPr>
              <w:spacing w:after="0"/>
              <w:rPr>
                <w:sz w:val="10"/>
                <w:szCs w:val="10"/>
                <w:color w:val="auto"/>
              </w:rPr>
            </w:pPr>
          </w:p>
        </w:tc>
        <w:tc>
          <w:tcPr>
            <w:tcW w:w="1140" w:type="dxa"/>
            <w:vAlign w:val="bottom"/>
            <w:shd w:val="clear" w:color="auto" w:fill="000000"/>
          </w:tcPr>
          <w:p>
            <w:pPr>
              <w:spacing w:after="0"/>
              <w:rPr>
                <w:sz w:val="10"/>
                <w:szCs w:val="10"/>
                <w:color w:val="auto"/>
              </w:rPr>
            </w:pPr>
          </w:p>
        </w:tc>
        <w:tc>
          <w:tcPr>
            <w:tcW w:w="1060" w:type="dxa"/>
            <w:vAlign w:val="bottom"/>
            <w:shd w:val="clear" w:color="auto" w:fill="000000"/>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60" w:type="dxa"/>
            <w:vAlign w:val="bottom"/>
            <w:shd w:val="clear" w:color="auto" w:fill="000000"/>
          </w:tcPr>
          <w:p>
            <w:pPr>
              <w:spacing w:after="0"/>
              <w:rPr>
                <w:sz w:val="10"/>
                <w:szCs w:val="10"/>
                <w:color w:val="auto"/>
              </w:rPr>
            </w:pPr>
          </w:p>
        </w:tc>
        <w:tc>
          <w:tcPr>
            <w:tcW w:w="780" w:type="dxa"/>
            <w:vAlign w:val="bottom"/>
            <w:shd w:val="clear" w:color="auto" w:fill="000000"/>
          </w:tcPr>
          <w:p>
            <w:pPr>
              <w:spacing w:after="0"/>
              <w:rPr>
                <w:sz w:val="10"/>
                <w:szCs w:val="10"/>
                <w:color w:val="auto"/>
              </w:rPr>
            </w:pPr>
          </w:p>
        </w:tc>
        <w:tc>
          <w:tcPr>
            <w:tcW w:w="26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420" w:type="dxa"/>
            <w:vAlign w:val="bottom"/>
            <w:shd w:val="clear" w:color="auto" w:fill="000000"/>
          </w:tcPr>
          <w:p>
            <w:pPr>
              <w:spacing w:after="0"/>
              <w:rPr>
                <w:sz w:val="10"/>
                <w:szCs w:val="10"/>
                <w:color w:val="auto"/>
              </w:rPr>
            </w:pPr>
          </w:p>
        </w:tc>
        <w:tc>
          <w:tcPr>
            <w:tcW w:w="34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580" w:type="dxa"/>
            <w:vAlign w:val="bottom"/>
            <w:shd w:val="clear" w:color="auto" w:fill="000000"/>
          </w:tcPr>
          <w:p>
            <w:pPr>
              <w:spacing w:after="0"/>
              <w:rPr>
                <w:sz w:val="10"/>
                <w:szCs w:val="10"/>
                <w:color w:val="auto"/>
              </w:rPr>
            </w:pPr>
          </w:p>
        </w:tc>
        <w:tc>
          <w:tcPr>
            <w:tcW w:w="260" w:type="dxa"/>
            <w:vAlign w:val="bottom"/>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48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0" w:type="dxa"/>
            <w:vAlign w:val="bottom"/>
            <w:vMerge w:val="continue"/>
            <w:shd w:val="clear" w:color="auto" w:fill="000000"/>
          </w:tcPr>
          <w:p>
            <w:pPr>
              <w:spacing w:after="0"/>
              <w:rPr>
                <w:sz w:val="10"/>
                <w:szCs w:val="10"/>
                <w:color w:val="auto"/>
              </w:rPr>
            </w:pPr>
          </w:p>
        </w:tc>
        <w:tc>
          <w:tcPr>
            <w:tcW w:w="520" w:type="dxa"/>
            <w:vAlign w:val="bottom"/>
            <w:shd w:val="clear" w:color="auto" w:fill="000000"/>
          </w:tcPr>
          <w:p>
            <w:pPr>
              <w:spacing w:after="0" w:line="124" w:lineRule="exact"/>
              <w:rPr>
                <w:sz w:val="20"/>
                <w:szCs w:val="20"/>
                <w:color w:val="auto"/>
              </w:rPr>
            </w:pPr>
            <w:r>
              <w:rPr>
                <w:rFonts w:ascii="Arial" w:cs="Arial" w:eastAsia="Arial" w:hAnsi="Arial"/>
                <w:sz w:val="13"/>
                <w:szCs w:val="13"/>
                <w:b w:val="1"/>
                <w:bCs w:val="1"/>
                <w:color w:val="FEFEFE"/>
              </w:rPr>
              <w:t>​</w:t>
            </w:r>
          </w:p>
        </w:tc>
        <w:tc>
          <w:tcPr>
            <w:tcW w:w="260" w:type="dxa"/>
            <w:vAlign w:val="bottom"/>
            <w:gridSpan w:val="2"/>
            <w:shd w:val="clear" w:color="auto" w:fill="000000"/>
          </w:tcPr>
          <w:p>
            <w:pPr>
              <w:jc w:val="right"/>
              <w:spacing w:after="0" w:line="124" w:lineRule="exact"/>
              <w:rPr>
                <w:sz w:val="20"/>
                <w:szCs w:val="20"/>
                <w:color w:val="auto"/>
              </w:rPr>
            </w:pPr>
            <w:r>
              <w:rPr>
                <w:rFonts w:ascii="Arial" w:cs="Arial" w:eastAsia="Arial" w:hAnsi="Arial"/>
                <w:sz w:val="13"/>
                <w:szCs w:val="13"/>
                <w:b w:val="1"/>
                <w:bCs w:val="1"/>
                <w:color w:val="FEFEFE"/>
              </w:rPr>
              <w:t>​ ​​</w:t>
            </w:r>
          </w:p>
        </w:tc>
        <w:tc>
          <w:tcPr>
            <w:tcW w:w="820" w:type="dxa"/>
            <w:vAlign w:val="bottom"/>
            <w:shd w:val="clear" w:color="auto" w:fill="000000"/>
          </w:tcPr>
          <w:p>
            <w:pPr>
              <w:spacing w:after="0"/>
              <w:rPr>
                <w:sz w:val="10"/>
                <w:szCs w:val="10"/>
                <w:color w:val="auto"/>
              </w:rPr>
            </w:pPr>
          </w:p>
        </w:tc>
        <w:tc>
          <w:tcPr>
            <w:tcW w:w="1140" w:type="dxa"/>
            <w:vAlign w:val="bottom"/>
            <w:shd w:val="clear" w:color="auto" w:fill="000000"/>
          </w:tcPr>
          <w:p>
            <w:pPr>
              <w:spacing w:after="0" w:line="124" w:lineRule="exact"/>
              <w:rPr>
                <w:sz w:val="20"/>
                <w:szCs w:val="20"/>
                <w:color w:val="auto"/>
              </w:rPr>
            </w:pPr>
            <w:r>
              <w:rPr>
                <w:rFonts w:ascii="Arial" w:cs="Arial" w:eastAsia="Arial" w:hAnsi="Arial"/>
                <w:sz w:val="13"/>
                <w:szCs w:val="13"/>
                <w:b w:val="1"/>
                <w:bCs w:val="1"/>
                <w:color w:val="FEFEFE"/>
              </w:rPr>
              <w:t>​​ ​​</w:t>
            </w:r>
          </w:p>
        </w:tc>
        <w:tc>
          <w:tcPr>
            <w:tcW w:w="1060" w:type="dxa"/>
            <w:vAlign w:val="bottom"/>
            <w:shd w:val="clear" w:color="auto" w:fill="000000"/>
          </w:tcPr>
          <w:p>
            <w:pPr>
              <w:spacing w:after="0" w:line="124" w:lineRule="exact"/>
              <w:rPr>
                <w:sz w:val="20"/>
                <w:szCs w:val="20"/>
                <w:color w:val="auto"/>
              </w:rPr>
            </w:pPr>
            <w:r>
              <w:rPr>
                <w:rFonts w:ascii="Arial" w:cs="Arial" w:eastAsia="Arial" w:hAnsi="Arial"/>
                <w:sz w:val="13"/>
                <w:szCs w:val="13"/>
                <w:b w:val="1"/>
                <w:bCs w:val="1"/>
                <w:color w:val="FEFEFE"/>
              </w:rPr>
              <w:t>​​ ​ ​</w:t>
            </w:r>
          </w:p>
        </w:tc>
        <w:tc>
          <w:tcPr>
            <w:tcW w:w="380" w:type="dxa"/>
            <w:vAlign w:val="bottom"/>
            <w:gridSpan w:val="2"/>
            <w:shd w:val="clear" w:color="auto" w:fill="000000"/>
          </w:tcPr>
          <w:p>
            <w:pPr>
              <w:jc w:val="right"/>
              <w:spacing w:after="0" w:line="124" w:lineRule="exact"/>
              <w:rPr>
                <w:sz w:val="20"/>
                <w:szCs w:val="20"/>
                <w:color w:val="auto"/>
              </w:rPr>
            </w:pPr>
            <w:r>
              <w:rPr>
                <w:rFonts w:ascii="Arial" w:cs="Arial" w:eastAsia="Arial" w:hAnsi="Arial"/>
                <w:sz w:val="13"/>
                <w:szCs w:val="13"/>
                <w:b w:val="1"/>
                <w:bCs w:val="1"/>
                <w:color w:val="FEFEFE"/>
              </w:rPr>
              <w:t>​​ ​ ​ ​</w:t>
            </w:r>
          </w:p>
        </w:tc>
        <w:tc>
          <w:tcPr>
            <w:tcW w:w="780" w:type="dxa"/>
            <w:vAlign w:val="bottom"/>
            <w:shd w:val="clear" w:color="auto" w:fill="000000"/>
          </w:tcPr>
          <w:p>
            <w:pPr>
              <w:spacing w:after="0"/>
              <w:rPr>
                <w:sz w:val="10"/>
                <w:szCs w:val="10"/>
                <w:color w:val="auto"/>
              </w:rPr>
            </w:pPr>
          </w:p>
        </w:tc>
        <w:tc>
          <w:tcPr>
            <w:tcW w:w="260" w:type="dxa"/>
            <w:vAlign w:val="bottom"/>
            <w:shd w:val="clear" w:color="auto" w:fill="000000"/>
          </w:tcPr>
          <w:p>
            <w:pPr>
              <w:jc w:val="center"/>
              <w:spacing w:after="0" w:line="124" w:lineRule="exact"/>
              <w:rPr>
                <w:sz w:val="20"/>
                <w:szCs w:val="20"/>
                <w:color w:val="auto"/>
              </w:rPr>
            </w:pPr>
            <w:r>
              <w:rPr>
                <w:rFonts w:ascii="Arial" w:cs="Arial" w:eastAsia="Arial" w:hAnsi="Arial"/>
                <w:sz w:val="13"/>
                <w:szCs w:val="13"/>
                <w:b w:val="1"/>
                <w:bCs w:val="1"/>
                <w:color w:val="FEFEFE"/>
              </w:rPr>
              <w:t>​ ​ ​ ​</w:t>
            </w:r>
          </w:p>
        </w:tc>
        <w:tc>
          <w:tcPr>
            <w:tcW w:w="200" w:type="dxa"/>
            <w:vAlign w:val="bottom"/>
            <w:shd w:val="clear" w:color="auto" w:fill="000000"/>
          </w:tcPr>
          <w:p>
            <w:pPr>
              <w:spacing w:after="0"/>
              <w:rPr>
                <w:sz w:val="10"/>
                <w:szCs w:val="10"/>
                <w:color w:val="auto"/>
              </w:rPr>
            </w:pPr>
          </w:p>
        </w:tc>
        <w:tc>
          <w:tcPr>
            <w:tcW w:w="420" w:type="dxa"/>
            <w:vAlign w:val="bottom"/>
            <w:shd w:val="clear" w:color="auto" w:fill="000000"/>
          </w:tcPr>
          <w:p>
            <w:pPr>
              <w:spacing w:after="0"/>
              <w:rPr>
                <w:sz w:val="10"/>
                <w:szCs w:val="10"/>
                <w:color w:val="auto"/>
              </w:rPr>
            </w:pPr>
          </w:p>
        </w:tc>
        <w:tc>
          <w:tcPr>
            <w:tcW w:w="34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440" w:type="dxa"/>
            <w:vAlign w:val="bottom"/>
            <w:gridSpan w:val="2"/>
            <w:shd w:val="clear" w:color="auto" w:fill="000000"/>
          </w:tcPr>
          <w:p>
            <w:pPr>
              <w:jc w:val="right"/>
              <w:ind w:right="71"/>
              <w:spacing w:after="0" w:line="124" w:lineRule="exact"/>
              <w:rPr>
                <w:sz w:val="20"/>
                <w:szCs w:val="20"/>
                <w:color w:val="auto"/>
              </w:rPr>
            </w:pPr>
            <w:r>
              <w:rPr>
                <w:rFonts w:ascii="Arial" w:cs="Arial" w:eastAsia="Arial" w:hAnsi="Arial"/>
                <w:sz w:val="13"/>
                <w:szCs w:val="13"/>
                <w:b w:val="1"/>
                <w:bCs w:val="1"/>
                <w:color w:val="FEFEFE"/>
              </w:rPr>
              <w:t>​ ​ ​</w:t>
            </w:r>
          </w:p>
        </w:tc>
        <w:tc>
          <w:tcPr>
            <w:tcW w:w="580" w:type="dxa"/>
            <w:vAlign w:val="bottom"/>
            <w:shd w:val="clear" w:color="auto" w:fill="000000"/>
          </w:tcPr>
          <w:p>
            <w:pPr>
              <w:spacing w:after="0"/>
              <w:rPr>
                <w:sz w:val="10"/>
                <w:szCs w:val="10"/>
                <w:color w:val="auto"/>
              </w:rPr>
            </w:pPr>
          </w:p>
        </w:tc>
        <w:tc>
          <w:tcPr>
            <w:tcW w:w="260" w:type="dxa"/>
            <w:vAlign w:val="bottom"/>
            <w:shd w:val="clear" w:color="auto" w:fill="000000"/>
          </w:tcPr>
          <w:p>
            <w:pPr>
              <w:jc w:val="right"/>
              <w:spacing w:after="0" w:line="124" w:lineRule="exact"/>
              <w:rPr>
                <w:sz w:val="20"/>
                <w:szCs w:val="20"/>
                <w:color w:val="auto"/>
              </w:rPr>
            </w:pPr>
            <w:r>
              <w:rPr>
                <w:rFonts w:ascii="Arial" w:cs="Arial" w:eastAsia="Arial" w:hAnsi="Arial"/>
                <w:sz w:val="13"/>
                <w:szCs w:val="13"/>
                <w:b w:val="1"/>
                <w:bCs w:val="1"/>
                <w:color w:val="FEFEFE"/>
              </w:rPr>
              <w:t>​ ​ ​ ​</w:t>
            </w:r>
          </w:p>
        </w:tc>
        <w:tc>
          <w:tcPr>
            <w:tcW w:w="240" w:type="dxa"/>
            <w:vAlign w:val="bottom"/>
            <w:shd w:val="clear" w:color="auto" w:fill="000000"/>
          </w:tcPr>
          <w:p>
            <w:pPr>
              <w:jc w:val="right"/>
              <w:ind w:right="12"/>
              <w:spacing w:after="0" w:line="124" w:lineRule="exact"/>
              <w:rPr>
                <w:sz w:val="20"/>
                <w:szCs w:val="20"/>
                <w:color w:val="auto"/>
              </w:rPr>
            </w:pPr>
            <w:r>
              <w:rPr>
                <w:rFonts w:ascii="Arial" w:cs="Arial" w:eastAsia="Arial" w:hAnsi="Arial"/>
                <w:sz w:val="13"/>
                <w:szCs w:val="13"/>
                <w:b w:val="1"/>
                <w:bCs w:val="1"/>
                <w:color w:val="FEFEFE"/>
              </w:rPr>
              <w:t>​</w:t>
            </w:r>
          </w:p>
        </w:tc>
        <w:tc>
          <w:tcPr>
            <w:tcW w:w="480" w:type="dxa"/>
            <w:vAlign w:val="bottom"/>
            <w:shd w:val="clear" w:color="auto" w:fill="000000"/>
          </w:tcPr>
          <w:p>
            <w:pPr>
              <w:spacing w:after="0"/>
              <w:rPr>
                <w:sz w:val="10"/>
                <w:szCs w:val="10"/>
                <w:color w:val="auto"/>
              </w:rPr>
            </w:pPr>
          </w:p>
        </w:tc>
        <w:tc>
          <w:tcPr>
            <w:tcW w:w="320" w:type="dxa"/>
            <w:vAlign w:val="bottom"/>
            <w:gridSpan w:val="2"/>
            <w:shd w:val="clear" w:color="auto" w:fill="000000"/>
          </w:tcPr>
          <w:p>
            <w:pPr>
              <w:jc w:val="right"/>
              <w:spacing w:after="0" w:line="124" w:lineRule="exact"/>
              <w:rPr>
                <w:sz w:val="20"/>
                <w:szCs w:val="20"/>
                <w:color w:val="auto"/>
              </w:rPr>
            </w:pPr>
            <w:r>
              <w:rPr>
                <w:rFonts w:ascii="Arial" w:cs="Arial" w:eastAsia="Arial" w:hAnsi="Arial"/>
                <w:sz w:val="13"/>
                <w:szCs w:val="13"/>
                <w:b w:val="1"/>
                <w:bCs w:val="1"/>
                <w:color w:val="FEFEFE"/>
              </w:rPr>
              <w:t>​  ​ ​</w:t>
            </w:r>
          </w:p>
        </w:tc>
        <w:tc>
          <w:tcPr>
            <w:tcW w:w="0" w:type="dxa"/>
            <w:vAlign w:val="bottom"/>
          </w:tcPr>
          <w:p>
            <w:pPr>
              <w:spacing w:after="0"/>
              <w:rPr>
                <w:sz w:val="1"/>
                <w:szCs w:val="1"/>
                <w:color w:val="auto"/>
              </w:rPr>
            </w:pPr>
          </w:p>
        </w:tc>
      </w:tr>
      <w:tr>
        <w:trPr>
          <w:trHeight w:val="149"/>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20" w:type="dxa"/>
            <w:vAlign w:val="bottom"/>
            <w:shd w:val="clear" w:color="auto" w:fill="000000"/>
          </w:tcPr>
          <w:p>
            <w:pPr>
              <w:spacing w:after="0"/>
              <w:rPr>
                <w:sz w:val="12"/>
                <w:szCs w:val="12"/>
                <w:color w:val="auto"/>
              </w:rPr>
            </w:pPr>
          </w:p>
        </w:tc>
        <w:tc>
          <w:tcPr>
            <w:tcW w:w="1140" w:type="dxa"/>
            <w:vAlign w:val="bottom"/>
            <w:shd w:val="clear" w:color="auto" w:fill="000000"/>
          </w:tcPr>
          <w:p>
            <w:pPr>
              <w:spacing w:after="0"/>
              <w:rPr>
                <w:sz w:val="12"/>
                <w:szCs w:val="12"/>
                <w:color w:val="auto"/>
              </w:rPr>
            </w:pPr>
          </w:p>
        </w:tc>
        <w:tc>
          <w:tcPr>
            <w:tcW w:w="1060" w:type="dxa"/>
            <w:vAlign w:val="bottom"/>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1740" w:type="dxa"/>
            <w:vAlign w:val="bottom"/>
            <w:gridSpan w:val="6"/>
            <w:shd w:val="clear" w:color="auto" w:fill="000000"/>
          </w:tcPr>
          <w:p>
            <w:pPr>
              <w:jc w:val="center"/>
              <w:ind w:right="377"/>
              <w:spacing w:after="0"/>
              <w:rPr>
                <w:sz w:val="20"/>
                <w:szCs w:val="20"/>
                <w:color w:val="auto"/>
              </w:rPr>
            </w:pPr>
            <w:r>
              <w:rPr>
                <w:rFonts w:ascii="Arial" w:cs="Arial" w:eastAsia="Arial" w:hAnsi="Arial"/>
                <w:sz w:val="13"/>
                <w:szCs w:val="13"/>
                <w:b w:val="1"/>
                <w:bCs w:val="1"/>
                <w:color w:val="FEFEFE"/>
                <w:w w:val="97"/>
              </w:rPr>
              <w:t>Value of Initial Fixed</w:t>
            </w:r>
          </w:p>
        </w:tc>
        <w:tc>
          <w:tcPr>
            <w:tcW w:w="24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48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20" w:type="dxa"/>
            <w:vAlign w:val="bottom"/>
            <w:shd w:val="clear" w:color="auto" w:fill="000000"/>
          </w:tcPr>
          <w:p>
            <w:pPr>
              <w:spacing w:after="0"/>
              <w:rPr>
                <w:sz w:val="12"/>
                <w:szCs w:val="12"/>
                <w:color w:val="auto"/>
              </w:rPr>
            </w:pPr>
          </w:p>
        </w:tc>
        <w:tc>
          <w:tcPr>
            <w:tcW w:w="1140" w:type="dxa"/>
            <w:vAlign w:val="bottom"/>
            <w:shd w:val="clear" w:color="auto" w:fill="000000"/>
          </w:tcPr>
          <w:p>
            <w:pPr>
              <w:spacing w:after="0"/>
              <w:rPr>
                <w:sz w:val="12"/>
                <w:szCs w:val="12"/>
                <w:color w:val="auto"/>
              </w:rPr>
            </w:pPr>
          </w:p>
        </w:tc>
        <w:tc>
          <w:tcPr>
            <w:tcW w:w="1060" w:type="dxa"/>
            <w:vAlign w:val="bottom"/>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7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1940" w:type="dxa"/>
            <w:vAlign w:val="bottom"/>
            <w:gridSpan w:val="7"/>
            <w:shd w:val="clear" w:color="auto" w:fill="000000"/>
          </w:tcPr>
          <w:p>
            <w:pPr>
              <w:jc w:val="center"/>
              <w:ind w:right="177"/>
              <w:spacing w:after="0"/>
              <w:rPr>
                <w:sz w:val="20"/>
                <w:szCs w:val="20"/>
                <w:color w:val="auto"/>
              </w:rPr>
            </w:pPr>
            <w:r>
              <w:rPr>
                <w:rFonts w:ascii="Arial" w:cs="Arial" w:eastAsia="Arial" w:hAnsi="Arial"/>
                <w:sz w:val="13"/>
                <w:szCs w:val="13"/>
                <w:b w:val="1"/>
                <w:bCs w:val="1"/>
                <w:color w:val="FEFEFE"/>
                <w:w w:val="95"/>
              </w:rPr>
              <w:t>$100 Investment Based</w:t>
            </w:r>
          </w:p>
        </w:tc>
        <w:tc>
          <w:tcPr>
            <w:tcW w:w="24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48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820" w:type="dxa"/>
            <w:vAlign w:val="bottom"/>
            <w:shd w:val="clear" w:color="auto" w:fill="000000"/>
          </w:tcPr>
          <w:p>
            <w:pPr>
              <w:spacing w:after="0"/>
              <w:rPr>
                <w:sz w:val="14"/>
                <w:szCs w:val="14"/>
                <w:color w:val="auto"/>
              </w:rPr>
            </w:pPr>
          </w:p>
        </w:tc>
        <w:tc>
          <w:tcPr>
            <w:tcW w:w="1140" w:type="dxa"/>
            <w:vAlign w:val="bottom"/>
            <w:shd w:val="clear" w:color="auto" w:fill="000000"/>
          </w:tcPr>
          <w:p>
            <w:pPr>
              <w:spacing w:after="0"/>
              <w:rPr>
                <w:sz w:val="14"/>
                <w:szCs w:val="14"/>
                <w:color w:val="auto"/>
              </w:rPr>
            </w:pPr>
          </w:p>
        </w:tc>
        <w:tc>
          <w:tcPr>
            <w:tcW w:w="1060" w:type="dxa"/>
            <w:vAlign w:val="bottom"/>
            <w:shd w:val="clear" w:color="auto" w:fill="000000"/>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360" w:type="dxa"/>
            <w:vAlign w:val="bottom"/>
            <w:shd w:val="clear" w:color="auto" w:fill="000000"/>
          </w:tcPr>
          <w:p>
            <w:pPr>
              <w:spacing w:after="0"/>
              <w:rPr>
                <w:sz w:val="14"/>
                <w:szCs w:val="14"/>
                <w:color w:val="auto"/>
              </w:rPr>
            </w:pPr>
          </w:p>
        </w:tc>
        <w:tc>
          <w:tcPr>
            <w:tcW w:w="78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420" w:type="dxa"/>
            <w:vAlign w:val="bottom"/>
            <w:shd w:val="clear" w:color="auto" w:fill="000000"/>
          </w:tcPr>
          <w:p>
            <w:pPr>
              <w:spacing w:after="0"/>
              <w:rPr>
                <w:sz w:val="14"/>
                <w:szCs w:val="14"/>
                <w:color w:val="auto"/>
              </w:rPr>
            </w:pPr>
          </w:p>
        </w:tc>
        <w:tc>
          <w:tcPr>
            <w:tcW w:w="54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8"/>
              </w:rPr>
              <w:t>On:</w:t>
            </w:r>
          </w:p>
        </w:tc>
        <w:tc>
          <w:tcPr>
            <w:tcW w:w="44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240" w:type="dxa"/>
            <w:vAlign w:val="bottom"/>
            <w:shd w:val="clear" w:color="auto" w:fill="000000"/>
          </w:tcPr>
          <w:p>
            <w:pPr>
              <w:spacing w:after="0"/>
              <w:rPr>
                <w:sz w:val="14"/>
                <w:szCs w:val="14"/>
                <w:color w:val="auto"/>
              </w:rPr>
            </w:pPr>
          </w:p>
        </w:tc>
        <w:tc>
          <w:tcPr>
            <w:tcW w:w="58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240" w:type="dxa"/>
            <w:vAlign w:val="bottom"/>
            <w:shd w:val="clear" w:color="auto" w:fill="000000"/>
          </w:tcPr>
          <w:p>
            <w:pPr>
              <w:spacing w:after="0"/>
              <w:rPr>
                <w:sz w:val="14"/>
                <w:szCs w:val="14"/>
                <w:color w:val="auto"/>
              </w:rPr>
            </w:pPr>
          </w:p>
        </w:tc>
        <w:tc>
          <w:tcPr>
            <w:tcW w:w="48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0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w:t>
            </w:r>
          </w:p>
        </w:tc>
        <w:tc>
          <w:tcPr>
            <w:tcW w:w="520" w:type="dxa"/>
            <w:vAlign w:val="bottom"/>
            <w:shd w:val="clear" w:color="auto" w:fill="000000"/>
          </w:tcPr>
          <w:p>
            <w:pPr>
              <w:spacing w:after="0"/>
              <w:rPr>
                <w:sz w:val="10"/>
                <w:szCs w:val="10"/>
                <w:color w:val="auto"/>
              </w:rPr>
            </w:pPr>
          </w:p>
        </w:tc>
        <w:tc>
          <w:tcPr>
            <w:tcW w:w="8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w:t>
            </w:r>
          </w:p>
        </w:tc>
        <w:tc>
          <w:tcPr>
            <w:tcW w:w="180" w:type="dxa"/>
            <w:vAlign w:val="bottom"/>
            <w:vMerge w:val="restart"/>
            <w:shd w:val="clear" w:color="auto" w:fill="000000"/>
          </w:tcPr>
          <w:p>
            <w:pPr>
              <w:jc w:val="right"/>
              <w:ind w:right="33"/>
              <w:spacing w:after="0"/>
              <w:rPr>
                <w:sz w:val="20"/>
                <w:szCs w:val="20"/>
                <w:color w:val="auto"/>
              </w:rPr>
            </w:pPr>
            <w:r>
              <w:rPr>
                <w:rFonts w:ascii="Arial" w:cs="Arial" w:eastAsia="Arial" w:hAnsi="Arial"/>
                <w:sz w:val="13"/>
                <w:szCs w:val="13"/>
                <w:b w:val="1"/>
                <w:bCs w:val="1"/>
                <w:color w:val="FEFEFE"/>
              </w:rPr>
              <w:t>​</w:t>
            </w:r>
          </w:p>
        </w:tc>
        <w:tc>
          <w:tcPr>
            <w:tcW w:w="820" w:type="dxa"/>
            <w:vAlign w:val="bottom"/>
            <w:shd w:val="clear" w:color="auto" w:fill="000000"/>
          </w:tcPr>
          <w:p>
            <w:pPr>
              <w:spacing w:after="0"/>
              <w:rPr>
                <w:sz w:val="10"/>
                <w:szCs w:val="10"/>
                <w:color w:val="auto"/>
              </w:rPr>
            </w:pPr>
          </w:p>
        </w:tc>
        <w:tc>
          <w:tcPr>
            <w:tcW w:w="114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EFEFE"/>
              </w:rPr>
              <w:t>​ ​</w:t>
            </w:r>
          </w:p>
        </w:tc>
        <w:tc>
          <w:tcPr>
            <w:tcW w:w="106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 ​</w:t>
            </w:r>
          </w:p>
        </w:tc>
        <w:tc>
          <w:tcPr>
            <w:tcW w:w="20" w:type="dxa"/>
            <w:vAlign w:val="bottom"/>
            <w:shd w:val="clear" w:color="auto" w:fill="000000"/>
          </w:tcPr>
          <w:p>
            <w:pPr>
              <w:spacing w:after="0"/>
              <w:rPr>
                <w:sz w:val="10"/>
                <w:szCs w:val="10"/>
                <w:color w:val="auto"/>
              </w:rPr>
            </w:pPr>
          </w:p>
        </w:tc>
        <w:tc>
          <w:tcPr>
            <w:tcW w:w="360" w:type="dxa"/>
            <w:vAlign w:val="bottom"/>
            <w:vMerge w:val="restart"/>
            <w:shd w:val="clear" w:color="auto" w:fill="000000"/>
          </w:tcPr>
          <w:p>
            <w:pPr>
              <w:jc w:val="right"/>
              <w:ind w:right="93"/>
              <w:spacing w:after="0"/>
              <w:rPr>
                <w:sz w:val="20"/>
                <w:szCs w:val="20"/>
                <w:color w:val="auto"/>
              </w:rPr>
            </w:pPr>
            <w:r>
              <w:rPr>
                <w:rFonts w:ascii="Arial" w:cs="Arial" w:eastAsia="Arial" w:hAnsi="Arial"/>
                <w:sz w:val="13"/>
                <w:szCs w:val="13"/>
                <w:b w:val="1"/>
                <w:bCs w:val="1"/>
                <w:color w:val="FEFEFE"/>
              </w:rPr>
              <w:t>​ ​</w:t>
            </w:r>
          </w:p>
        </w:tc>
        <w:tc>
          <w:tcPr>
            <w:tcW w:w="780" w:type="dxa"/>
            <w:vAlign w:val="bottom"/>
            <w:shd w:val="clear" w:color="auto" w:fill="000000"/>
          </w:tcPr>
          <w:p>
            <w:pPr>
              <w:spacing w:after="0"/>
              <w:rPr>
                <w:sz w:val="10"/>
                <w:szCs w:val="10"/>
                <w:color w:val="auto"/>
              </w:rPr>
            </w:pPr>
          </w:p>
        </w:tc>
        <w:tc>
          <w:tcPr>
            <w:tcW w:w="26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200" w:type="dxa"/>
            <w:vAlign w:val="bottom"/>
            <w:shd w:val="clear" w:color="auto" w:fill="000000"/>
          </w:tcPr>
          <w:p>
            <w:pPr>
              <w:spacing w:after="0"/>
              <w:rPr>
                <w:sz w:val="10"/>
                <w:szCs w:val="10"/>
                <w:color w:val="auto"/>
              </w:rPr>
            </w:pPr>
          </w:p>
        </w:tc>
        <w:tc>
          <w:tcPr>
            <w:tcW w:w="420" w:type="dxa"/>
            <w:vAlign w:val="bottom"/>
            <w:shd w:val="clear" w:color="auto" w:fill="000000"/>
          </w:tcPr>
          <w:p>
            <w:pPr>
              <w:spacing w:after="0"/>
              <w:rPr>
                <w:sz w:val="10"/>
                <w:szCs w:val="10"/>
                <w:color w:val="auto"/>
              </w:rPr>
            </w:pPr>
          </w:p>
        </w:tc>
        <w:tc>
          <w:tcPr>
            <w:tcW w:w="34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20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 ​</w:t>
            </w:r>
          </w:p>
        </w:tc>
        <w:tc>
          <w:tcPr>
            <w:tcW w:w="240" w:type="dxa"/>
            <w:vAlign w:val="bottom"/>
            <w:shd w:val="clear" w:color="auto" w:fill="000000"/>
          </w:tcPr>
          <w:p>
            <w:pPr>
              <w:spacing w:after="0"/>
              <w:rPr>
                <w:sz w:val="10"/>
                <w:szCs w:val="10"/>
                <w:color w:val="auto"/>
              </w:rPr>
            </w:pPr>
          </w:p>
        </w:tc>
        <w:tc>
          <w:tcPr>
            <w:tcW w:w="580" w:type="dxa"/>
            <w:vAlign w:val="bottom"/>
            <w:shd w:val="clear" w:color="auto" w:fill="000000"/>
          </w:tcPr>
          <w:p>
            <w:pPr>
              <w:spacing w:after="0"/>
              <w:rPr>
                <w:sz w:val="10"/>
                <w:szCs w:val="10"/>
                <w:color w:val="auto"/>
              </w:rPr>
            </w:pPr>
          </w:p>
        </w:tc>
        <w:tc>
          <w:tcPr>
            <w:tcW w:w="26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240" w:type="dxa"/>
            <w:vAlign w:val="bottom"/>
            <w:shd w:val="clear" w:color="auto" w:fill="000000"/>
          </w:tcPr>
          <w:p>
            <w:pPr>
              <w:spacing w:after="0"/>
              <w:rPr>
                <w:sz w:val="10"/>
                <w:szCs w:val="10"/>
                <w:color w:val="auto"/>
              </w:rPr>
            </w:pPr>
          </w:p>
        </w:tc>
        <w:tc>
          <w:tcPr>
            <w:tcW w:w="48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18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24"/>
        </w:trPr>
        <w:tc>
          <w:tcPr>
            <w:tcW w:w="100" w:type="dxa"/>
            <w:vAlign w:val="bottom"/>
            <w:vMerge w:val="continue"/>
            <w:shd w:val="clear" w:color="auto" w:fill="000000"/>
          </w:tcPr>
          <w:p>
            <w:pPr>
              <w:spacing w:after="0"/>
              <w:rPr>
                <w:sz w:val="10"/>
                <w:szCs w:val="10"/>
                <w:color w:val="auto"/>
              </w:rPr>
            </w:pPr>
          </w:p>
        </w:tc>
        <w:tc>
          <w:tcPr>
            <w:tcW w:w="52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Year</w:t>
            </w:r>
          </w:p>
        </w:tc>
        <w:tc>
          <w:tcPr>
            <w:tcW w:w="80" w:type="dxa"/>
            <w:vAlign w:val="bottom"/>
            <w:vMerge w:val="continue"/>
            <w:shd w:val="clear" w:color="auto" w:fill="000000"/>
          </w:tcPr>
          <w:p>
            <w:pPr>
              <w:spacing w:after="0"/>
              <w:rPr>
                <w:sz w:val="10"/>
                <w:szCs w:val="10"/>
                <w:color w:val="auto"/>
              </w:rPr>
            </w:pPr>
          </w:p>
        </w:tc>
        <w:tc>
          <w:tcPr>
            <w:tcW w:w="180" w:type="dxa"/>
            <w:vAlign w:val="bottom"/>
            <w:vMerge w:val="continue"/>
            <w:shd w:val="clear" w:color="auto" w:fill="000000"/>
          </w:tcPr>
          <w:p>
            <w:pPr>
              <w:spacing w:after="0"/>
              <w:rPr>
                <w:sz w:val="10"/>
                <w:szCs w:val="10"/>
                <w:color w:val="auto"/>
              </w:rPr>
            </w:pPr>
          </w:p>
        </w:tc>
        <w:tc>
          <w:tcPr>
            <w:tcW w:w="820" w:type="dxa"/>
            <w:vAlign w:val="bottom"/>
            <w:vMerge w:val="restart"/>
            <w:shd w:val="clear" w:color="auto" w:fill="000000"/>
          </w:tcPr>
          <w:p>
            <w:pPr>
              <w:jc w:val="center"/>
              <w:ind w:right="82"/>
              <w:spacing w:after="0"/>
              <w:rPr>
                <w:sz w:val="20"/>
                <w:szCs w:val="20"/>
                <w:color w:val="auto"/>
              </w:rPr>
            </w:pPr>
            <w:r>
              <w:rPr>
                <w:rFonts w:ascii="Arial" w:cs="Arial" w:eastAsia="Arial" w:hAnsi="Arial"/>
                <w:sz w:val="13"/>
                <w:szCs w:val="13"/>
                <w:b w:val="1"/>
                <w:bCs w:val="1"/>
                <w:color w:val="FEFEFE"/>
                <w:w w:val="94"/>
              </w:rPr>
              <w:t>Summary</w:t>
            </w:r>
          </w:p>
        </w:tc>
        <w:tc>
          <w:tcPr>
            <w:tcW w:w="1140" w:type="dxa"/>
            <w:vAlign w:val="bottom"/>
            <w:vMerge w:val="continue"/>
            <w:shd w:val="clear" w:color="auto" w:fill="000000"/>
          </w:tcPr>
          <w:p>
            <w:pPr>
              <w:spacing w:after="0"/>
              <w:rPr>
                <w:sz w:val="10"/>
                <w:szCs w:val="10"/>
                <w:color w:val="auto"/>
              </w:rPr>
            </w:pPr>
          </w:p>
        </w:tc>
        <w:tc>
          <w:tcPr>
            <w:tcW w:w="1060" w:type="dxa"/>
            <w:vAlign w:val="bottom"/>
            <w:vMerge w:val="continue"/>
            <w:shd w:val="clear" w:color="auto" w:fill="000000"/>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60" w:type="dxa"/>
            <w:vAlign w:val="bottom"/>
            <w:vMerge w:val="continue"/>
            <w:shd w:val="clear" w:color="auto" w:fill="000000"/>
          </w:tcPr>
          <w:p>
            <w:pPr>
              <w:spacing w:after="0"/>
              <w:rPr>
                <w:sz w:val="10"/>
                <w:szCs w:val="10"/>
                <w:color w:val="auto"/>
              </w:rPr>
            </w:pPr>
          </w:p>
        </w:tc>
        <w:tc>
          <w:tcPr>
            <w:tcW w:w="780" w:type="dxa"/>
            <w:vAlign w:val="bottom"/>
            <w:shd w:val="clear" w:color="auto" w:fill="000000"/>
          </w:tcPr>
          <w:p>
            <w:pPr>
              <w:spacing w:after="0"/>
              <w:rPr>
                <w:sz w:val="10"/>
                <w:szCs w:val="10"/>
                <w:color w:val="auto"/>
              </w:rPr>
            </w:pPr>
          </w:p>
        </w:tc>
        <w:tc>
          <w:tcPr>
            <w:tcW w:w="260" w:type="dxa"/>
            <w:vAlign w:val="bottom"/>
            <w:vMerge w:val="continue"/>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420" w:type="dxa"/>
            <w:vAlign w:val="bottom"/>
            <w:shd w:val="clear" w:color="auto" w:fill="000000"/>
          </w:tcPr>
          <w:p>
            <w:pPr>
              <w:spacing w:after="0"/>
              <w:rPr>
                <w:sz w:val="10"/>
                <w:szCs w:val="10"/>
                <w:color w:val="auto"/>
              </w:rPr>
            </w:pPr>
          </w:p>
        </w:tc>
        <w:tc>
          <w:tcPr>
            <w:tcW w:w="340" w:type="dxa"/>
            <w:vAlign w:val="bottom"/>
            <w:shd w:val="clear" w:color="auto" w:fill="000000"/>
          </w:tcPr>
          <w:p>
            <w:pPr>
              <w:jc w:val="right"/>
              <w:spacing w:after="0" w:line="124" w:lineRule="exact"/>
              <w:rPr>
                <w:sz w:val="20"/>
                <w:szCs w:val="20"/>
                <w:color w:val="auto"/>
              </w:rPr>
            </w:pPr>
            <w:r>
              <w:rPr>
                <w:rFonts w:ascii="Arial" w:cs="Arial" w:eastAsia="Arial" w:hAnsi="Arial"/>
                <w:sz w:val="13"/>
                <w:szCs w:val="13"/>
                <w:b w:val="1"/>
                <w:bCs w:val="1"/>
                <w:color w:val="FEFEFE"/>
              </w:rPr>
              <w:t>​ ​</w:t>
            </w:r>
          </w:p>
        </w:tc>
        <w:tc>
          <w:tcPr>
            <w:tcW w:w="200" w:type="dxa"/>
            <w:vAlign w:val="bottom"/>
            <w:shd w:val="clear" w:color="auto" w:fill="000000"/>
          </w:tcPr>
          <w:p>
            <w:pPr>
              <w:spacing w:after="0"/>
              <w:rPr>
                <w:sz w:val="10"/>
                <w:szCs w:val="10"/>
                <w:color w:val="auto"/>
              </w:rPr>
            </w:pPr>
          </w:p>
        </w:tc>
        <w:tc>
          <w:tcPr>
            <w:tcW w:w="44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200" w:type="dxa"/>
            <w:vAlign w:val="bottom"/>
            <w:vMerge w:val="continue"/>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580" w:type="dxa"/>
            <w:vAlign w:val="bottom"/>
            <w:shd w:val="clear" w:color="auto" w:fill="000000"/>
          </w:tcPr>
          <w:p>
            <w:pPr>
              <w:spacing w:after="0"/>
              <w:rPr>
                <w:sz w:val="10"/>
                <w:szCs w:val="10"/>
                <w:color w:val="auto"/>
              </w:rPr>
            </w:pPr>
          </w:p>
        </w:tc>
        <w:tc>
          <w:tcPr>
            <w:tcW w:w="260" w:type="dxa"/>
            <w:vAlign w:val="bottom"/>
            <w:vMerge w:val="continue"/>
            <w:shd w:val="clear" w:color="auto" w:fill="000000"/>
          </w:tcPr>
          <w:p>
            <w:pPr>
              <w:spacing w:after="0"/>
              <w:rPr>
                <w:sz w:val="10"/>
                <w:szCs w:val="10"/>
                <w:color w:val="auto"/>
              </w:rPr>
            </w:pPr>
          </w:p>
        </w:tc>
        <w:tc>
          <w:tcPr>
            <w:tcW w:w="240" w:type="dxa"/>
            <w:vAlign w:val="bottom"/>
            <w:shd w:val="clear" w:color="auto" w:fill="000000"/>
          </w:tcPr>
          <w:p>
            <w:pPr>
              <w:spacing w:after="0"/>
              <w:rPr>
                <w:sz w:val="10"/>
                <w:szCs w:val="10"/>
                <w:color w:val="auto"/>
              </w:rPr>
            </w:pPr>
          </w:p>
        </w:tc>
        <w:tc>
          <w:tcPr>
            <w:tcW w:w="48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180" w:type="dxa"/>
            <w:vAlign w:val="bottom"/>
            <w:vMerge w:val="continue"/>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00" w:type="dxa"/>
            <w:vAlign w:val="bottom"/>
            <w:shd w:val="clear" w:color="auto" w:fill="000000"/>
          </w:tcPr>
          <w:p>
            <w:pPr>
              <w:spacing w:after="0"/>
              <w:rPr>
                <w:sz w:val="12"/>
                <w:szCs w:val="12"/>
                <w:color w:val="auto"/>
              </w:rPr>
            </w:pPr>
          </w:p>
        </w:tc>
        <w:tc>
          <w:tcPr>
            <w:tcW w:w="520" w:type="dxa"/>
            <w:vAlign w:val="bottom"/>
            <w:vMerge w:val="continue"/>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20" w:type="dxa"/>
            <w:vAlign w:val="bottom"/>
            <w:vMerge w:val="continue"/>
            <w:shd w:val="clear" w:color="auto" w:fill="000000"/>
          </w:tcPr>
          <w:p>
            <w:pPr>
              <w:spacing w:after="0"/>
              <w:rPr>
                <w:sz w:val="12"/>
                <w:szCs w:val="12"/>
                <w:color w:val="auto"/>
              </w:rPr>
            </w:pPr>
          </w:p>
        </w:tc>
        <w:tc>
          <w:tcPr>
            <w:tcW w:w="1140" w:type="dxa"/>
            <w:vAlign w:val="bottom"/>
            <w:shd w:val="clear" w:color="auto" w:fill="000000"/>
          </w:tcPr>
          <w:p>
            <w:pPr>
              <w:jc w:val="center"/>
              <w:ind w:left="53"/>
              <w:spacing w:after="0" w:line="139" w:lineRule="exact"/>
              <w:rPr>
                <w:sz w:val="20"/>
                <w:szCs w:val="20"/>
                <w:color w:val="auto"/>
              </w:rPr>
            </w:pPr>
            <w:r>
              <w:rPr>
                <w:rFonts w:ascii="Arial" w:cs="Arial" w:eastAsia="Arial" w:hAnsi="Arial"/>
                <w:sz w:val="13"/>
                <w:szCs w:val="13"/>
                <w:b w:val="1"/>
                <w:bCs w:val="1"/>
                <w:color w:val="FEFEFE"/>
                <w:w w:val="95"/>
              </w:rPr>
              <w:t>Compensation</w:t>
            </w:r>
          </w:p>
        </w:tc>
        <w:tc>
          <w:tcPr>
            <w:tcW w:w="1060" w:type="dxa"/>
            <w:vAlign w:val="bottom"/>
            <w:shd w:val="clear" w:color="auto" w:fill="000000"/>
          </w:tcPr>
          <w:p>
            <w:pPr>
              <w:jc w:val="center"/>
              <w:ind w:left="135"/>
              <w:spacing w:after="0" w:line="139" w:lineRule="exact"/>
              <w:rPr>
                <w:sz w:val="20"/>
                <w:szCs w:val="20"/>
                <w:color w:val="auto"/>
              </w:rPr>
            </w:pPr>
            <w:r>
              <w:rPr>
                <w:rFonts w:ascii="Arial" w:cs="Arial" w:eastAsia="Arial" w:hAnsi="Arial"/>
                <w:sz w:val="13"/>
                <w:szCs w:val="13"/>
                <w:b w:val="1"/>
                <w:bCs w:val="1"/>
                <w:color w:val="FEFEFE"/>
                <w:w w:val="97"/>
              </w:rPr>
              <w:t>Average</w:t>
            </w:r>
          </w:p>
        </w:tc>
        <w:tc>
          <w:tcPr>
            <w:tcW w:w="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040" w:type="dxa"/>
            <w:vAlign w:val="bottom"/>
            <w:gridSpan w:val="2"/>
            <w:shd w:val="clear" w:color="auto" w:fill="000000"/>
          </w:tcPr>
          <w:p>
            <w:pPr>
              <w:jc w:val="center"/>
              <w:ind w:right="313"/>
              <w:spacing w:after="0" w:line="139" w:lineRule="exact"/>
              <w:rPr>
                <w:sz w:val="20"/>
                <w:szCs w:val="20"/>
                <w:color w:val="auto"/>
              </w:rPr>
            </w:pPr>
            <w:r>
              <w:rPr>
                <w:rFonts w:ascii="Arial" w:cs="Arial" w:eastAsia="Arial" w:hAnsi="Arial"/>
                <w:sz w:val="13"/>
                <w:szCs w:val="13"/>
                <w:b w:val="1"/>
                <w:bCs w:val="1"/>
                <w:color w:val="FEFEFE"/>
                <w:w w:val="97"/>
              </w:rPr>
              <w:t>Average</w:t>
            </w:r>
          </w:p>
        </w:tc>
        <w:tc>
          <w:tcPr>
            <w:tcW w:w="200" w:type="dxa"/>
            <w:vAlign w:val="bottom"/>
            <w:shd w:val="clear" w:color="auto" w:fill="000000"/>
          </w:tcPr>
          <w:p>
            <w:pPr>
              <w:spacing w:after="0"/>
              <w:rPr>
                <w:sz w:val="12"/>
                <w:szCs w:val="12"/>
                <w:color w:val="auto"/>
              </w:rPr>
            </w:pPr>
          </w:p>
        </w:tc>
        <w:tc>
          <w:tcPr>
            <w:tcW w:w="760" w:type="dxa"/>
            <w:vAlign w:val="bottom"/>
            <w:gridSpan w:val="2"/>
            <w:shd w:val="clear" w:color="auto" w:fill="000000"/>
          </w:tcPr>
          <w:p>
            <w:pPr>
              <w:jc w:val="center"/>
              <w:ind w:right="353"/>
              <w:spacing w:after="0" w:line="139" w:lineRule="exact"/>
              <w:rPr>
                <w:sz w:val="20"/>
                <w:szCs w:val="20"/>
                <w:color w:val="auto"/>
              </w:rPr>
            </w:pPr>
            <w:r>
              <w:rPr>
                <w:rFonts w:ascii="Arial" w:cs="Arial" w:eastAsia="Arial" w:hAnsi="Arial"/>
                <w:sz w:val="13"/>
                <w:szCs w:val="13"/>
                <w:b w:val="1"/>
                <w:bCs w:val="1"/>
                <w:color w:val="FEFEFE"/>
                <w:w w:val="96"/>
              </w:rPr>
              <w:t>Total</w:t>
            </w:r>
          </w:p>
        </w:tc>
        <w:tc>
          <w:tcPr>
            <w:tcW w:w="980" w:type="dxa"/>
            <w:vAlign w:val="bottom"/>
            <w:gridSpan w:val="4"/>
            <w:shd w:val="clear" w:color="auto" w:fill="000000"/>
          </w:tcPr>
          <w:p>
            <w:pPr>
              <w:jc w:val="center"/>
              <w:ind w:right="157"/>
              <w:spacing w:after="0" w:line="139" w:lineRule="exact"/>
              <w:rPr>
                <w:sz w:val="20"/>
                <w:szCs w:val="20"/>
                <w:color w:val="auto"/>
              </w:rPr>
            </w:pPr>
            <w:r>
              <w:rPr>
                <w:rFonts w:ascii="Arial" w:cs="Arial" w:eastAsia="Arial" w:hAnsi="Arial"/>
                <w:sz w:val="13"/>
                <w:szCs w:val="13"/>
                <w:b w:val="1"/>
                <w:bCs w:val="1"/>
                <w:color w:val="FEFEFE"/>
                <w:w w:val="95"/>
              </w:rPr>
              <w:t>Peer Group</w:t>
            </w:r>
          </w:p>
        </w:tc>
        <w:tc>
          <w:tcPr>
            <w:tcW w:w="1080" w:type="dxa"/>
            <w:vAlign w:val="bottom"/>
            <w:gridSpan w:val="3"/>
            <w:shd w:val="clear" w:color="auto" w:fill="000000"/>
          </w:tcPr>
          <w:p>
            <w:pPr>
              <w:jc w:val="right"/>
              <w:ind w:right="153"/>
              <w:spacing w:after="0" w:line="139" w:lineRule="exact"/>
              <w:rPr>
                <w:sz w:val="20"/>
                <w:szCs w:val="20"/>
                <w:color w:val="auto"/>
              </w:rPr>
            </w:pPr>
            <w:r>
              <w:rPr>
                <w:rFonts w:ascii="Arial" w:cs="Arial" w:eastAsia="Arial" w:hAnsi="Arial"/>
                <w:sz w:val="13"/>
                <w:szCs w:val="13"/>
                <w:b w:val="1"/>
                <w:bCs w:val="1"/>
                <w:color w:val="FEFEFE"/>
                <w:w w:val="93"/>
              </w:rPr>
              <w:t>Net Income (in</w:t>
            </w:r>
          </w:p>
        </w:tc>
        <w:tc>
          <w:tcPr>
            <w:tcW w:w="1040" w:type="dxa"/>
            <w:vAlign w:val="bottom"/>
            <w:gridSpan w:val="4"/>
            <w:shd w:val="clear" w:color="auto" w:fill="000000"/>
          </w:tcPr>
          <w:p>
            <w:pPr>
              <w:jc w:val="center"/>
              <w:ind w:right="137"/>
              <w:spacing w:after="0" w:line="139" w:lineRule="exact"/>
              <w:rPr>
                <w:sz w:val="20"/>
                <w:szCs w:val="20"/>
                <w:color w:val="auto"/>
              </w:rPr>
            </w:pPr>
            <w:r>
              <w:rPr>
                <w:rFonts w:ascii="Arial" w:cs="Arial" w:eastAsia="Arial" w:hAnsi="Arial"/>
                <w:sz w:val="13"/>
                <w:szCs w:val="13"/>
                <w:b w:val="1"/>
                <w:bCs w:val="1"/>
                <w:color w:val="FEFEFE"/>
                <w:w w:val="97"/>
              </w:rPr>
              <w:t>Revenue (in</w:t>
            </w:r>
          </w:p>
        </w:tc>
        <w:tc>
          <w:tcPr>
            <w:tcW w:w="0" w:type="dxa"/>
            <w:vAlign w:val="bottom"/>
          </w:tcPr>
          <w:p>
            <w:pPr>
              <w:spacing w:after="0"/>
              <w:rPr>
                <w:sz w:val="1"/>
                <w:szCs w:val="1"/>
                <w:color w:val="auto"/>
              </w:rPr>
            </w:pPr>
          </w:p>
        </w:tc>
      </w:tr>
      <w:tr>
        <w:trPr>
          <w:trHeight w:val="148"/>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00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Compensation</w:t>
            </w:r>
          </w:p>
        </w:tc>
        <w:tc>
          <w:tcPr>
            <w:tcW w:w="1140" w:type="dxa"/>
            <w:vAlign w:val="bottom"/>
            <w:shd w:val="clear" w:color="auto" w:fill="000000"/>
          </w:tcPr>
          <w:p>
            <w:pPr>
              <w:jc w:val="center"/>
              <w:ind w:left="53"/>
              <w:spacing w:after="0"/>
              <w:rPr>
                <w:sz w:val="20"/>
                <w:szCs w:val="20"/>
                <w:color w:val="auto"/>
              </w:rPr>
            </w:pPr>
            <w:r>
              <w:rPr>
                <w:rFonts w:ascii="Arial" w:cs="Arial" w:eastAsia="Arial" w:hAnsi="Arial"/>
                <w:sz w:val="13"/>
                <w:szCs w:val="13"/>
                <w:b w:val="1"/>
                <w:bCs w:val="1"/>
                <w:color w:val="FEFEFE"/>
                <w:w w:val="96"/>
              </w:rPr>
              <w:t>Actually Paid to</w:t>
            </w:r>
          </w:p>
        </w:tc>
        <w:tc>
          <w:tcPr>
            <w:tcW w:w="1060" w:type="dxa"/>
            <w:vAlign w:val="bottom"/>
            <w:shd w:val="clear" w:color="auto" w:fill="000000"/>
          </w:tcPr>
          <w:p>
            <w:pPr>
              <w:jc w:val="center"/>
              <w:ind w:left="135"/>
              <w:spacing w:after="0"/>
              <w:rPr>
                <w:sz w:val="20"/>
                <w:szCs w:val="20"/>
                <w:color w:val="auto"/>
              </w:rPr>
            </w:pPr>
            <w:r>
              <w:rPr>
                <w:rFonts w:ascii="Arial" w:cs="Arial" w:eastAsia="Arial" w:hAnsi="Arial"/>
                <w:sz w:val="13"/>
                <w:szCs w:val="13"/>
                <w:b w:val="1"/>
                <w:bCs w:val="1"/>
                <w:color w:val="FEFEFE"/>
                <w:w w:val="97"/>
              </w:rPr>
              <w:t>Summary</w:t>
            </w:r>
          </w:p>
        </w:tc>
        <w:tc>
          <w:tcPr>
            <w:tcW w:w="20" w:type="dxa"/>
            <w:vAlign w:val="bottom"/>
            <w:shd w:val="clear" w:color="auto" w:fill="000000"/>
          </w:tcPr>
          <w:p>
            <w:pPr>
              <w:spacing w:after="0"/>
              <w:rPr>
                <w:sz w:val="12"/>
                <w:szCs w:val="12"/>
                <w:color w:val="auto"/>
              </w:rPr>
            </w:pPr>
          </w:p>
        </w:tc>
        <w:tc>
          <w:tcPr>
            <w:tcW w:w="1400" w:type="dxa"/>
            <w:vAlign w:val="bottom"/>
            <w:gridSpan w:val="3"/>
            <w:shd w:val="clear" w:color="auto" w:fill="000000"/>
          </w:tcPr>
          <w:p>
            <w:pPr>
              <w:jc w:val="center"/>
              <w:spacing w:after="0"/>
              <w:rPr>
                <w:sz w:val="20"/>
                <w:szCs w:val="20"/>
                <w:color w:val="auto"/>
              </w:rPr>
            </w:pPr>
            <w:r>
              <w:rPr>
                <w:rFonts w:ascii="Arial" w:cs="Arial" w:eastAsia="Arial" w:hAnsi="Arial"/>
                <w:sz w:val="13"/>
                <w:szCs w:val="13"/>
                <w:b w:val="1"/>
                <w:bCs w:val="1"/>
                <w:color w:val="FEFEFE"/>
                <w:w w:val="97"/>
              </w:rPr>
              <w:t>Compensation</w:t>
            </w:r>
          </w:p>
        </w:tc>
        <w:tc>
          <w:tcPr>
            <w:tcW w:w="960" w:type="dxa"/>
            <w:vAlign w:val="bottom"/>
            <w:gridSpan w:val="3"/>
            <w:shd w:val="clear" w:color="auto" w:fill="000000"/>
          </w:tcPr>
          <w:p>
            <w:pPr>
              <w:jc w:val="center"/>
              <w:ind w:right="153"/>
              <w:spacing w:after="0"/>
              <w:rPr>
                <w:sz w:val="20"/>
                <w:szCs w:val="20"/>
                <w:color w:val="auto"/>
              </w:rPr>
            </w:pPr>
            <w:r>
              <w:rPr>
                <w:rFonts w:ascii="Arial" w:cs="Arial" w:eastAsia="Arial" w:hAnsi="Arial"/>
                <w:sz w:val="13"/>
                <w:szCs w:val="13"/>
                <w:b w:val="1"/>
                <w:bCs w:val="1"/>
                <w:color w:val="FEFEFE"/>
                <w:w w:val="97"/>
              </w:rPr>
              <w:t>Shareholder</w:t>
            </w:r>
          </w:p>
        </w:tc>
        <w:tc>
          <w:tcPr>
            <w:tcW w:w="200" w:type="dxa"/>
            <w:vAlign w:val="bottom"/>
            <w:shd w:val="clear" w:color="auto" w:fill="000000"/>
          </w:tcPr>
          <w:p>
            <w:pPr>
              <w:spacing w:after="0"/>
              <w:rPr>
                <w:sz w:val="12"/>
                <w:szCs w:val="12"/>
                <w:color w:val="auto"/>
              </w:rPr>
            </w:pPr>
          </w:p>
        </w:tc>
        <w:tc>
          <w:tcPr>
            <w:tcW w:w="780" w:type="dxa"/>
            <w:vAlign w:val="bottom"/>
            <w:gridSpan w:val="3"/>
            <w:shd w:val="clear" w:color="auto" w:fill="000000"/>
          </w:tcPr>
          <w:p>
            <w:pPr>
              <w:jc w:val="center"/>
              <w:ind w:right="357"/>
              <w:spacing w:after="0"/>
              <w:rPr>
                <w:sz w:val="20"/>
                <w:szCs w:val="20"/>
                <w:color w:val="auto"/>
              </w:rPr>
            </w:pPr>
            <w:r>
              <w:rPr>
                <w:rFonts w:ascii="Arial" w:cs="Arial" w:eastAsia="Arial" w:hAnsi="Arial"/>
                <w:sz w:val="13"/>
                <w:szCs w:val="13"/>
                <w:b w:val="1"/>
                <w:bCs w:val="1"/>
                <w:color w:val="FEFEFE"/>
                <w:w w:val="89"/>
              </w:rPr>
              <w:t>Total</w:t>
            </w:r>
          </w:p>
        </w:tc>
        <w:tc>
          <w:tcPr>
            <w:tcW w:w="1080" w:type="dxa"/>
            <w:vAlign w:val="bottom"/>
            <w:gridSpan w:val="3"/>
            <w:shd w:val="clear" w:color="auto" w:fill="000000"/>
          </w:tcPr>
          <w:p>
            <w:pPr>
              <w:jc w:val="center"/>
              <w:ind w:right="153"/>
              <w:spacing w:after="0" w:line="148" w:lineRule="exact"/>
              <w:rPr>
                <w:sz w:val="20"/>
                <w:szCs w:val="20"/>
                <w:color w:val="auto"/>
              </w:rPr>
            </w:pPr>
            <w:r>
              <w:rPr>
                <w:rFonts w:ascii="Arial" w:cs="Arial" w:eastAsia="Arial" w:hAnsi="Arial"/>
                <w:sz w:val="13"/>
                <w:szCs w:val="13"/>
                <w:b w:val="1"/>
                <w:bCs w:val="1"/>
                <w:color w:val="FEFEFE"/>
                <w:w w:val="94"/>
              </w:rPr>
              <w:t>Thousands)</w:t>
            </w:r>
            <w:r>
              <w:rPr>
                <w:rFonts w:ascii="Arial" w:cs="Arial" w:eastAsia="Arial" w:hAnsi="Arial"/>
                <w:sz w:val="16"/>
                <w:szCs w:val="16"/>
                <w:b w:val="1"/>
                <w:bCs w:val="1"/>
                <w:color w:val="FEFEFE"/>
                <w:w w:val="94"/>
                <w:vertAlign w:val="superscript"/>
              </w:rPr>
              <w:t>(4)</w:t>
            </w:r>
          </w:p>
        </w:tc>
        <w:tc>
          <w:tcPr>
            <w:tcW w:w="1040" w:type="dxa"/>
            <w:vAlign w:val="bottom"/>
            <w:gridSpan w:val="4"/>
            <w:shd w:val="clear" w:color="auto" w:fill="000000"/>
          </w:tcPr>
          <w:p>
            <w:pPr>
              <w:jc w:val="center"/>
              <w:ind w:right="137"/>
              <w:spacing w:after="0" w:line="148" w:lineRule="exact"/>
              <w:rPr>
                <w:sz w:val="20"/>
                <w:szCs w:val="20"/>
                <w:color w:val="auto"/>
              </w:rPr>
            </w:pPr>
            <w:r>
              <w:rPr>
                <w:rFonts w:ascii="Arial" w:cs="Arial" w:eastAsia="Arial" w:hAnsi="Arial"/>
                <w:sz w:val="13"/>
                <w:szCs w:val="13"/>
                <w:b w:val="1"/>
                <w:bCs w:val="1"/>
                <w:color w:val="FEFEFE"/>
                <w:w w:val="92"/>
              </w:rPr>
              <w:t>Thousands)</w:t>
            </w:r>
            <w:r>
              <w:rPr>
                <w:rFonts w:ascii="Arial" w:cs="Arial" w:eastAsia="Arial" w:hAnsi="Arial"/>
                <w:sz w:val="16"/>
                <w:szCs w:val="16"/>
                <w:b w:val="1"/>
                <w:bCs w:val="1"/>
                <w:color w:val="FEFEFE"/>
                <w:w w:val="92"/>
                <w:vertAlign w:val="superscript"/>
              </w:rPr>
              <w:t>(5)</w:t>
            </w:r>
          </w:p>
        </w:tc>
        <w:tc>
          <w:tcPr>
            <w:tcW w:w="0" w:type="dxa"/>
            <w:vAlign w:val="bottom"/>
          </w:tcPr>
          <w:p>
            <w:pPr>
              <w:spacing w:after="0"/>
              <w:rPr>
                <w:sz w:val="1"/>
                <w:szCs w:val="1"/>
                <w:color w:val="auto"/>
              </w:rPr>
            </w:pPr>
          </w:p>
        </w:tc>
      </w:tr>
      <w:tr>
        <w:trPr>
          <w:trHeight w:val="149"/>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00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EFEFE"/>
                <w:w w:val="93"/>
              </w:rPr>
              <w:t>Table Total for</w:t>
            </w:r>
          </w:p>
        </w:tc>
        <w:tc>
          <w:tcPr>
            <w:tcW w:w="1140" w:type="dxa"/>
            <w:vAlign w:val="bottom"/>
            <w:shd w:val="clear" w:color="auto" w:fill="000000"/>
          </w:tcPr>
          <w:p>
            <w:pPr>
              <w:jc w:val="center"/>
              <w:ind w:left="93"/>
              <w:spacing w:after="0" w:line="149" w:lineRule="exact"/>
              <w:rPr>
                <w:sz w:val="20"/>
                <w:szCs w:val="20"/>
                <w:color w:val="auto"/>
              </w:rPr>
            </w:pPr>
            <w:r>
              <w:rPr>
                <w:rFonts w:ascii="Arial" w:cs="Arial" w:eastAsia="Arial" w:hAnsi="Arial"/>
                <w:sz w:val="13"/>
                <w:szCs w:val="13"/>
                <w:b w:val="1"/>
                <w:bCs w:val="1"/>
                <w:color w:val="FEFEFE"/>
                <w:w w:val="93"/>
              </w:rPr>
              <w:t>PEO</w:t>
            </w:r>
            <w:r>
              <w:rPr>
                <w:rFonts w:ascii="Arial" w:cs="Arial" w:eastAsia="Arial" w:hAnsi="Arial"/>
                <w:sz w:val="16"/>
                <w:szCs w:val="16"/>
                <w:b w:val="1"/>
                <w:bCs w:val="1"/>
                <w:color w:val="FEFEFE"/>
                <w:w w:val="93"/>
                <w:vertAlign w:val="superscript"/>
              </w:rPr>
              <w:t>(2)</w:t>
            </w:r>
          </w:p>
        </w:tc>
        <w:tc>
          <w:tcPr>
            <w:tcW w:w="1080" w:type="dxa"/>
            <w:vAlign w:val="bottom"/>
            <w:gridSpan w:val="2"/>
            <w:shd w:val="clear" w:color="auto" w:fill="000000"/>
          </w:tcPr>
          <w:p>
            <w:pPr>
              <w:jc w:val="center"/>
              <w:ind w:left="135"/>
              <w:spacing w:after="0"/>
              <w:rPr>
                <w:sz w:val="20"/>
                <w:szCs w:val="20"/>
                <w:color w:val="auto"/>
              </w:rPr>
            </w:pPr>
            <w:r>
              <w:rPr>
                <w:rFonts w:ascii="Arial" w:cs="Arial" w:eastAsia="Arial" w:hAnsi="Arial"/>
                <w:sz w:val="13"/>
                <w:szCs w:val="13"/>
                <w:b w:val="1"/>
                <w:bCs w:val="1"/>
                <w:color w:val="FEFEFE"/>
                <w:w w:val="97"/>
              </w:rPr>
              <w:t>Compensation</w:t>
            </w:r>
          </w:p>
        </w:tc>
        <w:tc>
          <w:tcPr>
            <w:tcW w:w="1400" w:type="dxa"/>
            <w:vAlign w:val="bottom"/>
            <w:gridSpan w:val="3"/>
            <w:shd w:val="clear" w:color="auto" w:fill="000000"/>
          </w:tcPr>
          <w:p>
            <w:pPr>
              <w:jc w:val="center"/>
              <w:spacing w:after="0"/>
              <w:rPr>
                <w:sz w:val="20"/>
                <w:szCs w:val="20"/>
                <w:color w:val="auto"/>
              </w:rPr>
            </w:pPr>
            <w:r>
              <w:rPr>
                <w:rFonts w:ascii="Arial" w:cs="Arial" w:eastAsia="Arial" w:hAnsi="Arial"/>
                <w:sz w:val="13"/>
                <w:szCs w:val="13"/>
                <w:b w:val="1"/>
                <w:bCs w:val="1"/>
                <w:color w:val="FEFEFE"/>
                <w:w w:val="96"/>
              </w:rPr>
              <w:t>Actually Paid to</w:t>
            </w:r>
          </w:p>
        </w:tc>
        <w:tc>
          <w:tcPr>
            <w:tcW w:w="960" w:type="dxa"/>
            <w:vAlign w:val="bottom"/>
            <w:gridSpan w:val="3"/>
            <w:shd w:val="clear" w:color="auto" w:fill="000000"/>
          </w:tcPr>
          <w:p>
            <w:pPr>
              <w:jc w:val="center"/>
              <w:ind w:right="113"/>
              <w:spacing w:after="0" w:line="149" w:lineRule="exact"/>
              <w:rPr>
                <w:sz w:val="20"/>
                <w:szCs w:val="20"/>
                <w:color w:val="auto"/>
              </w:rPr>
            </w:pPr>
            <w:r>
              <w:rPr>
                <w:rFonts w:ascii="Arial" w:cs="Arial" w:eastAsia="Arial" w:hAnsi="Arial"/>
                <w:sz w:val="13"/>
                <w:szCs w:val="13"/>
                <w:b w:val="1"/>
                <w:bCs w:val="1"/>
                <w:color w:val="FEFEFE"/>
                <w:w w:val="90"/>
              </w:rPr>
              <w:t>Return</w:t>
            </w:r>
            <w:r>
              <w:rPr>
                <w:rFonts w:ascii="Arial" w:cs="Arial" w:eastAsia="Arial" w:hAnsi="Arial"/>
                <w:sz w:val="16"/>
                <w:szCs w:val="16"/>
                <w:b w:val="1"/>
                <w:bCs w:val="1"/>
                <w:color w:val="FEFEFE"/>
                <w:w w:val="90"/>
                <w:vertAlign w:val="superscript"/>
              </w:rPr>
              <w:t>(3)</w:t>
            </w:r>
          </w:p>
        </w:tc>
        <w:tc>
          <w:tcPr>
            <w:tcW w:w="980" w:type="dxa"/>
            <w:vAlign w:val="bottom"/>
            <w:gridSpan w:val="4"/>
            <w:shd w:val="clear" w:color="auto" w:fill="000000"/>
          </w:tcPr>
          <w:p>
            <w:pPr>
              <w:jc w:val="center"/>
              <w:ind w:right="157"/>
              <w:spacing w:after="0"/>
              <w:rPr>
                <w:sz w:val="20"/>
                <w:szCs w:val="20"/>
                <w:color w:val="auto"/>
              </w:rPr>
            </w:pPr>
            <w:r>
              <w:rPr>
                <w:rFonts w:ascii="Arial" w:cs="Arial" w:eastAsia="Arial" w:hAnsi="Arial"/>
                <w:sz w:val="13"/>
                <w:szCs w:val="13"/>
                <w:b w:val="1"/>
                <w:bCs w:val="1"/>
                <w:color w:val="FEFEFE"/>
                <w:w w:val="94"/>
              </w:rPr>
              <w:t>Shareholder</w:t>
            </w:r>
          </w:p>
        </w:tc>
        <w:tc>
          <w:tcPr>
            <w:tcW w:w="240" w:type="dxa"/>
            <w:vAlign w:val="bottom"/>
            <w:shd w:val="clear" w:color="auto" w:fill="000000"/>
          </w:tcPr>
          <w:p>
            <w:pPr>
              <w:spacing w:after="0"/>
              <w:rPr>
                <w:sz w:val="12"/>
                <w:szCs w:val="12"/>
                <w:color w:val="auto"/>
              </w:rPr>
            </w:pPr>
          </w:p>
        </w:tc>
        <w:tc>
          <w:tcPr>
            <w:tcW w:w="580" w:type="dxa"/>
            <w:vAlign w:val="bottom"/>
            <w:shd w:val="clear" w:color="auto" w:fill="000000"/>
          </w:tcPr>
          <w:p>
            <w:pPr>
              <w:jc w:val="right"/>
              <w:ind w:right="237"/>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480" w:type="dxa"/>
            <w:vAlign w:val="bottom"/>
            <w:shd w:val="clear" w:color="auto" w:fill="000000"/>
          </w:tcPr>
          <w:p>
            <w:pPr>
              <w:jc w:val="center"/>
              <w:ind w:right="13"/>
              <w:spacing w:after="0"/>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20" w:type="dxa"/>
            <w:vAlign w:val="bottom"/>
            <w:shd w:val="clear" w:color="auto" w:fill="000000"/>
          </w:tcPr>
          <w:p>
            <w:pPr>
              <w:jc w:val="center"/>
              <w:ind w:right="42"/>
              <w:spacing w:after="0" w:line="144" w:lineRule="exact"/>
              <w:rPr>
                <w:sz w:val="20"/>
                <w:szCs w:val="20"/>
                <w:color w:val="auto"/>
              </w:rPr>
            </w:pPr>
            <w:r>
              <w:rPr>
                <w:rFonts w:ascii="Arial" w:cs="Arial" w:eastAsia="Arial" w:hAnsi="Arial"/>
                <w:sz w:val="16"/>
                <w:szCs w:val="16"/>
                <w:b w:val="1"/>
                <w:bCs w:val="1"/>
                <w:color w:val="FEFEFE"/>
                <w:vertAlign w:val="subscript"/>
              </w:rPr>
              <w:t>PEO</w:t>
            </w:r>
            <w:r>
              <w:rPr>
                <w:rFonts w:ascii="Arial" w:cs="Arial" w:eastAsia="Arial" w:hAnsi="Arial"/>
                <w:sz w:val="7"/>
                <w:szCs w:val="7"/>
                <w:b w:val="1"/>
                <w:bCs w:val="1"/>
                <w:color w:val="FEFEFE"/>
              </w:rPr>
              <w:t>(1)</w:t>
            </w:r>
          </w:p>
        </w:tc>
        <w:tc>
          <w:tcPr>
            <w:tcW w:w="1140" w:type="dxa"/>
            <w:vAlign w:val="bottom"/>
            <w:shd w:val="clear" w:color="auto" w:fill="000000"/>
          </w:tcPr>
          <w:p>
            <w:pPr>
              <w:jc w:val="center"/>
              <w:ind w:left="93"/>
              <w:spacing w:after="0" w:line="144" w:lineRule="exact"/>
              <w:rPr>
                <w:sz w:val="20"/>
                <w:szCs w:val="20"/>
                <w:color w:val="auto"/>
              </w:rPr>
            </w:pPr>
            <w:r>
              <w:rPr>
                <w:rFonts w:ascii="Arial" w:cs="Arial" w:eastAsia="Arial" w:hAnsi="Arial"/>
                <w:sz w:val="13"/>
                <w:szCs w:val="13"/>
                <w:b w:val="1"/>
                <w:bCs w:val="1"/>
                <w:color w:val="FEFEFE"/>
                <w:w w:val="87"/>
              </w:rPr>
              <w:t>($)</w:t>
            </w:r>
          </w:p>
        </w:tc>
        <w:tc>
          <w:tcPr>
            <w:tcW w:w="1060" w:type="dxa"/>
            <w:vAlign w:val="bottom"/>
            <w:shd w:val="clear" w:color="auto" w:fill="000000"/>
          </w:tcPr>
          <w:p>
            <w:pPr>
              <w:jc w:val="center"/>
              <w:ind w:left="155"/>
              <w:spacing w:after="0" w:line="144" w:lineRule="exact"/>
              <w:rPr>
                <w:sz w:val="20"/>
                <w:szCs w:val="20"/>
                <w:color w:val="auto"/>
              </w:rPr>
            </w:pPr>
            <w:r>
              <w:rPr>
                <w:rFonts w:ascii="Arial" w:cs="Arial" w:eastAsia="Arial" w:hAnsi="Arial"/>
                <w:sz w:val="13"/>
                <w:szCs w:val="13"/>
                <w:b w:val="1"/>
                <w:bCs w:val="1"/>
                <w:color w:val="FEFEFE"/>
                <w:w w:val="93"/>
              </w:rPr>
              <w:t>Table Total</w:t>
            </w:r>
          </w:p>
        </w:tc>
        <w:tc>
          <w:tcPr>
            <w:tcW w:w="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040" w:type="dxa"/>
            <w:vAlign w:val="bottom"/>
            <w:gridSpan w:val="2"/>
            <w:shd w:val="clear" w:color="auto" w:fill="000000"/>
          </w:tcPr>
          <w:p>
            <w:pPr>
              <w:jc w:val="center"/>
              <w:ind w:right="293"/>
              <w:spacing w:after="0" w:line="144" w:lineRule="exact"/>
              <w:rPr>
                <w:sz w:val="20"/>
                <w:szCs w:val="20"/>
                <w:color w:val="auto"/>
              </w:rPr>
            </w:pPr>
            <w:r>
              <w:rPr>
                <w:rFonts w:ascii="Arial" w:cs="Arial" w:eastAsia="Arial" w:hAnsi="Arial"/>
                <w:sz w:val="13"/>
                <w:szCs w:val="13"/>
                <w:b w:val="1"/>
                <w:bCs w:val="1"/>
                <w:color w:val="FEFEFE"/>
                <w:w w:val="98"/>
              </w:rPr>
              <w:t>Non-PEO</w:t>
            </w:r>
          </w:p>
        </w:tc>
        <w:tc>
          <w:tcPr>
            <w:tcW w:w="200" w:type="dxa"/>
            <w:vAlign w:val="bottom"/>
            <w:shd w:val="clear" w:color="auto" w:fill="000000"/>
          </w:tcPr>
          <w:p>
            <w:pPr>
              <w:spacing w:after="0"/>
              <w:rPr>
                <w:sz w:val="12"/>
                <w:szCs w:val="12"/>
                <w:color w:val="auto"/>
              </w:rPr>
            </w:pPr>
          </w:p>
        </w:tc>
        <w:tc>
          <w:tcPr>
            <w:tcW w:w="420" w:type="dxa"/>
            <w:vAlign w:val="bottom"/>
            <w:shd w:val="clear" w:color="auto" w:fill="000000"/>
          </w:tcPr>
          <w:p>
            <w:pPr>
              <w:jc w:val="center"/>
              <w:spacing w:after="0" w:line="144" w:lineRule="exact"/>
              <w:rPr>
                <w:sz w:val="20"/>
                <w:szCs w:val="20"/>
                <w:color w:val="auto"/>
              </w:rPr>
            </w:pPr>
            <w:r>
              <w:rPr>
                <w:rFonts w:ascii="Arial" w:cs="Arial" w:eastAsia="Arial" w:hAnsi="Arial"/>
                <w:sz w:val="13"/>
                <w:szCs w:val="13"/>
                <w:b w:val="1"/>
                <w:bCs w:val="1"/>
                <w:color w:val="FEFEFE"/>
              </w:rPr>
              <w:t>($)</w:t>
            </w:r>
          </w:p>
        </w:tc>
        <w:tc>
          <w:tcPr>
            <w:tcW w:w="340" w:type="dxa"/>
            <w:vAlign w:val="bottom"/>
            <w:shd w:val="clear" w:color="auto" w:fill="000000"/>
          </w:tcPr>
          <w:p>
            <w:pPr>
              <w:spacing w:after="0"/>
              <w:rPr>
                <w:sz w:val="12"/>
                <w:szCs w:val="12"/>
                <w:color w:val="auto"/>
              </w:rPr>
            </w:pPr>
          </w:p>
        </w:tc>
        <w:tc>
          <w:tcPr>
            <w:tcW w:w="980" w:type="dxa"/>
            <w:vAlign w:val="bottom"/>
            <w:gridSpan w:val="4"/>
            <w:shd w:val="clear" w:color="auto" w:fill="000000"/>
          </w:tcPr>
          <w:p>
            <w:pPr>
              <w:jc w:val="center"/>
              <w:ind w:right="137"/>
              <w:spacing w:after="0" w:line="144" w:lineRule="exact"/>
              <w:rPr>
                <w:sz w:val="20"/>
                <w:szCs w:val="20"/>
                <w:color w:val="auto"/>
              </w:rPr>
            </w:pPr>
            <w:r>
              <w:rPr>
                <w:rFonts w:ascii="Arial" w:cs="Arial" w:eastAsia="Arial" w:hAnsi="Arial"/>
                <w:sz w:val="13"/>
                <w:szCs w:val="13"/>
                <w:b w:val="1"/>
                <w:bCs w:val="1"/>
                <w:color w:val="FEFEFE"/>
                <w:w w:val="90"/>
              </w:rPr>
              <w:t>Return</w:t>
            </w:r>
            <w:r>
              <w:rPr>
                <w:rFonts w:ascii="Arial" w:cs="Arial" w:eastAsia="Arial" w:hAnsi="Arial"/>
                <w:sz w:val="16"/>
                <w:szCs w:val="16"/>
                <w:b w:val="1"/>
                <w:bCs w:val="1"/>
                <w:color w:val="FEFEFE"/>
                <w:w w:val="90"/>
                <w:vertAlign w:val="superscript"/>
              </w:rPr>
              <w:t>(3)</w:t>
            </w:r>
          </w:p>
        </w:tc>
        <w:tc>
          <w:tcPr>
            <w:tcW w:w="24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48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20" w:type="dxa"/>
            <w:vAlign w:val="bottom"/>
            <w:shd w:val="clear" w:color="auto" w:fill="000000"/>
          </w:tcPr>
          <w:p>
            <w:pPr>
              <w:jc w:val="center"/>
              <w:ind w:right="42"/>
              <w:spacing w:after="0"/>
              <w:rPr>
                <w:sz w:val="20"/>
                <w:szCs w:val="20"/>
                <w:color w:val="auto"/>
              </w:rPr>
            </w:pPr>
            <w:r>
              <w:rPr>
                <w:rFonts w:ascii="Arial" w:cs="Arial" w:eastAsia="Arial" w:hAnsi="Arial"/>
                <w:sz w:val="13"/>
                <w:szCs w:val="13"/>
                <w:b w:val="1"/>
                <w:bCs w:val="1"/>
                <w:color w:val="FEFEFE"/>
              </w:rPr>
              <w:t>($)</w:t>
            </w:r>
          </w:p>
        </w:tc>
        <w:tc>
          <w:tcPr>
            <w:tcW w:w="1140" w:type="dxa"/>
            <w:vAlign w:val="bottom"/>
            <w:shd w:val="clear" w:color="auto" w:fill="000000"/>
          </w:tcPr>
          <w:p>
            <w:pPr>
              <w:spacing w:after="0"/>
              <w:rPr>
                <w:sz w:val="12"/>
                <w:szCs w:val="12"/>
                <w:color w:val="auto"/>
              </w:rPr>
            </w:pPr>
          </w:p>
        </w:tc>
        <w:tc>
          <w:tcPr>
            <w:tcW w:w="1060" w:type="dxa"/>
            <w:vAlign w:val="bottom"/>
            <w:shd w:val="clear" w:color="auto" w:fill="000000"/>
          </w:tcPr>
          <w:p>
            <w:pPr>
              <w:jc w:val="center"/>
              <w:ind w:left="155"/>
              <w:spacing w:after="0"/>
              <w:rPr>
                <w:sz w:val="20"/>
                <w:szCs w:val="20"/>
                <w:color w:val="auto"/>
              </w:rPr>
            </w:pPr>
            <w:r>
              <w:rPr>
                <w:rFonts w:ascii="Arial" w:cs="Arial" w:eastAsia="Arial" w:hAnsi="Arial"/>
                <w:sz w:val="13"/>
                <w:szCs w:val="13"/>
                <w:b w:val="1"/>
                <w:bCs w:val="1"/>
                <w:color w:val="FEFEFE"/>
                <w:w w:val="97"/>
              </w:rPr>
              <w:t>for Non-PEO</w:t>
            </w:r>
          </w:p>
        </w:tc>
        <w:tc>
          <w:tcPr>
            <w:tcW w:w="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040" w:type="dxa"/>
            <w:vAlign w:val="bottom"/>
            <w:gridSpan w:val="2"/>
            <w:shd w:val="clear" w:color="auto" w:fill="000000"/>
          </w:tcPr>
          <w:p>
            <w:pPr>
              <w:jc w:val="center"/>
              <w:ind w:right="313"/>
              <w:spacing w:after="0"/>
              <w:rPr>
                <w:sz w:val="20"/>
                <w:szCs w:val="20"/>
                <w:color w:val="auto"/>
              </w:rPr>
            </w:pPr>
            <w:r>
              <w:rPr>
                <w:rFonts w:ascii="Arial" w:cs="Arial" w:eastAsia="Arial" w:hAnsi="Arial"/>
                <w:sz w:val="13"/>
                <w:szCs w:val="13"/>
                <w:b w:val="1"/>
                <w:bCs w:val="1"/>
                <w:color w:val="FEFEFE"/>
                <w:w w:val="96"/>
              </w:rPr>
              <w:t>Named</w:t>
            </w:r>
          </w:p>
        </w:tc>
        <w:tc>
          <w:tcPr>
            <w:tcW w:w="20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34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4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48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000000"/>
          </w:tcPr>
          <w:p>
            <w:pPr>
              <w:spacing w:after="0"/>
              <w:rPr>
                <w:sz w:val="11"/>
                <w:szCs w:val="11"/>
                <w:color w:val="auto"/>
              </w:rPr>
            </w:pPr>
          </w:p>
        </w:tc>
        <w:tc>
          <w:tcPr>
            <w:tcW w:w="5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1140" w:type="dxa"/>
            <w:vAlign w:val="bottom"/>
            <w:shd w:val="clear" w:color="auto" w:fill="000000"/>
          </w:tcPr>
          <w:p>
            <w:pPr>
              <w:spacing w:after="0"/>
              <w:rPr>
                <w:sz w:val="11"/>
                <w:szCs w:val="11"/>
                <w:color w:val="auto"/>
              </w:rPr>
            </w:pPr>
          </w:p>
        </w:tc>
        <w:tc>
          <w:tcPr>
            <w:tcW w:w="1060" w:type="dxa"/>
            <w:vAlign w:val="bottom"/>
            <w:shd w:val="clear" w:color="auto" w:fill="000000"/>
          </w:tcPr>
          <w:p>
            <w:pPr>
              <w:jc w:val="center"/>
              <w:ind w:left="135"/>
              <w:spacing w:after="0" w:line="135" w:lineRule="exact"/>
              <w:rPr>
                <w:sz w:val="20"/>
                <w:szCs w:val="20"/>
                <w:color w:val="auto"/>
              </w:rPr>
            </w:pPr>
            <w:r>
              <w:rPr>
                <w:rFonts w:ascii="Arial" w:cs="Arial" w:eastAsia="Arial" w:hAnsi="Arial"/>
                <w:sz w:val="13"/>
                <w:szCs w:val="13"/>
                <w:b w:val="1"/>
                <w:bCs w:val="1"/>
                <w:color w:val="FEFEFE"/>
                <w:w w:val="96"/>
              </w:rPr>
              <w:t>Named</w:t>
            </w:r>
          </w:p>
        </w:tc>
        <w:tc>
          <w:tcPr>
            <w:tcW w:w="2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1040" w:type="dxa"/>
            <w:vAlign w:val="bottom"/>
            <w:gridSpan w:val="2"/>
            <w:shd w:val="clear" w:color="auto" w:fill="000000"/>
          </w:tcPr>
          <w:p>
            <w:pPr>
              <w:jc w:val="center"/>
              <w:ind w:right="313"/>
              <w:spacing w:after="0" w:line="135" w:lineRule="exact"/>
              <w:rPr>
                <w:sz w:val="20"/>
                <w:szCs w:val="20"/>
                <w:color w:val="auto"/>
              </w:rPr>
            </w:pPr>
            <w:r>
              <w:rPr>
                <w:rFonts w:ascii="Arial" w:cs="Arial" w:eastAsia="Arial" w:hAnsi="Arial"/>
                <w:sz w:val="13"/>
                <w:szCs w:val="13"/>
                <w:b w:val="1"/>
                <w:bCs w:val="1"/>
                <w:color w:val="FEFEFE"/>
                <w:w w:val="95"/>
              </w:rPr>
              <w:t>Executive</w:t>
            </w:r>
          </w:p>
        </w:tc>
        <w:tc>
          <w:tcPr>
            <w:tcW w:w="200" w:type="dxa"/>
            <w:vAlign w:val="bottom"/>
            <w:shd w:val="clear" w:color="auto" w:fill="000000"/>
          </w:tcPr>
          <w:p>
            <w:pPr>
              <w:spacing w:after="0"/>
              <w:rPr>
                <w:sz w:val="11"/>
                <w:szCs w:val="11"/>
                <w:color w:val="auto"/>
              </w:rPr>
            </w:pPr>
          </w:p>
        </w:tc>
        <w:tc>
          <w:tcPr>
            <w:tcW w:w="420" w:type="dxa"/>
            <w:vAlign w:val="bottom"/>
            <w:shd w:val="clear" w:color="auto" w:fill="000000"/>
          </w:tcPr>
          <w:p>
            <w:pPr>
              <w:spacing w:after="0"/>
              <w:rPr>
                <w:sz w:val="11"/>
                <w:szCs w:val="11"/>
                <w:color w:val="auto"/>
              </w:rPr>
            </w:pPr>
          </w:p>
        </w:tc>
        <w:tc>
          <w:tcPr>
            <w:tcW w:w="34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44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58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48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00" w:type="dxa"/>
            <w:vAlign w:val="bottom"/>
            <w:shd w:val="clear" w:color="auto" w:fill="000000"/>
          </w:tcPr>
          <w:p>
            <w:pPr>
              <w:spacing w:after="0"/>
              <w:rPr>
                <w:sz w:val="12"/>
                <w:szCs w:val="12"/>
                <w:color w:val="auto"/>
              </w:rPr>
            </w:pPr>
          </w:p>
        </w:tc>
        <w:tc>
          <w:tcPr>
            <w:tcW w:w="520" w:type="dxa"/>
            <w:vAlign w:val="bottom"/>
            <w:shd w:val="clear" w:color="auto" w:fill="000000"/>
          </w:tcPr>
          <w:p>
            <w:pPr>
              <w:spacing w:after="0"/>
              <w:rPr>
                <w:sz w:val="12"/>
                <w:szCs w:val="12"/>
                <w:color w:val="auto"/>
              </w:rPr>
            </w:pPr>
          </w:p>
        </w:tc>
        <w:tc>
          <w:tcPr>
            <w:tcW w:w="8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20" w:type="dxa"/>
            <w:vAlign w:val="bottom"/>
            <w:shd w:val="clear" w:color="auto" w:fill="000000"/>
          </w:tcPr>
          <w:p>
            <w:pPr>
              <w:spacing w:after="0"/>
              <w:rPr>
                <w:sz w:val="12"/>
                <w:szCs w:val="12"/>
                <w:color w:val="auto"/>
              </w:rPr>
            </w:pPr>
          </w:p>
        </w:tc>
        <w:tc>
          <w:tcPr>
            <w:tcW w:w="1140" w:type="dxa"/>
            <w:vAlign w:val="bottom"/>
            <w:shd w:val="clear" w:color="auto" w:fill="000000"/>
          </w:tcPr>
          <w:p>
            <w:pPr>
              <w:spacing w:after="0"/>
              <w:rPr>
                <w:sz w:val="12"/>
                <w:szCs w:val="12"/>
                <w:color w:val="auto"/>
              </w:rPr>
            </w:pPr>
          </w:p>
        </w:tc>
        <w:tc>
          <w:tcPr>
            <w:tcW w:w="1060" w:type="dxa"/>
            <w:vAlign w:val="bottom"/>
            <w:shd w:val="clear" w:color="auto" w:fill="000000"/>
          </w:tcPr>
          <w:p>
            <w:pPr>
              <w:jc w:val="center"/>
              <w:ind w:left="135"/>
              <w:spacing w:after="0" w:line="139" w:lineRule="exact"/>
              <w:rPr>
                <w:sz w:val="20"/>
                <w:szCs w:val="20"/>
                <w:color w:val="auto"/>
              </w:rPr>
            </w:pPr>
            <w:r>
              <w:rPr>
                <w:rFonts w:ascii="Arial" w:cs="Arial" w:eastAsia="Arial" w:hAnsi="Arial"/>
                <w:sz w:val="13"/>
                <w:szCs w:val="13"/>
                <w:b w:val="1"/>
                <w:bCs w:val="1"/>
                <w:color w:val="FEFEFE"/>
                <w:w w:val="95"/>
              </w:rPr>
              <w:t>Executive</w:t>
            </w:r>
          </w:p>
        </w:tc>
        <w:tc>
          <w:tcPr>
            <w:tcW w:w="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040" w:type="dxa"/>
            <w:vAlign w:val="bottom"/>
            <w:gridSpan w:val="2"/>
            <w:shd w:val="clear" w:color="auto" w:fill="000000"/>
          </w:tcPr>
          <w:p>
            <w:pPr>
              <w:jc w:val="center"/>
              <w:ind w:right="273"/>
              <w:spacing w:after="0" w:line="139" w:lineRule="exact"/>
              <w:rPr>
                <w:sz w:val="20"/>
                <w:szCs w:val="20"/>
                <w:color w:val="auto"/>
              </w:rPr>
            </w:pPr>
            <w:r>
              <w:rPr>
                <w:rFonts w:ascii="Arial" w:cs="Arial" w:eastAsia="Arial" w:hAnsi="Arial"/>
                <w:sz w:val="13"/>
                <w:szCs w:val="13"/>
                <w:b w:val="1"/>
                <w:bCs w:val="1"/>
                <w:color w:val="FEFEFE"/>
                <w:w w:val="93"/>
              </w:rPr>
              <w:t>Officers</w:t>
            </w:r>
            <w:r>
              <w:rPr>
                <w:rFonts w:ascii="Arial" w:cs="Arial" w:eastAsia="Arial" w:hAnsi="Arial"/>
                <w:sz w:val="16"/>
                <w:szCs w:val="16"/>
                <w:b w:val="1"/>
                <w:bCs w:val="1"/>
                <w:color w:val="FEFEFE"/>
                <w:w w:val="93"/>
                <w:vertAlign w:val="superscript"/>
              </w:rPr>
              <w:t>(2)</w:t>
            </w:r>
          </w:p>
        </w:tc>
        <w:tc>
          <w:tcPr>
            <w:tcW w:w="200" w:type="dxa"/>
            <w:vAlign w:val="bottom"/>
            <w:shd w:val="clear" w:color="auto" w:fill="000000"/>
          </w:tcPr>
          <w:p>
            <w:pPr>
              <w:spacing w:after="0"/>
              <w:rPr>
                <w:sz w:val="12"/>
                <w:szCs w:val="12"/>
                <w:color w:val="auto"/>
              </w:rPr>
            </w:pPr>
          </w:p>
        </w:tc>
        <w:tc>
          <w:tcPr>
            <w:tcW w:w="420" w:type="dxa"/>
            <w:vAlign w:val="bottom"/>
            <w:shd w:val="clear" w:color="auto" w:fill="000000"/>
          </w:tcPr>
          <w:p>
            <w:pPr>
              <w:spacing w:after="0"/>
              <w:rPr>
                <w:sz w:val="12"/>
                <w:szCs w:val="12"/>
                <w:color w:val="auto"/>
              </w:rPr>
            </w:pPr>
          </w:p>
        </w:tc>
        <w:tc>
          <w:tcPr>
            <w:tcW w:w="34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44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20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58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240" w:type="dxa"/>
            <w:vAlign w:val="bottom"/>
            <w:shd w:val="clear" w:color="auto" w:fill="000000"/>
          </w:tcPr>
          <w:p>
            <w:pPr>
              <w:spacing w:after="0"/>
              <w:rPr>
                <w:sz w:val="12"/>
                <w:szCs w:val="12"/>
                <w:color w:val="auto"/>
              </w:rPr>
            </w:pPr>
          </w:p>
        </w:tc>
        <w:tc>
          <w:tcPr>
            <w:tcW w:w="480" w:type="dxa"/>
            <w:vAlign w:val="bottom"/>
            <w:shd w:val="clear" w:color="auto" w:fill="000000"/>
          </w:tcPr>
          <w:p>
            <w:pPr>
              <w:spacing w:after="0"/>
              <w:rPr>
                <w:sz w:val="12"/>
                <w:szCs w:val="12"/>
                <w:color w:val="auto"/>
              </w:rPr>
            </w:pPr>
          </w:p>
        </w:tc>
        <w:tc>
          <w:tcPr>
            <w:tcW w:w="14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 w:type="dxa"/>
            <w:vAlign w:val="bottom"/>
            <w:shd w:val="clear" w:color="auto" w:fill="000000"/>
          </w:tcPr>
          <w:p>
            <w:pPr>
              <w:spacing w:after="0"/>
              <w:rPr>
                <w:sz w:val="14"/>
                <w:szCs w:val="14"/>
                <w:color w:val="auto"/>
              </w:rPr>
            </w:pPr>
          </w:p>
        </w:tc>
        <w:tc>
          <w:tcPr>
            <w:tcW w:w="52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820" w:type="dxa"/>
            <w:vAlign w:val="bottom"/>
            <w:shd w:val="clear" w:color="auto" w:fill="000000"/>
          </w:tcPr>
          <w:p>
            <w:pPr>
              <w:spacing w:after="0"/>
              <w:rPr>
                <w:sz w:val="14"/>
                <w:szCs w:val="14"/>
                <w:color w:val="auto"/>
              </w:rPr>
            </w:pPr>
          </w:p>
        </w:tc>
        <w:tc>
          <w:tcPr>
            <w:tcW w:w="1140" w:type="dxa"/>
            <w:vAlign w:val="bottom"/>
            <w:shd w:val="clear" w:color="auto" w:fill="000000"/>
          </w:tcPr>
          <w:p>
            <w:pPr>
              <w:spacing w:after="0"/>
              <w:rPr>
                <w:sz w:val="14"/>
                <w:szCs w:val="14"/>
                <w:color w:val="auto"/>
              </w:rPr>
            </w:pPr>
          </w:p>
        </w:tc>
        <w:tc>
          <w:tcPr>
            <w:tcW w:w="1060" w:type="dxa"/>
            <w:vAlign w:val="bottom"/>
            <w:shd w:val="clear" w:color="auto" w:fill="000000"/>
          </w:tcPr>
          <w:p>
            <w:pPr>
              <w:jc w:val="center"/>
              <w:ind w:left="175"/>
              <w:spacing w:after="0" w:line="171" w:lineRule="exact"/>
              <w:rPr>
                <w:sz w:val="20"/>
                <w:szCs w:val="20"/>
                <w:color w:val="auto"/>
              </w:rPr>
            </w:pPr>
            <w:r>
              <w:rPr>
                <w:rFonts w:ascii="Arial" w:cs="Arial" w:eastAsia="Arial" w:hAnsi="Arial"/>
                <w:sz w:val="13"/>
                <w:szCs w:val="13"/>
                <w:b w:val="1"/>
                <w:bCs w:val="1"/>
                <w:color w:val="FEFEFE"/>
                <w:w w:val="93"/>
              </w:rPr>
              <w:t>Officers</w:t>
            </w:r>
            <w:r>
              <w:rPr>
                <w:rFonts w:ascii="Arial" w:cs="Arial" w:eastAsia="Arial" w:hAnsi="Arial"/>
                <w:sz w:val="16"/>
                <w:szCs w:val="16"/>
                <w:b w:val="1"/>
                <w:bCs w:val="1"/>
                <w:color w:val="FEFEFE"/>
                <w:w w:val="93"/>
                <w:vertAlign w:val="superscript"/>
              </w:rPr>
              <w:t>(1)</w:t>
            </w:r>
          </w:p>
        </w:tc>
        <w:tc>
          <w:tcPr>
            <w:tcW w:w="20" w:type="dxa"/>
            <w:vAlign w:val="bottom"/>
            <w:shd w:val="clear" w:color="auto" w:fill="000000"/>
          </w:tcPr>
          <w:p>
            <w:pPr>
              <w:spacing w:after="0"/>
              <w:rPr>
                <w:sz w:val="14"/>
                <w:szCs w:val="14"/>
                <w:color w:val="auto"/>
              </w:rPr>
            </w:pPr>
          </w:p>
        </w:tc>
        <w:tc>
          <w:tcPr>
            <w:tcW w:w="360" w:type="dxa"/>
            <w:vAlign w:val="bottom"/>
            <w:shd w:val="clear" w:color="auto" w:fill="000000"/>
          </w:tcPr>
          <w:p>
            <w:pPr>
              <w:spacing w:after="0"/>
              <w:rPr>
                <w:sz w:val="14"/>
                <w:szCs w:val="14"/>
                <w:color w:val="auto"/>
              </w:rPr>
            </w:pPr>
          </w:p>
        </w:tc>
        <w:tc>
          <w:tcPr>
            <w:tcW w:w="780" w:type="dxa"/>
            <w:vAlign w:val="bottom"/>
            <w:shd w:val="clear" w:color="auto" w:fill="000000"/>
          </w:tcPr>
          <w:p>
            <w:pPr>
              <w:jc w:val="center"/>
              <w:ind w:right="16"/>
              <w:spacing w:after="0"/>
              <w:rPr>
                <w:sz w:val="20"/>
                <w:szCs w:val="20"/>
                <w:color w:val="auto"/>
              </w:rPr>
            </w:pPr>
            <w:r>
              <w:rPr>
                <w:rFonts w:ascii="Arial" w:cs="Arial" w:eastAsia="Arial" w:hAnsi="Arial"/>
                <w:sz w:val="13"/>
                <w:szCs w:val="13"/>
                <w:b w:val="1"/>
                <w:bCs w:val="1"/>
                <w:color w:val="FEFEFE"/>
                <w:w w:val="87"/>
              </w:rPr>
              <w:t>($)</w:t>
            </w:r>
          </w:p>
        </w:tc>
        <w:tc>
          <w:tcPr>
            <w:tcW w:w="2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420" w:type="dxa"/>
            <w:vAlign w:val="bottom"/>
            <w:shd w:val="clear" w:color="auto" w:fill="000000"/>
          </w:tcPr>
          <w:p>
            <w:pPr>
              <w:spacing w:after="0"/>
              <w:rPr>
                <w:sz w:val="14"/>
                <w:szCs w:val="14"/>
                <w:color w:val="auto"/>
              </w:rPr>
            </w:pPr>
          </w:p>
        </w:tc>
        <w:tc>
          <w:tcPr>
            <w:tcW w:w="34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44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240" w:type="dxa"/>
            <w:vAlign w:val="bottom"/>
            <w:shd w:val="clear" w:color="auto" w:fill="000000"/>
          </w:tcPr>
          <w:p>
            <w:pPr>
              <w:spacing w:after="0"/>
              <w:rPr>
                <w:sz w:val="14"/>
                <w:szCs w:val="14"/>
                <w:color w:val="auto"/>
              </w:rPr>
            </w:pPr>
          </w:p>
        </w:tc>
        <w:tc>
          <w:tcPr>
            <w:tcW w:w="580" w:type="dxa"/>
            <w:vAlign w:val="bottom"/>
            <w:shd w:val="clear" w:color="auto" w:fill="000000"/>
          </w:tcPr>
          <w:p>
            <w:pPr>
              <w:spacing w:after="0"/>
              <w:rPr>
                <w:sz w:val="14"/>
                <w:szCs w:val="14"/>
                <w:color w:val="auto"/>
              </w:rPr>
            </w:pPr>
          </w:p>
        </w:tc>
        <w:tc>
          <w:tcPr>
            <w:tcW w:w="260" w:type="dxa"/>
            <w:vAlign w:val="bottom"/>
            <w:shd w:val="clear" w:color="auto" w:fill="000000"/>
          </w:tcPr>
          <w:p>
            <w:pPr>
              <w:spacing w:after="0"/>
              <w:rPr>
                <w:sz w:val="14"/>
                <w:szCs w:val="14"/>
                <w:color w:val="auto"/>
              </w:rPr>
            </w:pPr>
          </w:p>
        </w:tc>
        <w:tc>
          <w:tcPr>
            <w:tcW w:w="240" w:type="dxa"/>
            <w:vAlign w:val="bottom"/>
            <w:shd w:val="clear" w:color="auto" w:fill="000000"/>
          </w:tcPr>
          <w:p>
            <w:pPr>
              <w:spacing w:after="0"/>
              <w:rPr>
                <w:sz w:val="14"/>
                <w:szCs w:val="14"/>
                <w:color w:val="auto"/>
              </w:rPr>
            </w:pPr>
          </w:p>
        </w:tc>
        <w:tc>
          <w:tcPr>
            <w:tcW w:w="480" w:type="dxa"/>
            <w:vAlign w:val="bottom"/>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00" w:type="dxa"/>
            <w:vAlign w:val="bottom"/>
            <w:shd w:val="clear" w:color="auto" w:fill="000000"/>
          </w:tcPr>
          <w:p>
            <w:pPr>
              <w:spacing w:after="0"/>
              <w:rPr>
                <w:sz w:val="13"/>
                <w:szCs w:val="13"/>
                <w:color w:val="auto"/>
              </w:rPr>
            </w:pPr>
          </w:p>
        </w:tc>
        <w:tc>
          <w:tcPr>
            <w:tcW w:w="52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820" w:type="dxa"/>
            <w:vAlign w:val="bottom"/>
            <w:shd w:val="clear" w:color="auto" w:fill="000000"/>
          </w:tcPr>
          <w:p>
            <w:pPr>
              <w:spacing w:after="0"/>
              <w:rPr>
                <w:sz w:val="13"/>
                <w:szCs w:val="13"/>
                <w:color w:val="auto"/>
              </w:rPr>
            </w:pPr>
          </w:p>
        </w:tc>
        <w:tc>
          <w:tcPr>
            <w:tcW w:w="1140" w:type="dxa"/>
            <w:vAlign w:val="bottom"/>
            <w:shd w:val="clear" w:color="auto" w:fill="000000"/>
          </w:tcPr>
          <w:p>
            <w:pPr>
              <w:spacing w:after="0"/>
              <w:rPr>
                <w:sz w:val="13"/>
                <w:szCs w:val="13"/>
                <w:color w:val="auto"/>
              </w:rPr>
            </w:pPr>
          </w:p>
        </w:tc>
        <w:tc>
          <w:tcPr>
            <w:tcW w:w="1060" w:type="dxa"/>
            <w:vAlign w:val="bottom"/>
            <w:shd w:val="clear" w:color="auto" w:fill="000000"/>
          </w:tcPr>
          <w:p>
            <w:pPr>
              <w:jc w:val="right"/>
              <w:ind w:right="275"/>
              <w:spacing w:after="0"/>
              <w:rPr>
                <w:sz w:val="20"/>
                <w:szCs w:val="20"/>
                <w:color w:val="auto"/>
              </w:rPr>
            </w:pPr>
            <w:r>
              <w:rPr>
                <w:rFonts w:ascii="Arial" w:cs="Arial" w:eastAsia="Arial" w:hAnsi="Arial"/>
                <w:sz w:val="13"/>
                <w:szCs w:val="13"/>
                <w:b w:val="1"/>
                <w:bCs w:val="1"/>
                <w:color w:val="FEFEFE"/>
              </w:rPr>
              <w:t>($)</w:t>
            </w:r>
          </w:p>
        </w:tc>
        <w:tc>
          <w:tcPr>
            <w:tcW w:w="20" w:type="dxa"/>
            <w:vAlign w:val="bottom"/>
            <w:shd w:val="clear" w:color="auto" w:fill="000000"/>
          </w:tcPr>
          <w:p>
            <w:pPr>
              <w:spacing w:after="0"/>
              <w:rPr>
                <w:sz w:val="13"/>
                <w:szCs w:val="13"/>
                <w:color w:val="auto"/>
              </w:rPr>
            </w:pPr>
          </w:p>
        </w:tc>
        <w:tc>
          <w:tcPr>
            <w:tcW w:w="360" w:type="dxa"/>
            <w:vAlign w:val="bottom"/>
            <w:shd w:val="clear" w:color="auto" w:fill="000000"/>
          </w:tcPr>
          <w:p>
            <w:pPr>
              <w:spacing w:after="0"/>
              <w:rPr>
                <w:sz w:val="13"/>
                <w:szCs w:val="13"/>
                <w:color w:val="auto"/>
              </w:rPr>
            </w:pPr>
          </w:p>
        </w:tc>
        <w:tc>
          <w:tcPr>
            <w:tcW w:w="780" w:type="dxa"/>
            <w:vAlign w:val="bottom"/>
            <w:shd w:val="clear" w:color="auto" w:fill="000000"/>
          </w:tcPr>
          <w:p>
            <w:pPr>
              <w:spacing w:after="0"/>
              <w:rPr>
                <w:sz w:val="13"/>
                <w:szCs w:val="13"/>
                <w:color w:val="auto"/>
              </w:rPr>
            </w:pPr>
          </w:p>
        </w:tc>
        <w:tc>
          <w:tcPr>
            <w:tcW w:w="2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420" w:type="dxa"/>
            <w:vAlign w:val="bottom"/>
            <w:shd w:val="clear" w:color="auto" w:fill="000000"/>
          </w:tcPr>
          <w:p>
            <w:pPr>
              <w:spacing w:after="0"/>
              <w:rPr>
                <w:sz w:val="13"/>
                <w:szCs w:val="13"/>
                <w:color w:val="auto"/>
              </w:rPr>
            </w:pPr>
          </w:p>
        </w:tc>
        <w:tc>
          <w:tcPr>
            <w:tcW w:w="34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440" w:type="dxa"/>
            <w:vAlign w:val="bottom"/>
            <w:shd w:val="clear" w:color="auto" w:fill="000000"/>
          </w:tcPr>
          <w:p>
            <w:pPr>
              <w:spacing w:after="0"/>
              <w:rPr>
                <w:sz w:val="13"/>
                <w:szCs w:val="13"/>
                <w:color w:val="auto"/>
              </w:rPr>
            </w:pPr>
          </w:p>
        </w:tc>
        <w:tc>
          <w:tcPr>
            <w:tcW w:w="14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240" w:type="dxa"/>
            <w:vAlign w:val="bottom"/>
            <w:shd w:val="clear" w:color="auto" w:fill="000000"/>
          </w:tcPr>
          <w:p>
            <w:pPr>
              <w:spacing w:after="0"/>
              <w:rPr>
                <w:sz w:val="13"/>
                <w:szCs w:val="13"/>
                <w:color w:val="auto"/>
              </w:rPr>
            </w:pPr>
          </w:p>
        </w:tc>
        <w:tc>
          <w:tcPr>
            <w:tcW w:w="580" w:type="dxa"/>
            <w:vAlign w:val="bottom"/>
            <w:shd w:val="clear" w:color="auto" w:fill="000000"/>
          </w:tcPr>
          <w:p>
            <w:pPr>
              <w:spacing w:after="0"/>
              <w:rPr>
                <w:sz w:val="13"/>
                <w:szCs w:val="13"/>
                <w:color w:val="auto"/>
              </w:rPr>
            </w:pPr>
          </w:p>
        </w:tc>
        <w:tc>
          <w:tcPr>
            <w:tcW w:w="260" w:type="dxa"/>
            <w:vAlign w:val="bottom"/>
            <w:shd w:val="clear" w:color="auto" w:fill="000000"/>
          </w:tcPr>
          <w:p>
            <w:pPr>
              <w:spacing w:after="0"/>
              <w:rPr>
                <w:sz w:val="13"/>
                <w:szCs w:val="13"/>
                <w:color w:val="auto"/>
              </w:rPr>
            </w:pPr>
          </w:p>
        </w:tc>
        <w:tc>
          <w:tcPr>
            <w:tcW w:w="240" w:type="dxa"/>
            <w:vAlign w:val="bottom"/>
            <w:shd w:val="clear" w:color="auto" w:fill="000000"/>
          </w:tcPr>
          <w:p>
            <w:pPr>
              <w:spacing w:after="0"/>
              <w:rPr>
                <w:sz w:val="13"/>
                <w:szCs w:val="13"/>
                <w:color w:val="auto"/>
              </w:rPr>
            </w:pPr>
          </w:p>
        </w:tc>
        <w:tc>
          <w:tcPr>
            <w:tcW w:w="480" w:type="dxa"/>
            <w:vAlign w:val="bottom"/>
            <w:shd w:val="clear" w:color="auto" w:fill="000000"/>
          </w:tcPr>
          <w:p>
            <w:pPr>
              <w:spacing w:after="0"/>
              <w:rPr>
                <w:sz w:val="13"/>
                <w:szCs w:val="13"/>
                <w:color w:val="auto"/>
              </w:rPr>
            </w:pPr>
          </w:p>
        </w:tc>
        <w:tc>
          <w:tcPr>
            <w:tcW w:w="140" w:type="dxa"/>
            <w:vAlign w:val="bottom"/>
            <w:shd w:val="clear" w:color="auto" w:fill="000000"/>
          </w:tcPr>
          <w:p>
            <w:pPr>
              <w:spacing w:after="0"/>
              <w:rPr>
                <w:sz w:val="13"/>
                <w:szCs w:val="13"/>
                <w:color w:val="auto"/>
              </w:rPr>
            </w:pPr>
          </w:p>
        </w:tc>
        <w:tc>
          <w:tcPr>
            <w:tcW w:w="18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620" w:type="dxa"/>
            <w:vAlign w:val="bottom"/>
            <w:gridSpan w:val="2"/>
          </w:tcPr>
          <w:p>
            <w:pPr>
              <w:ind w:left="100"/>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596,430</w:t>
            </w:r>
          </w:p>
        </w:tc>
        <w:tc>
          <w:tcPr>
            <w:tcW w:w="2200" w:type="dxa"/>
            <w:vAlign w:val="bottom"/>
            <w:gridSpan w:val="2"/>
          </w:tcPr>
          <w:p>
            <w:pPr>
              <w:ind w:left="180"/>
              <w:spacing w:after="0"/>
              <w:rPr>
                <w:sz w:val="20"/>
                <w:szCs w:val="20"/>
                <w:color w:val="auto"/>
              </w:rPr>
            </w:pPr>
            <w:r>
              <w:rPr>
                <w:rFonts w:ascii="Arial" w:cs="Arial" w:eastAsia="Arial" w:hAnsi="Arial"/>
                <w:sz w:val="14"/>
                <w:szCs w:val="14"/>
                <w:color w:val="auto"/>
              </w:rPr>
              <w:t>​ (643,851,664)   ​  5,756,135</w:t>
            </w:r>
          </w:p>
        </w:tc>
        <w:tc>
          <w:tcPr>
            <w:tcW w:w="20" w:type="dxa"/>
            <w:vAlign w:val="bottom"/>
          </w:tcPr>
          <w:p>
            <w:pPr>
              <w:spacing w:after="0"/>
              <w:rPr>
                <w:sz w:val="23"/>
                <w:szCs w:val="23"/>
                <w:color w:val="auto"/>
              </w:rPr>
            </w:pPr>
          </w:p>
        </w:tc>
        <w:tc>
          <w:tcPr>
            <w:tcW w:w="1400" w:type="dxa"/>
            <w:vAlign w:val="bottom"/>
            <w:gridSpan w:val="3"/>
          </w:tcPr>
          <w:p>
            <w:pPr>
              <w:jc w:val="right"/>
              <w:ind w:right="153"/>
              <w:spacing w:after="0"/>
              <w:rPr>
                <w:sz w:val="20"/>
                <w:szCs w:val="20"/>
                <w:color w:val="auto"/>
              </w:rPr>
            </w:pPr>
            <w:r>
              <w:rPr>
                <w:rFonts w:ascii="Arial" w:cs="Arial" w:eastAsia="Arial" w:hAnsi="Arial"/>
                <w:sz w:val="14"/>
                <w:szCs w:val="14"/>
                <w:color w:val="auto"/>
              </w:rPr>
              <w:t>​ (29,632,802)</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73"/>
              <w:spacing w:after="0"/>
              <w:rPr>
                <w:sz w:val="20"/>
                <w:szCs w:val="20"/>
                <w:color w:val="auto"/>
              </w:rPr>
            </w:pPr>
            <w:r>
              <w:rPr>
                <w:rFonts w:ascii="Arial" w:cs="Arial" w:eastAsia="Arial" w:hAnsi="Arial"/>
                <w:sz w:val="14"/>
                <w:szCs w:val="14"/>
                <w:color w:val="auto"/>
              </w:rPr>
              <w:t>28.16</w:t>
            </w:r>
          </w:p>
        </w:tc>
        <w:tc>
          <w:tcPr>
            <w:tcW w:w="200" w:type="dxa"/>
            <w:vAlign w:val="bottom"/>
          </w:tcPr>
          <w:p>
            <w:pPr>
              <w:ind w:lef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68"/>
              <w:spacing w:after="0"/>
              <w:rPr>
                <w:sz w:val="20"/>
                <w:szCs w:val="20"/>
                <w:color w:val="auto"/>
              </w:rPr>
            </w:pPr>
            <w:r>
              <w:rPr>
                <w:rFonts w:ascii="Arial" w:cs="Arial" w:eastAsia="Arial" w:hAnsi="Arial"/>
                <w:sz w:val="14"/>
                <w:szCs w:val="14"/>
                <w:color w:val="auto"/>
              </w:rPr>
              <w:t>79.05</w:t>
            </w:r>
          </w:p>
        </w:tc>
        <w:tc>
          <w:tcPr>
            <w:tcW w:w="200" w:type="dxa"/>
            <w:vAlign w:val="bottom"/>
          </w:tcPr>
          <w:p>
            <w:pPr>
              <w:spacing w:after="0"/>
              <w:rPr>
                <w:sz w:val="23"/>
                <w:szCs w:val="23"/>
                <w:color w:val="auto"/>
              </w:rPr>
            </w:pPr>
          </w:p>
        </w:tc>
        <w:tc>
          <w:tcPr>
            <w:tcW w:w="1080" w:type="dxa"/>
            <w:vAlign w:val="bottom"/>
            <w:gridSpan w:val="3"/>
          </w:tcPr>
          <w:p>
            <w:pPr>
              <w:jc w:val="right"/>
              <w:ind w:right="153"/>
              <w:spacing w:after="0"/>
              <w:rPr>
                <w:sz w:val="20"/>
                <w:szCs w:val="20"/>
                <w:color w:val="auto"/>
              </w:rPr>
            </w:pPr>
            <w:r>
              <w:rPr>
                <w:rFonts w:ascii="Arial" w:cs="Arial" w:eastAsia="Arial" w:hAnsi="Arial"/>
                <w:sz w:val="14"/>
                <w:szCs w:val="14"/>
                <w:color w:val="auto"/>
              </w:rPr>
              <w:t>​ (1,314,766)</w:t>
            </w:r>
          </w:p>
        </w:tc>
        <w:tc>
          <w:tcPr>
            <w:tcW w:w="1040" w:type="dxa"/>
            <w:vAlign w:val="bottom"/>
            <w:gridSpan w:val="4"/>
          </w:tcPr>
          <w:p>
            <w:pPr>
              <w:jc w:val="right"/>
              <w:ind w:right="257"/>
              <w:spacing w:after="0"/>
              <w:rPr>
                <w:sz w:val="20"/>
                <w:szCs w:val="20"/>
                <w:color w:val="auto"/>
              </w:rPr>
            </w:pPr>
            <w:r>
              <w:rPr>
                <w:rFonts w:ascii="Arial" w:cs="Arial" w:eastAsia="Arial" w:hAnsi="Arial"/>
                <w:sz w:val="14"/>
                <w:szCs w:val="14"/>
                <w:color w:val="auto"/>
              </w:rPr>
              <w:t>​ 608,181</w:t>
            </w:r>
          </w:p>
        </w:tc>
        <w:tc>
          <w:tcPr>
            <w:tcW w:w="0" w:type="dxa"/>
            <w:vAlign w:val="bottom"/>
          </w:tcPr>
          <w:p>
            <w:pPr>
              <w:spacing w:after="0"/>
              <w:rPr>
                <w:sz w:val="1"/>
                <w:szCs w:val="1"/>
                <w:color w:val="auto"/>
              </w:rPr>
            </w:pPr>
          </w:p>
        </w:tc>
      </w:tr>
      <w:tr>
        <w:trPr>
          <w:trHeight w:val="162"/>
        </w:trPr>
        <w:tc>
          <w:tcPr>
            <w:tcW w:w="620" w:type="dxa"/>
            <w:vAlign w:val="bottom"/>
            <w:gridSpan w:val="2"/>
          </w:tcPr>
          <w:p>
            <w:pPr>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82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 ​ ​</w:t>
            </w:r>
          </w:p>
        </w:tc>
        <w:tc>
          <w:tcPr>
            <w:tcW w:w="1060" w:type="dxa"/>
            <w:vAlign w:val="bottom"/>
          </w:tcPr>
          <w:p>
            <w:pPr>
              <w:spacing w:after="0"/>
              <w:rPr>
                <w:sz w:val="20"/>
                <w:szCs w:val="20"/>
                <w:color w:val="auto"/>
              </w:rPr>
            </w:pPr>
            <w:r>
              <w:rPr>
                <w:rFonts w:ascii="Arial" w:cs="Arial" w:eastAsia="Arial" w:hAnsi="Arial"/>
                <w:sz w:val="14"/>
                <w:szCs w:val="14"/>
                <w:color w:val="auto"/>
              </w:rPr>
              <w:t>​ ​ ​</w:t>
            </w:r>
          </w:p>
        </w:tc>
        <w:tc>
          <w:tcPr>
            <w:tcW w:w="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 ​  ​</w:t>
            </w:r>
          </w:p>
        </w:tc>
        <w:tc>
          <w:tcPr>
            <w:tcW w:w="78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Arial" w:cs="Arial" w:eastAsia="Arial" w:hAnsi="Arial"/>
                <w:sz w:val="14"/>
                <w:szCs w:val="14"/>
                <w:color w:val="auto"/>
              </w:rPr>
              <w:t>​​ ​</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ind w:left="1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Arial" w:cs="Arial" w:eastAsia="Arial" w:hAnsi="Arial"/>
                <w:sz w:val="14"/>
                <w:szCs w:val="14"/>
                <w:color w:val="auto"/>
              </w:rPr>
              <w:t>​​ ​</w:t>
            </w:r>
          </w:p>
        </w:tc>
        <w:tc>
          <w:tcPr>
            <w:tcW w:w="24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 ​</w:t>
            </w:r>
          </w:p>
        </w:tc>
        <w:tc>
          <w:tcPr>
            <w:tcW w:w="2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F7F7F7"/>
          </w:tcPr>
          <w:p>
            <w:pPr>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F7F7F7"/>
          </w:tcPr>
          <w:p>
            <w:pPr>
              <w:spacing w:after="0"/>
              <w:rPr>
                <w:sz w:val="24"/>
                <w:szCs w:val="24"/>
                <w:color w:val="auto"/>
              </w:rPr>
            </w:pPr>
          </w:p>
        </w:tc>
        <w:tc>
          <w:tcPr>
            <w:tcW w:w="100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565,591,512</w:t>
            </w:r>
          </w:p>
        </w:tc>
        <w:tc>
          <w:tcPr>
            <w:tcW w:w="1140" w:type="dxa"/>
            <w:vAlign w:val="bottom"/>
            <w:shd w:val="clear" w:color="auto" w:fill="F7F7F7"/>
          </w:tcPr>
          <w:p>
            <w:pPr>
              <w:ind w:left="180"/>
              <w:spacing w:after="0"/>
              <w:rPr>
                <w:sz w:val="20"/>
                <w:szCs w:val="20"/>
                <w:color w:val="auto"/>
              </w:rPr>
            </w:pPr>
            <w:r>
              <w:rPr>
                <w:rFonts w:ascii="Arial" w:cs="Arial" w:eastAsia="Arial" w:hAnsi="Arial"/>
                <w:sz w:val="14"/>
                <w:szCs w:val="14"/>
                <w:color w:val="auto"/>
              </w:rPr>
              <w:t>​1,148,791,229</w:t>
            </w:r>
          </w:p>
        </w:tc>
        <w:tc>
          <w:tcPr>
            <w:tcW w:w="1060" w:type="dxa"/>
            <w:vAlign w:val="bottom"/>
            <w:shd w:val="clear" w:color="auto" w:fill="F7F7F7"/>
          </w:tcPr>
          <w:p>
            <w:pPr>
              <w:jc w:val="center"/>
              <w:ind w:left="175"/>
              <w:spacing w:after="0"/>
              <w:rPr>
                <w:sz w:val="20"/>
                <w:szCs w:val="20"/>
                <w:color w:val="auto"/>
              </w:rPr>
            </w:pPr>
            <w:r>
              <w:rPr>
                <w:rFonts w:ascii="Arial" w:cs="Arial" w:eastAsia="Arial" w:hAnsi="Arial"/>
                <w:sz w:val="14"/>
                <w:szCs w:val="14"/>
                <w:color w:val="auto"/>
              </w:rPr>
              <w:t>​ 21,230,163</w:t>
            </w:r>
          </w:p>
        </w:tc>
        <w:tc>
          <w:tcPr>
            <w:tcW w:w="20" w:type="dxa"/>
            <w:vAlign w:val="bottom"/>
            <w:shd w:val="clear" w:color="auto" w:fill="F7F7F7"/>
          </w:tcPr>
          <w:p>
            <w:pPr>
              <w:spacing w:after="0"/>
              <w:rPr>
                <w:sz w:val="24"/>
                <w:szCs w:val="24"/>
                <w:color w:val="auto"/>
              </w:rPr>
            </w:pPr>
          </w:p>
        </w:tc>
        <w:tc>
          <w:tcPr>
            <w:tcW w:w="36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7F7F7"/>
          </w:tcPr>
          <w:p>
            <w:pPr>
              <w:jc w:val="right"/>
              <w:ind w:right="193"/>
              <w:spacing w:after="0"/>
              <w:rPr>
                <w:sz w:val="20"/>
                <w:szCs w:val="20"/>
                <w:color w:val="auto"/>
              </w:rPr>
            </w:pPr>
            <w:r>
              <w:rPr>
                <w:rFonts w:ascii="Arial" w:cs="Arial" w:eastAsia="Arial" w:hAnsi="Arial"/>
                <w:sz w:val="14"/>
                <w:szCs w:val="14"/>
                <w:color w:val="auto"/>
              </w:rPr>
              <w:t>55,097,849</w:t>
            </w:r>
          </w:p>
        </w:tc>
        <w:tc>
          <w:tcPr>
            <w:tcW w:w="960" w:type="dxa"/>
            <w:vAlign w:val="bottom"/>
            <w:gridSpan w:val="3"/>
            <w:shd w:val="clear" w:color="auto" w:fill="F7F7F7"/>
          </w:tcPr>
          <w:p>
            <w:pPr>
              <w:jc w:val="right"/>
              <w:ind w:right="273"/>
              <w:spacing w:after="0"/>
              <w:rPr>
                <w:sz w:val="20"/>
                <w:szCs w:val="20"/>
                <w:color w:val="auto"/>
              </w:rPr>
            </w:pPr>
            <w:r>
              <w:rPr>
                <w:rFonts w:ascii="Arial" w:cs="Arial" w:eastAsia="Arial" w:hAnsi="Arial"/>
                <w:sz w:val="14"/>
                <w:szCs w:val="14"/>
                <w:color w:val="auto"/>
              </w:rPr>
              <w:t>​ 156.91</w:t>
            </w:r>
          </w:p>
        </w:tc>
        <w:tc>
          <w:tcPr>
            <w:tcW w:w="980" w:type="dxa"/>
            <w:vAlign w:val="bottom"/>
            <w:gridSpan w:val="4"/>
            <w:shd w:val="clear" w:color="auto" w:fill="F7F7F7"/>
          </w:tcPr>
          <w:p>
            <w:pPr>
              <w:jc w:val="right"/>
              <w:ind w:right="277"/>
              <w:spacing w:after="0"/>
              <w:rPr>
                <w:sz w:val="20"/>
                <w:szCs w:val="20"/>
                <w:color w:val="auto"/>
              </w:rPr>
            </w:pPr>
            <w:r>
              <w:rPr>
                <w:rFonts w:ascii="Arial" w:cs="Arial" w:eastAsia="Arial" w:hAnsi="Arial"/>
                <w:sz w:val="14"/>
                <w:szCs w:val="14"/>
                <w:color w:val="auto"/>
              </w:rPr>
              <w:t>​ 109.93</w:t>
            </w:r>
          </w:p>
        </w:tc>
        <w:tc>
          <w:tcPr>
            <w:tcW w:w="1080" w:type="dxa"/>
            <w:vAlign w:val="bottom"/>
            <w:gridSpan w:val="3"/>
            <w:shd w:val="clear" w:color="auto" w:fill="F7F7F7"/>
          </w:tcPr>
          <w:p>
            <w:pPr>
              <w:jc w:val="right"/>
              <w:ind w:right="153"/>
              <w:spacing w:after="0"/>
              <w:rPr>
                <w:sz w:val="20"/>
                <w:szCs w:val="20"/>
                <w:color w:val="auto"/>
              </w:rPr>
            </w:pPr>
            <w:r>
              <w:rPr>
                <w:rFonts w:ascii="Arial" w:cs="Arial" w:eastAsia="Arial" w:hAnsi="Arial"/>
                <w:sz w:val="14"/>
                <w:szCs w:val="14"/>
                <w:color w:val="auto"/>
              </w:rPr>
              <w:t>​ (2,579,761)</w:t>
            </w:r>
          </w:p>
        </w:tc>
        <w:tc>
          <w:tcPr>
            <w:tcW w:w="240" w:type="dxa"/>
            <w:vAlign w:val="bottom"/>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F7F7F7"/>
          </w:tcPr>
          <w:p>
            <w:pPr>
              <w:jc w:val="right"/>
              <w:ind w:right="71"/>
              <w:spacing w:after="0"/>
              <w:rPr>
                <w:sz w:val="20"/>
                <w:szCs w:val="20"/>
                <w:color w:val="auto"/>
              </w:rPr>
            </w:pPr>
            <w:r>
              <w:rPr>
                <w:rFonts w:ascii="Arial" w:cs="Arial" w:eastAsia="Arial" w:hAnsi="Arial"/>
                <w:sz w:val="14"/>
                <w:szCs w:val="14"/>
                <w:color w:val="auto"/>
              </w:rPr>
              <w:t>27,111</w:t>
            </w:r>
          </w:p>
        </w:tc>
        <w:tc>
          <w:tcPr>
            <w:tcW w:w="18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 w:type="dxa"/>
            <w:vAlign w:val="bottom"/>
            <w:vMerge w:val="continue"/>
            <w:shd w:val="clear" w:color="auto" w:fill="F7F7F7"/>
          </w:tcPr>
          <w:p>
            <w:pPr>
              <w:spacing w:after="0"/>
              <w:rPr>
                <w:sz w:val="14"/>
                <w:szCs w:val="14"/>
                <w:color w:val="auto"/>
              </w:rPr>
            </w:pPr>
          </w:p>
        </w:tc>
        <w:tc>
          <w:tcPr>
            <w:tcW w:w="520" w:type="dxa"/>
            <w:vAlign w:val="bottom"/>
            <w:shd w:val="clear" w:color="auto" w:fill="F7F7F7"/>
          </w:tcPr>
          <w:p>
            <w:pPr>
              <w:spacing w:after="0"/>
              <w:rPr>
                <w:sz w:val="14"/>
                <w:szCs w:val="14"/>
                <w:color w:val="auto"/>
              </w:rPr>
            </w:pPr>
          </w:p>
        </w:tc>
        <w:tc>
          <w:tcPr>
            <w:tcW w:w="260" w:type="dxa"/>
            <w:vAlign w:val="bottom"/>
            <w:gridSpan w:val="2"/>
            <w:shd w:val="clear" w:color="auto" w:fill="F7F7F7"/>
          </w:tcPr>
          <w:p>
            <w:pPr>
              <w:jc w:val="right"/>
              <w:spacing w:after="0"/>
              <w:rPr>
                <w:sz w:val="20"/>
                <w:szCs w:val="20"/>
                <w:color w:val="auto"/>
              </w:rPr>
            </w:pPr>
            <w:r>
              <w:rPr>
                <w:rFonts w:ascii="Arial" w:cs="Arial" w:eastAsia="Arial" w:hAnsi="Arial"/>
                <w:sz w:val="14"/>
                <w:szCs w:val="14"/>
                <w:color w:val="auto"/>
              </w:rPr>
              <w:t>​ ​ ​</w:t>
            </w:r>
          </w:p>
        </w:tc>
        <w:tc>
          <w:tcPr>
            <w:tcW w:w="820" w:type="dxa"/>
            <w:vAlign w:val="bottom"/>
            <w:shd w:val="clear" w:color="auto" w:fill="F7F7F7"/>
          </w:tcPr>
          <w:p>
            <w:pPr>
              <w:spacing w:after="0"/>
              <w:rPr>
                <w:sz w:val="14"/>
                <w:szCs w:val="14"/>
                <w:color w:val="auto"/>
              </w:rPr>
            </w:pPr>
          </w:p>
        </w:tc>
        <w:tc>
          <w:tcPr>
            <w:tcW w:w="1140" w:type="dxa"/>
            <w:vAlign w:val="bottom"/>
            <w:shd w:val="clear" w:color="auto" w:fill="F7F7F7"/>
          </w:tcPr>
          <w:p>
            <w:pPr>
              <w:spacing w:after="0"/>
              <w:rPr>
                <w:sz w:val="20"/>
                <w:szCs w:val="20"/>
                <w:color w:val="auto"/>
              </w:rPr>
            </w:pPr>
            <w:r>
              <w:rPr>
                <w:rFonts w:ascii="Arial" w:cs="Arial" w:eastAsia="Arial" w:hAnsi="Arial"/>
                <w:sz w:val="14"/>
                <w:szCs w:val="14"/>
                <w:color w:val="auto"/>
              </w:rPr>
              <w:t>​ ​ ​</w:t>
            </w:r>
          </w:p>
        </w:tc>
        <w:tc>
          <w:tcPr>
            <w:tcW w:w="1060" w:type="dxa"/>
            <w:vAlign w:val="bottom"/>
            <w:shd w:val="clear" w:color="auto" w:fill="F7F7F7"/>
          </w:tcPr>
          <w:p>
            <w:pPr>
              <w:spacing w:after="0"/>
              <w:rPr>
                <w:sz w:val="20"/>
                <w:szCs w:val="20"/>
                <w:color w:val="auto"/>
              </w:rPr>
            </w:pPr>
            <w:r>
              <w:rPr>
                <w:rFonts w:ascii="Arial" w:cs="Arial" w:eastAsia="Arial" w:hAnsi="Arial"/>
                <w:sz w:val="14"/>
                <w:szCs w:val="14"/>
                <w:color w:val="auto"/>
              </w:rPr>
              <w:t>​ ​ ​</w:t>
            </w:r>
          </w:p>
        </w:tc>
        <w:tc>
          <w:tcPr>
            <w:tcW w:w="20" w:type="dxa"/>
            <w:vAlign w:val="bottom"/>
            <w:shd w:val="clear" w:color="auto" w:fill="F7F7F7"/>
          </w:tcPr>
          <w:p>
            <w:pPr>
              <w:spacing w:after="0"/>
              <w:rPr>
                <w:sz w:val="14"/>
                <w:szCs w:val="14"/>
                <w:color w:val="auto"/>
              </w:rPr>
            </w:pPr>
          </w:p>
        </w:tc>
        <w:tc>
          <w:tcPr>
            <w:tcW w:w="360" w:type="dxa"/>
            <w:vAlign w:val="bottom"/>
            <w:shd w:val="clear" w:color="auto" w:fill="F7F7F7"/>
          </w:tcPr>
          <w:p>
            <w:pPr>
              <w:jc w:val="right"/>
              <w:spacing w:after="0"/>
              <w:rPr>
                <w:sz w:val="20"/>
                <w:szCs w:val="20"/>
                <w:color w:val="auto"/>
              </w:rPr>
            </w:pPr>
            <w:r>
              <w:rPr>
                <w:rFonts w:ascii="Arial" w:cs="Arial" w:eastAsia="Arial" w:hAnsi="Arial"/>
                <w:sz w:val="14"/>
                <w:szCs w:val="14"/>
                <w:color w:val="auto"/>
              </w:rPr>
              <w:t>​​ ​  ​</w:t>
            </w:r>
          </w:p>
        </w:tc>
        <w:tc>
          <w:tcPr>
            <w:tcW w:w="780" w:type="dxa"/>
            <w:vAlign w:val="bottom"/>
            <w:shd w:val="clear" w:color="auto" w:fill="F7F7F7"/>
          </w:tcPr>
          <w:p>
            <w:pPr>
              <w:spacing w:after="0"/>
              <w:rPr>
                <w:sz w:val="14"/>
                <w:szCs w:val="14"/>
                <w:color w:val="auto"/>
              </w:rPr>
            </w:pPr>
          </w:p>
        </w:tc>
        <w:tc>
          <w:tcPr>
            <w:tcW w:w="260" w:type="dxa"/>
            <w:vAlign w:val="bottom"/>
            <w:shd w:val="clear" w:color="auto" w:fill="F7F7F7"/>
          </w:tcPr>
          <w:p>
            <w:pPr>
              <w:jc w:val="center"/>
              <w:spacing w:after="0"/>
              <w:rPr>
                <w:sz w:val="20"/>
                <w:szCs w:val="20"/>
                <w:color w:val="auto"/>
              </w:rPr>
            </w:pPr>
            <w:r>
              <w:rPr>
                <w:rFonts w:ascii="Arial" w:cs="Arial" w:eastAsia="Arial" w:hAnsi="Arial"/>
                <w:sz w:val="14"/>
                <w:szCs w:val="14"/>
                <w:color w:val="auto"/>
              </w:rPr>
              <w:t>​​ ​</w:t>
            </w:r>
          </w:p>
        </w:tc>
        <w:tc>
          <w:tcPr>
            <w:tcW w:w="200" w:type="dxa"/>
            <w:vAlign w:val="bottom"/>
            <w:shd w:val="clear" w:color="auto" w:fill="F7F7F7"/>
          </w:tcPr>
          <w:p>
            <w:pPr>
              <w:ind w:lef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F7F7F7"/>
          </w:tcPr>
          <w:p>
            <w:pPr>
              <w:spacing w:after="0"/>
              <w:rPr>
                <w:sz w:val="14"/>
                <w:szCs w:val="14"/>
                <w:color w:val="auto"/>
              </w:rPr>
            </w:pPr>
          </w:p>
        </w:tc>
        <w:tc>
          <w:tcPr>
            <w:tcW w:w="340" w:type="dxa"/>
            <w:vAlign w:val="bottom"/>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200" w:type="dxa"/>
            <w:vAlign w:val="bottom"/>
            <w:shd w:val="clear" w:color="auto" w:fill="F7F7F7"/>
          </w:tcPr>
          <w:p>
            <w:pPr>
              <w:ind w:left="120"/>
              <w:spacing w:after="0"/>
              <w:rPr>
                <w:sz w:val="20"/>
                <w:szCs w:val="20"/>
                <w:color w:val="auto"/>
              </w:rPr>
            </w:pPr>
            <w:r>
              <w:rPr>
                <w:rFonts w:ascii="Arial" w:cs="Arial" w:eastAsia="Arial" w:hAnsi="Arial"/>
                <w:sz w:val="14"/>
                <w:szCs w:val="14"/>
                <w:color w:val="auto"/>
              </w:rPr>
              <w:t>​</w:t>
            </w:r>
          </w:p>
        </w:tc>
        <w:tc>
          <w:tcPr>
            <w:tcW w:w="440" w:type="dxa"/>
            <w:vAlign w:val="bottom"/>
            <w:shd w:val="clear" w:color="auto" w:fill="F7F7F7"/>
          </w:tcPr>
          <w:p>
            <w:pPr>
              <w:spacing w:after="0"/>
              <w:rPr>
                <w:sz w:val="14"/>
                <w:szCs w:val="14"/>
                <w:color w:val="auto"/>
              </w:rPr>
            </w:pPr>
          </w:p>
        </w:tc>
        <w:tc>
          <w:tcPr>
            <w:tcW w:w="340" w:type="dxa"/>
            <w:vAlign w:val="bottom"/>
            <w:gridSpan w:val="2"/>
            <w:shd w:val="clear" w:color="auto" w:fill="F7F7F7"/>
          </w:tcPr>
          <w:p>
            <w:pPr>
              <w:ind w:left="120"/>
              <w:spacing w:after="0"/>
              <w:rPr>
                <w:sz w:val="20"/>
                <w:szCs w:val="20"/>
                <w:color w:val="auto"/>
              </w:rPr>
            </w:pPr>
            <w:r>
              <w:rPr>
                <w:rFonts w:ascii="Arial" w:cs="Arial" w:eastAsia="Arial" w:hAnsi="Arial"/>
                <w:sz w:val="14"/>
                <w:szCs w:val="14"/>
                <w:color w:val="auto"/>
              </w:rPr>
              <w:t>​​ ​</w:t>
            </w:r>
          </w:p>
        </w:tc>
        <w:tc>
          <w:tcPr>
            <w:tcW w:w="240" w:type="dxa"/>
            <w:vAlign w:val="bottom"/>
            <w:shd w:val="clear" w:color="auto" w:fill="F7F7F7"/>
          </w:tcPr>
          <w:p>
            <w:pPr>
              <w:jc w:val="right"/>
              <w:ind w:right="71"/>
              <w:spacing w:after="0"/>
              <w:rPr>
                <w:sz w:val="20"/>
                <w:szCs w:val="20"/>
                <w:color w:val="auto"/>
              </w:rPr>
            </w:pPr>
            <w:r>
              <w:rPr>
                <w:rFonts w:ascii="Arial" w:cs="Arial" w:eastAsia="Arial" w:hAnsi="Arial"/>
                <w:sz w:val="14"/>
                <w:szCs w:val="14"/>
                <w:color w:val="auto"/>
              </w:rPr>
              <w:t>​</w:t>
            </w:r>
          </w:p>
        </w:tc>
        <w:tc>
          <w:tcPr>
            <w:tcW w:w="580" w:type="dxa"/>
            <w:vAlign w:val="bottom"/>
            <w:shd w:val="clear" w:color="auto" w:fill="F7F7F7"/>
          </w:tcPr>
          <w:p>
            <w:pPr>
              <w:spacing w:after="0"/>
              <w:rPr>
                <w:sz w:val="14"/>
                <w:szCs w:val="14"/>
                <w:color w:val="auto"/>
              </w:rPr>
            </w:pPr>
          </w:p>
        </w:tc>
        <w:tc>
          <w:tcPr>
            <w:tcW w:w="260" w:type="dxa"/>
            <w:vAlign w:val="bottom"/>
            <w:shd w:val="clear" w:color="auto" w:fill="F7F7F7"/>
          </w:tcPr>
          <w:p>
            <w:pPr>
              <w:jc w:val="right"/>
              <w:spacing w:after="0"/>
              <w:rPr>
                <w:sz w:val="20"/>
                <w:szCs w:val="20"/>
                <w:color w:val="auto"/>
              </w:rPr>
            </w:pPr>
            <w:r>
              <w:rPr>
                <w:rFonts w:ascii="Arial" w:cs="Arial" w:eastAsia="Arial" w:hAnsi="Arial"/>
                <w:sz w:val="14"/>
                <w:szCs w:val="14"/>
                <w:color w:val="auto"/>
              </w:rPr>
              <w:t>​​ ​</w:t>
            </w:r>
          </w:p>
        </w:tc>
        <w:tc>
          <w:tcPr>
            <w:tcW w:w="240" w:type="dxa"/>
            <w:vAlign w:val="bottom"/>
            <w:shd w:val="clear" w:color="auto" w:fill="F7F7F7"/>
          </w:tcPr>
          <w:p>
            <w:pPr>
              <w:jc w:val="right"/>
              <w:ind w:right="12"/>
              <w:spacing w:after="0"/>
              <w:rPr>
                <w:sz w:val="20"/>
                <w:szCs w:val="20"/>
                <w:color w:val="auto"/>
              </w:rPr>
            </w:pPr>
            <w:r>
              <w:rPr>
                <w:rFonts w:ascii="Arial" w:cs="Arial" w:eastAsia="Arial" w:hAnsi="Arial"/>
                <w:sz w:val="14"/>
                <w:szCs w:val="14"/>
                <w:color w:val="auto"/>
              </w:rPr>
              <w:t>​</w:t>
            </w:r>
          </w:p>
        </w:tc>
        <w:tc>
          <w:tcPr>
            <w:tcW w:w="480" w:type="dxa"/>
            <w:vAlign w:val="bottom"/>
            <w:shd w:val="clear" w:color="auto" w:fill="F7F7F7"/>
          </w:tcPr>
          <w:p>
            <w:pPr>
              <w:spacing w:after="0"/>
              <w:rPr>
                <w:sz w:val="14"/>
                <w:szCs w:val="14"/>
                <w:color w:val="auto"/>
              </w:rPr>
            </w:pPr>
          </w:p>
        </w:tc>
        <w:tc>
          <w:tcPr>
            <w:tcW w:w="320" w:type="dxa"/>
            <w:vAlign w:val="bottom"/>
            <w:gridSpan w:val="2"/>
            <w:shd w:val="clear" w:color="auto" w:fill="F7F7F7"/>
          </w:tcPr>
          <w:p>
            <w:pPr>
              <w:jc w:val="right"/>
              <w:ind w:right="7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8"/>
        </w:trPr>
        <w:tc>
          <w:tcPr>
            <w:tcW w:w="100" w:type="dxa"/>
            <w:vAlign w:val="bottom"/>
            <w:tcBorders>
              <w:bottom w:val="single" w:sz="8" w:color="auto"/>
            </w:tcBorders>
            <w:shd w:val="clear" w:color="auto" w:fill="F7F7F7"/>
          </w:tcPr>
          <w:p>
            <w:pPr>
              <w:spacing w:after="0"/>
              <w:rPr>
                <w:sz w:val="7"/>
                <w:szCs w:val="7"/>
                <w:color w:val="auto"/>
              </w:rPr>
            </w:pPr>
          </w:p>
        </w:tc>
        <w:tc>
          <w:tcPr>
            <w:tcW w:w="520" w:type="dxa"/>
            <w:vAlign w:val="bottom"/>
            <w:tcBorders>
              <w:bottom w:val="single" w:sz="8" w:color="auto"/>
            </w:tcBorders>
            <w:shd w:val="clear" w:color="auto" w:fill="F7F7F7"/>
          </w:tcPr>
          <w:p>
            <w:pPr>
              <w:spacing w:after="0"/>
              <w:rPr>
                <w:sz w:val="7"/>
                <w:szCs w:val="7"/>
                <w:color w:val="auto"/>
              </w:rPr>
            </w:pPr>
          </w:p>
        </w:tc>
        <w:tc>
          <w:tcPr>
            <w:tcW w:w="80" w:type="dxa"/>
            <w:vAlign w:val="bottom"/>
            <w:tcBorders>
              <w:bottom w:val="single" w:sz="8" w:color="auto"/>
            </w:tcBorders>
            <w:shd w:val="clear" w:color="auto" w:fill="F7F7F7"/>
          </w:tcPr>
          <w:p>
            <w:pPr>
              <w:spacing w:after="0"/>
              <w:rPr>
                <w:sz w:val="7"/>
                <w:szCs w:val="7"/>
                <w:color w:val="auto"/>
              </w:rPr>
            </w:pPr>
          </w:p>
        </w:tc>
        <w:tc>
          <w:tcPr>
            <w:tcW w:w="180" w:type="dxa"/>
            <w:vAlign w:val="bottom"/>
            <w:tcBorders>
              <w:bottom w:val="single" w:sz="8" w:color="auto"/>
            </w:tcBorders>
            <w:shd w:val="clear" w:color="auto" w:fill="F7F7F7"/>
          </w:tcPr>
          <w:p>
            <w:pPr>
              <w:spacing w:after="0"/>
              <w:rPr>
                <w:sz w:val="7"/>
                <w:szCs w:val="7"/>
                <w:color w:val="auto"/>
              </w:rPr>
            </w:pPr>
          </w:p>
        </w:tc>
        <w:tc>
          <w:tcPr>
            <w:tcW w:w="820" w:type="dxa"/>
            <w:vAlign w:val="bottom"/>
            <w:tcBorders>
              <w:bottom w:val="single" w:sz="8" w:color="auto"/>
            </w:tcBorders>
            <w:shd w:val="clear" w:color="auto" w:fill="F7F7F7"/>
          </w:tcPr>
          <w:p>
            <w:pPr>
              <w:spacing w:after="0"/>
              <w:rPr>
                <w:sz w:val="7"/>
                <w:szCs w:val="7"/>
                <w:color w:val="auto"/>
              </w:rPr>
            </w:pPr>
          </w:p>
        </w:tc>
        <w:tc>
          <w:tcPr>
            <w:tcW w:w="1140" w:type="dxa"/>
            <w:vAlign w:val="bottom"/>
            <w:tcBorders>
              <w:bottom w:val="single" w:sz="8" w:color="auto"/>
            </w:tcBorders>
            <w:shd w:val="clear" w:color="auto" w:fill="F7F7F7"/>
          </w:tcPr>
          <w:p>
            <w:pPr>
              <w:spacing w:after="0"/>
              <w:rPr>
                <w:sz w:val="7"/>
                <w:szCs w:val="7"/>
                <w:color w:val="auto"/>
              </w:rPr>
            </w:pPr>
          </w:p>
        </w:tc>
        <w:tc>
          <w:tcPr>
            <w:tcW w:w="1060" w:type="dxa"/>
            <w:vAlign w:val="bottom"/>
            <w:tcBorders>
              <w:bottom w:val="single" w:sz="8" w:color="auto"/>
            </w:tcBorders>
            <w:shd w:val="clear" w:color="auto" w:fill="F7F7F7"/>
          </w:tcPr>
          <w:p>
            <w:pPr>
              <w:spacing w:after="0"/>
              <w:rPr>
                <w:sz w:val="7"/>
                <w:szCs w:val="7"/>
                <w:color w:val="auto"/>
              </w:rPr>
            </w:pPr>
          </w:p>
        </w:tc>
        <w:tc>
          <w:tcPr>
            <w:tcW w:w="20" w:type="dxa"/>
            <w:vAlign w:val="bottom"/>
            <w:tcBorders>
              <w:bottom w:val="single" w:sz="8" w:color="auto"/>
            </w:tcBorders>
            <w:shd w:val="clear" w:color="auto" w:fill="F7F7F7"/>
          </w:tcPr>
          <w:p>
            <w:pPr>
              <w:spacing w:after="0"/>
              <w:rPr>
                <w:sz w:val="7"/>
                <w:szCs w:val="7"/>
                <w:color w:val="auto"/>
              </w:rPr>
            </w:pPr>
          </w:p>
        </w:tc>
        <w:tc>
          <w:tcPr>
            <w:tcW w:w="360" w:type="dxa"/>
            <w:vAlign w:val="bottom"/>
            <w:tcBorders>
              <w:bottom w:val="single" w:sz="8" w:color="auto"/>
            </w:tcBorders>
            <w:shd w:val="clear" w:color="auto" w:fill="F7F7F7"/>
          </w:tcPr>
          <w:p>
            <w:pPr>
              <w:spacing w:after="0"/>
              <w:rPr>
                <w:sz w:val="7"/>
                <w:szCs w:val="7"/>
                <w:color w:val="auto"/>
              </w:rPr>
            </w:pPr>
          </w:p>
        </w:tc>
        <w:tc>
          <w:tcPr>
            <w:tcW w:w="780" w:type="dxa"/>
            <w:vAlign w:val="bottom"/>
            <w:tcBorders>
              <w:bottom w:val="single" w:sz="8" w:color="auto"/>
            </w:tcBorders>
            <w:shd w:val="clear" w:color="auto" w:fill="F7F7F7"/>
          </w:tcPr>
          <w:p>
            <w:pPr>
              <w:spacing w:after="0"/>
              <w:rPr>
                <w:sz w:val="7"/>
                <w:szCs w:val="7"/>
                <w:color w:val="auto"/>
              </w:rPr>
            </w:pPr>
          </w:p>
        </w:tc>
        <w:tc>
          <w:tcPr>
            <w:tcW w:w="260" w:type="dxa"/>
            <w:vAlign w:val="bottom"/>
            <w:tcBorders>
              <w:bottom w:val="single" w:sz="8" w:color="auto"/>
            </w:tcBorders>
            <w:shd w:val="clear" w:color="auto" w:fill="F7F7F7"/>
          </w:tcPr>
          <w:p>
            <w:pPr>
              <w:spacing w:after="0"/>
              <w:rPr>
                <w:sz w:val="7"/>
                <w:szCs w:val="7"/>
                <w:color w:val="auto"/>
              </w:rPr>
            </w:pPr>
          </w:p>
        </w:tc>
        <w:tc>
          <w:tcPr>
            <w:tcW w:w="200" w:type="dxa"/>
            <w:vAlign w:val="bottom"/>
            <w:tcBorders>
              <w:bottom w:val="single" w:sz="8" w:color="auto"/>
            </w:tcBorders>
            <w:shd w:val="clear" w:color="auto" w:fill="F7F7F7"/>
          </w:tcPr>
          <w:p>
            <w:pPr>
              <w:spacing w:after="0"/>
              <w:rPr>
                <w:sz w:val="7"/>
                <w:szCs w:val="7"/>
                <w:color w:val="auto"/>
              </w:rPr>
            </w:pPr>
          </w:p>
        </w:tc>
        <w:tc>
          <w:tcPr>
            <w:tcW w:w="420" w:type="dxa"/>
            <w:vAlign w:val="bottom"/>
            <w:tcBorders>
              <w:bottom w:val="single" w:sz="8" w:color="auto"/>
            </w:tcBorders>
            <w:shd w:val="clear" w:color="auto" w:fill="F7F7F7"/>
          </w:tcPr>
          <w:p>
            <w:pPr>
              <w:spacing w:after="0"/>
              <w:rPr>
                <w:sz w:val="7"/>
                <w:szCs w:val="7"/>
                <w:color w:val="auto"/>
              </w:rPr>
            </w:pPr>
          </w:p>
        </w:tc>
        <w:tc>
          <w:tcPr>
            <w:tcW w:w="340" w:type="dxa"/>
            <w:vAlign w:val="bottom"/>
            <w:tcBorders>
              <w:bottom w:val="single" w:sz="8" w:color="auto"/>
            </w:tcBorders>
            <w:shd w:val="clear" w:color="auto" w:fill="F7F7F7"/>
          </w:tcPr>
          <w:p>
            <w:pPr>
              <w:spacing w:after="0"/>
              <w:rPr>
                <w:sz w:val="7"/>
                <w:szCs w:val="7"/>
                <w:color w:val="auto"/>
              </w:rPr>
            </w:pPr>
          </w:p>
        </w:tc>
        <w:tc>
          <w:tcPr>
            <w:tcW w:w="200" w:type="dxa"/>
            <w:vAlign w:val="bottom"/>
            <w:tcBorders>
              <w:bottom w:val="single" w:sz="8" w:color="auto"/>
            </w:tcBorders>
            <w:shd w:val="clear" w:color="auto" w:fill="F7F7F7"/>
          </w:tcPr>
          <w:p>
            <w:pPr>
              <w:spacing w:after="0"/>
              <w:rPr>
                <w:sz w:val="7"/>
                <w:szCs w:val="7"/>
                <w:color w:val="auto"/>
              </w:rPr>
            </w:pPr>
          </w:p>
        </w:tc>
        <w:tc>
          <w:tcPr>
            <w:tcW w:w="440" w:type="dxa"/>
            <w:vAlign w:val="bottom"/>
            <w:tcBorders>
              <w:bottom w:val="single" w:sz="8" w:color="auto"/>
            </w:tcBorders>
            <w:shd w:val="clear" w:color="auto" w:fill="F7F7F7"/>
          </w:tcPr>
          <w:p>
            <w:pPr>
              <w:spacing w:after="0"/>
              <w:rPr>
                <w:sz w:val="7"/>
                <w:szCs w:val="7"/>
                <w:color w:val="auto"/>
              </w:rPr>
            </w:pPr>
          </w:p>
        </w:tc>
        <w:tc>
          <w:tcPr>
            <w:tcW w:w="140" w:type="dxa"/>
            <w:vAlign w:val="bottom"/>
            <w:tcBorders>
              <w:bottom w:val="single" w:sz="8" w:color="auto"/>
            </w:tcBorders>
            <w:shd w:val="clear" w:color="auto" w:fill="F7F7F7"/>
          </w:tcPr>
          <w:p>
            <w:pPr>
              <w:spacing w:after="0"/>
              <w:rPr>
                <w:sz w:val="7"/>
                <w:szCs w:val="7"/>
                <w:color w:val="auto"/>
              </w:rPr>
            </w:pPr>
          </w:p>
        </w:tc>
        <w:tc>
          <w:tcPr>
            <w:tcW w:w="200" w:type="dxa"/>
            <w:vAlign w:val="bottom"/>
            <w:tcBorders>
              <w:bottom w:val="single" w:sz="8" w:color="auto"/>
            </w:tcBorders>
            <w:shd w:val="clear" w:color="auto" w:fill="F7F7F7"/>
          </w:tcPr>
          <w:p>
            <w:pPr>
              <w:spacing w:after="0"/>
              <w:rPr>
                <w:sz w:val="7"/>
                <w:szCs w:val="7"/>
                <w:color w:val="auto"/>
              </w:rPr>
            </w:pPr>
          </w:p>
        </w:tc>
        <w:tc>
          <w:tcPr>
            <w:tcW w:w="240" w:type="dxa"/>
            <w:vAlign w:val="bottom"/>
            <w:tcBorders>
              <w:bottom w:val="single" w:sz="8" w:color="auto"/>
            </w:tcBorders>
            <w:shd w:val="clear" w:color="auto" w:fill="F7F7F7"/>
          </w:tcPr>
          <w:p>
            <w:pPr>
              <w:spacing w:after="0"/>
              <w:rPr>
                <w:sz w:val="7"/>
                <w:szCs w:val="7"/>
                <w:color w:val="auto"/>
              </w:rPr>
            </w:pPr>
          </w:p>
        </w:tc>
        <w:tc>
          <w:tcPr>
            <w:tcW w:w="580" w:type="dxa"/>
            <w:vAlign w:val="bottom"/>
            <w:tcBorders>
              <w:bottom w:val="single" w:sz="8" w:color="auto"/>
            </w:tcBorders>
            <w:shd w:val="clear" w:color="auto" w:fill="F7F7F7"/>
          </w:tcPr>
          <w:p>
            <w:pPr>
              <w:spacing w:after="0"/>
              <w:rPr>
                <w:sz w:val="7"/>
                <w:szCs w:val="7"/>
                <w:color w:val="auto"/>
              </w:rPr>
            </w:pPr>
          </w:p>
        </w:tc>
        <w:tc>
          <w:tcPr>
            <w:tcW w:w="260" w:type="dxa"/>
            <w:vAlign w:val="bottom"/>
            <w:tcBorders>
              <w:bottom w:val="single" w:sz="8" w:color="auto"/>
            </w:tcBorders>
            <w:shd w:val="clear" w:color="auto" w:fill="F7F7F7"/>
          </w:tcPr>
          <w:p>
            <w:pPr>
              <w:spacing w:after="0"/>
              <w:rPr>
                <w:sz w:val="7"/>
                <w:szCs w:val="7"/>
                <w:color w:val="auto"/>
              </w:rPr>
            </w:pPr>
          </w:p>
        </w:tc>
        <w:tc>
          <w:tcPr>
            <w:tcW w:w="240" w:type="dxa"/>
            <w:vAlign w:val="bottom"/>
            <w:tcBorders>
              <w:bottom w:val="single" w:sz="8" w:color="auto"/>
            </w:tcBorders>
            <w:shd w:val="clear" w:color="auto" w:fill="F7F7F7"/>
          </w:tcPr>
          <w:p>
            <w:pPr>
              <w:spacing w:after="0"/>
              <w:rPr>
                <w:sz w:val="7"/>
                <w:szCs w:val="7"/>
                <w:color w:val="auto"/>
              </w:rPr>
            </w:pPr>
          </w:p>
        </w:tc>
        <w:tc>
          <w:tcPr>
            <w:tcW w:w="480" w:type="dxa"/>
            <w:vAlign w:val="bottom"/>
            <w:tcBorders>
              <w:bottom w:val="single" w:sz="8" w:color="auto"/>
            </w:tcBorders>
            <w:shd w:val="clear" w:color="auto" w:fill="F7F7F7"/>
          </w:tcPr>
          <w:p>
            <w:pPr>
              <w:spacing w:after="0"/>
              <w:rPr>
                <w:sz w:val="7"/>
                <w:szCs w:val="7"/>
                <w:color w:val="auto"/>
              </w:rPr>
            </w:pPr>
          </w:p>
        </w:tc>
        <w:tc>
          <w:tcPr>
            <w:tcW w:w="140" w:type="dxa"/>
            <w:vAlign w:val="bottom"/>
            <w:tcBorders>
              <w:bottom w:val="single" w:sz="8" w:color="auto"/>
            </w:tcBorders>
            <w:shd w:val="clear" w:color="auto" w:fill="F7F7F7"/>
          </w:tcPr>
          <w:p>
            <w:pPr>
              <w:spacing w:after="0"/>
              <w:rPr>
                <w:sz w:val="7"/>
                <w:szCs w:val="7"/>
                <w:color w:val="auto"/>
              </w:rPr>
            </w:pPr>
          </w:p>
        </w:tc>
        <w:tc>
          <w:tcPr>
            <w:tcW w:w="180" w:type="dxa"/>
            <w:vAlign w:val="bottom"/>
            <w:tcBorders>
              <w:bottom w:val="single" w:sz="8" w:color="auto"/>
            </w:tcBorders>
            <w:shd w:val="clear" w:color="auto" w:fill="F7F7F7"/>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6166485</wp:posOffset>
            </wp:positionH>
            <wp:positionV relativeFrom="paragraph">
              <wp:posOffset>-350520</wp:posOffset>
            </wp:positionV>
            <wp:extent cx="2146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-350520</wp:posOffset>
            </wp:positionV>
            <wp:extent cx="2482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4812030</wp:posOffset>
            </wp:positionH>
            <wp:positionV relativeFrom="paragraph">
              <wp:posOffset>-350520</wp:posOffset>
            </wp:positionV>
            <wp:extent cx="2571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-350520</wp:posOffset>
            </wp:positionV>
            <wp:extent cx="3003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-350520</wp:posOffset>
            </wp:positionV>
            <wp:extent cx="2482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-350520</wp:posOffset>
            </wp:positionV>
            <wp:extent cx="1885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-350520</wp:posOffset>
            </wp:positionV>
            <wp:extent cx="1460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1494155</wp:posOffset>
            </wp:positionH>
            <wp:positionV relativeFrom="paragraph">
              <wp:posOffset>-350520</wp:posOffset>
            </wp:positionV>
            <wp:extent cx="111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-350520</wp:posOffset>
            </wp:positionV>
            <wp:extent cx="5054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250" w:lineRule="exact"/>
        <w:rPr>
          <w:sz w:val="20"/>
          <w:szCs w:val="20"/>
          <w:color w:val="auto"/>
        </w:rPr>
      </w:pPr>
    </w:p>
    <w:p>
      <w:pPr>
        <w:ind w:left="780" w:right="80" w:hanging="126"/>
        <w:spacing w:after="0" w:line="244" w:lineRule="auto"/>
        <w:tabs>
          <w:tab w:leader="none" w:pos="780" w:val="left"/>
        </w:tabs>
        <w:numPr>
          <w:ilvl w:val="0"/>
          <w:numId w:val="50"/>
        </w:numPr>
        <w:rPr>
          <w:rFonts w:ascii="Arial" w:cs="Arial" w:eastAsia="Arial" w:hAnsi="Arial"/>
          <w:sz w:val="15"/>
          <w:szCs w:val="15"/>
          <w:color w:val="auto"/>
          <w:vertAlign w:val="superscript"/>
        </w:rPr>
      </w:pPr>
      <w:r>
        <w:rPr>
          <w:rFonts w:ascii="Arial" w:cs="Arial" w:eastAsia="Arial" w:hAnsi="Arial"/>
          <w:sz w:val="10"/>
          <w:szCs w:val="10"/>
          <w:color w:val="auto"/>
        </w:rPr>
        <w:t>Compensation for our PEO, Peter Rawlinson, reflects the amounts reported in the Summary Compensation Table for the respective years. Average compensation for non-PEOs includes the following NEOs for 2022 and 2021: Sherry House, Eric Bach and Michael Bell. For 2021, the amounts include pre-Merger compensation (consistent with the Summary Compensation Table) from our predecessor company, Atieva. The Merger occurred in July 2021, at which time we became an operating business. Prior to the Merger, Churchill was a blank check company and did not engage in any operations and did not pay executive compensation (its activities were limited to preparing for its 2020 offering, identifying a target for its business combination, and activities in connection with the acquisition of Atieva). Accordingly, this Pay Versus Performance disclosure does not include executive compensation or financial performance information for 2020.</w:t>
      </w:r>
    </w:p>
    <w:p>
      <w:pPr>
        <w:spacing w:after="0" w:line="99" w:lineRule="exact"/>
        <w:rPr>
          <w:rFonts w:ascii="Arial" w:cs="Arial" w:eastAsia="Arial" w:hAnsi="Arial"/>
          <w:sz w:val="15"/>
          <w:szCs w:val="15"/>
          <w:color w:val="auto"/>
          <w:vertAlign w:val="superscript"/>
        </w:rPr>
      </w:pPr>
    </w:p>
    <w:p>
      <w:pPr>
        <w:ind w:left="780" w:right="60" w:hanging="126"/>
        <w:spacing w:after="0" w:line="241" w:lineRule="auto"/>
        <w:tabs>
          <w:tab w:leader="none" w:pos="780" w:val="left"/>
        </w:tabs>
        <w:numPr>
          <w:ilvl w:val="0"/>
          <w:numId w:val="50"/>
        </w:numPr>
        <w:rPr>
          <w:rFonts w:ascii="Arial" w:cs="Arial" w:eastAsia="Arial" w:hAnsi="Arial"/>
          <w:sz w:val="15"/>
          <w:szCs w:val="15"/>
          <w:color w:val="auto"/>
          <w:vertAlign w:val="superscript"/>
        </w:rPr>
      </w:pPr>
      <w:r>
        <w:rPr>
          <w:rFonts w:ascii="Arial" w:cs="Arial" w:eastAsia="Arial" w:hAnsi="Arial"/>
          <w:sz w:val="10"/>
          <w:szCs w:val="10"/>
          <w:color w:val="auto"/>
        </w:rPr>
        <w:t>Compensation “actually paid” for the PEO and average compensation “actually paid” for our non-PEOs in 2022 and 2021 reflects the respective amounts set forth in the “Summary Compensation Table Total for PEO” and “Average Summary Compensation Table Total for Non-PEO Named Executive Officers,” adjusted as follows in the table below, as determined in accordance with SEC rules. These dollar amounts do not reflect the actual amount of compensation earned by or paid to the PEO and our other NEOs during the applicable year. For information regarding the decisions made by the Compensation Committee regarding the PEO’s and our other NEOs’ compensation for 2022, see “Analysis of 2022 Compensation” above.</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2"/>
                <w:szCs w:val="12"/>
                <w:color w:val="auto"/>
              </w:rPr>
            </w:pPr>
          </w:p>
        </w:tc>
        <w:tc>
          <w:tcPr>
            <w:tcW w:w="472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 ​</w:t>
            </w:r>
          </w:p>
        </w:tc>
        <w:tc>
          <w:tcPr>
            <w:tcW w:w="360" w:type="dxa"/>
            <w:vAlign w:val="bottom"/>
            <w:shd w:val="clear" w:color="auto" w:fill="000000"/>
          </w:tcPr>
          <w:p>
            <w:pPr>
              <w:ind w:left="80"/>
              <w:spacing w:after="0"/>
              <w:rPr>
                <w:sz w:val="20"/>
                <w:szCs w:val="20"/>
                <w:color w:val="auto"/>
              </w:rPr>
            </w:pPr>
            <w:r>
              <w:rPr>
                <w:rFonts w:ascii="Arial" w:cs="Arial" w:eastAsia="Arial" w:hAnsi="Arial"/>
                <w:sz w:val="13"/>
                <w:szCs w:val="13"/>
                <w:b w:val="1"/>
                <w:bCs w:val="1"/>
                <w:color w:val="FEFEFE"/>
              </w:rPr>
              <w:t>​ ​</w:t>
            </w:r>
          </w:p>
        </w:tc>
        <w:tc>
          <w:tcPr>
            <w:tcW w:w="100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120" w:type="dxa"/>
            <w:vAlign w:val="bottom"/>
            <w:shd w:val="clear" w:color="auto" w:fill="000000"/>
          </w:tcPr>
          <w:p>
            <w:pPr>
              <w:spacing w:after="0"/>
              <w:rPr>
                <w:sz w:val="12"/>
                <w:szCs w:val="12"/>
                <w:color w:val="auto"/>
              </w:rPr>
            </w:pPr>
          </w:p>
        </w:tc>
        <w:tc>
          <w:tcPr>
            <w:tcW w:w="108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80" w:type="dxa"/>
            <w:vAlign w:val="bottom"/>
            <w:shd w:val="clear" w:color="auto" w:fill="000000"/>
          </w:tcPr>
          <w:p>
            <w:pPr>
              <w:spacing w:after="0"/>
              <w:rPr>
                <w:sz w:val="12"/>
                <w:szCs w:val="12"/>
                <w:color w:val="auto"/>
              </w:rPr>
            </w:pPr>
          </w:p>
        </w:tc>
        <w:tc>
          <w:tcPr>
            <w:tcW w:w="96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 ​</w:t>
            </w:r>
          </w:p>
        </w:tc>
        <w:tc>
          <w:tcPr>
            <w:tcW w:w="60" w:type="dxa"/>
            <w:vAlign w:val="bottom"/>
            <w:shd w:val="clear" w:color="auto" w:fill="000000"/>
          </w:tcPr>
          <w:p>
            <w:pPr>
              <w:spacing w:after="0"/>
              <w:rPr>
                <w:sz w:val="12"/>
                <w:szCs w:val="12"/>
                <w:color w:val="auto"/>
              </w:rPr>
            </w:pPr>
          </w:p>
        </w:tc>
        <w:tc>
          <w:tcPr>
            <w:tcW w:w="9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4720" w:type="dxa"/>
            <w:vAlign w:val="bottom"/>
            <w:shd w:val="clear" w:color="auto" w:fill="000000"/>
          </w:tcPr>
          <w:p>
            <w:pPr>
              <w:spacing w:after="0"/>
              <w:rPr>
                <w:sz w:val="12"/>
                <w:szCs w:val="12"/>
                <w:color w:val="auto"/>
              </w:rPr>
            </w:pPr>
          </w:p>
        </w:tc>
        <w:tc>
          <w:tcPr>
            <w:tcW w:w="360" w:type="dxa"/>
            <w:vAlign w:val="bottom"/>
            <w:shd w:val="clear" w:color="auto" w:fill="000000"/>
          </w:tcPr>
          <w:p>
            <w:pPr>
              <w:spacing w:after="0"/>
              <w:rPr>
                <w:sz w:val="12"/>
                <w:szCs w:val="12"/>
                <w:color w:val="auto"/>
              </w:rPr>
            </w:pPr>
          </w:p>
        </w:tc>
        <w:tc>
          <w:tcPr>
            <w:tcW w:w="1000" w:type="dxa"/>
            <w:vAlign w:val="bottom"/>
            <w:shd w:val="clear" w:color="auto" w:fill="000000"/>
          </w:tcPr>
          <w:p>
            <w:pPr>
              <w:jc w:val="right"/>
              <w:ind w:right="291"/>
              <w:spacing w:after="0"/>
              <w:rPr>
                <w:sz w:val="20"/>
                <w:szCs w:val="20"/>
                <w:color w:val="auto"/>
              </w:rPr>
            </w:pPr>
            <w:r>
              <w:rPr>
                <w:rFonts w:ascii="Arial" w:cs="Arial" w:eastAsia="Arial" w:hAnsi="Arial"/>
                <w:sz w:val="13"/>
                <w:szCs w:val="13"/>
                <w:b w:val="1"/>
                <w:bCs w:val="1"/>
                <w:color w:val="FEFEFE"/>
              </w:rPr>
              <w:t>PEO 2022</w:t>
            </w:r>
          </w:p>
        </w:tc>
        <w:tc>
          <w:tcPr>
            <w:tcW w:w="120" w:type="dxa"/>
            <w:vAlign w:val="bottom"/>
            <w:shd w:val="clear" w:color="auto" w:fill="000000"/>
          </w:tcPr>
          <w:p>
            <w:pPr>
              <w:spacing w:after="0"/>
              <w:rPr>
                <w:sz w:val="12"/>
                <w:szCs w:val="12"/>
                <w:color w:val="auto"/>
              </w:rPr>
            </w:pPr>
          </w:p>
        </w:tc>
        <w:tc>
          <w:tcPr>
            <w:tcW w:w="1080" w:type="dxa"/>
            <w:vAlign w:val="bottom"/>
            <w:shd w:val="clear" w:color="auto" w:fill="000000"/>
          </w:tcPr>
          <w:p>
            <w:pPr>
              <w:jc w:val="right"/>
              <w:ind w:right="330"/>
              <w:spacing w:after="0"/>
              <w:rPr>
                <w:sz w:val="20"/>
                <w:szCs w:val="20"/>
                <w:color w:val="auto"/>
              </w:rPr>
            </w:pPr>
            <w:r>
              <w:rPr>
                <w:rFonts w:ascii="Arial" w:cs="Arial" w:eastAsia="Arial" w:hAnsi="Arial"/>
                <w:sz w:val="13"/>
                <w:szCs w:val="13"/>
                <w:b w:val="1"/>
                <w:bCs w:val="1"/>
                <w:color w:val="FEFEFE"/>
              </w:rPr>
              <w:t>PEO 2021</w:t>
            </w:r>
          </w:p>
        </w:tc>
        <w:tc>
          <w:tcPr>
            <w:tcW w:w="80" w:type="dxa"/>
            <w:vAlign w:val="bottom"/>
            <w:shd w:val="clear" w:color="auto" w:fill="000000"/>
          </w:tcPr>
          <w:p>
            <w:pPr>
              <w:spacing w:after="0"/>
              <w:rPr>
                <w:sz w:val="12"/>
                <w:szCs w:val="12"/>
                <w:color w:val="auto"/>
              </w:rPr>
            </w:pPr>
          </w:p>
        </w:tc>
        <w:tc>
          <w:tcPr>
            <w:tcW w:w="960" w:type="dxa"/>
            <w:vAlign w:val="bottom"/>
            <w:shd w:val="clear" w:color="auto" w:fill="000000"/>
          </w:tcPr>
          <w:p>
            <w:pPr>
              <w:jc w:val="right"/>
              <w:ind w:right="251"/>
              <w:spacing w:after="0"/>
              <w:rPr>
                <w:sz w:val="20"/>
                <w:szCs w:val="20"/>
                <w:color w:val="auto"/>
              </w:rPr>
            </w:pPr>
            <w:r>
              <w:rPr>
                <w:rFonts w:ascii="Arial" w:cs="Arial" w:eastAsia="Arial" w:hAnsi="Arial"/>
                <w:sz w:val="13"/>
                <w:szCs w:val="13"/>
                <w:b w:val="1"/>
                <w:bCs w:val="1"/>
                <w:color w:val="FEFEFE"/>
                <w:w w:val="96"/>
              </w:rPr>
              <w:t>Non-PEOs</w:t>
            </w:r>
          </w:p>
        </w:tc>
        <w:tc>
          <w:tcPr>
            <w:tcW w:w="60" w:type="dxa"/>
            <w:vAlign w:val="bottom"/>
            <w:shd w:val="clear" w:color="auto" w:fill="000000"/>
          </w:tcPr>
          <w:p>
            <w:pPr>
              <w:spacing w:after="0"/>
              <w:rPr>
                <w:sz w:val="12"/>
                <w:szCs w:val="12"/>
                <w:color w:val="auto"/>
              </w:rPr>
            </w:pPr>
          </w:p>
        </w:tc>
        <w:tc>
          <w:tcPr>
            <w:tcW w:w="940" w:type="dxa"/>
            <w:vAlign w:val="bottom"/>
            <w:shd w:val="clear" w:color="auto" w:fill="000000"/>
          </w:tcPr>
          <w:p>
            <w:pPr>
              <w:jc w:val="right"/>
              <w:ind w:right="232"/>
              <w:spacing w:after="0"/>
              <w:rPr>
                <w:sz w:val="20"/>
                <w:szCs w:val="20"/>
                <w:color w:val="auto"/>
              </w:rPr>
            </w:pPr>
            <w:r>
              <w:rPr>
                <w:rFonts w:ascii="Arial" w:cs="Arial" w:eastAsia="Arial" w:hAnsi="Arial"/>
                <w:sz w:val="13"/>
                <w:szCs w:val="13"/>
                <w:b w:val="1"/>
                <w:bCs w:val="1"/>
                <w:color w:val="FEFEFE"/>
                <w:w w:val="96"/>
              </w:rPr>
              <w:t>Non-PEOs</w:t>
            </w:r>
          </w:p>
        </w:tc>
        <w:tc>
          <w:tcPr>
            <w:tcW w:w="0" w:type="dxa"/>
            <w:vAlign w:val="bottom"/>
          </w:tcPr>
          <w:p>
            <w:pPr>
              <w:spacing w:after="0"/>
              <w:rPr>
                <w:sz w:val="1"/>
                <w:szCs w:val="1"/>
                <w:color w:val="auto"/>
              </w:rPr>
            </w:pPr>
          </w:p>
        </w:tc>
      </w:tr>
      <w:tr>
        <w:trPr>
          <w:trHeight w:val="135"/>
        </w:trPr>
        <w:tc>
          <w:tcPr>
            <w:tcW w:w="60" w:type="dxa"/>
            <w:vAlign w:val="bottom"/>
            <w:shd w:val="clear" w:color="auto" w:fill="000000"/>
          </w:tcPr>
          <w:p>
            <w:pPr>
              <w:spacing w:after="0"/>
              <w:rPr>
                <w:sz w:val="11"/>
                <w:szCs w:val="11"/>
                <w:color w:val="auto"/>
              </w:rPr>
            </w:pPr>
          </w:p>
        </w:tc>
        <w:tc>
          <w:tcPr>
            <w:tcW w:w="472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1000" w:type="dxa"/>
            <w:vAlign w:val="bottom"/>
            <w:shd w:val="clear" w:color="auto" w:fill="000000"/>
          </w:tcPr>
          <w:p>
            <w:pPr>
              <w:jc w:val="right"/>
              <w:ind w:right="511"/>
              <w:spacing w:after="0" w:line="135" w:lineRule="exact"/>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000000"/>
          </w:tcPr>
          <w:p>
            <w:pPr>
              <w:spacing w:after="0"/>
              <w:rPr>
                <w:sz w:val="11"/>
                <w:szCs w:val="11"/>
                <w:color w:val="auto"/>
              </w:rPr>
            </w:pPr>
          </w:p>
        </w:tc>
        <w:tc>
          <w:tcPr>
            <w:tcW w:w="1080" w:type="dxa"/>
            <w:vAlign w:val="bottom"/>
            <w:shd w:val="clear" w:color="auto" w:fill="000000"/>
          </w:tcPr>
          <w:p>
            <w:pPr>
              <w:jc w:val="right"/>
              <w:ind w:right="550"/>
              <w:spacing w:after="0" w:line="135" w:lineRule="exact"/>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000000"/>
          </w:tcPr>
          <w:p>
            <w:pPr>
              <w:spacing w:after="0"/>
              <w:rPr>
                <w:sz w:val="11"/>
                <w:szCs w:val="11"/>
                <w:color w:val="auto"/>
              </w:rPr>
            </w:pPr>
          </w:p>
        </w:tc>
        <w:tc>
          <w:tcPr>
            <w:tcW w:w="960" w:type="dxa"/>
            <w:vAlign w:val="bottom"/>
            <w:shd w:val="clear" w:color="auto" w:fill="000000"/>
          </w:tcPr>
          <w:p>
            <w:pPr>
              <w:jc w:val="right"/>
              <w:ind w:right="411"/>
              <w:spacing w:after="0" w:line="135" w:lineRule="exact"/>
              <w:rPr>
                <w:sz w:val="20"/>
                <w:szCs w:val="20"/>
                <w:color w:val="auto"/>
              </w:rPr>
            </w:pPr>
            <w:r>
              <w:rPr>
                <w:rFonts w:ascii="Arial" w:cs="Arial" w:eastAsia="Arial" w:hAnsi="Arial"/>
                <w:sz w:val="13"/>
                <w:szCs w:val="13"/>
                <w:b w:val="1"/>
                <w:bCs w:val="1"/>
                <w:color w:val="FEFEFE"/>
              </w:rPr>
              <w:t>2022</w:t>
            </w:r>
          </w:p>
        </w:tc>
        <w:tc>
          <w:tcPr>
            <w:tcW w:w="60" w:type="dxa"/>
            <w:vAlign w:val="bottom"/>
            <w:shd w:val="clear" w:color="auto" w:fill="000000"/>
          </w:tcPr>
          <w:p>
            <w:pPr>
              <w:spacing w:after="0"/>
              <w:rPr>
                <w:sz w:val="11"/>
                <w:szCs w:val="11"/>
                <w:color w:val="auto"/>
              </w:rPr>
            </w:pPr>
          </w:p>
        </w:tc>
        <w:tc>
          <w:tcPr>
            <w:tcW w:w="940" w:type="dxa"/>
            <w:vAlign w:val="bottom"/>
            <w:shd w:val="clear" w:color="auto" w:fill="000000"/>
          </w:tcPr>
          <w:p>
            <w:pPr>
              <w:jc w:val="right"/>
              <w:ind w:right="392"/>
              <w:spacing w:after="0" w:line="135" w:lineRule="exact"/>
              <w:rPr>
                <w:sz w:val="20"/>
                <w:szCs w:val="20"/>
                <w:color w:val="auto"/>
              </w:rPr>
            </w:pPr>
            <w:r>
              <w:rPr>
                <w:rFonts w:ascii="Arial" w:cs="Arial" w:eastAsia="Arial" w:hAnsi="Arial"/>
                <w:sz w:val="13"/>
                <w:szCs w:val="13"/>
                <w:b w:val="1"/>
                <w:bCs w:val="1"/>
                <w:color w:val="FEFEFE"/>
              </w:rPr>
              <w:t>2021</w:t>
            </w: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4720" w:type="dxa"/>
            <w:vAlign w:val="bottom"/>
            <w:shd w:val="clear" w:color="auto" w:fill="000000"/>
          </w:tcPr>
          <w:p>
            <w:pPr>
              <w:spacing w:after="0"/>
              <w:rPr>
                <w:sz w:val="14"/>
                <w:szCs w:val="14"/>
                <w:color w:val="auto"/>
              </w:rPr>
            </w:pPr>
          </w:p>
        </w:tc>
        <w:tc>
          <w:tcPr>
            <w:tcW w:w="360" w:type="dxa"/>
            <w:vAlign w:val="bottom"/>
            <w:shd w:val="clear" w:color="auto" w:fill="000000"/>
          </w:tcPr>
          <w:p>
            <w:pPr>
              <w:spacing w:after="0"/>
              <w:rPr>
                <w:sz w:val="14"/>
                <w:szCs w:val="14"/>
                <w:color w:val="auto"/>
              </w:rPr>
            </w:pPr>
          </w:p>
        </w:tc>
        <w:tc>
          <w:tcPr>
            <w:tcW w:w="100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08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960" w:type="dxa"/>
            <w:vAlign w:val="bottom"/>
            <w:shd w:val="clear" w:color="auto" w:fill="000000"/>
          </w:tcPr>
          <w:p>
            <w:pPr>
              <w:jc w:val="right"/>
              <w:ind w:right="471"/>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000000"/>
          </w:tcPr>
          <w:p>
            <w:pPr>
              <w:spacing w:after="0"/>
              <w:rPr>
                <w:sz w:val="14"/>
                <w:szCs w:val="14"/>
                <w:color w:val="auto"/>
              </w:rPr>
            </w:pPr>
          </w:p>
        </w:tc>
        <w:tc>
          <w:tcPr>
            <w:tcW w:w="940" w:type="dxa"/>
            <w:vAlign w:val="bottom"/>
            <w:shd w:val="clear" w:color="auto" w:fill="000000"/>
          </w:tcPr>
          <w:p>
            <w:pPr>
              <w:jc w:val="right"/>
              <w:ind w:right="452"/>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0"/>
        </w:trPr>
        <w:tc>
          <w:tcPr>
            <w:tcW w:w="60" w:type="dxa"/>
            <w:vAlign w:val="bottom"/>
            <w:shd w:val="clear" w:color="auto" w:fill="000000"/>
          </w:tcPr>
          <w:p>
            <w:pPr>
              <w:spacing w:after="0"/>
              <w:rPr>
                <w:sz w:val="11"/>
                <w:szCs w:val="11"/>
                <w:color w:val="auto"/>
              </w:rPr>
            </w:pPr>
          </w:p>
        </w:tc>
        <w:tc>
          <w:tcPr>
            <w:tcW w:w="4720" w:type="dxa"/>
            <w:vAlign w:val="bottom"/>
            <w:shd w:val="clear" w:color="auto" w:fill="000000"/>
          </w:tcPr>
          <w:p>
            <w:pPr>
              <w:spacing w:after="0"/>
              <w:rPr>
                <w:sz w:val="11"/>
                <w:szCs w:val="11"/>
                <w:color w:val="auto"/>
              </w:rPr>
            </w:pPr>
          </w:p>
        </w:tc>
        <w:tc>
          <w:tcPr>
            <w:tcW w:w="360" w:type="dxa"/>
            <w:vAlign w:val="bottom"/>
            <w:shd w:val="clear" w:color="auto" w:fill="000000"/>
          </w:tcPr>
          <w:p>
            <w:pPr>
              <w:spacing w:after="0"/>
              <w:rPr>
                <w:sz w:val="11"/>
                <w:szCs w:val="11"/>
                <w:color w:val="auto"/>
              </w:rPr>
            </w:pPr>
          </w:p>
        </w:tc>
        <w:tc>
          <w:tcPr>
            <w:tcW w:w="100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08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960" w:type="dxa"/>
            <w:vAlign w:val="bottom"/>
            <w:shd w:val="clear" w:color="auto" w:fill="000000"/>
          </w:tcPr>
          <w:p>
            <w:pPr>
              <w:spacing w:after="0"/>
              <w:rPr>
                <w:sz w:val="11"/>
                <w:szCs w:val="11"/>
                <w:color w:val="auto"/>
              </w:rPr>
            </w:pPr>
          </w:p>
        </w:tc>
        <w:tc>
          <w:tcPr>
            <w:tcW w:w="1000" w:type="dxa"/>
            <w:vAlign w:val="bottom"/>
            <w:gridSpan w:val="2"/>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Summary Compensation Table Total</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596,430</w:t>
            </w:r>
            <w:r>
              <w:rPr>
                <w:rFonts w:ascii="Arial" w:cs="Arial" w:eastAsia="Arial" w:hAnsi="Arial"/>
                <w:sz w:val="28"/>
                <w:szCs w:val="28"/>
                <w:color w:val="auto"/>
                <w:vertAlign w:val="subscript"/>
              </w:rPr>
              <w:t>​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565,591,512</w:t>
            </w:r>
            <w:r>
              <w:rPr>
                <w:rFonts w:ascii="Arial" w:cs="Arial" w:eastAsia="Arial" w:hAnsi="Arial"/>
                <w:sz w:val="28"/>
                <w:szCs w:val="28"/>
                <w:color w:val="auto"/>
                <w:vertAlign w:val="subscript"/>
              </w:rPr>
              <w:t>​ ​</w:t>
            </w: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5,756,135</w:t>
            </w:r>
            <w:r>
              <w:rPr>
                <w:rFonts w:ascii="Arial" w:cs="Arial" w:eastAsia="Arial" w:hAnsi="Arial"/>
                <w:sz w:val="28"/>
                <w:szCs w:val="28"/>
                <w:color w:val="auto"/>
                <w:vertAlign w:val="subscript"/>
              </w:rPr>
              <w:t>​ ​</w:t>
            </w:r>
          </w:p>
        </w:tc>
        <w:tc>
          <w:tcPr>
            <w:tcW w:w="10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​21,230,163</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8"/>
        </w:trPr>
        <w:tc>
          <w:tcPr>
            <w:tcW w:w="60" w:type="dxa"/>
            <w:vAlign w:val="bottom"/>
            <w:shd w:val="clear" w:color="auto" w:fill="F7F7F7"/>
          </w:tcPr>
          <w:p>
            <w:pPr>
              <w:spacing w:after="0"/>
              <w:rPr>
                <w:sz w:val="23"/>
                <w:szCs w:val="23"/>
                <w:color w:val="auto"/>
              </w:rPr>
            </w:pPr>
          </w:p>
        </w:tc>
        <w:tc>
          <w:tcPr>
            <w:tcW w:w="4720" w:type="dxa"/>
            <w:vAlign w:val="bottom"/>
            <w:shd w:val="clear" w:color="auto" w:fill="F7F7F7"/>
          </w:tcPr>
          <w:p>
            <w:pPr>
              <w:ind w:left="100"/>
              <w:spacing w:after="0"/>
              <w:rPr>
                <w:sz w:val="20"/>
                <w:szCs w:val="20"/>
                <w:color w:val="auto"/>
              </w:rPr>
            </w:pPr>
            <w:r>
              <w:rPr>
                <w:rFonts w:ascii="Arial" w:cs="Arial" w:eastAsia="Arial" w:hAnsi="Arial"/>
                <w:sz w:val="14"/>
                <w:szCs w:val="14"/>
                <w:i w:val="1"/>
                <w:iCs w:val="1"/>
                <w:color w:val="auto"/>
              </w:rPr>
              <w:t xml:space="preserve">Less </w:t>
            </w:r>
            <w:r>
              <w:rPr>
                <w:rFonts w:ascii="Arial" w:cs="Arial" w:eastAsia="Arial" w:hAnsi="Arial"/>
                <w:sz w:val="14"/>
                <w:szCs w:val="14"/>
                <w:color w:val="auto"/>
              </w:rPr>
              <w:t>Stock Award Value Reported in Summary Compensation Table for</w:t>
            </w:r>
          </w:p>
        </w:tc>
        <w:tc>
          <w:tcPr>
            <w:tcW w:w="360" w:type="dxa"/>
            <w:vAlign w:val="bottom"/>
            <w:shd w:val="clear" w:color="auto" w:fill="F7F7F7"/>
          </w:tcPr>
          <w:p>
            <w:pPr>
              <w:spacing w:after="0"/>
              <w:rPr>
                <w:sz w:val="23"/>
                <w:szCs w:val="23"/>
                <w:color w:val="auto"/>
              </w:rPr>
            </w:pPr>
          </w:p>
        </w:tc>
        <w:tc>
          <w:tcPr>
            <w:tcW w:w="1000" w:type="dxa"/>
            <w:vAlign w:val="bottom"/>
            <w:shd w:val="clear" w:color="auto" w:fill="F7F7F7"/>
          </w:tcPr>
          <w:p>
            <w:pPr>
              <w:spacing w:after="0"/>
              <w:rPr>
                <w:sz w:val="23"/>
                <w:szCs w:val="23"/>
                <w:color w:val="auto"/>
              </w:rPr>
            </w:pPr>
          </w:p>
        </w:tc>
        <w:tc>
          <w:tcPr>
            <w:tcW w:w="120" w:type="dxa"/>
            <w:vAlign w:val="bottom"/>
            <w:shd w:val="clear" w:color="auto" w:fill="F7F7F7"/>
          </w:tcPr>
          <w:p>
            <w:pPr>
              <w:spacing w:after="0"/>
              <w:rPr>
                <w:sz w:val="23"/>
                <w:szCs w:val="23"/>
                <w:color w:val="auto"/>
              </w:rPr>
            </w:pPr>
          </w:p>
        </w:tc>
        <w:tc>
          <w:tcPr>
            <w:tcW w:w="1080" w:type="dxa"/>
            <w:vAlign w:val="bottom"/>
            <w:shd w:val="clear" w:color="auto" w:fill="F7F7F7"/>
          </w:tcPr>
          <w:p>
            <w:pPr>
              <w:spacing w:after="0"/>
              <w:rPr>
                <w:sz w:val="23"/>
                <w:szCs w:val="23"/>
                <w:color w:val="auto"/>
              </w:rPr>
            </w:pPr>
          </w:p>
        </w:tc>
        <w:tc>
          <w:tcPr>
            <w:tcW w:w="80" w:type="dxa"/>
            <w:vAlign w:val="bottom"/>
            <w:shd w:val="clear" w:color="auto" w:fill="F7F7F7"/>
          </w:tcPr>
          <w:p>
            <w:pPr>
              <w:spacing w:after="0"/>
              <w:rPr>
                <w:sz w:val="23"/>
                <w:szCs w:val="23"/>
                <w:color w:val="auto"/>
              </w:rPr>
            </w:pPr>
          </w:p>
        </w:tc>
        <w:tc>
          <w:tcPr>
            <w:tcW w:w="96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940" w:type="dxa"/>
            <w:vAlign w:val="bottom"/>
            <w:shd w:val="clear" w:color="auto" w:fill="F7F7F7"/>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472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the Covered Year</w:t>
            </w:r>
          </w:p>
        </w:tc>
        <w:tc>
          <w:tcPr>
            <w:tcW w:w="360" w:type="dxa"/>
            <w:vAlign w:val="bottom"/>
            <w:tcBorders>
              <w:bottom w:val="single" w:sz="8" w:color="auto"/>
            </w:tcBorders>
            <w:shd w:val="clear" w:color="auto" w:fill="F7F7F7"/>
          </w:tcPr>
          <w:p>
            <w:pPr>
              <w:ind w:left="40"/>
              <w:spacing w:after="0" w:line="29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00" w:type="dxa"/>
            <w:vAlign w:val="bottom"/>
            <w:tcBorders>
              <w:bottom w:val="single" w:sz="8" w:color="auto"/>
            </w:tcBorders>
            <w:shd w:val="clear" w:color="auto" w:fill="F7F7F7"/>
          </w:tcPr>
          <w:p>
            <w:pPr>
              <w:jc w:val="right"/>
              <w:spacing w:after="0" w:line="29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120" w:type="dxa"/>
            <w:vAlign w:val="bottom"/>
            <w:tcBorders>
              <w:bottom w:val="single" w:sz="8" w:color="auto"/>
            </w:tcBorders>
            <w:shd w:val="clear" w:color="auto" w:fill="F7F7F7"/>
          </w:tcPr>
          <w:p>
            <w:pPr>
              <w:jc w:val="right"/>
              <w:spacing w:after="0" w:line="29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shd w:val="clear" w:color="auto" w:fill="F7F7F7"/>
          </w:tcPr>
          <w:p>
            <w:pPr>
              <w:jc w:val="right"/>
              <w:spacing w:after="0" w:line="293" w:lineRule="exact"/>
              <w:rPr>
                <w:sz w:val="20"/>
                <w:szCs w:val="20"/>
                <w:color w:val="auto"/>
              </w:rPr>
            </w:pPr>
            <w:r>
              <w:rPr>
                <w:rFonts w:ascii="Arial" w:cs="Arial" w:eastAsia="Arial" w:hAnsi="Arial"/>
                <w:sz w:val="14"/>
                <w:szCs w:val="14"/>
                <w:color w:val="auto"/>
              </w:rPr>
              <w:t>556,086,963</w:t>
            </w:r>
            <w:r>
              <w:rPr>
                <w:rFonts w:ascii="Arial" w:cs="Arial" w:eastAsia="Arial" w:hAnsi="Arial"/>
                <w:sz w:val="28"/>
                <w:szCs w:val="28"/>
                <w:color w:val="auto"/>
                <w:vertAlign w:val="subscript"/>
              </w:rPr>
              <w:t>​ ​</w:t>
            </w:r>
          </w:p>
        </w:tc>
        <w:tc>
          <w:tcPr>
            <w:tcW w:w="80" w:type="dxa"/>
            <w:vAlign w:val="bottom"/>
            <w:tcBorders>
              <w:bottom w:val="single" w:sz="8" w:color="auto"/>
            </w:tcBorders>
            <w:shd w:val="clear" w:color="auto" w:fill="F7F7F7"/>
          </w:tcPr>
          <w:p>
            <w:pPr>
              <w:ind w:left="20"/>
              <w:spacing w:after="0" w:line="29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60" w:type="dxa"/>
            <w:vAlign w:val="bottom"/>
            <w:tcBorders>
              <w:bottom w:val="single" w:sz="8" w:color="auto"/>
            </w:tcBorders>
            <w:shd w:val="clear" w:color="auto" w:fill="F7F7F7"/>
          </w:tcPr>
          <w:p>
            <w:pPr>
              <w:jc w:val="right"/>
              <w:spacing w:after="0" w:line="293" w:lineRule="exact"/>
              <w:rPr>
                <w:sz w:val="20"/>
                <w:szCs w:val="20"/>
                <w:color w:val="auto"/>
              </w:rPr>
            </w:pPr>
            <w:r>
              <w:rPr>
                <w:rFonts w:ascii="Arial" w:cs="Arial" w:eastAsia="Arial" w:hAnsi="Arial"/>
                <w:sz w:val="14"/>
                <w:szCs w:val="14"/>
                <w:color w:val="auto"/>
              </w:rPr>
              <w:t>5,249,436</w:t>
            </w:r>
            <w:r>
              <w:rPr>
                <w:rFonts w:ascii="Arial" w:cs="Arial" w:eastAsia="Arial" w:hAnsi="Arial"/>
                <w:sz w:val="28"/>
                <w:szCs w:val="28"/>
                <w:color w:val="auto"/>
                <w:vertAlign w:val="subscript"/>
              </w:rPr>
              <w:t>​ ​</w:t>
            </w:r>
          </w:p>
        </w:tc>
        <w:tc>
          <w:tcPr>
            <w:tcW w:w="1000" w:type="dxa"/>
            <w:vAlign w:val="bottom"/>
            <w:tcBorders>
              <w:bottom w:val="single" w:sz="8" w:color="auto"/>
            </w:tcBorders>
            <w:gridSpan w:val="2"/>
            <w:shd w:val="clear" w:color="auto" w:fill="F7F7F7"/>
          </w:tcPr>
          <w:p>
            <w:pPr>
              <w:jc w:val="right"/>
              <w:ind w:right="92"/>
              <w:spacing w:after="0" w:line="29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​17,655,310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4720" w:type="dxa"/>
            <w:vAlign w:val="bottom"/>
          </w:tcPr>
          <w:p>
            <w:pPr>
              <w:ind w:left="100"/>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Fiscal Year-End Fair Value for Awards Granted in the Covered Year</w:t>
            </w: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and Outstanding at Fiscal Year-End</w:t>
            </w:r>
          </w:p>
        </w:tc>
        <w:tc>
          <w:tcPr>
            <w:tcW w:w="360" w:type="dxa"/>
            <w:vAlign w:val="bottom"/>
            <w:tcBorders>
              <w:bottom w:val="single" w:sz="8" w:color="auto"/>
            </w:tcBorders>
          </w:tcPr>
          <w:p>
            <w:pPr>
              <w:ind w:left="40"/>
              <w:spacing w:after="0" w:line="29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00" w:type="dxa"/>
            <w:vAlign w:val="bottom"/>
            <w:tcBorders>
              <w:bottom w:val="single" w:sz="8" w:color="auto"/>
            </w:tcBorders>
          </w:tcPr>
          <w:p>
            <w:pPr>
              <w:jc w:val="right"/>
              <w:spacing w:after="0" w:line="29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1200" w:type="dxa"/>
            <w:vAlign w:val="bottom"/>
            <w:tcBorders>
              <w:bottom w:val="single" w:sz="8" w:color="auto"/>
            </w:tcBorders>
            <w:gridSpan w:val="2"/>
          </w:tcPr>
          <w:p>
            <w:pPr>
              <w:jc w:val="right"/>
              <w:spacing w:after="0" w:line="29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​1,092,809,021</w:t>
            </w:r>
            <w:r>
              <w:rPr>
                <w:rFonts w:ascii="Arial" w:cs="Arial" w:eastAsia="Arial" w:hAnsi="Arial"/>
                <w:sz w:val="28"/>
                <w:szCs w:val="28"/>
                <w:color w:val="auto"/>
                <w:vertAlign w:val="subscript"/>
              </w:rPr>
              <w:t>​ ​</w:t>
            </w:r>
          </w:p>
        </w:tc>
        <w:tc>
          <w:tcPr>
            <w:tcW w:w="80" w:type="dxa"/>
            <w:vAlign w:val="bottom"/>
            <w:tcBorders>
              <w:bottom w:val="single" w:sz="8" w:color="auto"/>
            </w:tcBorders>
          </w:tcPr>
          <w:p>
            <w:pPr>
              <w:ind w:left="20"/>
              <w:spacing w:after="0" w:line="29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60" w:type="dxa"/>
            <w:vAlign w:val="bottom"/>
            <w:tcBorders>
              <w:bottom w:val="single" w:sz="8" w:color="auto"/>
            </w:tcBorders>
          </w:tcPr>
          <w:p>
            <w:pPr>
              <w:jc w:val="right"/>
              <w:spacing w:after="0" w:line="293" w:lineRule="exact"/>
              <w:rPr>
                <w:sz w:val="20"/>
                <w:szCs w:val="20"/>
                <w:color w:val="auto"/>
              </w:rPr>
            </w:pPr>
            <w:r>
              <w:rPr>
                <w:rFonts w:ascii="Arial" w:cs="Arial" w:eastAsia="Arial" w:hAnsi="Arial"/>
                <w:sz w:val="14"/>
                <w:szCs w:val="14"/>
                <w:color w:val="auto"/>
              </w:rPr>
              <w:t>1,521,212</w:t>
            </w:r>
            <w:r>
              <w:rPr>
                <w:rFonts w:ascii="Arial" w:cs="Arial" w:eastAsia="Arial" w:hAnsi="Arial"/>
                <w:sz w:val="28"/>
                <w:szCs w:val="28"/>
                <w:color w:val="auto"/>
                <w:vertAlign w:val="subscript"/>
              </w:rPr>
              <w:t>​ ​</w:t>
            </w:r>
          </w:p>
        </w:tc>
        <w:tc>
          <w:tcPr>
            <w:tcW w:w="1000" w:type="dxa"/>
            <w:vAlign w:val="bottom"/>
            <w:tcBorders>
              <w:bottom w:val="single" w:sz="8" w:color="auto"/>
            </w:tcBorders>
            <w:gridSpan w:val="2"/>
          </w:tcPr>
          <w:p>
            <w:pPr>
              <w:jc w:val="right"/>
              <w:ind w:right="92"/>
              <w:spacing w:after="0" w:line="29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​33,534,732</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68"/>
        </w:trPr>
        <w:tc>
          <w:tcPr>
            <w:tcW w:w="60" w:type="dxa"/>
            <w:vAlign w:val="bottom"/>
            <w:shd w:val="clear" w:color="auto" w:fill="F7F7F7"/>
          </w:tcPr>
          <w:p>
            <w:pPr>
              <w:spacing w:after="0"/>
              <w:rPr>
                <w:sz w:val="23"/>
                <w:szCs w:val="23"/>
                <w:color w:val="auto"/>
              </w:rPr>
            </w:pPr>
          </w:p>
        </w:tc>
        <w:tc>
          <w:tcPr>
            <w:tcW w:w="4720" w:type="dxa"/>
            <w:vAlign w:val="bottom"/>
            <w:shd w:val="clear" w:color="auto" w:fill="F7F7F7"/>
          </w:tcPr>
          <w:p>
            <w:pPr>
              <w:ind w:left="100"/>
              <w:spacing w:after="0"/>
              <w:rPr>
                <w:sz w:val="20"/>
                <w:szCs w:val="20"/>
                <w:color w:val="auto"/>
              </w:rPr>
            </w:pPr>
            <w:r>
              <w:rPr>
                <w:rFonts w:ascii="Arial" w:cs="Arial" w:eastAsia="Arial" w:hAnsi="Arial"/>
                <w:sz w:val="14"/>
                <w:szCs w:val="14"/>
                <w:i w:val="1"/>
                <w:iCs w:val="1"/>
                <w:color w:val="auto"/>
              </w:rPr>
              <w:t xml:space="preserve">Change </w:t>
            </w:r>
            <w:r>
              <w:rPr>
                <w:rFonts w:ascii="Arial" w:cs="Arial" w:eastAsia="Arial" w:hAnsi="Arial"/>
                <w:sz w:val="14"/>
                <w:szCs w:val="14"/>
                <w:color w:val="auto"/>
              </w:rPr>
              <w:t>in Fiscal Year-End Fair Values of Outstanding Unvested Awards</w:t>
            </w:r>
          </w:p>
        </w:tc>
        <w:tc>
          <w:tcPr>
            <w:tcW w:w="360" w:type="dxa"/>
            <w:vAlign w:val="bottom"/>
            <w:shd w:val="clear" w:color="auto" w:fill="F7F7F7"/>
          </w:tcPr>
          <w:p>
            <w:pPr>
              <w:spacing w:after="0"/>
              <w:rPr>
                <w:sz w:val="23"/>
                <w:szCs w:val="23"/>
                <w:color w:val="auto"/>
              </w:rPr>
            </w:pPr>
          </w:p>
        </w:tc>
        <w:tc>
          <w:tcPr>
            <w:tcW w:w="1000" w:type="dxa"/>
            <w:vAlign w:val="bottom"/>
            <w:shd w:val="clear" w:color="auto" w:fill="F7F7F7"/>
          </w:tcPr>
          <w:p>
            <w:pPr>
              <w:spacing w:after="0"/>
              <w:rPr>
                <w:sz w:val="23"/>
                <w:szCs w:val="23"/>
                <w:color w:val="auto"/>
              </w:rPr>
            </w:pPr>
          </w:p>
        </w:tc>
        <w:tc>
          <w:tcPr>
            <w:tcW w:w="120" w:type="dxa"/>
            <w:vAlign w:val="bottom"/>
            <w:shd w:val="clear" w:color="auto" w:fill="F7F7F7"/>
          </w:tcPr>
          <w:p>
            <w:pPr>
              <w:spacing w:after="0"/>
              <w:rPr>
                <w:sz w:val="23"/>
                <w:szCs w:val="23"/>
                <w:color w:val="auto"/>
              </w:rPr>
            </w:pPr>
          </w:p>
        </w:tc>
        <w:tc>
          <w:tcPr>
            <w:tcW w:w="1080" w:type="dxa"/>
            <w:vAlign w:val="bottom"/>
            <w:shd w:val="clear" w:color="auto" w:fill="F7F7F7"/>
          </w:tcPr>
          <w:p>
            <w:pPr>
              <w:spacing w:after="0"/>
              <w:rPr>
                <w:sz w:val="23"/>
                <w:szCs w:val="23"/>
                <w:color w:val="auto"/>
              </w:rPr>
            </w:pPr>
          </w:p>
        </w:tc>
        <w:tc>
          <w:tcPr>
            <w:tcW w:w="80" w:type="dxa"/>
            <w:vAlign w:val="bottom"/>
            <w:shd w:val="clear" w:color="auto" w:fill="F7F7F7"/>
          </w:tcPr>
          <w:p>
            <w:pPr>
              <w:spacing w:after="0"/>
              <w:rPr>
                <w:sz w:val="23"/>
                <w:szCs w:val="23"/>
                <w:color w:val="auto"/>
              </w:rPr>
            </w:pPr>
          </w:p>
        </w:tc>
        <w:tc>
          <w:tcPr>
            <w:tcW w:w="960" w:type="dxa"/>
            <w:vAlign w:val="bottom"/>
            <w:shd w:val="clear" w:color="auto" w:fill="F7F7F7"/>
          </w:tcPr>
          <w:p>
            <w:pPr>
              <w:spacing w:after="0"/>
              <w:rPr>
                <w:sz w:val="23"/>
                <w:szCs w:val="23"/>
                <w:color w:val="auto"/>
              </w:rPr>
            </w:pPr>
          </w:p>
        </w:tc>
        <w:tc>
          <w:tcPr>
            <w:tcW w:w="60" w:type="dxa"/>
            <w:vAlign w:val="bottom"/>
            <w:shd w:val="clear" w:color="auto" w:fill="F7F7F7"/>
          </w:tcPr>
          <w:p>
            <w:pPr>
              <w:spacing w:after="0"/>
              <w:rPr>
                <w:sz w:val="23"/>
                <w:szCs w:val="23"/>
                <w:color w:val="auto"/>
              </w:rPr>
            </w:pPr>
          </w:p>
        </w:tc>
        <w:tc>
          <w:tcPr>
            <w:tcW w:w="940" w:type="dxa"/>
            <w:vAlign w:val="bottom"/>
            <w:shd w:val="clear" w:color="auto" w:fill="F7F7F7"/>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4720" w:type="dxa"/>
            <w:vAlign w:val="bottom"/>
            <w:shd w:val="clear" w:color="auto" w:fill="F7F7F7"/>
          </w:tcPr>
          <w:p>
            <w:pPr>
              <w:ind w:left="100"/>
              <w:spacing w:after="0" w:line="145" w:lineRule="exact"/>
              <w:rPr>
                <w:sz w:val="20"/>
                <w:szCs w:val="20"/>
                <w:color w:val="auto"/>
              </w:rPr>
            </w:pPr>
            <w:r>
              <w:rPr>
                <w:rFonts w:ascii="Arial" w:cs="Arial" w:eastAsia="Arial" w:hAnsi="Arial"/>
                <w:sz w:val="14"/>
                <w:szCs w:val="14"/>
                <w:color w:val="auto"/>
              </w:rPr>
              <w:t>from Prior Years</w:t>
            </w:r>
          </w:p>
        </w:tc>
        <w:tc>
          <w:tcPr>
            <w:tcW w:w="1360" w:type="dxa"/>
            <w:vAlign w:val="bottom"/>
            <w:gridSpan w:val="2"/>
            <w:shd w:val="clear" w:color="auto" w:fill="F7F7F7"/>
          </w:tcPr>
          <w:p>
            <w:pPr>
              <w:ind w:left="260"/>
              <w:spacing w:after="0" w:line="145" w:lineRule="exact"/>
              <w:rPr>
                <w:sz w:val="20"/>
                <w:szCs w:val="20"/>
                <w:color w:val="auto"/>
              </w:rPr>
            </w:pPr>
            <w:r>
              <w:rPr>
                <w:rFonts w:ascii="Arial" w:cs="Arial" w:eastAsia="Arial" w:hAnsi="Arial"/>
                <w:sz w:val="14"/>
                <w:szCs w:val="14"/>
                <w:color w:val="auto"/>
              </w:rPr>
              <w:t>​(366,333,502)</w:t>
            </w:r>
          </w:p>
        </w:tc>
        <w:tc>
          <w:tcPr>
            <w:tcW w:w="120" w:type="dxa"/>
            <w:vAlign w:val="bottom"/>
            <w:shd w:val="clear" w:color="auto" w:fill="F7F7F7"/>
          </w:tcPr>
          <w:p>
            <w:pPr>
              <w:jc w:val="right"/>
              <w:spacing w:after="0" w:line="145" w:lineRule="exact"/>
              <w:rPr>
                <w:sz w:val="20"/>
                <w:szCs w:val="20"/>
                <w:color w:val="auto"/>
              </w:rPr>
            </w:pPr>
            <w:r>
              <w:rPr>
                <w:rFonts w:ascii="Arial" w:cs="Arial" w:eastAsia="Arial" w:hAnsi="Arial"/>
                <w:sz w:val="14"/>
                <w:szCs w:val="14"/>
                <w:color w:val="auto"/>
              </w:rPr>
              <w:t>​</w:t>
            </w:r>
          </w:p>
        </w:tc>
        <w:tc>
          <w:tcPr>
            <w:tcW w:w="1080" w:type="dxa"/>
            <w:vAlign w:val="bottom"/>
            <w:shd w:val="clear" w:color="auto" w:fill="F7F7F7"/>
          </w:tcPr>
          <w:p>
            <w:pPr>
              <w:jc w:val="right"/>
              <w:ind w:right="130"/>
              <w:spacing w:after="0" w:line="145"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F7F7F7"/>
          </w:tcPr>
          <w:p>
            <w:pPr>
              <w:ind w:left="20"/>
              <w:spacing w:after="0" w:line="145" w:lineRule="exact"/>
              <w:rPr>
                <w:sz w:val="20"/>
                <w:szCs w:val="20"/>
                <w:color w:val="auto"/>
              </w:rPr>
            </w:pPr>
            <w:r>
              <w:rPr>
                <w:rFonts w:ascii="Arial" w:cs="Arial" w:eastAsia="Arial" w:hAnsi="Arial"/>
                <w:sz w:val="14"/>
                <w:szCs w:val="14"/>
                <w:color w:val="auto"/>
              </w:rPr>
              <w:t>​(20,973,900)</w:t>
            </w:r>
          </w:p>
        </w:tc>
        <w:tc>
          <w:tcPr>
            <w:tcW w:w="1000" w:type="dxa"/>
            <w:vAlign w:val="bottom"/>
            <w:gridSpan w:val="2"/>
            <w:shd w:val="clear" w:color="auto" w:fill="F7F7F7"/>
          </w:tcPr>
          <w:p>
            <w:pPr>
              <w:jc w:val="right"/>
              <w:ind w:right="132"/>
              <w:spacing w:after="0" w:line="145" w:lineRule="exact"/>
              <w:rPr>
                <w:sz w:val="20"/>
                <w:szCs w:val="20"/>
                <w:color w:val="auto"/>
              </w:rPr>
            </w:pPr>
            <w:r>
              <w:rPr>
                <w:rFonts w:ascii="Arial" w:cs="Arial" w:eastAsia="Arial" w:hAnsi="Arial"/>
                <w:sz w:val="14"/>
                <w:szCs w:val="14"/>
                <w:color w:val="auto"/>
              </w:rPr>
              <w:t>​13,440,337</w:t>
            </w:r>
          </w:p>
        </w:tc>
        <w:tc>
          <w:tcPr>
            <w:tcW w:w="0" w:type="dxa"/>
            <w:vAlign w:val="bottom"/>
          </w:tcPr>
          <w:p>
            <w:pPr>
              <w:spacing w:after="0"/>
              <w:rPr>
                <w:sz w:val="1"/>
                <w:szCs w:val="1"/>
                <w:color w:val="auto"/>
              </w:rPr>
            </w:pPr>
          </w:p>
        </w:tc>
      </w:tr>
      <w:tr>
        <w:trPr>
          <w:trHeight w:val="149"/>
        </w:trPr>
        <w:tc>
          <w:tcPr>
            <w:tcW w:w="60" w:type="dxa"/>
            <w:vAlign w:val="bottom"/>
            <w:tcBorders>
              <w:bottom w:val="single" w:sz="8" w:color="auto"/>
            </w:tcBorders>
            <w:vMerge w:val="continue"/>
            <w:shd w:val="clear" w:color="auto" w:fill="F7F7F7"/>
          </w:tcPr>
          <w:p>
            <w:pPr>
              <w:spacing w:after="0"/>
              <w:rPr>
                <w:sz w:val="12"/>
                <w:szCs w:val="12"/>
                <w:color w:val="auto"/>
              </w:rPr>
            </w:pPr>
          </w:p>
        </w:tc>
        <w:tc>
          <w:tcPr>
            <w:tcW w:w="4720" w:type="dxa"/>
            <w:vAlign w:val="bottom"/>
            <w:tcBorders>
              <w:bottom w:val="single" w:sz="8" w:color="auto"/>
            </w:tcBorders>
            <w:shd w:val="clear" w:color="auto" w:fill="F7F7F7"/>
          </w:tcPr>
          <w:p>
            <w:pPr>
              <w:spacing w:after="0"/>
              <w:rPr>
                <w:sz w:val="12"/>
                <w:szCs w:val="12"/>
                <w:color w:val="auto"/>
              </w:rPr>
            </w:pPr>
          </w:p>
        </w:tc>
        <w:tc>
          <w:tcPr>
            <w:tcW w:w="360" w:type="dxa"/>
            <w:vAlign w:val="bottom"/>
            <w:tcBorders>
              <w:bottom w:val="single" w:sz="8" w:color="auto"/>
            </w:tcBorders>
            <w:shd w:val="clear" w:color="auto" w:fill="F7F7F7"/>
          </w:tcPr>
          <w:p>
            <w:pPr>
              <w:ind w:left="40"/>
              <w:spacing w:after="0" w:line="149" w:lineRule="exact"/>
              <w:rPr>
                <w:sz w:val="20"/>
                <w:szCs w:val="20"/>
                <w:color w:val="auto"/>
              </w:rPr>
            </w:pPr>
            <w:r>
              <w:rPr>
                <w:rFonts w:ascii="Arial" w:cs="Arial" w:eastAsia="Arial" w:hAnsi="Arial"/>
                <w:sz w:val="14"/>
                <w:szCs w:val="14"/>
                <w:color w:val="auto"/>
              </w:rPr>
              <w:t>​ ​ ​</w:t>
            </w:r>
          </w:p>
        </w:tc>
        <w:tc>
          <w:tcPr>
            <w:tcW w:w="1000" w:type="dxa"/>
            <w:vAlign w:val="bottom"/>
            <w:tcBorders>
              <w:bottom w:val="single" w:sz="8" w:color="auto"/>
            </w:tcBorders>
            <w:shd w:val="clear" w:color="auto" w:fill="F7F7F7"/>
          </w:tcPr>
          <w:p>
            <w:pPr>
              <w:jc w:val="right"/>
              <w:spacing w:after="0" w:line="149" w:lineRule="exact"/>
              <w:rPr>
                <w:sz w:val="20"/>
                <w:szCs w:val="20"/>
                <w:color w:val="auto"/>
              </w:rPr>
            </w:pPr>
            <w:r>
              <w:rPr>
                <w:rFonts w:ascii="Arial" w:cs="Arial" w:eastAsia="Arial" w:hAnsi="Arial"/>
                <w:sz w:val="14"/>
                <w:szCs w:val="14"/>
                <w:color w:val="auto"/>
              </w:rPr>
              <w:t>​ ​</w:t>
            </w:r>
          </w:p>
        </w:tc>
        <w:tc>
          <w:tcPr>
            <w:tcW w:w="120" w:type="dxa"/>
            <w:vAlign w:val="bottom"/>
            <w:tcBorders>
              <w:bottom w:val="single" w:sz="8" w:color="auto"/>
            </w:tcBorders>
            <w:shd w:val="clear" w:color="auto" w:fill="F7F7F7"/>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F7F7F7"/>
          </w:tcPr>
          <w:p>
            <w:pPr>
              <w:jc w:val="right"/>
              <w:spacing w:after="0" w:line="149" w:lineRule="exact"/>
              <w:rPr>
                <w:sz w:val="20"/>
                <w:szCs w:val="20"/>
                <w:color w:val="auto"/>
              </w:rPr>
            </w:pPr>
            <w:r>
              <w:rPr>
                <w:rFonts w:ascii="Arial" w:cs="Arial" w:eastAsia="Arial" w:hAnsi="Arial"/>
                <w:sz w:val="14"/>
                <w:szCs w:val="14"/>
                <w:color w:val="auto"/>
              </w:rPr>
              <w:t>​ ​</w:t>
            </w:r>
          </w:p>
        </w:tc>
        <w:tc>
          <w:tcPr>
            <w:tcW w:w="80" w:type="dxa"/>
            <w:vAlign w:val="bottom"/>
            <w:tcBorders>
              <w:bottom w:val="single" w:sz="8" w:color="auto"/>
            </w:tcBorders>
            <w:shd w:val="clear" w:color="auto" w:fill="F7F7F7"/>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F7F7F7"/>
          </w:tcPr>
          <w:p>
            <w:pPr>
              <w:jc w:val="right"/>
              <w:spacing w:after="0" w:line="149" w:lineRule="exact"/>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shd w:val="clear" w:color="auto" w:fill="F7F7F7"/>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F7F7F7"/>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4720" w:type="dxa"/>
            <w:vAlign w:val="bottom"/>
          </w:tcPr>
          <w:p>
            <w:pPr>
              <w:ind w:left="100"/>
              <w:spacing w:after="0"/>
              <w:rPr>
                <w:sz w:val="20"/>
                <w:szCs w:val="20"/>
                <w:color w:val="auto"/>
              </w:rPr>
            </w:pPr>
            <w:r>
              <w:rPr>
                <w:rFonts w:ascii="Arial" w:cs="Arial" w:eastAsia="Arial" w:hAnsi="Arial"/>
                <w:sz w:val="14"/>
                <w:szCs w:val="14"/>
                <w:i w:val="1"/>
                <w:iCs w:val="1"/>
                <w:color w:val="auto"/>
              </w:rPr>
              <w:t xml:space="preserve">Change </w:t>
            </w:r>
            <w:r>
              <w:rPr>
                <w:rFonts w:ascii="Arial" w:cs="Arial" w:eastAsia="Arial" w:hAnsi="Arial"/>
                <w:sz w:val="14"/>
                <w:szCs w:val="14"/>
                <w:color w:val="auto"/>
              </w:rPr>
              <w:t>in Fair Value of Awards from Prior Years that Vested in the</w:t>
            </w: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4720" w:type="dxa"/>
            <w:vAlign w:val="bottom"/>
          </w:tcPr>
          <w:p>
            <w:pPr>
              <w:ind w:left="100"/>
              <w:spacing w:after="0" w:line="145" w:lineRule="exact"/>
              <w:rPr>
                <w:sz w:val="20"/>
                <w:szCs w:val="20"/>
                <w:color w:val="auto"/>
              </w:rPr>
            </w:pPr>
            <w:r>
              <w:rPr>
                <w:rFonts w:ascii="Arial" w:cs="Arial" w:eastAsia="Arial" w:hAnsi="Arial"/>
                <w:sz w:val="14"/>
                <w:szCs w:val="14"/>
                <w:color w:val="auto"/>
              </w:rPr>
              <w:t>Covered Year and Vest-Date Fair Value of Awards Vesting in Grant Year</w:t>
            </w:r>
          </w:p>
        </w:tc>
        <w:tc>
          <w:tcPr>
            <w:tcW w:w="136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​(278,114,592)</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130"/>
              <w:spacing w:after="0" w:line="145" w:lineRule="exact"/>
              <w:rPr>
                <w:sz w:val="20"/>
                <w:szCs w:val="20"/>
                <w:color w:val="auto"/>
              </w:rPr>
            </w:pPr>
            <w:r>
              <w:rPr>
                <w:rFonts w:ascii="Arial" w:cs="Arial" w:eastAsia="Arial" w:hAnsi="Arial"/>
                <w:sz w:val="14"/>
                <w:szCs w:val="14"/>
                <w:color w:val="auto"/>
              </w:rPr>
              <w:t>46,477,659</w:t>
            </w:r>
          </w:p>
        </w:tc>
        <w:tc>
          <w:tcPr>
            <w:tcW w:w="10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​(10,686,813)</w:t>
            </w:r>
          </w:p>
        </w:tc>
        <w:tc>
          <w:tcPr>
            <w:tcW w:w="60" w:type="dxa"/>
            <w:vAlign w:val="bottom"/>
          </w:tcPr>
          <w:p>
            <w:pPr>
              <w:ind w:left="20"/>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32"/>
              <w:spacing w:after="0" w:line="145" w:lineRule="exact"/>
              <w:rPr>
                <w:sz w:val="20"/>
                <w:szCs w:val="20"/>
                <w:color w:val="auto"/>
              </w:rPr>
            </w:pPr>
            <w:r>
              <w:rPr>
                <w:rFonts w:ascii="Arial" w:cs="Arial" w:eastAsia="Arial" w:hAnsi="Arial"/>
                <w:sz w:val="14"/>
                <w:szCs w:val="14"/>
                <w:color w:val="auto"/>
              </w:rPr>
              <w:t>4,547,926</w:t>
            </w:r>
          </w:p>
        </w:tc>
        <w:tc>
          <w:tcPr>
            <w:tcW w:w="0" w:type="dxa"/>
            <w:vAlign w:val="bottom"/>
          </w:tcPr>
          <w:p>
            <w:pPr>
              <w:spacing w:after="0"/>
              <w:rPr>
                <w:sz w:val="1"/>
                <w:szCs w:val="1"/>
                <w:color w:val="auto"/>
              </w:rPr>
            </w:pPr>
          </w:p>
        </w:tc>
      </w:tr>
      <w:tr>
        <w:trPr>
          <w:trHeight w:val="149"/>
        </w:trPr>
        <w:tc>
          <w:tcPr>
            <w:tcW w:w="60" w:type="dxa"/>
            <w:vAlign w:val="bottom"/>
            <w:tcBorders>
              <w:bottom w:val="single" w:sz="8" w:color="auto"/>
            </w:tcBorders>
            <w:vMerge w:val="continue"/>
          </w:tcPr>
          <w:p>
            <w:pPr>
              <w:spacing w:after="0"/>
              <w:rPr>
                <w:sz w:val="12"/>
                <w:szCs w:val="12"/>
                <w:color w:val="auto"/>
              </w:rPr>
            </w:pPr>
          </w:p>
        </w:tc>
        <w:tc>
          <w:tcPr>
            <w:tcW w:w="47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rPr>
              <w:t>​ ​ ​</w:t>
            </w: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 ​</w:t>
            </w:r>
          </w:p>
        </w:tc>
        <w:tc>
          <w:tcPr>
            <w:tcW w:w="1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 ​</w:t>
            </w:r>
          </w:p>
        </w:tc>
        <w:tc>
          <w:tcPr>
            <w:tcW w:w="8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8"/>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472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i w:val="1"/>
                <w:iCs w:val="1"/>
                <w:color w:val="auto"/>
              </w:rPr>
              <w:t xml:space="preserve">Less </w:t>
            </w:r>
            <w:r>
              <w:rPr>
                <w:rFonts w:ascii="Arial" w:cs="Arial" w:eastAsia="Arial" w:hAnsi="Arial"/>
                <w:sz w:val="14"/>
                <w:szCs w:val="14"/>
                <w:color w:val="auto"/>
              </w:rPr>
              <w:t>Fair Value of Awards Forfeited during the Covered Year</w:t>
            </w:r>
          </w:p>
        </w:tc>
        <w:tc>
          <w:tcPr>
            <w:tcW w:w="360" w:type="dxa"/>
            <w:vAlign w:val="bottom"/>
            <w:tcBorders>
              <w:bottom w:val="single" w:sz="8" w:color="auto"/>
            </w:tcBorders>
            <w:shd w:val="clear" w:color="auto" w:fill="F7F7F7"/>
          </w:tcPr>
          <w:p>
            <w:pPr>
              <w:ind w:left="40"/>
              <w:spacing w:after="0"/>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0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12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8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60" w:type="dxa"/>
            <w:vAlign w:val="bottom"/>
            <w:tcBorders>
              <w:bottom w:val="single" w:sz="8" w:color="auto"/>
            </w:tcBorders>
            <w:shd w:val="clear" w:color="auto" w:fill="F7F7F7"/>
          </w:tcPr>
          <w:p>
            <w:pPr>
              <w:jc w:val="right"/>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60" w:type="dxa"/>
            <w:vAlign w:val="bottom"/>
            <w:tcBorders>
              <w:bottom w:val="single" w:sz="8" w:color="auto"/>
            </w:tcBorders>
            <w:shd w:val="clear" w:color="auto" w:fill="F7F7F7"/>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jc w:val="right"/>
              <w:ind w:right="92"/>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60" w:type="dxa"/>
            <w:vAlign w:val="bottom"/>
          </w:tcPr>
          <w:p>
            <w:pPr>
              <w:spacing w:after="0"/>
              <w:rPr>
                <w:sz w:val="23"/>
                <w:szCs w:val="23"/>
                <w:color w:val="auto"/>
              </w:rPr>
            </w:pPr>
          </w:p>
        </w:tc>
        <w:tc>
          <w:tcPr>
            <w:tcW w:w="4720" w:type="dxa"/>
            <w:vAlign w:val="bottom"/>
          </w:tcPr>
          <w:p>
            <w:pPr>
              <w:ind w:left="100"/>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Fair Value of Incremental Dividends or Earnings Paid on Stock</w:t>
            </w: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72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Awards</w:t>
            </w:r>
          </w:p>
        </w:tc>
        <w:tc>
          <w:tcPr>
            <w:tcW w:w="360" w:type="dxa"/>
            <w:vAlign w:val="bottom"/>
            <w:tcBorders>
              <w:bottom w:val="single" w:sz="8" w:color="auto"/>
            </w:tcBorders>
          </w:tcPr>
          <w:p>
            <w:pPr>
              <w:ind w:left="40"/>
              <w:spacing w:after="0" w:line="29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00" w:type="dxa"/>
            <w:vAlign w:val="bottom"/>
            <w:tcBorders>
              <w:bottom w:val="single" w:sz="8" w:color="auto"/>
            </w:tcBorders>
          </w:tcPr>
          <w:p>
            <w:pPr>
              <w:jc w:val="right"/>
              <w:spacing w:after="0" w:line="29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120" w:type="dxa"/>
            <w:vAlign w:val="bottom"/>
            <w:tcBorders>
              <w:bottom w:val="single" w:sz="8" w:color="auto"/>
            </w:tcBorders>
          </w:tcPr>
          <w:p>
            <w:pPr>
              <w:jc w:val="right"/>
              <w:spacing w:after="0" w:line="29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1080" w:type="dxa"/>
            <w:vAlign w:val="bottom"/>
            <w:tcBorders>
              <w:bottom w:val="single" w:sz="8" w:color="auto"/>
            </w:tcBorders>
          </w:tcPr>
          <w:p>
            <w:pPr>
              <w:jc w:val="right"/>
              <w:spacing w:after="0" w:line="29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80" w:type="dxa"/>
            <w:vAlign w:val="bottom"/>
            <w:tcBorders>
              <w:bottom w:val="single" w:sz="8" w:color="auto"/>
            </w:tcBorders>
          </w:tcPr>
          <w:p>
            <w:pPr>
              <w:ind w:left="20"/>
              <w:spacing w:after="0" w:line="29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60" w:type="dxa"/>
            <w:vAlign w:val="bottom"/>
            <w:tcBorders>
              <w:bottom w:val="single" w:sz="8" w:color="auto"/>
            </w:tcBorders>
          </w:tcPr>
          <w:p>
            <w:pPr>
              <w:jc w:val="right"/>
              <w:spacing w:after="0" w:line="29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w:t>
            </w:r>
          </w:p>
        </w:tc>
        <w:tc>
          <w:tcPr>
            <w:tcW w:w="60" w:type="dxa"/>
            <w:vAlign w:val="bottom"/>
            <w:tcBorders>
              <w:bottom w:val="single" w:sz="8" w:color="auto"/>
            </w:tcBorders>
          </w:tcPr>
          <w:p>
            <w:pPr>
              <w:ind w:left="20"/>
              <w:spacing w:after="0" w:line="293" w:lineRule="exact"/>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40" w:type="dxa"/>
            <w:vAlign w:val="bottom"/>
            <w:tcBorders>
              <w:bottom w:val="single" w:sz="8" w:color="auto"/>
            </w:tcBorders>
          </w:tcPr>
          <w:p>
            <w:pPr>
              <w:jc w:val="right"/>
              <w:ind w:right="92"/>
              <w:spacing w:after="0" w:line="29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65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0" w:type="dxa"/>
            <w:vAlign w:val="bottom"/>
            <w:shd w:val="clear" w:color="auto" w:fill="000000"/>
          </w:tcPr>
          <w:p>
            <w:pPr>
              <w:spacing w:after="0"/>
              <w:rPr>
                <w:sz w:val="13"/>
                <w:szCs w:val="13"/>
                <w:color w:val="auto"/>
              </w:rPr>
            </w:pPr>
          </w:p>
        </w:tc>
        <w:tc>
          <w:tcPr>
            <w:tcW w:w="466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 ​</w:t>
            </w:r>
          </w:p>
        </w:tc>
        <w:tc>
          <w:tcPr>
            <w:tcW w:w="40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EFEFE"/>
              </w:rPr>
              <w:t>​ ​</w:t>
            </w:r>
          </w:p>
        </w:tc>
        <w:tc>
          <w:tcPr>
            <w:tcW w:w="1140" w:type="dxa"/>
            <w:vAlign w:val="bottom"/>
            <w:shd w:val="clear" w:color="auto" w:fill="000000"/>
          </w:tcPr>
          <w:p>
            <w:pPr>
              <w:jc w:val="center"/>
              <w:ind w:left="613"/>
              <w:spacing w:after="0"/>
              <w:rPr>
                <w:sz w:val="20"/>
                <w:szCs w:val="20"/>
                <w:color w:val="auto"/>
              </w:rPr>
            </w:pPr>
            <w:r>
              <w:rPr>
                <w:rFonts w:ascii="Arial" w:cs="Arial" w:eastAsia="Arial" w:hAnsi="Arial"/>
                <w:sz w:val="13"/>
                <w:szCs w:val="13"/>
                <w:b w:val="1"/>
                <w:bCs w:val="1"/>
                <w:color w:val="FEFEFE"/>
              </w:rPr>
              <w:t>​ ​</w:t>
            </w:r>
          </w:p>
        </w:tc>
        <w:tc>
          <w:tcPr>
            <w:tcW w:w="1140" w:type="dxa"/>
            <w:vAlign w:val="bottom"/>
            <w:shd w:val="clear" w:color="auto" w:fill="000000"/>
          </w:tcPr>
          <w:p>
            <w:pPr>
              <w:jc w:val="center"/>
              <w:ind w:left="773"/>
              <w:spacing w:after="0"/>
              <w:rPr>
                <w:sz w:val="20"/>
                <w:szCs w:val="20"/>
                <w:color w:val="auto"/>
              </w:rPr>
            </w:pPr>
            <w:r>
              <w:rPr>
                <w:rFonts w:ascii="Arial" w:cs="Arial" w:eastAsia="Arial" w:hAnsi="Arial"/>
                <w:sz w:val="13"/>
                <w:szCs w:val="13"/>
                <w:b w:val="1"/>
                <w:bCs w:val="1"/>
                <w:color w:val="FEFEFE"/>
              </w:rPr>
              <w:t>​ ​</w:t>
            </w:r>
          </w:p>
        </w:tc>
        <w:tc>
          <w:tcPr>
            <w:tcW w:w="1040" w:type="dxa"/>
            <w:vAlign w:val="bottom"/>
            <w:shd w:val="clear" w:color="auto" w:fill="000000"/>
          </w:tcPr>
          <w:p>
            <w:pPr>
              <w:jc w:val="center"/>
              <w:ind w:left="673"/>
              <w:spacing w:after="0"/>
              <w:rPr>
                <w:sz w:val="20"/>
                <w:szCs w:val="20"/>
                <w:color w:val="auto"/>
              </w:rPr>
            </w:pPr>
            <w:r>
              <w:rPr>
                <w:rFonts w:ascii="Arial" w:cs="Arial" w:eastAsia="Arial" w:hAnsi="Arial"/>
                <w:sz w:val="13"/>
                <w:szCs w:val="13"/>
                <w:b w:val="1"/>
                <w:bCs w:val="1"/>
                <w:color w:val="FEFEFE"/>
              </w:rPr>
              <w:t>​ ​</w:t>
            </w:r>
          </w:p>
        </w:tc>
        <w:tc>
          <w:tcPr>
            <w:tcW w:w="9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5"/>
        </w:trPr>
        <w:tc>
          <w:tcPr>
            <w:tcW w:w="60" w:type="dxa"/>
            <w:vAlign w:val="bottom"/>
            <w:shd w:val="clear" w:color="auto" w:fill="000000"/>
          </w:tcPr>
          <w:p>
            <w:pPr>
              <w:spacing w:after="0"/>
              <w:rPr>
                <w:sz w:val="11"/>
                <w:szCs w:val="11"/>
                <w:color w:val="auto"/>
              </w:rPr>
            </w:pPr>
          </w:p>
        </w:tc>
        <w:tc>
          <w:tcPr>
            <w:tcW w:w="4660" w:type="dxa"/>
            <w:vAlign w:val="bottom"/>
            <w:shd w:val="clear" w:color="auto" w:fill="000000"/>
          </w:tcPr>
          <w:p>
            <w:pPr>
              <w:spacing w:after="0"/>
              <w:rPr>
                <w:sz w:val="11"/>
                <w:szCs w:val="11"/>
                <w:color w:val="auto"/>
              </w:rPr>
            </w:pPr>
          </w:p>
        </w:tc>
        <w:tc>
          <w:tcPr>
            <w:tcW w:w="400" w:type="dxa"/>
            <w:vAlign w:val="bottom"/>
            <w:shd w:val="clear" w:color="auto" w:fill="000000"/>
          </w:tcPr>
          <w:p>
            <w:pPr>
              <w:spacing w:after="0"/>
              <w:rPr>
                <w:sz w:val="11"/>
                <w:szCs w:val="11"/>
                <w:color w:val="auto"/>
              </w:rPr>
            </w:pPr>
          </w:p>
        </w:tc>
        <w:tc>
          <w:tcPr>
            <w:tcW w:w="1140" w:type="dxa"/>
            <w:vAlign w:val="bottom"/>
            <w:shd w:val="clear" w:color="auto" w:fill="000000"/>
          </w:tcPr>
          <w:p>
            <w:pPr>
              <w:jc w:val="center"/>
              <w:ind w:right="413"/>
              <w:spacing w:after="0" w:line="135" w:lineRule="exact"/>
              <w:rPr>
                <w:sz w:val="20"/>
                <w:szCs w:val="20"/>
                <w:color w:val="auto"/>
              </w:rPr>
            </w:pPr>
            <w:r>
              <w:rPr>
                <w:rFonts w:ascii="Arial" w:cs="Arial" w:eastAsia="Arial" w:hAnsi="Arial"/>
                <w:sz w:val="13"/>
                <w:szCs w:val="13"/>
                <w:b w:val="1"/>
                <w:bCs w:val="1"/>
                <w:color w:val="FEFEFE"/>
                <w:w w:val="96"/>
              </w:rPr>
              <w:t>PEO 2022</w:t>
            </w:r>
          </w:p>
        </w:tc>
        <w:tc>
          <w:tcPr>
            <w:tcW w:w="1140" w:type="dxa"/>
            <w:vAlign w:val="bottom"/>
            <w:shd w:val="clear" w:color="auto" w:fill="000000"/>
          </w:tcPr>
          <w:p>
            <w:pPr>
              <w:jc w:val="center"/>
              <w:ind w:right="333"/>
              <w:spacing w:after="0" w:line="135" w:lineRule="exact"/>
              <w:rPr>
                <w:sz w:val="20"/>
                <w:szCs w:val="20"/>
                <w:color w:val="auto"/>
              </w:rPr>
            </w:pPr>
            <w:r>
              <w:rPr>
                <w:rFonts w:ascii="Arial" w:cs="Arial" w:eastAsia="Arial" w:hAnsi="Arial"/>
                <w:sz w:val="13"/>
                <w:szCs w:val="13"/>
                <w:b w:val="1"/>
                <w:bCs w:val="1"/>
                <w:color w:val="FEFEFE"/>
                <w:w w:val="96"/>
              </w:rPr>
              <w:t>PEO 2021</w:t>
            </w:r>
          </w:p>
        </w:tc>
        <w:tc>
          <w:tcPr>
            <w:tcW w:w="1040" w:type="dxa"/>
            <w:vAlign w:val="bottom"/>
            <w:shd w:val="clear" w:color="auto" w:fill="000000"/>
          </w:tcPr>
          <w:p>
            <w:pPr>
              <w:ind w:left="20"/>
              <w:spacing w:after="0" w:line="135" w:lineRule="exact"/>
              <w:rPr>
                <w:sz w:val="20"/>
                <w:szCs w:val="20"/>
                <w:color w:val="auto"/>
              </w:rPr>
            </w:pPr>
            <w:r>
              <w:rPr>
                <w:rFonts w:ascii="Arial" w:cs="Arial" w:eastAsia="Arial" w:hAnsi="Arial"/>
                <w:sz w:val="13"/>
                <w:szCs w:val="13"/>
                <w:b w:val="1"/>
                <w:bCs w:val="1"/>
                <w:color w:val="FEFEFE"/>
              </w:rPr>
              <w:t>Non-PEOs</w:t>
            </w:r>
          </w:p>
        </w:tc>
        <w:tc>
          <w:tcPr>
            <w:tcW w:w="940" w:type="dxa"/>
            <w:vAlign w:val="bottom"/>
            <w:shd w:val="clear" w:color="auto" w:fill="000000"/>
          </w:tcPr>
          <w:p>
            <w:pPr>
              <w:jc w:val="right"/>
              <w:ind w:right="253"/>
              <w:spacing w:after="0" w:line="135" w:lineRule="exact"/>
              <w:rPr>
                <w:sz w:val="20"/>
                <w:szCs w:val="20"/>
                <w:color w:val="auto"/>
              </w:rPr>
            </w:pPr>
            <w:r>
              <w:rPr>
                <w:rFonts w:ascii="Arial" w:cs="Arial" w:eastAsia="Arial" w:hAnsi="Arial"/>
                <w:sz w:val="13"/>
                <w:szCs w:val="13"/>
                <w:b w:val="1"/>
                <w:bCs w:val="1"/>
                <w:color w:val="FEFEFE"/>
                <w:w w:val="93"/>
              </w:rPr>
              <w:t>Non-PEOs</w:t>
            </w:r>
          </w:p>
        </w:tc>
        <w:tc>
          <w:tcPr>
            <w:tcW w:w="0" w:type="dxa"/>
            <w:vAlign w:val="bottom"/>
          </w:tcPr>
          <w:p>
            <w:pPr>
              <w:spacing w:after="0"/>
              <w:rPr>
                <w:sz w:val="1"/>
                <w:szCs w:val="1"/>
                <w:color w:val="auto"/>
              </w:rPr>
            </w:pPr>
          </w:p>
        </w:tc>
      </w:tr>
      <w:tr>
        <w:trPr>
          <w:trHeight w:val="148"/>
        </w:trPr>
        <w:tc>
          <w:tcPr>
            <w:tcW w:w="60" w:type="dxa"/>
            <w:vAlign w:val="bottom"/>
            <w:shd w:val="clear" w:color="auto" w:fill="000000"/>
          </w:tcPr>
          <w:p>
            <w:pPr>
              <w:spacing w:after="0"/>
              <w:rPr>
                <w:sz w:val="12"/>
                <w:szCs w:val="12"/>
                <w:color w:val="auto"/>
              </w:rPr>
            </w:pPr>
          </w:p>
        </w:tc>
        <w:tc>
          <w:tcPr>
            <w:tcW w:w="4660" w:type="dxa"/>
            <w:vAlign w:val="bottom"/>
            <w:shd w:val="clear" w:color="auto" w:fill="000000"/>
          </w:tcPr>
          <w:p>
            <w:pPr>
              <w:spacing w:after="0"/>
              <w:rPr>
                <w:sz w:val="12"/>
                <w:szCs w:val="12"/>
                <w:color w:val="auto"/>
              </w:rPr>
            </w:pPr>
          </w:p>
        </w:tc>
        <w:tc>
          <w:tcPr>
            <w:tcW w:w="400" w:type="dxa"/>
            <w:vAlign w:val="bottom"/>
            <w:shd w:val="clear" w:color="auto" w:fill="000000"/>
          </w:tcPr>
          <w:p>
            <w:pPr>
              <w:spacing w:after="0"/>
              <w:rPr>
                <w:sz w:val="12"/>
                <w:szCs w:val="12"/>
                <w:color w:val="auto"/>
              </w:rPr>
            </w:pPr>
          </w:p>
        </w:tc>
        <w:tc>
          <w:tcPr>
            <w:tcW w:w="1140" w:type="dxa"/>
            <w:vAlign w:val="bottom"/>
            <w:shd w:val="clear" w:color="auto" w:fill="000000"/>
          </w:tcPr>
          <w:p>
            <w:pPr>
              <w:jc w:val="right"/>
              <w:ind w:right="653"/>
              <w:spacing w:after="0"/>
              <w:rPr>
                <w:sz w:val="20"/>
                <w:szCs w:val="20"/>
                <w:color w:val="auto"/>
              </w:rPr>
            </w:pPr>
            <w:r>
              <w:rPr>
                <w:rFonts w:ascii="Arial" w:cs="Arial" w:eastAsia="Arial" w:hAnsi="Arial"/>
                <w:sz w:val="13"/>
                <w:szCs w:val="13"/>
                <w:b w:val="1"/>
                <w:bCs w:val="1"/>
                <w:color w:val="FEFEFE"/>
              </w:rPr>
              <w:t>($)</w:t>
            </w:r>
          </w:p>
        </w:tc>
        <w:tc>
          <w:tcPr>
            <w:tcW w:w="1140" w:type="dxa"/>
            <w:vAlign w:val="bottom"/>
            <w:shd w:val="clear" w:color="auto" w:fill="000000"/>
          </w:tcPr>
          <w:p>
            <w:pPr>
              <w:jc w:val="right"/>
              <w:ind w:right="633"/>
              <w:spacing w:after="0"/>
              <w:rPr>
                <w:sz w:val="20"/>
                <w:szCs w:val="20"/>
                <w:color w:val="auto"/>
              </w:rPr>
            </w:pPr>
            <w:r>
              <w:rPr>
                <w:rFonts w:ascii="Arial" w:cs="Arial" w:eastAsia="Arial" w:hAnsi="Arial"/>
                <w:sz w:val="13"/>
                <w:szCs w:val="13"/>
                <w:b w:val="1"/>
                <w:bCs w:val="1"/>
                <w:color w:val="FEFEFE"/>
              </w:rPr>
              <w:t>($)</w:t>
            </w:r>
          </w:p>
        </w:tc>
        <w:tc>
          <w:tcPr>
            <w:tcW w:w="1040" w:type="dxa"/>
            <w:vAlign w:val="bottom"/>
            <w:shd w:val="clear" w:color="auto" w:fill="000000"/>
          </w:tcPr>
          <w:p>
            <w:pPr>
              <w:jc w:val="right"/>
              <w:ind w:right="473"/>
              <w:spacing w:after="0"/>
              <w:rPr>
                <w:sz w:val="20"/>
                <w:szCs w:val="20"/>
                <w:color w:val="auto"/>
              </w:rPr>
            </w:pPr>
            <w:r>
              <w:rPr>
                <w:rFonts w:ascii="Arial" w:cs="Arial" w:eastAsia="Arial" w:hAnsi="Arial"/>
                <w:sz w:val="13"/>
                <w:szCs w:val="13"/>
                <w:b w:val="1"/>
                <w:bCs w:val="1"/>
                <w:color w:val="FEFEFE"/>
              </w:rPr>
              <w:t>2022</w:t>
            </w:r>
          </w:p>
        </w:tc>
        <w:tc>
          <w:tcPr>
            <w:tcW w:w="940" w:type="dxa"/>
            <w:vAlign w:val="bottom"/>
            <w:shd w:val="clear" w:color="auto" w:fill="000000"/>
          </w:tcPr>
          <w:p>
            <w:pPr>
              <w:jc w:val="right"/>
              <w:ind w:right="393"/>
              <w:spacing w:after="0"/>
              <w:rPr>
                <w:sz w:val="20"/>
                <w:szCs w:val="20"/>
                <w:color w:val="auto"/>
              </w:rPr>
            </w:pPr>
            <w:r>
              <w:rPr>
                <w:rFonts w:ascii="Arial" w:cs="Arial" w:eastAsia="Arial" w:hAnsi="Arial"/>
                <w:sz w:val="13"/>
                <w:szCs w:val="13"/>
                <w:b w:val="1"/>
                <w:bCs w:val="1"/>
                <w:color w:val="FEFEFE"/>
              </w:rPr>
              <w:t>2021</w:t>
            </w: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4660" w:type="dxa"/>
            <w:vAlign w:val="bottom"/>
            <w:shd w:val="clear" w:color="auto" w:fill="000000"/>
          </w:tcPr>
          <w:p>
            <w:pPr>
              <w:spacing w:after="0"/>
              <w:rPr>
                <w:sz w:val="14"/>
                <w:szCs w:val="14"/>
                <w:color w:val="auto"/>
              </w:rPr>
            </w:pPr>
          </w:p>
        </w:tc>
        <w:tc>
          <w:tcPr>
            <w:tcW w:w="400" w:type="dxa"/>
            <w:vAlign w:val="bottom"/>
            <w:shd w:val="clear" w:color="auto" w:fill="000000"/>
          </w:tcPr>
          <w:p>
            <w:pPr>
              <w:spacing w:after="0"/>
              <w:rPr>
                <w:sz w:val="14"/>
                <w:szCs w:val="14"/>
                <w:color w:val="auto"/>
              </w:rPr>
            </w:pPr>
          </w:p>
        </w:tc>
        <w:tc>
          <w:tcPr>
            <w:tcW w:w="1140" w:type="dxa"/>
            <w:vAlign w:val="bottom"/>
            <w:shd w:val="clear" w:color="auto" w:fill="000000"/>
          </w:tcPr>
          <w:p>
            <w:pPr>
              <w:spacing w:after="0"/>
              <w:rPr>
                <w:sz w:val="14"/>
                <w:szCs w:val="14"/>
                <w:color w:val="auto"/>
              </w:rPr>
            </w:pPr>
          </w:p>
        </w:tc>
        <w:tc>
          <w:tcPr>
            <w:tcW w:w="1140" w:type="dxa"/>
            <w:vAlign w:val="bottom"/>
            <w:shd w:val="clear" w:color="auto" w:fill="000000"/>
          </w:tcPr>
          <w:p>
            <w:pPr>
              <w:spacing w:after="0"/>
              <w:rPr>
                <w:sz w:val="14"/>
                <w:szCs w:val="14"/>
                <w:color w:val="auto"/>
              </w:rPr>
            </w:pPr>
          </w:p>
        </w:tc>
        <w:tc>
          <w:tcPr>
            <w:tcW w:w="1040" w:type="dxa"/>
            <w:vAlign w:val="bottom"/>
            <w:shd w:val="clear" w:color="auto" w:fill="000000"/>
          </w:tcPr>
          <w:p>
            <w:pPr>
              <w:jc w:val="right"/>
              <w:ind w:right="553"/>
              <w:spacing w:after="0"/>
              <w:rPr>
                <w:sz w:val="20"/>
                <w:szCs w:val="20"/>
                <w:color w:val="auto"/>
              </w:rPr>
            </w:pPr>
            <w:r>
              <w:rPr>
                <w:rFonts w:ascii="Arial" w:cs="Arial" w:eastAsia="Arial" w:hAnsi="Arial"/>
                <w:sz w:val="13"/>
                <w:szCs w:val="13"/>
                <w:b w:val="1"/>
                <w:bCs w:val="1"/>
                <w:color w:val="FEFEFE"/>
              </w:rPr>
              <w:t>($)</w:t>
            </w:r>
          </w:p>
        </w:tc>
        <w:tc>
          <w:tcPr>
            <w:tcW w:w="940" w:type="dxa"/>
            <w:vAlign w:val="bottom"/>
            <w:shd w:val="clear" w:color="auto" w:fill="000000"/>
          </w:tcPr>
          <w:p>
            <w:pPr>
              <w:jc w:val="right"/>
              <w:ind w:right="453"/>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30"/>
        </w:trPr>
        <w:tc>
          <w:tcPr>
            <w:tcW w:w="60" w:type="dxa"/>
            <w:vAlign w:val="bottom"/>
            <w:shd w:val="clear" w:color="auto" w:fill="000000"/>
          </w:tcPr>
          <w:p>
            <w:pPr>
              <w:spacing w:after="0"/>
              <w:rPr>
                <w:sz w:val="11"/>
                <w:szCs w:val="11"/>
                <w:color w:val="auto"/>
              </w:rPr>
            </w:pPr>
          </w:p>
        </w:tc>
        <w:tc>
          <w:tcPr>
            <w:tcW w:w="4660" w:type="dxa"/>
            <w:vAlign w:val="bottom"/>
            <w:shd w:val="clear" w:color="auto" w:fill="000000"/>
          </w:tcPr>
          <w:p>
            <w:pPr>
              <w:spacing w:after="0"/>
              <w:rPr>
                <w:sz w:val="11"/>
                <w:szCs w:val="11"/>
                <w:color w:val="auto"/>
              </w:rPr>
            </w:pPr>
          </w:p>
        </w:tc>
        <w:tc>
          <w:tcPr>
            <w:tcW w:w="400" w:type="dxa"/>
            <w:vAlign w:val="bottom"/>
            <w:shd w:val="clear" w:color="auto" w:fill="000000"/>
          </w:tcPr>
          <w:p>
            <w:pPr>
              <w:spacing w:after="0"/>
              <w:rPr>
                <w:sz w:val="11"/>
                <w:szCs w:val="11"/>
                <w:color w:val="auto"/>
              </w:rPr>
            </w:pPr>
          </w:p>
        </w:tc>
        <w:tc>
          <w:tcPr>
            <w:tcW w:w="1140" w:type="dxa"/>
            <w:vAlign w:val="bottom"/>
            <w:shd w:val="clear" w:color="auto" w:fill="000000"/>
          </w:tcPr>
          <w:p>
            <w:pPr>
              <w:spacing w:after="0"/>
              <w:rPr>
                <w:sz w:val="11"/>
                <w:szCs w:val="11"/>
                <w:color w:val="auto"/>
              </w:rPr>
            </w:pPr>
          </w:p>
        </w:tc>
        <w:tc>
          <w:tcPr>
            <w:tcW w:w="1140" w:type="dxa"/>
            <w:vAlign w:val="bottom"/>
            <w:shd w:val="clear" w:color="auto" w:fill="000000"/>
          </w:tcPr>
          <w:p>
            <w:pPr>
              <w:spacing w:after="0"/>
              <w:rPr>
                <w:sz w:val="11"/>
                <w:szCs w:val="11"/>
                <w:color w:val="auto"/>
              </w:rPr>
            </w:pPr>
          </w:p>
        </w:tc>
        <w:tc>
          <w:tcPr>
            <w:tcW w:w="1040" w:type="dxa"/>
            <w:vAlign w:val="bottom"/>
            <w:shd w:val="clear" w:color="auto" w:fill="000000"/>
          </w:tcPr>
          <w:p>
            <w:pPr>
              <w:spacing w:after="0"/>
              <w:rPr>
                <w:sz w:val="11"/>
                <w:szCs w:val="11"/>
                <w:color w:val="auto"/>
              </w:rPr>
            </w:pPr>
          </w:p>
        </w:tc>
        <w:tc>
          <w:tcPr>
            <w:tcW w:w="94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60" w:type="dxa"/>
            <w:vAlign w:val="bottom"/>
            <w:shd w:val="clear" w:color="auto" w:fill="F7F7F7"/>
          </w:tcPr>
          <w:p>
            <w:pPr>
              <w:spacing w:after="0"/>
              <w:rPr>
                <w:sz w:val="24"/>
                <w:szCs w:val="24"/>
                <w:color w:val="auto"/>
              </w:rPr>
            </w:pPr>
          </w:p>
        </w:tc>
        <w:tc>
          <w:tcPr>
            <w:tcW w:w="4660" w:type="dxa"/>
            <w:vAlign w:val="bottom"/>
            <w:shd w:val="clear" w:color="auto" w:fill="F7F7F7"/>
          </w:tcPr>
          <w:p>
            <w:pPr>
              <w:ind w:left="100"/>
              <w:spacing w:after="0"/>
              <w:rPr>
                <w:sz w:val="20"/>
                <w:szCs w:val="20"/>
                <w:color w:val="auto"/>
              </w:rPr>
            </w:pPr>
            <w:r>
              <w:rPr>
                <w:rFonts w:ascii="Arial" w:cs="Arial" w:eastAsia="Arial" w:hAnsi="Arial"/>
                <w:sz w:val="14"/>
                <w:szCs w:val="14"/>
                <w:i w:val="1"/>
                <w:iCs w:val="1"/>
                <w:color w:val="auto"/>
              </w:rPr>
              <w:t xml:space="preserve">Less </w:t>
            </w:r>
            <w:r>
              <w:rPr>
                <w:rFonts w:ascii="Arial" w:cs="Arial" w:eastAsia="Arial" w:hAnsi="Arial"/>
                <w:sz w:val="14"/>
                <w:szCs w:val="14"/>
                <w:color w:val="auto"/>
              </w:rPr>
              <w:t>Aggregate Change in Actuarial Present Value of Accumulated</w:t>
            </w:r>
          </w:p>
        </w:tc>
        <w:tc>
          <w:tcPr>
            <w:tcW w:w="400" w:type="dxa"/>
            <w:vAlign w:val="bottom"/>
            <w:shd w:val="clear" w:color="auto" w:fill="F7F7F7"/>
          </w:tcPr>
          <w:p>
            <w:pPr>
              <w:spacing w:after="0"/>
              <w:rPr>
                <w:sz w:val="24"/>
                <w:szCs w:val="24"/>
                <w:color w:val="auto"/>
              </w:rPr>
            </w:pPr>
          </w:p>
        </w:tc>
        <w:tc>
          <w:tcPr>
            <w:tcW w:w="1140" w:type="dxa"/>
            <w:vAlign w:val="bottom"/>
            <w:shd w:val="clear" w:color="auto" w:fill="F7F7F7"/>
          </w:tcPr>
          <w:p>
            <w:pPr>
              <w:spacing w:after="0"/>
              <w:rPr>
                <w:sz w:val="24"/>
                <w:szCs w:val="24"/>
                <w:color w:val="auto"/>
              </w:rPr>
            </w:pPr>
          </w:p>
        </w:tc>
        <w:tc>
          <w:tcPr>
            <w:tcW w:w="1140" w:type="dxa"/>
            <w:vAlign w:val="bottom"/>
            <w:shd w:val="clear" w:color="auto" w:fill="F7F7F7"/>
          </w:tcPr>
          <w:p>
            <w:pPr>
              <w:spacing w:after="0"/>
              <w:rPr>
                <w:sz w:val="24"/>
                <w:szCs w:val="24"/>
                <w:color w:val="auto"/>
              </w:rPr>
            </w:pPr>
          </w:p>
        </w:tc>
        <w:tc>
          <w:tcPr>
            <w:tcW w:w="1040" w:type="dxa"/>
            <w:vAlign w:val="bottom"/>
            <w:shd w:val="clear" w:color="auto" w:fill="F7F7F7"/>
          </w:tcPr>
          <w:p>
            <w:pPr>
              <w:spacing w:after="0"/>
              <w:rPr>
                <w:sz w:val="24"/>
                <w:szCs w:val="24"/>
                <w:color w:val="auto"/>
              </w:rPr>
            </w:pPr>
          </w:p>
        </w:tc>
        <w:tc>
          <w:tcPr>
            <w:tcW w:w="940" w:type="dxa"/>
            <w:vAlign w:val="bottom"/>
            <w:shd w:val="clear" w:color="auto" w:fill="F7F7F7"/>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4660" w:type="dxa"/>
            <w:vAlign w:val="bottom"/>
            <w:tcBorders>
              <w:bottom w:val="single" w:sz="8" w:color="auto"/>
            </w:tcBorders>
            <w:shd w:val="clear" w:color="auto" w:fill="F7F7F7"/>
          </w:tcPr>
          <w:p>
            <w:pPr>
              <w:ind w:left="100"/>
              <w:spacing w:after="0"/>
              <w:rPr>
                <w:sz w:val="20"/>
                <w:szCs w:val="20"/>
                <w:color w:val="auto"/>
              </w:rPr>
            </w:pPr>
            <w:r>
              <w:rPr>
                <w:rFonts w:ascii="Arial" w:cs="Arial" w:eastAsia="Arial" w:hAnsi="Arial"/>
                <w:sz w:val="14"/>
                <w:szCs w:val="14"/>
                <w:color w:val="auto"/>
              </w:rPr>
              <w:t>Benefit Under Pension Plans</w:t>
            </w:r>
          </w:p>
        </w:tc>
        <w:tc>
          <w:tcPr>
            <w:tcW w:w="400" w:type="dxa"/>
            <w:vAlign w:val="bottom"/>
            <w:tcBorders>
              <w:bottom w:val="single" w:sz="8" w:color="auto"/>
            </w:tcBorders>
            <w:shd w:val="clear" w:color="auto" w:fill="F7F7F7"/>
          </w:tcPr>
          <w:p>
            <w:pPr>
              <w:ind w:left="60"/>
              <w:spacing w:after="0" w:line="29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140" w:type="dxa"/>
            <w:vAlign w:val="bottom"/>
            <w:tcBorders>
              <w:bottom w:val="single" w:sz="8" w:color="auto"/>
            </w:tcBorders>
            <w:shd w:val="clear" w:color="auto" w:fill="F7F7F7"/>
          </w:tcPr>
          <w:p>
            <w:pPr>
              <w:ind w:left="640"/>
              <w:spacing w:after="0" w:line="29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140" w:type="dxa"/>
            <w:vAlign w:val="bottom"/>
            <w:tcBorders>
              <w:bottom w:val="single" w:sz="8" w:color="auto"/>
            </w:tcBorders>
            <w:shd w:val="clear" w:color="auto" w:fill="F7F7F7"/>
          </w:tcPr>
          <w:p>
            <w:pPr>
              <w:ind w:left="720"/>
              <w:spacing w:after="0" w:line="29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40" w:type="dxa"/>
            <w:vAlign w:val="bottom"/>
            <w:tcBorders>
              <w:bottom w:val="single" w:sz="8" w:color="auto"/>
            </w:tcBorders>
            <w:shd w:val="clear" w:color="auto" w:fill="F7F7F7"/>
          </w:tcPr>
          <w:p>
            <w:pPr>
              <w:ind w:left="620"/>
              <w:spacing w:after="0" w:line="29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940" w:type="dxa"/>
            <w:vAlign w:val="bottom"/>
            <w:tcBorders>
              <w:bottom w:val="single" w:sz="8" w:color="auto"/>
            </w:tcBorders>
            <w:shd w:val="clear" w:color="auto" w:fill="F7F7F7"/>
          </w:tcPr>
          <w:p>
            <w:pPr>
              <w:jc w:val="right"/>
              <w:ind w:right="93"/>
              <w:spacing w:after="0" w:line="29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9"/>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660" w:type="dxa"/>
            <w:vAlign w:val="bottom"/>
            <w:tcBorders>
              <w:bottom w:val="single" w:sz="8" w:color="auto"/>
            </w:tcBorders>
          </w:tcPr>
          <w:p>
            <w:pPr>
              <w:ind w:left="100"/>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Aggregate Service Cost and Prior Service Cost for Pension Plans</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140" w:type="dxa"/>
            <w:vAlign w:val="bottom"/>
            <w:tcBorders>
              <w:bottom w:val="single" w:sz="8" w:color="auto"/>
            </w:tcBorders>
          </w:tcPr>
          <w:p>
            <w:pPr>
              <w:ind w:left="64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140" w:type="dxa"/>
            <w:vAlign w:val="bottom"/>
            <w:tcBorders>
              <w:bottom w:val="single" w:sz="8" w:color="auto"/>
            </w:tcBorders>
          </w:tcPr>
          <w:p>
            <w:pPr>
              <w:ind w:left="7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1040" w:type="dxa"/>
            <w:vAlign w:val="bottom"/>
            <w:tcBorders>
              <w:bottom w:val="single" w:sz="8" w:color="auto"/>
            </w:tcBorders>
          </w:tcPr>
          <w:p>
            <w:pPr>
              <w:ind w:left="62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4660" w:type="dxa"/>
            <w:vAlign w:val="bottom"/>
            <w:shd w:val="clear" w:color="auto" w:fill="F7F7F7"/>
          </w:tcPr>
          <w:p>
            <w:pPr>
              <w:ind w:left="100"/>
              <w:spacing w:after="0"/>
              <w:rPr>
                <w:sz w:val="20"/>
                <w:szCs w:val="20"/>
                <w:color w:val="auto"/>
              </w:rPr>
            </w:pPr>
            <w:r>
              <w:rPr>
                <w:rFonts w:ascii="Arial" w:cs="Arial" w:eastAsia="Arial" w:hAnsi="Arial"/>
                <w:sz w:val="14"/>
                <w:szCs w:val="14"/>
                <w:b w:val="1"/>
                <w:bCs w:val="1"/>
                <w:color w:val="auto"/>
              </w:rPr>
              <w:t>Compensation Actually Paid</w:t>
            </w:r>
          </w:p>
        </w:tc>
        <w:tc>
          <w:tcPr>
            <w:tcW w:w="4660" w:type="dxa"/>
            <w:vAlign w:val="bottom"/>
            <w:gridSpan w:val="5"/>
            <w:shd w:val="clear" w:color="auto" w:fill="F7F7F7"/>
          </w:tcPr>
          <w:p>
            <w:pPr>
              <w:jc w:val="right"/>
              <w:ind w:right="133"/>
              <w:spacing w:after="0"/>
              <w:rPr>
                <w:sz w:val="20"/>
                <w:szCs w:val="20"/>
                <w:color w:val="auto"/>
              </w:rPr>
            </w:pPr>
            <w:r>
              <w:rPr>
                <w:rFonts w:ascii="Arial" w:cs="Arial" w:eastAsia="Arial" w:hAnsi="Arial"/>
                <w:sz w:val="14"/>
                <w:szCs w:val="14"/>
                <w:color w:val="auto"/>
              </w:rPr>
              <w:t>​(643,851,664)   ​ 1,148,791,229   ​(29,632,802)   ​ 55,097,849</w:t>
            </w:r>
          </w:p>
        </w:tc>
        <w:tc>
          <w:tcPr>
            <w:tcW w:w="0" w:type="dxa"/>
            <w:vAlign w:val="bottom"/>
          </w:tcPr>
          <w:p>
            <w:pPr>
              <w:spacing w:after="0"/>
              <w:rPr>
                <w:sz w:val="1"/>
                <w:szCs w:val="1"/>
                <w:color w:val="auto"/>
              </w:rPr>
            </w:pPr>
          </w:p>
        </w:tc>
      </w:tr>
      <w:tr>
        <w:trPr>
          <w:trHeight w:val="148"/>
        </w:trPr>
        <w:tc>
          <w:tcPr>
            <w:tcW w:w="60" w:type="dxa"/>
            <w:vAlign w:val="bottom"/>
            <w:tcBorders>
              <w:bottom w:val="single" w:sz="8" w:color="auto"/>
            </w:tcBorders>
            <w:vMerge w:val="continue"/>
            <w:shd w:val="clear" w:color="auto" w:fill="F7F7F7"/>
          </w:tcPr>
          <w:p>
            <w:pPr>
              <w:spacing w:after="0"/>
              <w:rPr>
                <w:sz w:val="12"/>
                <w:szCs w:val="12"/>
                <w:color w:val="auto"/>
              </w:rPr>
            </w:pPr>
          </w:p>
        </w:tc>
        <w:tc>
          <w:tcPr>
            <w:tcW w:w="4660" w:type="dxa"/>
            <w:vAlign w:val="bottom"/>
            <w:tcBorders>
              <w:bottom w:val="single" w:sz="8" w:color="auto"/>
            </w:tcBorders>
            <w:shd w:val="clear" w:color="auto" w:fill="F7F7F7"/>
          </w:tcPr>
          <w:p>
            <w:pPr>
              <w:spacing w:after="0"/>
              <w:rPr>
                <w:sz w:val="12"/>
                <w:szCs w:val="12"/>
                <w:color w:val="auto"/>
              </w:rPr>
            </w:pPr>
          </w:p>
        </w:tc>
        <w:tc>
          <w:tcPr>
            <w:tcW w:w="400" w:type="dxa"/>
            <w:vAlign w:val="bottom"/>
            <w:tcBorders>
              <w:bottom w:val="single" w:sz="8" w:color="auto"/>
            </w:tcBorders>
            <w:shd w:val="clear" w:color="auto" w:fill="F7F7F7"/>
          </w:tcPr>
          <w:p>
            <w:pPr>
              <w:ind w:left="60"/>
              <w:spacing w:after="0" w:line="149" w:lineRule="exact"/>
              <w:rPr>
                <w:sz w:val="20"/>
                <w:szCs w:val="20"/>
                <w:color w:val="auto"/>
              </w:rPr>
            </w:pPr>
            <w:r>
              <w:rPr>
                <w:rFonts w:ascii="Arial" w:cs="Arial" w:eastAsia="Arial" w:hAnsi="Arial"/>
                <w:sz w:val="14"/>
                <w:szCs w:val="14"/>
                <w:color w:val="auto"/>
              </w:rPr>
              <w:t>​ ​ ​</w:t>
            </w:r>
          </w:p>
        </w:tc>
        <w:tc>
          <w:tcPr>
            <w:tcW w:w="1140" w:type="dxa"/>
            <w:vAlign w:val="bottom"/>
            <w:tcBorders>
              <w:bottom w:val="single" w:sz="8" w:color="auto"/>
            </w:tcBorders>
            <w:shd w:val="clear" w:color="auto" w:fill="F7F7F7"/>
          </w:tcPr>
          <w:p>
            <w:pPr>
              <w:jc w:val="center"/>
              <w:ind w:left="613"/>
              <w:spacing w:after="0" w:line="149" w:lineRule="exact"/>
              <w:rPr>
                <w:sz w:val="20"/>
                <w:szCs w:val="20"/>
                <w:color w:val="auto"/>
              </w:rPr>
            </w:pPr>
            <w:r>
              <w:rPr>
                <w:rFonts w:ascii="Arial" w:cs="Arial" w:eastAsia="Arial" w:hAnsi="Arial"/>
                <w:sz w:val="14"/>
                <w:szCs w:val="14"/>
                <w:color w:val="auto"/>
              </w:rPr>
              <w:t>​ ​ ​</w:t>
            </w:r>
          </w:p>
        </w:tc>
        <w:tc>
          <w:tcPr>
            <w:tcW w:w="1140" w:type="dxa"/>
            <w:vAlign w:val="bottom"/>
            <w:tcBorders>
              <w:bottom w:val="single" w:sz="8" w:color="auto"/>
            </w:tcBorders>
            <w:shd w:val="clear" w:color="auto" w:fill="F7F7F7"/>
          </w:tcPr>
          <w:p>
            <w:pPr>
              <w:jc w:val="center"/>
              <w:ind w:left="773"/>
              <w:spacing w:after="0" w:line="149" w:lineRule="exact"/>
              <w:rPr>
                <w:sz w:val="20"/>
                <w:szCs w:val="20"/>
                <w:color w:val="auto"/>
              </w:rPr>
            </w:pPr>
            <w:r>
              <w:rPr>
                <w:rFonts w:ascii="Arial" w:cs="Arial" w:eastAsia="Arial" w:hAnsi="Arial"/>
                <w:sz w:val="14"/>
                <w:szCs w:val="14"/>
                <w:color w:val="auto"/>
              </w:rPr>
              <w:t>​ ​ ​</w:t>
            </w:r>
          </w:p>
        </w:tc>
        <w:tc>
          <w:tcPr>
            <w:tcW w:w="1040" w:type="dxa"/>
            <w:vAlign w:val="bottom"/>
            <w:tcBorders>
              <w:bottom w:val="single" w:sz="8" w:color="auto"/>
            </w:tcBorders>
            <w:shd w:val="clear" w:color="auto" w:fill="F7F7F7"/>
          </w:tcPr>
          <w:p>
            <w:pPr>
              <w:jc w:val="center"/>
              <w:ind w:left="673"/>
              <w:spacing w:after="0" w:line="149" w:lineRule="exact"/>
              <w:rPr>
                <w:sz w:val="20"/>
                <w:szCs w:val="20"/>
                <w:color w:val="auto"/>
              </w:rPr>
            </w:pPr>
            <w:r>
              <w:rPr>
                <w:rFonts w:ascii="Arial" w:cs="Arial" w:eastAsia="Arial" w:hAnsi="Arial"/>
                <w:sz w:val="14"/>
                <w:szCs w:val="14"/>
                <w:color w:val="auto"/>
              </w:rPr>
              <w:t>​ ​ ​</w:t>
            </w:r>
          </w:p>
        </w:tc>
        <w:tc>
          <w:tcPr>
            <w:tcW w:w="940" w:type="dxa"/>
            <w:vAlign w:val="bottom"/>
            <w:tcBorders>
              <w:bottom w:val="single" w:sz="8" w:color="auto"/>
            </w:tcBorders>
            <w:shd w:val="clear" w:color="auto" w:fill="F7F7F7"/>
          </w:tcPr>
          <w:p>
            <w:pPr>
              <w:jc w:val="right"/>
              <w:ind w:right="93"/>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right="120"/>
        <w:spacing w:after="0" w:line="321" w:lineRule="auto"/>
        <w:rPr>
          <w:sz w:val="20"/>
          <w:szCs w:val="20"/>
          <w:color w:val="auto"/>
        </w:rPr>
      </w:pPr>
      <w:r>
        <w:rPr>
          <w:rFonts w:ascii="Arial" w:cs="Arial" w:eastAsia="Arial" w:hAnsi="Arial"/>
          <w:sz w:val="16"/>
          <w:szCs w:val="16"/>
          <w:color w:val="auto"/>
        </w:rPr>
        <w:t>Fair values set forth in the table above are computed in accordance with ASC 718 as of the end of the respective fiscal year, other than fair values of awards that vest in the covered year, which are valued as of the applicable vesting date.</w:t>
      </w:r>
    </w:p>
    <w:p>
      <w:pPr>
        <w:spacing w:after="0" w:line="278" w:lineRule="exact"/>
        <w:rPr>
          <w:sz w:val="20"/>
          <w:szCs w:val="20"/>
          <w:color w:val="auto"/>
        </w:rPr>
      </w:pPr>
    </w:p>
    <w:p>
      <w:pPr>
        <w:ind w:left="780" w:right="40" w:hanging="126"/>
        <w:spacing w:after="0" w:line="229" w:lineRule="auto"/>
        <w:tabs>
          <w:tab w:leader="none" w:pos="780" w:val="left"/>
        </w:tabs>
        <w:numPr>
          <w:ilvl w:val="0"/>
          <w:numId w:val="51"/>
        </w:numPr>
        <w:rPr>
          <w:rFonts w:ascii="Arial" w:cs="Arial" w:eastAsia="Arial" w:hAnsi="Arial"/>
          <w:sz w:val="15"/>
          <w:szCs w:val="15"/>
          <w:color w:val="auto"/>
          <w:vertAlign w:val="superscript"/>
        </w:rPr>
      </w:pPr>
      <w:r>
        <w:rPr>
          <w:rFonts w:ascii="Arial" w:cs="Arial" w:eastAsia="Arial" w:hAnsi="Arial"/>
          <w:sz w:val="10"/>
          <w:szCs w:val="10"/>
          <w:color w:val="auto"/>
        </w:rPr>
        <w:t>TSR is cumulative for the measurement periods beginning on July 23, 2021 (the date of the Merger) and ending on December 31 of each of 2022 and 2021, respectively, calculated in accordance with Item 201(e) of Regulation S-K. The peer group for purposes of this table is the same as for the Comparative Total Return Analysis in the Company’s Annual Report on Form 10-K for the fiscal year ended December 31, 2022.</w:t>
      </w:r>
    </w:p>
    <w:p>
      <w:pPr>
        <w:spacing w:after="0" w:line="88" w:lineRule="exact"/>
        <w:rPr>
          <w:rFonts w:ascii="Arial" w:cs="Arial" w:eastAsia="Arial" w:hAnsi="Arial"/>
          <w:sz w:val="15"/>
          <w:szCs w:val="15"/>
          <w:color w:val="auto"/>
          <w:vertAlign w:val="superscript"/>
        </w:rPr>
      </w:pPr>
    </w:p>
    <w:p>
      <w:pPr>
        <w:ind w:left="780" w:right="240" w:hanging="126"/>
        <w:spacing w:after="0" w:line="219" w:lineRule="auto"/>
        <w:tabs>
          <w:tab w:leader="none" w:pos="780" w:val="left"/>
        </w:tabs>
        <w:numPr>
          <w:ilvl w:val="0"/>
          <w:numId w:val="51"/>
        </w:numPr>
        <w:rPr>
          <w:rFonts w:ascii="Arial" w:cs="Arial" w:eastAsia="Arial" w:hAnsi="Arial"/>
          <w:sz w:val="15"/>
          <w:szCs w:val="15"/>
          <w:color w:val="auto"/>
          <w:vertAlign w:val="superscript"/>
        </w:rPr>
      </w:pPr>
      <w:r>
        <w:rPr>
          <w:rFonts w:ascii="Arial" w:cs="Arial" w:eastAsia="Arial" w:hAnsi="Arial"/>
          <w:sz w:val="10"/>
          <w:szCs w:val="10"/>
          <w:color w:val="auto"/>
        </w:rPr>
        <w:t>Amounts reflect “Net Loss” in the Company’s Consolidated Statements of Operations and Comprehensive Loss included in the Company’s Annual Reports on Form 10-K for each of the fiscal years ended December 31, 2022 and 2021. For 2021, the amount accounts for applicable pre-Merger financial information of our predecessor company, Atieva.</w:t>
      </w:r>
    </w:p>
    <w:p>
      <w:pPr>
        <w:spacing w:after="0" w:line="88" w:lineRule="exact"/>
        <w:rPr>
          <w:rFonts w:ascii="Arial" w:cs="Arial" w:eastAsia="Arial" w:hAnsi="Arial"/>
          <w:sz w:val="15"/>
          <w:szCs w:val="15"/>
          <w:color w:val="auto"/>
          <w:vertAlign w:val="superscript"/>
        </w:rPr>
      </w:pPr>
    </w:p>
    <w:p>
      <w:pPr>
        <w:ind w:left="780" w:right="360" w:hanging="126"/>
        <w:spacing w:after="0" w:line="219" w:lineRule="auto"/>
        <w:tabs>
          <w:tab w:leader="none" w:pos="780" w:val="left"/>
        </w:tabs>
        <w:numPr>
          <w:ilvl w:val="0"/>
          <w:numId w:val="51"/>
        </w:numPr>
        <w:rPr>
          <w:rFonts w:ascii="Arial" w:cs="Arial" w:eastAsia="Arial" w:hAnsi="Arial"/>
          <w:sz w:val="15"/>
          <w:szCs w:val="15"/>
          <w:color w:val="auto"/>
          <w:vertAlign w:val="superscript"/>
        </w:rPr>
      </w:pPr>
      <w:r>
        <w:rPr>
          <w:rFonts w:ascii="Arial" w:cs="Arial" w:eastAsia="Arial" w:hAnsi="Arial"/>
          <w:sz w:val="10"/>
          <w:szCs w:val="10"/>
          <w:color w:val="auto"/>
        </w:rPr>
        <w:t>The following table sets forth an unranked list of the performance measures which we view as the “most important” measures for linking our NEOs’ compensation actually paid, for the most recently completed fiscal year, to performance.</w:t>
      </w:r>
    </w:p>
    <w:p>
      <w:pPr>
        <w:spacing w:after="0" w:line="217" w:lineRule="exact"/>
        <w:rPr>
          <w:sz w:val="20"/>
          <w:szCs w:val="20"/>
          <w:color w:val="auto"/>
        </w:rPr>
      </w:pPr>
    </w:p>
    <w:tbl>
      <w:tblPr>
        <w:tblLayout w:type="fixed"/>
        <w:tblInd w:w="3080" w:type="dxa"/>
        <w:tblCellMar>
          <w:top w:w="0" w:type="dxa"/>
          <w:left w:w="0" w:type="dxa"/>
          <w:bottom w:w="0" w:type="dxa"/>
          <w:right w:w="0" w:type="dxa"/>
        </w:tblCellMar>
      </w:tblPr>
      <w:tr>
        <w:trPr>
          <w:trHeight w:val="191"/>
        </w:trPr>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284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Performance Measures</w:t>
            </w:r>
          </w:p>
        </w:tc>
        <w:tc>
          <w:tcPr>
            <w:tcW w:w="1600" w:type="dxa"/>
            <w:vAlign w:val="bottom"/>
            <w:shd w:val="clear" w:color="auto" w:fill="000000"/>
          </w:tcPr>
          <w:p>
            <w:pPr>
              <w:ind w:left="138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17"/>
        </w:trPr>
        <w:tc>
          <w:tcPr>
            <w:tcW w:w="100" w:type="dxa"/>
            <w:vAlign w:val="bottom"/>
            <w:shd w:val="clear" w:color="auto" w:fill="000000"/>
          </w:tcPr>
          <w:p>
            <w:pPr>
              <w:spacing w:after="0"/>
              <w:rPr>
                <w:sz w:val="10"/>
                <w:szCs w:val="10"/>
                <w:color w:val="auto"/>
              </w:rPr>
            </w:pPr>
          </w:p>
        </w:tc>
        <w:tc>
          <w:tcPr>
            <w:tcW w:w="2840" w:type="dxa"/>
            <w:vAlign w:val="bottom"/>
            <w:vMerge w:val="continue"/>
            <w:shd w:val="clear" w:color="auto" w:fill="000000"/>
          </w:tcPr>
          <w:p>
            <w:pPr>
              <w:spacing w:after="0"/>
              <w:rPr>
                <w:sz w:val="10"/>
                <w:szCs w:val="10"/>
                <w:color w:val="auto"/>
              </w:rPr>
            </w:pPr>
          </w:p>
        </w:tc>
        <w:tc>
          <w:tcPr>
            <w:tcW w:w="16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000000"/>
          </w:tcPr>
          <w:p>
            <w:pPr>
              <w:spacing w:after="0"/>
              <w:rPr>
                <w:sz w:val="5"/>
                <w:szCs w:val="5"/>
                <w:color w:val="auto"/>
              </w:rPr>
            </w:pPr>
          </w:p>
        </w:tc>
        <w:tc>
          <w:tcPr>
            <w:tcW w:w="284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00" w:type="dxa"/>
            <w:vAlign w:val="bottom"/>
          </w:tcPr>
          <w:p>
            <w:pPr>
              <w:spacing w:after="0"/>
              <w:rPr>
                <w:sz w:val="20"/>
                <w:szCs w:val="20"/>
                <w:color w:val="auto"/>
              </w:rPr>
            </w:pPr>
            <w:r>
              <w:rPr>
                <w:rFonts w:ascii="Arial" w:cs="Arial" w:eastAsia="Arial" w:hAnsi="Arial"/>
                <w:sz w:val="14"/>
                <w:szCs w:val="14"/>
                <w:color w:val="auto"/>
              </w:rPr>
              <w:t>​</w:t>
            </w:r>
          </w:p>
        </w:tc>
        <w:tc>
          <w:tcPr>
            <w:tcW w:w="2840" w:type="dxa"/>
            <w:vAlign w:val="bottom"/>
          </w:tcPr>
          <w:p>
            <w:pPr>
              <w:ind w:left="60"/>
              <w:spacing w:after="0"/>
              <w:rPr>
                <w:sz w:val="20"/>
                <w:szCs w:val="20"/>
                <w:color w:val="auto"/>
              </w:rPr>
            </w:pPr>
            <w:r>
              <w:rPr>
                <w:rFonts w:ascii="Arial" w:cs="Arial" w:eastAsia="Arial" w:hAnsi="Arial"/>
                <w:sz w:val="14"/>
                <w:szCs w:val="14"/>
                <w:color w:val="auto"/>
              </w:rPr>
              <w:t>Revenue</w:t>
            </w:r>
          </w:p>
        </w:tc>
        <w:tc>
          <w:tcPr>
            <w:tcW w:w="1600" w:type="dxa"/>
            <w:vAlign w:val="bottom"/>
          </w:tcPr>
          <w:p>
            <w:pPr>
              <w:ind w:lef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0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0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w:t>
            </w:r>
          </w:p>
        </w:tc>
        <w:tc>
          <w:tcPr>
            <w:tcW w:w="2840" w:type="dxa"/>
            <w:vAlign w:val="bottom"/>
            <w:tcBorders>
              <w:bottom w:val="single" w:sz="8" w:color="F7F7F7"/>
            </w:tcBorders>
            <w:shd w:val="clear" w:color="auto" w:fill="F7F7F7"/>
          </w:tcPr>
          <w:p>
            <w:pPr>
              <w:ind w:left="60"/>
              <w:spacing w:after="0"/>
              <w:rPr>
                <w:sz w:val="20"/>
                <w:szCs w:val="20"/>
                <w:color w:val="auto"/>
              </w:rPr>
            </w:pPr>
            <w:r>
              <w:rPr>
                <w:rFonts w:ascii="Arial" w:cs="Arial" w:eastAsia="Arial" w:hAnsi="Arial"/>
                <w:sz w:val="14"/>
                <w:szCs w:val="14"/>
                <w:color w:val="auto"/>
              </w:rPr>
              <w:t>Stock Price</w:t>
            </w:r>
          </w:p>
        </w:tc>
        <w:tc>
          <w:tcPr>
            <w:tcW w:w="1600" w:type="dxa"/>
            <w:vAlign w:val="bottom"/>
            <w:tcBorders>
              <w:bottom w:val="single" w:sz="8" w:color="F7F7F7"/>
            </w:tcBorders>
            <w:shd w:val="clear" w:color="auto" w:fill="F7F7F7"/>
          </w:tcPr>
          <w:p>
            <w:pPr>
              <w:ind w:lef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284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Cash Management</w:t>
            </w:r>
          </w:p>
        </w:tc>
        <w:tc>
          <w:tcPr>
            <w:tcW w:w="1600" w:type="dxa"/>
            <w:vAlign w:val="bottom"/>
            <w:tcBorders>
              <w:top w:val="single" w:sz="8" w:color="auto"/>
            </w:tcBorders>
          </w:tcPr>
          <w:p>
            <w:pPr>
              <w:ind w:lef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9"/>
        </w:trPr>
        <w:tc>
          <w:tcPr>
            <w:tcW w:w="10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00" w:type="dxa"/>
            <w:vAlign w:val="bottom"/>
            <w:tcBorders>
              <w:bottom w:val="single" w:sz="8" w:color="F7F7F7"/>
            </w:tcBorders>
            <w:shd w:val="clear" w:color="auto" w:fill="F7F7F7"/>
          </w:tcPr>
          <w:p>
            <w:pPr>
              <w:spacing w:after="0"/>
              <w:rPr>
                <w:sz w:val="20"/>
                <w:szCs w:val="20"/>
                <w:color w:val="auto"/>
              </w:rPr>
            </w:pPr>
            <w:r>
              <w:rPr>
                <w:rFonts w:ascii="Arial" w:cs="Arial" w:eastAsia="Arial" w:hAnsi="Arial"/>
                <w:sz w:val="14"/>
                <w:szCs w:val="14"/>
                <w:color w:val="auto"/>
              </w:rPr>
              <w:t>​</w:t>
            </w:r>
          </w:p>
        </w:tc>
        <w:tc>
          <w:tcPr>
            <w:tcW w:w="2840" w:type="dxa"/>
            <w:vAlign w:val="bottom"/>
            <w:tcBorders>
              <w:bottom w:val="single" w:sz="8" w:color="F7F7F7"/>
            </w:tcBorders>
            <w:shd w:val="clear" w:color="auto" w:fill="F7F7F7"/>
          </w:tcPr>
          <w:p>
            <w:pPr>
              <w:ind w:left="60"/>
              <w:spacing w:after="0"/>
              <w:rPr>
                <w:sz w:val="20"/>
                <w:szCs w:val="20"/>
                <w:color w:val="auto"/>
              </w:rPr>
            </w:pPr>
            <w:r>
              <w:rPr>
                <w:rFonts w:ascii="Arial" w:cs="Arial" w:eastAsia="Arial" w:hAnsi="Arial"/>
                <w:sz w:val="14"/>
                <w:szCs w:val="14"/>
                <w:color w:val="auto"/>
              </w:rPr>
              <w:t>Field Quality</w:t>
            </w:r>
          </w:p>
        </w:tc>
        <w:tc>
          <w:tcPr>
            <w:tcW w:w="1600" w:type="dxa"/>
            <w:vAlign w:val="bottom"/>
            <w:tcBorders>
              <w:bottom w:val="single" w:sz="8" w:color="F7F7F7"/>
            </w:tcBorders>
            <w:shd w:val="clear" w:color="auto" w:fill="F7F7F7"/>
          </w:tcPr>
          <w:p>
            <w:pPr>
              <w:ind w:left="1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right="560"/>
        <w:spacing w:after="0" w:line="301" w:lineRule="auto"/>
        <w:rPr>
          <w:sz w:val="20"/>
          <w:szCs w:val="20"/>
          <w:color w:val="auto"/>
        </w:rPr>
      </w:pPr>
      <w:r>
        <w:rPr>
          <w:rFonts w:ascii="Arial" w:cs="Arial" w:eastAsia="Arial" w:hAnsi="Arial"/>
          <w:sz w:val="16"/>
          <w:szCs w:val="16"/>
          <w:color w:val="auto"/>
        </w:rPr>
        <w:t>The following are graphical descriptions of the relationships between compensation actually paid to our NEOs versus our cumulative TSR, Net Income, and Revenue, and between our cumulative TSR and our peer group's cumulative TSR, for the periods covered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109220</wp:posOffset>
            </wp:positionV>
            <wp:extent cx="5092065" cy="127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092065" cy="127698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1661160</wp:posOffset>
            </wp:positionV>
            <wp:extent cx="5092065" cy="127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92065" cy="127698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​66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right="1120"/>
        <w:spacing w:after="0" w:line="264" w:lineRule="auto"/>
        <w:rPr>
          <w:sz w:val="20"/>
          <w:szCs w:val="20"/>
          <w:color w:val="auto"/>
        </w:rPr>
      </w:pPr>
      <w:r>
        <w:rPr>
          <w:rFonts w:ascii="Times New Roman" w:cs="Times New Roman" w:eastAsia="Times New Roman" w:hAnsi="Times New Roman"/>
          <w:sz w:val="36"/>
          <w:szCs w:val="36"/>
          <w:b w:val="1"/>
          <w:bCs w:val="1"/>
          <w:color w:val="auto"/>
        </w:rPr>
        <w:t>Security Ownership of Certain Beneficial Owners and Management</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known to us regarding the beneficial ownership of our Common Stock as of</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February 15, 2023 by:</w:t>
      </w:r>
    </w:p>
    <w:p>
      <w:pPr>
        <w:spacing w:after="0" w:line="167" w:lineRule="exact"/>
        <w:rPr>
          <w:sz w:val="20"/>
          <w:szCs w:val="20"/>
          <w:color w:val="auto"/>
        </w:rPr>
      </w:pPr>
    </w:p>
    <w:p>
      <w:pPr>
        <w:ind w:left="820" w:hanging="166"/>
        <w:spacing w:after="0"/>
        <w:tabs>
          <w:tab w:leader="none" w:pos="820" w:val="left"/>
        </w:tabs>
        <w:numPr>
          <w:ilvl w:val="0"/>
          <w:numId w:val="52"/>
        </w:numPr>
        <w:rPr>
          <w:rFonts w:ascii="Arial" w:cs="Arial" w:eastAsia="Arial" w:hAnsi="Arial"/>
          <w:sz w:val="16"/>
          <w:szCs w:val="16"/>
          <w:color w:val="8A6B24"/>
        </w:rPr>
      </w:pPr>
      <w:r>
        <w:rPr>
          <w:rFonts w:ascii="Arial" w:cs="Arial" w:eastAsia="Arial" w:hAnsi="Arial"/>
          <w:sz w:val="16"/>
          <w:szCs w:val="16"/>
          <w:color w:val="auto"/>
        </w:rPr>
        <w:t>each person whom we know to own beneficially more than 5% of our Common Stock;</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52"/>
        </w:numPr>
        <w:rPr>
          <w:rFonts w:ascii="Arial" w:cs="Arial" w:eastAsia="Arial" w:hAnsi="Arial"/>
          <w:sz w:val="16"/>
          <w:szCs w:val="16"/>
          <w:color w:val="8A6B24"/>
        </w:rPr>
      </w:pPr>
      <w:r>
        <w:rPr>
          <w:rFonts w:ascii="Arial" w:cs="Arial" w:eastAsia="Arial" w:hAnsi="Arial"/>
          <w:sz w:val="16"/>
          <w:szCs w:val="16"/>
          <w:color w:val="auto"/>
        </w:rPr>
        <w:t>each of our current named executive officers and directors individually; and</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52"/>
        </w:numPr>
        <w:rPr>
          <w:rFonts w:ascii="Arial" w:cs="Arial" w:eastAsia="Arial" w:hAnsi="Arial"/>
          <w:sz w:val="16"/>
          <w:szCs w:val="16"/>
          <w:color w:val="8A6B24"/>
        </w:rPr>
      </w:pPr>
      <w:r>
        <w:rPr>
          <w:rFonts w:ascii="Arial" w:cs="Arial" w:eastAsia="Arial" w:hAnsi="Arial"/>
          <w:sz w:val="16"/>
          <w:szCs w:val="16"/>
          <w:color w:val="auto"/>
        </w:rPr>
        <w:t>all of our current executive officers and directors as a group.</w:t>
      </w:r>
    </w:p>
    <w:p>
      <w:pPr>
        <w:spacing w:after="0" w:line="248" w:lineRule="exact"/>
        <w:rPr>
          <w:sz w:val="20"/>
          <w:szCs w:val="20"/>
          <w:color w:val="auto"/>
        </w:rPr>
      </w:pPr>
    </w:p>
    <w:p>
      <w:pPr>
        <w:ind w:left="660" w:right="120"/>
        <w:spacing w:after="0" w:line="287"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of February 15, 2023. Shares issuable pursuant to such options and warrants are deemed outstanding for computing the beneficial ownership of the person holding such options but are not outstanding for computing the beneficial ownership of any other person. Except as described in the footnotes below and subject to applicable community property laws and similar laws, we believe that each person listed below has sole voting and investment power with respect to such shares. The beneficial ownership of our Common Stock in the “Shares Beneficially Owned” column in the table is based on 1,830,421,454 shares of our Common Stock issued and outstanding as of February 15, 2023.</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6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spacing w:after="0"/>
              <w:rPr>
                <w:sz w:val="15"/>
                <w:szCs w:val="15"/>
                <w:color w:val="auto"/>
              </w:rPr>
            </w:pPr>
          </w:p>
        </w:tc>
        <w:tc>
          <w:tcPr>
            <w:tcW w:w="69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000000"/>
          </w:tcPr>
          <w:p>
            <w:pPr>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000000"/>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1620" w:type="dxa"/>
            <w:vAlign w:val="bottom"/>
            <w:gridSpan w:val="4"/>
            <w:vMerge w:val="restart"/>
            <w:shd w:val="clear" w:color="auto" w:fill="000000"/>
          </w:tcPr>
          <w:p>
            <w:pPr>
              <w:jc w:val="right"/>
              <w:ind w:right="208"/>
              <w:spacing w:after="0"/>
              <w:rPr>
                <w:sz w:val="20"/>
                <w:szCs w:val="20"/>
                <w:color w:val="auto"/>
              </w:rPr>
            </w:pPr>
            <w:r>
              <w:rPr>
                <w:rFonts w:ascii="Arial" w:cs="Arial" w:eastAsia="Arial" w:hAnsi="Arial"/>
                <w:sz w:val="13"/>
                <w:szCs w:val="13"/>
                <w:b w:val="1"/>
                <w:bCs w:val="1"/>
                <w:color w:val="FEFEFE"/>
              </w:rPr>
              <w:t>Shares Beneficially</w:t>
            </w:r>
          </w:p>
        </w:tc>
        <w:tc>
          <w:tcPr>
            <w:tcW w:w="120" w:type="dxa"/>
            <w:vAlign w:val="bottom"/>
            <w:shd w:val="clear" w:color="auto" w:fill="000000"/>
          </w:tcPr>
          <w:p>
            <w:pPr>
              <w:spacing w:after="0"/>
              <w:rPr>
                <w:sz w:val="15"/>
                <w:szCs w:val="15"/>
                <w:color w:val="auto"/>
              </w:rPr>
            </w:pPr>
          </w:p>
        </w:tc>
        <w:tc>
          <w:tcPr>
            <w:tcW w:w="200" w:type="dxa"/>
            <w:vAlign w:val="bottom"/>
            <w:shd w:val="clear" w:color="auto" w:fill="000000"/>
          </w:tcPr>
          <w:p>
            <w:pPr>
              <w:jc w:val="right"/>
              <w:ind w:right="146"/>
              <w:spacing w:after="0"/>
              <w:rPr>
                <w:sz w:val="20"/>
                <w:szCs w:val="20"/>
                <w:color w:val="auto"/>
              </w:rPr>
            </w:pPr>
            <w:r>
              <w:rPr>
                <w:rFonts w:ascii="Arial" w:cs="Arial" w:eastAsia="Arial" w:hAnsi="Arial"/>
                <w:sz w:val="1"/>
                <w:szCs w:val="1"/>
                <w:b w:val="1"/>
                <w:bCs w:val="1"/>
                <w:color w:val="FEFEFE"/>
                <w:w w:val="4294942296"/>
              </w:rPr>
              <w:t>​</w:t>
            </w:r>
          </w:p>
        </w:tc>
        <w:tc>
          <w:tcPr>
            <w:tcW w:w="0" w:type="dxa"/>
            <w:vAlign w:val="bottom"/>
          </w:tcPr>
          <w:p>
            <w:pPr>
              <w:spacing w:after="0"/>
              <w:rPr>
                <w:sz w:val="1"/>
                <w:szCs w:val="1"/>
                <w:color w:val="auto"/>
              </w:rPr>
            </w:pPr>
          </w:p>
        </w:tc>
      </w:tr>
      <w:tr>
        <w:trPr>
          <w:trHeight w:val="94"/>
        </w:trPr>
        <w:tc>
          <w:tcPr>
            <w:tcW w:w="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690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1620" w:type="dxa"/>
            <w:vAlign w:val="bottom"/>
            <w:gridSpan w:val="4"/>
            <w:vMerge w:val="continue"/>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20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6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690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6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1020" w:type="dxa"/>
            <w:vAlign w:val="bottom"/>
            <w:gridSpan w:val="2"/>
            <w:shd w:val="clear" w:color="auto" w:fill="000000"/>
          </w:tcPr>
          <w:p>
            <w:pPr>
              <w:jc w:val="right"/>
              <w:spacing w:after="0"/>
              <w:rPr>
                <w:sz w:val="20"/>
                <w:szCs w:val="20"/>
                <w:color w:val="auto"/>
              </w:rPr>
            </w:pPr>
            <w:r>
              <w:rPr>
                <w:rFonts w:ascii="Arial" w:cs="Arial" w:eastAsia="Arial" w:hAnsi="Arial"/>
                <w:sz w:val="13"/>
                <w:szCs w:val="13"/>
                <w:b w:val="1"/>
                <w:bCs w:val="1"/>
                <w:color w:val="FEFEFE"/>
              </w:rPr>
              <w:t>Owned</w:t>
            </w:r>
          </w:p>
        </w:tc>
        <w:tc>
          <w:tcPr>
            <w:tcW w:w="260" w:type="dxa"/>
            <w:vAlign w:val="bottom"/>
            <w:shd w:val="clear" w:color="auto" w:fill="000000"/>
          </w:tcPr>
          <w:p>
            <w:pPr>
              <w:spacing w:after="0"/>
              <w:rPr>
                <w:sz w:val="14"/>
                <w:szCs w:val="14"/>
                <w:color w:val="auto"/>
              </w:rPr>
            </w:pPr>
          </w:p>
        </w:tc>
        <w:tc>
          <w:tcPr>
            <w:tcW w:w="340" w:type="dxa"/>
            <w:vAlign w:val="bottom"/>
            <w:shd w:val="clear" w:color="auto" w:fill="000000"/>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60" w:type="dxa"/>
            <w:vAlign w:val="bottom"/>
            <w:shd w:val="clear" w:color="auto" w:fill="000000"/>
          </w:tcPr>
          <w:p>
            <w:pPr>
              <w:spacing w:after="0"/>
              <w:rPr>
                <w:sz w:val="8"/>
                <w:szCs w:val="8"/>
                <w:color w:val="auto"/>
              </w:rPr>
            </w:pPr>
          </w:p>
        </w:tc>
        <w:tc>
          <w:tcPr>
            <w:tcW w:w="10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6900" w:type="dxa"/>
            <w:vAlign w:val="bottom"/>
            <w:shd w:val="clear" w:color="auto" w:fill="000000"/>
          </w:tcPr>
          <w:p>
            <w:pPr>
              <w:spacing w:after="0"/>
              <w:rPr>
                <w:sz w:val="8"/>
                <w:szCs w:val="8"/>
                <w:color w:val="auto"/>
              </w:rPr>
            </w:pPr>
          </w:p>
        </w:tc>
        <w:tc>
          <w:tcPr>
            <w:tcW w:w="100" w:type="dxa"/>
            <w:vAlign w:val="bottom"/>
            <w:vMerge w:val="restart"/>
            <w:shd w:val="clear" w:color="auto" w:fill="000000"/>
          </w:tcPr>
          <w:p>
            <w:pPr>
              <w:ind w:left="60"/>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000000"/>
          </w:tcPr>
          <w:p>
            <w:pPr>
              <w:spacing w:after="0"/>
              <w:rPr>
                <w:sz w:val="8"/>
                <w:szCs w:val="8"/>
                <w:color w:val="auto"/>
              </w:rPr>
            </w:pPr>
          </w:p>
        </w:tc>
        <w:tc>
          <w:tcPr>
            <w:tcW w:w="6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EFEFE"/>
              </w:rPr>
              <w:t>​</w:t>
            </w:r>
          </w:p>
        </w:tc>
        <w:tc>
          <w:tcPr>
            <w:tcW w:w="160" w:type="dxa"/>
            <w:vAlign w:val="bottom"/>
            <w:shd w:val="clear" w:color="auto" w:fill="000000"/>
          </w:tcPr>
          <w:p>
            <w:pPr>
              <w:spacing w:after="0"/>
              <w:rPr>
                <w:sz w:val="8"/>
                <w:szCs w:val="8"/>
                <w:color w:val="auto"/>
              </w:rPr>
            </w:pPr>
          </w:p>
        </w:tc>
        <w:tc>
          <w:tcPr>
            <w:tcW w:w="900" w:type="dxa"/>
            <w:vAlign w:val="bottom"/>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260" w:type="dxa"/>
            <w:vAlign w:val="bottom"/>
            <w:shd w:val="clear" w:color="auto" w:fill="000000"/>
          </w:tcPr>
          <w:p>
            <w:pPr>
              <w:spacing w:after="0"/>
              <w:rPr>
                <w:sz w:val="8"/>
                <w:szCs w:val="8"/>
                <w:color w:val="auto"/>
              </w:rPr>
            </w:pPr>
          </w:p>
        </w:tc>
        <w:tc>
          <w:tcPr>
            <w:tcW w:w="340" w:type="dxa"/>
            <w:vAlign w:val="bottom"/>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200" w:type="dxa"/>
            <w:vAlign w:val="bottom"/>
            <w:vMerge w:val="restart"/>
            <w:shd w:val="clear" w:color="auto" w:fill="000000"/>
          </w:tcPr>
          <w:p>
            <w:pPr>
              <w:jc w:val="right"/>
              <w:ind w:right="26"/>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01"/>
        </w:trPr>
        <w:tc>
          <w:tcPr>
            <w:tcW w:w="60" w:type="dxa"/>
            <w:vAlign w:val="bottom"/>
            <w:shd w:val="clear" w:color="auto" w:fill="000000"/>
          </w:tcPr>
          <w:p>
            <w:pPr>
              <w:spacing w:after="0"/>
              <w:rPr>
                <w:sz w:val="8"/>
                <w:szCs w:val="8"/>
                <w:color w:val="auto"/>
              </w:rPr>
            </w:pPr>
          </w:p>
        </w:tc>
        <w:tc>
          <w:tcPr>
            <w:tcW w:w="100" w:type="dxa"/>
            <w:vAlign w:val="bottom"/>
            <w:vMerge w:val="continue"/>
            <w:shd w:val="clear" w:color="auto" w:fill="000000"/>
          </w:tcPr>
          <w:p>
            <w:pPr>
              <w:spacing w:after="0"/>
              <w:rPr>
                <w:sz w:val="8"/>
                <w:szCs w:val="8"/>
                <w:color w:val="auto"/>
              </w:rPr>
            </w:pPr>
          </w:p>
        </w:tc>
        <w:tc>
          <w:tcPr>
            <w:tcW w:w="690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EFEFE"/>
              </w:rPr>
              <w:t>Name and Address of Beneficial Owner</w:t>
            </w:r>
            <w:r>
              <w:rPr>
                <w:rFonts w:ascii="Arial" w:cs="Arial" w:eastAsia="Arial" w:hAnsi="Arial"/>
                <w:sz w:val="16"/>
                <w:szCs w:val="16"/>
                <w:b w:val="1"/>
                <w:bCs w:val="1"/>
                <w:color w:val="FEFEFE"/>
                <w:vertAlign w:val="superscript"/>
              </w:rPr>
              <w:t>(1)</w:t>
            </w:r>
          </w:p>
        </w:tc>
        <w:tc>
          <w:tcPr>
            <w:tcW w:w="100" w:type="dxa"/>
            <w:vAlign w:val="bottom"/>
            <w:vMerge w:val="continue"/>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60" w:type="dxa"/>
            <w:vAlign w:val="bottom"/>
            <w:vMerge w:val="continue"/>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900" w:type="dxa"/>
            <w:vAlign w:val="bottom"/>
            <w:shd w:val="clear" w:color="auto" w:fill="000000"/>
          </w:tcPr>
          <w:p>
            <w:pPr>
              <w:jc w:val="right"/>
              <w:spacing w:after="0" w:line="102" w:lineRule="exact"/>
              <w:rPr>
                <w:sz w:val="20"/>
                <w:szCs w:val="20"/>
                <w:color w:val="auto"/>
              </w:rPr>
            </w:pPr>
            <w:r>
              <w:rPr>
                <w:rFonts w:ascii="Arial" w:cs="Arial" w:eastAsia="Arial" w:hAnsi="Arial"/>
                <w:sz w:val="10"/>
                <w:szCs w:val="10"/>
                <w:b w:val="1"/>
                <w:bCs w:val="1"/>
                <w:color w:val="FEFEFE"/>
              </w:rPr>
              <w:t>​</w:t>
            </w:r>
          </w:p>
        </w:tc>
        <w:tc>
          <w:tcPr>
            <w:tcW w:w="120" w:type="dxa"/>
            <w:vAlign w:val="bottom"/>
            <w:shd w:val="clear" w:color="auto" w:fill="000000"/>
          </w:tcPr>
          <w:p>
            <w:pPr>
              <w:jc w:val="right"/>
              <w:spacing w:after="0" w:line="102" w:lineRule="exact"/>
              <w:rPr>
                <w:sz w:val="20"/>
                <w:szCs w:val="20"/>
                <w:color w:val="auto"/>
              </w:rPr>
            </w:pPr>
            <w:r>
              <w:rPr>
                <w:rFonts w:ascii="Arial" w:cs="Arial" w:eastAsia="Arial" w:hAnsi="Arial"/>
                <w:sz w:val="10"/>
                <w:szCs w:val="10"/>
                <w:b w:val="1"/>
                <w:bCs w:val="1"/>
                <w:color w:val="FEFEFE"/>
              </w:rPr>
              <w:t>​</w:t>
            </w:r>
          </w:p>
        </w:tc>
        <w:tc>
          <w:tcPr>
            <w:tcW w:w="260" w:type="dxa"/>
            <w:vAlign w:val="bottom"/>
            <w:shd w:val="clear" w:color="auto" w:fill="000000"/>
          </w:tcPr>
          <w:p>
            <w:pPr>
              <w:spacing w:after="0"/>
              <w:rPr>
                <w:sz w:val="8"/>
                <w:szCs w:val="8"/>
                <w:color w:val="auto"/>
              </w:rPr>
            </w:pPr>
          </w:p>
        </w:tc>
        <w:tc>
          <w:tcPr>
            <w:tcW w:w="340" w:type="dxa"/>
            <w:vAlign w:val="bottom"/>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20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60" w:type="dxa"/>
            <w:vAlign w:val="bottom"/>
            <w:shd w:val="clear" w:color="auto" w:fill="000000"/>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6900" w:type="dxa"/>
            <w:vAlign w:val="bottom"/>
            <w:vMerge w:val="continue"/>
            <w:shd w:val="clear" w:color="auto" w:fill="000000"/>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60" w:type="dxa"/>
            <w:vAlign w:val="bottom"/>
            <w:shd w:val="clear" w:color="auto" w:fill="000000"/>
          </w:tcPr>
          <w:p>
            <w:pPr>
              <w:spacing w:after="0"/>
              <w:rPr>
                <w:sz w:val="18"/>
                <w:szCs w:val="18"/>
                <w:color w:val="auto"/>
              </w:rPr>
            </w:pPr>
          </w:p>
        </w:tc>
        <w:tc>
          <w:tcPr>
            <w:tcW w:w="60" w:type="dxa"/>
            <w:vAlign w:val="bottom"/>
            <w:shd w:val="clear" w:color="auto" w:fill="000000"/>
          </w:tcPr>
          <w:p>
            <w:pPr>
              <w:spacing w:after="0"/>
              <w:rPr>
                <w:sz w:val="18"/>
                <w:szCs w:val="18"/>
                <w:color w:val="auto"/>
              </w:rPr>
            </w:pPr>
          </w:p>
        </w:tc>
        <w:tc>
          <w:tcPr>
            <w:tcW w:w="160" w:type="dxa"/>
            <w:vAlign w:val="bottom"/>
            <w:shd w:val="clear" w:color="auto" w:fill="000000"/>
          </w:tcPr>
          <w:p>
            <w:pPr>
              <w:spacing w:after="0"/>
              <w:rPr>
                <w:sz w:val="18"/>
                <w:szCs w:val="18"/>
                <w:color w:val="auto"/>
              </w:rPr>
            </w:pPr>
          </w:p>
        </w:tc>
        <w:tc>
          <w:tcPr>
            <w:tcW w:w="900" w:type="dxa"/>
            <w:vAlign w:val="bottom"/>
            <w:shd w:val="clear" w:color="auto" w:fill="000000"/>
          </w:tcPr>
          <w:p>
            <w:pPr>
              <w:jc w:val="right"/>
              <w:ind w:right="291"/>
              <w:spacing w:after="0"/>
              <w:rPr>
                <w:sz w:val="20"/>
                <w:szCs w:val="20"/>
                <w:color w:val="auto"/>
              </w:rPr>
            </w:pPr>
            <w:r>
              <w:rPr>
                <w:rFonts w:ascii="Arial" w:cs="Arial" w:eastAsia="Arial" w:hAnsi="Arial"/>
                <w:sz w:val="13"/>
                <w:szCs w:val="13"/>
                <w:b w:val="1"/>
                <w:bCs w:val="1"/>
                <w:color w:val="FEFEFE"/>
              </w:rPr>
              <w:t>Shares</w:t>
            </w:r>
          </w:p>
        </w:tc>
        <w:tc>
          <w:tcPr>
            <w:tcW w:w="120" w:type="dxa"/>
            <w:vAlign w:val="bottom"/>
            <w:shd w:val="clear" w:color="auto" w:fill="000000"/>
          </w:tcPr>
          <w:p>
            <w:pPr>
              <w:spacing w:after="0"/>
              <w:rPr>
                <w:sz w:val="18"/>
                <w:szCs w:val="18"/>
                <w:color w:val="auto"/>
              </w:rPr>
            </w:pPr>
          </w:p>
        </w:tc>
        <w:tc>
          <w:tcPr>
            <w:tcW w:w="920" w:type="dxa"/>
            <w:vAlign w:val="bottom"/>
            <w:gridSpan w:val="4"/>
            <w:shd w:val="clear" w:color="auto" w:fill="000000"/>
          </w:tcPr>
          <w:p>
            <w:pPr>
              <w:jc w:val="right"/>
              <w:ind w:right="186"/>
              <w:spacing w:after="0"/>
              <w:rPr>
                <w:sz w:val="20"/>
                <w:szCs w:val="20"/>
                <w:color w:val="auto"/>
              </w:rPr>
            </w:pPr>
            <w:r>
              <w:rPr>
                <w:rFonts w:ascii="Arial" w:cs="Arial" w:eastAsia="Arial" w:hAnsi="Arial"/>
                <w:sz w:val="13"/>
                <w:szCs w:val="13"/>
                <w:b w:val="1"/>
                <w:bCs w:val="1"/>
                <w:color w:val="FEFEFE"/>
                <w:w w:val="96"/>
              </w:rPr>
              <w:t>Percentage</w:t>
            </w:r>
          </w:p>
        </w:tc>
        <w:tc>
          <w:tcPr>
            <w:tcW w:w="0" w:type="dxa"/>
            <w:vAlign w:val="bottom"/>
          </w:tcPr>
          <w:p>
            <w:pPr>
              <w:spacing w:after="0"/>
              <w:rPr>
                <w:sz w:val="1"/>
                <w:szCs w:val="1"/>
                <w:color w:val="auto"/>
              </w:rPr>
            </w:pPr>
          </w:p>
        </w:tc>
      </w:tr>
      <w:tr>
        <w:trPr>
          <w:trHeight w:val="76"/>
        </w:trPr>
        <w:tc>
          <w:tcPr>
            <w:tcW w:w="6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6900" w:type="dxa"/>
            <w:vAlign w:val="bottom"/>
            <w:shd w:val="clear" w:color="auto" w:fill="000000"/>
          </w:tcPr>
          <w:p>
            <w:pPr>
              <w:spacing w:after="0"/>
              <w:rPr>
                <w:sz w:val="6"/>
                <w:szCs w:val="6"/>
                <w:color w:val="auto"/>
              </w:rPr>
            </w:pPr>
          </w:p>
        </w:tc>
        <w:tc>
          <w:tcPr>
            <w:tcW w:w="160" w:type="dxa"/>
            <w:vAlign w:val="bottom"/>
            <w:gridSpan w:val="2"/>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160" w:type="dxa"/>
            <w:vAlign w:val="bottom"/>
            <w:shd w:val="clear" w:color="auto" w:fill="000000"/>
          </w:tcPr>
          <w:p>
            <w:pPr>
              <w:spacing w:after="0"/>
              <w:rPr>
                <w:sz w:val="6"/>
                <w:szCs w:val="6"/>
                <w:color w:val="auto"/>
              </w:rPr>
            </w:pPr>
          </w:p>
        </w:tc>
        <w:tc>
          <w:tcPr>
            <w:tcW w:w="1020" w:type="dxa"/>
            <w:vAlign w:val="bottom"/>
            <w:gridSpan w:val="2"/>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378"/>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Five Percent Holders</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 ​</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i w:val="1"/>
                <w:i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32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333"/>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The Public Investment Fund</w:t>
            </w:r>
            <w:r>
              <w:rPr>
                <w:rFonts w:ascii="Arial" w:cs="Arial" w:eastAsia="Arial" w:hAnsi="Arial"/>
                <w:sz w:val="17"/>
                <w:szCs w:val="17"/>
                <w:color w:val="auto"/>
                <w:vertAlign w:val="superscript"/>
              </w:rPr>
              <w:t>(2)</w:t>
            </w:r>
          </w:p>
        </w:tc>
        <w:tc>
          <w:tcPr>
            <w:tcW w:w="160" w:type="dxa"/>
            <w:vAlign w:val="bottom"/>
            <w:gridSpan w:val="2"/>
            <w:vMerge w:val="restart"/>
            <w:shd w:val="clear" w:color="auto" w:fill="F7F7F7"/>
          </w:tcPr>
          <w:p>
            <w:pPr>
              <w:spacing w:after="0"/>
              <w:rPr>
                <w:sz w:val="20"/>
                <w:szCs w:val="20"/>
                <w:color w:val="auto"/>
              </w:rPr>
            </w:pPr>
            <w:r>
              <w:rPr>
                <w:rFonts w:ascii="Arial" w:cs="Arial" w:eastAsia="Arial" w:hAnsi="Arial"/>
                <w:sz w:val="14"/>
                <w:szCs w:val="14"/>
                <w:color w:val="auto"/>
              </w:rPr>
              <w:t>​ ​</w:t>
            </w:r>
          </w:p>
        </w:tc>
        <w:tc>
          <w:tcPr>
            <w:tcW w:w="60" w:type="dxa"/>
            <w:vAlign w:val="bottom"/>
            <w:shd w:val="clear" w:color="auto" w:fill="F7F7F7"/>
          </w:tcPr>
          <w:p>
            <w:pPr>
              <w:spacing w:after="0"/>
              <w:rPr>
                <w:sz w:val="24"/>
                <w:szCs w:val="24"/>
                <w:color w:val="auto"/>
              </w:rPr>
            </w:pPr>
          </w:p>
        </w:tc>
        <w:tc>
          <w:tcPr>
            <w:tcW w:w="1180" w:type="dxa"/>
            <w:vAlign w:val="bottom"/>
            <w:gridSpan w:val="3"/>
            <w:vMerge w:val="restart"/>
            <w:shd w:val="clear" w:color="auto" w:fill="F7F7F7"/>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​1,109,006,595</w:t>
            </w:r>
            <w:r>
              <w:rPr>
                <w:rFonts w:ascii="Arial" w:cs="Arial" w:eastAsia="Arial" w:hAnsi="Arial"/>
                <w:sz w:val="28"/>
                <w:szCs w:val="28"/>
                <w:color w:val="auto"/>
                <w:vertAlign w:val="subscript"/>
              </w:rPr>
              <w:t>​ ​</w:t>
            </w:r>
          </w:p>
        </w:tc>
        <w:tc>
          <w:tcPr>
            <w:tcW w:w="920" w:type="dxa"/>
            <w:vAlign w:val="bottom"/>
            <w:gridSpan w:val="4"/>
            <w:vMerge w:val="restart"/>
            <w:shd w:val="clear" w:color="auto" w:fill="F7F7F7"/>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​60.6%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gridSpan w:val="2"/>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180" w:type="dxa"/>
            <w:vAlign w:val="bottom"/>
            <w:tcBorders>
              <w:bottom w:val="single" w:sz="8" w:color="auto"/>
            </w:tcBorders>
            <w:gridSpan w:val="3"/>
            <w:vMerge w:val="continue"/>
            <w:shd w:val="clear" w:color="auto" w:fill="F7F7F7"/>
          </w:tcPr>
          <w:p>
            <w:pPr>
              <w:spacing w:after="0"/>
              <w:rPr>
                <w:sz w:val="5"/>
                <w:szCs w:val="5"/>
                <w:color w:val="auto"/>
              </w:rPr>
            </w:pPr>
          </w:p>
        </w:tc>
        <w:tc>
          <w:tcPr>
            <w:tcW w:w="920" w:type="dxa"/>
            <w:vAlign w:val="bottom"/>
            <w:tcBorders>
              <w:bottom w:val="single" w:sz="8" w:color="auto"/>
            </w:tcBorders>
            <w:gridSpan w:val="4"/>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w:t>
            </w:r>
          </w:p>
        </w:tc>
        <w:tc>
          <w:tcPr>
            <w:tcW w:w="10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Named Executive Officers and Directors</w:t>
            </w:r>
          </w:p>
        </w:tc>
        <w:tc>
          <w:tcPr>
            <w:tcW w:w="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rPr>
              <w:t>​ ​ ​</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 ​</w:t>
            </w:r>
          </w:p>
        </w:tc>
        <w:tc>
          <w:tcPr>
            <w:tcW w:w="2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i w:val="1"/>
                <w:i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32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333"/>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Peter Rawlinson</w:t>
            </w:r>
            <w:r>
              <w:rPr>
                <w:rFonts w:ascii="Arial" w:cs="Arial" w:eastAsia="Arial" w:hAnsi="Arial"/>
                <w:sz w:val="17"/>
                <w:szCs w:val="17"/>
                <w:color w:val="auto"/>
                <w:vertAlign w:val="superscript"/>
              </w:rPr>
              <w:t>(3)</w:t>
            </w:r>
          </w:p>
        </w:tc>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4"/>
                <w:szCs w:val="24"/>
                <w:color w:val="auto"/>
              </w:rPr>
            </w:pPr>
          </w:p>
        </w:tc>
        <w:tc>
          <w:tcPr>
            <w:tcW w:w="1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21,357,005</w:t>
            </w:r>
            <w:r>
              <w:rPr>
                <w:rFonts w:ascii="Arial" w:cs="Arial" w:eastAsia="Arial" w:hAnsi="Arial"/>
                <w:sz w:val="28"/>
                <w:szCs w:val="28"/>
                <w:color w:val="auto"/>
                <w:vertAlign w:val="subscript"/>
              </w:rPr>
              <w:t>​</w:t>
            </w:r>
          </w:p>
        </w:tc>
        <w:tc>
          <w:tcPr>
            <w:tcW w:w="12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660" w:type="dxa"/>
            <w:vAlign w:val="bottom"/>
            <w:gridSpan w:val="3"/>
            <w:vMerge w:val="restart"/>
            <w:shd w:val="clear" w:color="auto" w:fill="F7F7F7"/>
          </w:tcPr>
          <w:p>
            <w:pPr>
              <w:jc w:val="right"/>
              <w:ind w:right="126"/>
              <w:spacing w:after="0"/>
              <w:rPr>
                <w:sz w:val="20"/>
                <w:szCs w:val="20"/>
                <w:color w:val="auto"/>
              </w:rPr>
            </w:pPr>
            <w:r>
              <w:rPr>
                <w:rFonts w:ascii="Arial" w:cs="Arial" w:eastAsia="Arial" w:hAnsi="Arial"/>
                <w:sz w:val="14"/>
                <w:szCs w:val="14"/>
                <w:color w:val="auto"/>
              </w:rPr>
              <w:t xml:space="preserve">1.2%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vMerge w:val="continue"/>
            <w:shd w:val="clear" w:color="auto" w:fill="F7F7F7"/>
          </w:tcPr>
          <w:p>
            <w:pPr>
              <w:spacing w:after="0"/>
              <w:rPr>
                <w:sz w:val="5"/>
                <w:szCs w:val="5"/>
                <w:color w:val="auto"/>
              </w:rPr>
            </w:pPr>
          </w:p>
        </w:tc>
        <w:tc>
          <w:tcPr>
            <w:tcW w:w="900" w:type="dxa"/>
            <w:vAlign w:val="bottom"/>
            <w:tcBorders>
              <w:bottom w:val="single" w:sz="8" w:color="auto"/>
            </w:tcBorders>
            <w:vMerge w:val="continue"/>
            <w:shd w:val="clear" w:color="auto" w:fill="F7F7F7"/>
          </w:tcPr>
          <w:p>
            <w:pPr>
              <w:spacing w:after="0"/>
              <w:rPr>
                <w:sz w:val="5"/>
                <w:szCs w:val="5"/>
                <w:color w:val="auto"/>
              </w:rPr>
            </w:pPr>
          </w:p>
        </w:tc>
        <w:tc>
          <w:tcPr>
            <w:tcW w:w="120" w:type="dxa"/>
            <w:vAlign w:val="bottom"/>
            <w:tcBorders>
              <w:bottom w:val="single" w:sz="8" w:color="auto"/>
            </w:tcBorders>
            <w:vMerge w:val="continue"/>
            <w:shd w:val="clear" w:color="auto" w:fill="F7F7F7"/>
          </w:tcPr>
          <w:p>
            <w:pPr>
              <w:spacing w:after="0"/>
              <w:rPr>
                <w:sz w:val="5"/>
                <w:szCs w:val="5"/>
                <w:color w:val="auto"/>
              </w:rPr>
            </w:pPr>
          </w:p>
        </w:tc>
        <w:tc>
          <w:tcPr>
            <w:tcW w:w="260" w:type="dxa"/>
            <w:vAlign w:val="bottom"/>
            <w:tcBorders>
              <w:bottom w:val="single" w:sz="8" w:color="auto"/>
            </w:tcBorders>
            <w:vMerge w:val="continue"/>
            <w:shd w:val="clear" w:color="auto" w:fill="F7F7F7"/>
          </w:tcPr>
          <w:p>
            <w:pPr>
              <w:spacing w:after="0"/>
              <w:rPr>
                <w:sz w:val="5"/>
                <w:szCs w:val="5"/>
                <w:color w:val="auto"/>
              </w:rPr>
            </w:pPr>
          </w:p>
        </w:tc>
        <w:tc>
          <w:tcPr>
            <w:tcW w:w="660" w:type="dxa"/>
            <w:vAlign w:val="bottom"/>
            <w:tcBorders>
              <w:bottom w:val="single" w:sz="8" w:color="auto"/>
            </w:tcBorders>
            <w:gridSpan w:val="3"/>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Sherry House</w:t>
            </w:r>
            <w:r>
              <w:rPr>
                <w:rFonts w:ascii="Arial" w:cs="Arial" w:eastAsia="Arial" w:hAnsi="Arial"/>
                <w:sz w:val="17"/>
                <w:szCs w:val="17"/>
                <w:color w:val="auto"/>
                <w:vertAlign w:val="superscript"/>
              </w:rPr>
              <w:t>(4)</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142,600</w:t>
            </w:r>
            <w:r>
              <w:rPr>
                <w:rFonts w:ascii="Arial" w:cs="Arial" w:eastAsia="Arial" w:hAnsi="Arial"/>
                <w:sz w:val="28"/>
                <w:szCs w:val="28"/>
                <w:color w:val="auto"/>
                <w:vertAlign w:val="subscript"/>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Eric Bach</w:t>
            </w:r>
            <w:r>
              <w:rPr>
                <w:rFonts w:ascii="Arial" w:cs="Arial" w:eastAsia="Arial" w:hAnsi="Arial"/>
                <w:sz w:val="17"/>
                <w:szCs w:val="17"/>
                <w:color w:val="auto"/>
                <w:vertAlign w:val="superscript"/>
              </w:rPr>
              <w:t>(5)</w:t>
            </w:r>
          </w:p>
        </w:tc>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4"/>
                <w:szCs w:val="24"/>
                <w:color w:val="auto"/>
              </w:rPr>
            </w:pPr>
          </w:p>
        </w:tc>
        <w:tc>
          <w:tcPr>
            <w:tcW w:w="160" w:type="dxa"/>
            <w:vAlign w:val="bottom"/>
            <w:vMerge w:val="restart"/>
            <w:shd w:val="clear" w:color="auto" w:fill="F7F7F7"/>
          </w:tcPr>
          <w:p>
            <w:pP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3,278,066</w:t>
            </w:r>
            <w:r>
              <w:rPr>
                <w:rFonts w:ascii="Arial" w:cs="Arial" w:eastAsia="Arial" w:hAnsi="Arial"/>
                <w:sz w:val="28"/>
                <w:szCs w:val="28"/>
                <w:color w:val="auto"/>
                <w:vertAlign w:val="subscript"/>
              </w:rPr>
              <w:t>​</w:t>
            </w:r>
          </w:p>
        </w:tc>
        <w:tc>
          <w:tcPr>
            <w:tcW w:w="12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F7F7F7"/>
          </w:tcPr>
          <w:p>
            <w:pPr>
              <w:ind w:left="1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40" w:type="dxa"/>
            <w:vAlign w:val="bottom"/>
            <w:vMerge w:val="restart"/>
            <w:shd w:val="clear" w:color="auto" w:fill="F7F7F7"/>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F7F7F7"/>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vMerge w:val="continue"/>
            <w:shd w:val="clear" w:color="auto" w:fill="F7F7F7"/>
          </w:tcPr>
          <w:p>
            <w:pPr>
              <w:spacing w:after="0"/>
              <w:rPr>
                <w:sz w:val="5"/>
                <w:szCs w:val="5"/>
                <w:color w:val="auto"/>
              </w:rPr>
            </w:pPr>
          </w:p>
        </w:tc>
        <w:tc>
          <w:tcPr>
            <w:tcW w:w="900" w:type="dxa"/>
            <w:vAlign w:val="bottom"/>
            <w:tcBorders>
              <w:bottom w:val="single" w:sz="8" w:color="auto"/>
            </w:tcBorders>
            <w:vMerge w:val="continue"/>
            <w:shd w:val="clear" w:color="auto" w:fill="F7F7F7"/>
          </w:tcPr>
          <w:p>
            <w:pPr>
              <w:spacing w:after="0"/>
              <w:rPr>
                <w:sz w:val="5"/>
                <w:szCs w:val="5"/>
                <w:color w:val="auto"/>
              </w:rPr>
            </w:pPr>
          </w:p>
        </w:tc>
        <w:tc>
          <w:tcPr>
            <w:tcW w:w="120" w:type="dxa"/>
            <w:vAlign w:val="bottom"/>
            <w:tcBorders>
              <w:bottom w:val="single" w:sz="8" w:color="auto"/>
            </w:tcBorders>
            <w:vMerge w:val="continue"/>
            <w:shd w:val="clear" w:color="auto" w:fill="F7F7F7"/>
          </w:tcPr>
          <w:p>
            <w:pPr>
              <w:spacing w:after="0"/>
              <w:rPr>
                <w:sz w:val="5"/>
                <w:szCs w:val="5"/>
                <w:color w:val="auto"/>
              </w:rPr>
            </w:pPr>
          </w:p>
        </w:tc>
        <w:tc>
          <w:tcPr>
            <w:tcW w:w="260" w:type="dxa"/>
            <w:vAlign w:val="bottom"/>
            <w:tcBorders>
              <w:bottom w:val="single" w:sz="8" w:color="auto"/>
            </w:tcBorders>
            <w:vMerge w:val="continue"/>
            <w:shd w:val="clear" w:color="auto" w:fill="F7F7F7"/>
          </w:tcPr>
          <w:p>
            <w:pPr>
              <w:spacing w:after="0"/>
              <w:rPr>
                <w:sz w:val="5"/>
                <w:szCs w:val="5"/>
                <w:color w:val="auto"/>
              </w:rPr>
            </w:pPr>
          </w:p>
        </w:tc>
        <w:tc>
          <w:tcPr>
            <w:tcW w:w="340" w:type="dxa"/>
            <w:vAlign w:val="bottom"/>
            <w:tcBorders>
              <w:bottom w:val="single" w:sz="8" w:color="auto"/>
            </w:tcBorders>
            <w:vMerge w:val="continue"/>
            <w:shd w:val="clear" w:color="auto" w:fill="F7F7F7"/>
          </w:tcPr>
          <w:p>
            <w:pPr>
              <w:spacing w:after="0"/>
              <w:rPr>
                <w:sz w:val="5"/>
                <w:szCs w:val="5"/>
                <w:color w:val="auto"/>
              </w:rPr>
            </w:pPr>
          </w:p>
        </w:tc>
        <w:tc>
          <w:tcPr>
            <w:tcW w:w="320" w:type="dxa"/>
            <w:vAlign w:val="bottom"/>
            <w:tcBorders>
              <w:bottom w:val="single" w:sz="8" w:color="auto"/>
            </w:tcBorders>
            <w:gridSpan w:val="2"/>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Michael Bell</w:t>
            </w:r>
            <w:r>
              <w:rPr>
                <w:rFonts w:ascii="Arial" w:cs="Arial" w:eastAsia="Arial" w:hAnsi="Arial"/>
                <w:sz w:val="17"/>
                <w:szCs w:val="17"/>
                <w:color w:val="auto"/>
                <w:vertAlign w:val="superscript"/>
              </w:rPr>
              <w:t>(6)</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460,850</w:t>
            </w:r>
            <w:r>
              <w:rPr>
                <w:rFonts w:ascii="Arial" w:cs="Arial" w:eastAsia="Arial" w:hAnsi="Arial"/>
                <w:sz w:val="28"/>
                <w:szCs w:val="28"/>
                <w:color w:val="auto"/>
                <w:vertAlign w:val="subscript"/>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Turqi Alnowaiser</w:t>
            </w:r>
            <w:r>
              <w:rPr>
                <w:rFonts w:ascii="Arial" w:cs="Arial" w:eastAsia="Arial" w:hAnsi="Arial"/>
                <w:sz w:val="17"/>
                <w:szCs w:val="17"/>
                <w:color w:val="auto"/>
                <w:vertAlign w:val="superscript"/>
              </w:rPr>
              <w:t>(7)</w:t>
            </w:r>
          </w:p>
        </w:tc>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4"/>
                <w:szCs w:val="24"/>
                <w:color w:val="auto"/>
              </w:rPr>
            </w:pPr>
          </w:p>
        </w:tc>
        <w:tc>
          <w:tcPr>
            <w:tcW w:w="1060" w:type="dxa"/>
            <w:vAlign w:val="bottom"/>
            <w:gridSpan w:val="2"/>
            <w:vMerge w:val="restart"/>
            <w:shd w:val="clear" w:color="auto" w:fill="F7F7F7"/>
          </w:tcPr>
          <w:p>
            <w:pP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​1,103,039,076</w:t>
            </w:r>
            <w:r>
              <w:rPr>
                <w:rFonts w:ascii="Arial" w:cs="Arial" w:eastAsia="Arial" w:hAnsi="Arial"/>
                <w:sz w:val="28"/>
                <w:szCs w:val="28"/>
                <w:color w:val="auto"/>
                <w:vertAlign w:val="subscript"/>
              </w:rPr>
              <w:t>​</w:t>
            </w:r>
          </w:p>
        </w:tc>
        <w:tc>
          <w:tcPr>
            <w:tcW w:w="12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4"/>
            <w:vMerge w:val="restart"/>
            <w:shd w:val="clear" w:color="auto" w:fill="F7F7F7"/>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​60.3%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060" w:type="dxa"/>
            <w:vAlign w:val="bottom"/>
            <w:tcBorders>
              <w:bottom w:val="single" w:sz="8" w:color="auto"/>
            </w:tcBorders>
            <w:gridSpan w:val="2"/>
            <w:vMerge w:val="continue"/>
            <w:shd w:val="clear" w:color="auto" w:fill="F7F7F7"/>
          </w:tcPr>
          <w:p>
            <w:pPr>
              <w:spacing w:after="0"/>
              <w:rPr>
                <w:sz w:val="5"/>
                <w:szCs w:val="5"/>
                <w:color w:val="auto"/>
              </w:rPr>
            </w:pPr>
          </w:p>
        </w:tc>
        <w:tc>
          <w:tcPr>
            <w:tcW w:w="120" w:type="dxa"/>
            <w:vAlign w:val="bottom"/>
            <w:tcBorders>
              <w:bottom w:val="single" w:sz="8" w:color="auto"/>
            </w:tcBorders>
            <w:vMerge w:val="continue"/>
            <w:shd w:val="clear" w:color="auto" w:fill="F7F7F7"/>
          </w:tcPr>
          <w:p>
            <w:pPr>
              <w:spacing w:after="0"/>
              <w:rPr>
                <w:sz w:val="5"/>
                <w:szCs w:val="5"/>
                <w:color w:val="auto"/>
              </w:rPr>
            </w:pPr>
          </w:p>
        </w:tc>
        <w:tc>
          <w:tcPr>
            <w:tcW w:w="920" w:type="dxa"/>
            <w:vAlign w:val="bottom"/>
            <w:tcBorders>
              <w:bottom w:val="single" w:sz="8" w:color="auto"/>
            </w:tcBorders>
            <w:gridSpan w:val="4"/>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Glenn R. August</w:t>
            </w:r>
            <w:r>
              <w:rPr>
                <w:rFonts w:ascii="Arial" w:cs="Arial" w:eastAsia="Arial" w:hAnsi="Arial"/>
                <w:sz w:val="17"/>
                <w:szCs w:val="17"/>
                <w:color w:val="auto"/>
                <w:vertAlign w:val="superscript"/>
              </w:rPr>
              <w:t>(8)</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13,862,310</w:t>
            </w:r>
            <w:r>
              <w:rPr>
                <w:rFonts w:ascii="Arial" w:cs="Arial" w:eastAsia="Arial" w:hAnsi="Arial"/>
                <w:sz w:val="28"/>
                <w:szCs w:val="28"/>
                <w:color w:val="auto"/>
                <w:vertAlign w:val="subscript"/>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Nancy Gioia</w:t>
            </w:r>
            <w:r>
              <w:rPr>
                <w:rFonts w:ascii="Arial" w:cs="Arial" w:eastAsia="Arial" w:hAnsi="Arial"/>
                <w:sz w:val="17"/>
                <w:szCs w:val="17"/>
                <w:color w:val="auto"/>
                <w:vertAlign w:val="superscript"/>
              </w:rPr>
              <w:t>(9)</w:t>
            </w:r>
          </w:p>
        </w:tc>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4"/>
                <w:szCs w:val="24"/>
                <w:color w:val="auto"/>
              </w:rPr>
            </w:pPr>
          </w:p>
        </w:tc>
        <w:tc>
          <w:tcPr>
            <w:tcW w:w="1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128,736</w:t>
            </w:r>
            <w:r>
              <w:rPr>
                <w:rFonts w:ascii="Arial" w:cs="Arial" w:eastAsia="Arial" w:hAnsi="Arial"/>
                <w:sz w:val="28"/>
                <w:szCs w:val="28"/>
                <w:color w:val="auto"/>
                <w:vertAlign w:val="subscript"/>
              </w:rPr>
              <w:t>​</w:t>
            </w:r>
          </w:p>
        </w:tc>
        <w:tc>
          <w:tcPr>
            <w:tcW w:w="12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vMerge w:val="restart"/>
            <w:shd w:val="clear" w:color="auto" w:fill="F7F7F7"/>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F7F7F7"/>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vMerge w:val="continue"/>
            <w:shd w:val="clear" w:color="auto" w:fill="F7F7F7"/>
          </w:tcPr>
          <w:p>
            <w:pPr>
              <w:spacing w:after="0"/>
              <w:rPr>
                <w:sz w:val="5"/>
                <w:szCs w:val="5"/>
                <w:color w:val="auto"/>
              </w:rPr>
            </w:pPr>
          </w:p>
        </w:tc>
        <w:tc>
          <w:tcPr>
            <w:tcW w:w="900" w:type="dxa"/>
            <w:vAlign w:val="bottom"/>
            <w:tcBorders>
              <w:bottom w:val="single" w:sz="8" w:color="auto"/>
            </w:tcBorders>
            <w:vMerge w:val="continue"/>
            <w:shd w:val="clear" w:color="auto" w:fill="F7F7F7"/>
          </w:tcPr>
          <w:p>
            <w:pPr>
              <w:spacing w:after="0"/>
              <w:rPr>
                <w:sz w:val="5"/>
                <w:szCs w:val="5"/>
                <w:color w:val="auto"/>
              </w:rPr>
            </w:pPr>
          </w:p>
        </w:tc>
        <w:tc>
          <w:tcPr>
            <w:tcW w:w="120" w:type="dxa"/>
            <w:vAlign w:val="bottom"/>
            <w:tcBorders>
              <w:bottom w:val="single" w:sz="8" w:color="auto"/>
            </w:tcBorders>
            <w:vMerge w:val="continue"/>
            <w:shd w:val="clear" w:color="auto" w:fill="F7F7F7"/>
          </w:tcPr>
          <w:p>
            <w:pPr>
              <w:spacing w:after="0"/>
              <w:rPr>
                <w:sz w:val="5"/>
                <w:szCs w:val="5"/>
                <w:color w:val="auto"/>
              </w:rPr>
            </w:pPr>
          </w:p>
        </w:tc>
        <w:tc>
          <w:tcPr>
            <w:tcW w:w="260" w:type="dxa"/>
            <w:vAlign w:val="bottom"/>
            <w:tcBorders>
              <w:bottom w:val="single" w:sz="8" w:color="auto"/>
            </w:tcBorders>
            <w:vMerge w:val="continue"/>
            <w:shd w:val="clear" w:color="auto" w:fill="F7F7F7"/>
          </w:tcPr>
          <w:p>
            <w:pPr>
              <w:spacing w:after="0"/>
              <w:rPr>
                <w:sz w:val="5"/>
                <w:szCs w:val="5"/>
                <w:color w:val="auto"/>
              </w:rPr>
            </w:pPr>
          </w:p>
        </w:tc>
        <w:tc>
          <w:tcPr>
            <w:tcW w:w="340" w:type="dxa"/>
            <w:vAlign w:val="bottom"/>
            <w:tcBorders>
              <w:bottom w:val="single" w:sz="8" w:color="auto"/>
            </w:tcBorders>
            <w:vMerge w:val="continue"/>
            <w:shd w:val="clear" w:color="auto" w:fill="F7F7F7"/>
          </w:tcPr>
          <w:p>
            <w:pPr>
              <w:spacing w:after="0"/>
              <w:rPr>
                <w:sz w:val="5"/>
                <w:szCs w:val="5"/>
                <w:color w:val="auto"/>
              </w:rPr>
            </w:pPr>
          </w:p>
        </w:tc>
        <w:tc>
          <w:tcPr>
            <w:tcW w:w="320" w:type="dxa"/>
            <w:vAlign w:val="bottom"/>
            <w:tcBorders>
              <w:bottom w:val="single" w:sz="8" w:color="auto"/>
            </w:tcBorders>
            <w:gridSpan w:val="2"/>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Frank Lindenberg</w:t>
            </w:r>
            <w:r>
              <w:rPr>
                <w:rFonts w:ascii="Arial" w:cs="Arial" w:eastAsia="Arial" w:hAnsi="Arial"/>
                <w:sz w:val="17"/>
                <w:szCs w:val="17"/>
                <w:color w:val="auto"/>
                <w:vertAlign w:val="superscript"/>
              </w:rPr>
              <w:t>(10)</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3,736</w:t>
            </w:r>
            <w:r>
              <w:rPr>
                <w:rFonts w:ascii="Arial" w:cs="Arial" w:eastAsia="Arial" w:hAnsi="Arial"/>
                <w:sz w:val="28"/>
                <w:szCs w:val="28"/>
                <w:color w:val="auto"/>
                <w:vertAlign w:val="subscript"/>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Andrew Liveris</w:t>
            </w:r>
            <w:r>
              <w:rPr>
                <w:rFonts w:ascii="Arial" w:cs="Arial" w:eastAsia="Arial" w:hAnsi="Arial"/>
                <w:sz w:val="17"/>
                <w:szCs w:val="17"/>
                <w:color w:val="auto"/>
                <w:vertAlign w:val="superscript"/>
              </w:rPr>
              <w:t>(11)</w:t>
            </w:r>
          </w:p>
        </w:tc>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4"/>
                <w:szCs w:val="24"/>
                <w:color w:val="auto"/>
              </w:rPr>
            </w:pPr>
          </w:p>
        </w:tc>
        <w:tc>
          <w:tcPr>
            <w:tcW w:w="160" w:type="dxa"/>
            <w:vAlign w:val="bottom"/>
            <w:vMerge w:val="restart"/>
            <w:shd w:val="clear" w:color="auto" w:fill="F7F7F7"/>
          </w:tcPr>
          <w:p>
            <w:pPr>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9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1,302,358</w:t>
            </w:r>
            <w:r>
              <w:rPr>
                <w:rFonts w:ascii="Arial" w:cs="Arial" w:eastAsia="Arial" w:hAnsi="Arial"/>
                <w:sz w:val="28"/>
                <w:szCs w:val="28"/>
                <w:color w:val="auto"/>
                <w:vertAlign w:val="subscript"/>
              </w:rPr>
              <w:t>​</w:t>
            </w:r>
          </w:p>
        </w:tc>
        <w:tc>
          <w:tcPr>
            <w:tcW w:w="12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F7F7F7"/>
          </w:tcPr>
          <w:p>
            <w:pPr>
              <w:ind w:left="18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340" w:type="dxa"/>
            <w:vAlign w:val="bottom"/>
            <w:vMerge w:val="restart"/>
            <w:shd w:val="clear" w:color="auto" w:fill="F7F7F7"/>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F7F7F7"/>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vMerge w:val="continue"/>
            <w:shd w:val="clear" w:color="auto" w:fill="F7F7F7"/>
          </w:tcPr>
          <w:p>
            <w:pPr>
              <w:spacing w:after="0"/>
              <w:rPr>
                <w:sz w:val="5"/>
                <w:szCs w:val="5"/>
                <w:color w:val="auto"/>
              </w:rPr>
            </w:pPr>
          </w:p>
        </w:tc>
        <w:tc>
          <w:tcPr>
            <w:tcW w:w="900" w:type="dxa"/>
            <w:vAlign w:val="bottom"/>
            <w:tcBorders>
              <w:bottom w:val="single" w:sz="8" w:color="auto"/>
            </w:tcBorders>
            <w:vMerge w:val="continue"/>
            <w:shd w:val="clear" w:color="auto" w:fill="F7F7F7"/>
          </w:tcPr>
          <w:p>
            <w:pPr>
              <w:spacing w:after="0"/>
              <w:rPr>
                <w:sz w:val="5"/>
                <w:szCs w:val="5"/>
                <w:color w:val="auto"/>
              </w:rPr>
            </w:pPr>
          </w:p>
        </w:tc>
        <w:tc>
          <w:tcPr>
            <w:tcW w:w="120" w:type="dxa"/>
            <w:vAlign w:val="bottom"/>
            <w:tcBorders>
              <w:bottom w:val="single" w:sz="8" w:color="auto"/>
            </w:tcBorders>
            <w:vMerge w:val="continue"/>
            <w:shd w:val="clear" w:color="auto" w:fill="F7F7F7"/>
          </w:tcPr>
          <w:p>
            <w:pPr>
              <w:spacing w:after="0"/>
              <w:rPr>
                <w:sz w:val="5"/>
                <w:szCs w:val="5"/>
                <w:color w:val="auto"/>
              </w:rPr>
            </w:pPr>
          </w:p>
        </w:tc>
        <w:tc>
          <w:tcPr>
            <w:tcW w:w="260" w:type="dxa"/>
            <w:vAlign w:val="bottom"/>
            <w:tcBorders>
              <w:bottom w:val="single" w:sz="8" w:color="auto"/>
            </w:tcBorders>
            <w:vMerge w:val="continue"/>
            <w:shd w:val="clear" w:color="auto" w:fill="F7F7F7"/>
          </w:tcPr>
          <w:p>
            <w:pPr>
              <w:spacing w:after="0"/>
              <w:rPr>
                <w:sz w:val="5"/>
                <w:szCs w:val="5"/>
                <w:color w:val="auto"/>
              </w:rPr>
            </w:pPr>
          </w:p>
        </w:tc>
        <w:tc>
          <w:tcPr>
            <w:tcW w:w="340" w:type="dxa"/>
            <w:vAlign w:val="bottom"/>
            <w:tcBorders>
              <w:bottom w:val="single" w:sz="8" w:color="auto"/>
            </w:tcBorders>
            <w:vMerge w:val="continue"/>
            <w:shd w:val="clear" w:color="auto" w:fill="F7F7F7"/>
          </w:tcPr>
          <w:p>
            <w:pPr>
              <w:spacing w:after="0"/>
              <w:rPr>
                <w:sz w:val="5"/>
                <w:szCs w:val="5"/>
                <w:color w:val="auto"/>
              </w:rPr>
            </w:pPr>
          </w:p>
        </w:tc>
        <w:tc>
          <w:tcPr>
            <w:tcW w:w="320" w:type="dxa"/>
            <w:vAlign w:val="bottom"/>
            <w:tcBorders>
              <w:bottom w:val="single" w:sz="8" w:color="auto"/>
            </w:tcBorders>
            <w:gridSpan w:val="2"/>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Nichelle Maynard-Elliott</w:t>
            </w:r>
            <w:r>
              <w:rPr>
                <w:rFonts w:ascii="Arial" w:cs="Arial" w:eastAsia="Arial" w:hAnsi="Arial"/>
                <w:sz w:val="17"/>
                <w:szCs w:val="17"/>
                <w:color w:val="auto"/>
                <w:vertAlign w:val="superscript"/>
              </w:rPr>
              <w:t>(12)</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3,736</w:t>
            </w:r>
            <w:r>
              <w:rPr>
                <w:rFonts w:ascii="Arial" w:cs="Arial" w:eastAsia="Arial" w:hAnsi="Arial"/>
                <w:sz w:val="28"/>
                <w:szCs w:val="28"/>
                <w:color w:val="auto"/>
                <w:vertAlign w:val="subscript"/>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F7F7F7"/>
          </w:tcPr>
          <w:p>
            <w:pPr>
              <w:spacing w:after="0"/>
              <w:rPr>
                <w:sz w:val="24"/>
                <w:szCs w:val="24"/>
                <w:color w:val="auto"/>
              </w:rPr>
            </w:pPr>
          </w:p>
        </w:tc>
        <w:tc>
          <w:tcPr>
            <w:tcW w:w="6900" w:type="dxa"/>
            <w:vAlign w:val="bottom"/>
            <w:shd w:val="clear" w:color="auto" w:fill="F7F7F7"/>
          </w:tcPr>
          <w:p>
            <w:pPr>
              <w:spacing w:after="0"/>
              <w:rPr>
                <w:sz w:val="20"/>
                <w:szCs w:val="20"/>
                <w:color w:val="auto"/>
              </w:rPr>
            </w:pPr>
            <w:r>
              <w:rPr>
                <w:rFonts w:ascii="Arial" w:cs="Arial" w:eastAsia="Arial" w:hAnsi="Arial"/>
                <w:sz w:val="14"/>
                <w:szCs w:val="14"/>
                <w:color w:val="auto"/>
              </w:rPr>
              <w:t>Tony Posawatz</w:t>
            </w:r>
            <w:r>
              <w:rPr>
                <w:rFonts w:ascii="Arial" w:cs="Arial" w:eastAsia="Arial" w:hAnsi="Arial"/>
                <w:sz w:val="17"/>
                <w:szCs w:val="17"/>
                <w:color w:val="auto"/>
                <w:vertAlign w:val="superscript"/>
              </w:rPr>
              <w:t>(13)</w:t>
            </w:r>
          </w:p>
        </w:tc>
        <w:tc>
          <w:tcPr>
            <w:tcW w:w="10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F7F7F7"/>
          </w:tcPr>
          <w:p>
            <w:pPr>
              <w:ind w:left="20"/>
              <w:spacing w:after="0"/>
              <w:rPr>
                <w:sz w:val="20"/>
                <w:szCs w:val="20"/>
                <w:color w:val="auto"/>
              </w:rPr>
            </w:pPr>
            <w:r>
              <w:rPr>
                <w:rFonts w:ascii="Arial" w:cs="Arial" w:eastAsia="Arial" w:hAnsi="Arial"/>
                <w:sz w:val="14"/>
                <w:szCs w:val="14"/>
                <w:color w:val="auto"/>
              </w:rPr>
              <w:t>​</w:t>
            </w:r>
          </w:p>
        </w:tc>
        <w:tc>
          <w:tcPr>
            <w:tcW w:w="60" w:type="dxa"/>
            <w:vAlign w:val="bottom"/>
            <w:shd w:val="clear" w:color="auto" w:fill="F7F7F7"/>
          </w:tcPr>
          <w:p>
            <w:pPr>
              <w:spacing w:after="0"/>
              <w:rPr>
                <w:sz w:val="24"/>
                <w:szCs w:val="24"/>
                <w:color w:val="auto"/>
              </w:rPr>
            </w:pPr>
          </w:p>
        </w:tc>
        <w:tc>
          <w:tcPr>
            <w:tcW w:w="160" w:type="dxa"/>
            <w:vAlign w:val="bottom"/>
            <w:vMerge w:val="restart"/>
            <w:shd w:val="clear" w:color="auto" w:fill="F7F7F7"/>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42,105</w:t>
            </w:r>
            <w:r>
              <w:rPr>
                <w:rFonts w:ascii="Arial" w:cs="Arial" w:eastAsia="Arial" w:hAnsi="Arial"/>
                <w:sz w:val="28"/>
                <w:szCs w:val="28"/>
                <w:color w:val="auto"/>
                <w:vertAlign w:val="subscript"/>
              </w:rPr>
              <w:t>​</w:t>
            </w:r>
          </w:p>
        </w:tc>
        <w:tc>
          <w:tcPr>
            <w:tcW w:w="120" w:type="dxa"/>
            <w:vAlign w:val="bottom"/>
            <w:vMerge w:val="restart"/>
            <w:shd w:val="clear" w:color="auto" w:fill="F7F7F7"/>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F7F7F7"/>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vMerge w:val="restart"/>
            <w:shd w:val="clear" w:color="auto" w:fill="F7F7F7"/>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shd w:val="clear" w:color="auto" w:fill="F7F7F7"/>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shd w:val="clear" w:color="auto" w:fill="F7F7F7"/>
          </w:tcPr>
          <w:p>
            <w:pPr>
              <w:spacing w:after="0"/>
              <w:rPr>
                <w:sz w:val="5"/>
                <w:szCs w:val="5"/>
                <w:color w:val="auto"/>
              </w:rPr>
            </w:pPr>
          </w:p>
        </w:tc>
        <w:tc>
          <w:tcPr>
            <w:tcW w:w="100" w:type="dxa"/>
            <w:vAlign w:val="bottom"/>
            <w:tcBorders>
              <w:bottom w:val="single" w:sz="8" w:color="auto"/>
            </w:tcBorders>
            <w:shd w:val="clear" w:color="auto" w:fill="F7F7F7"/>
          </w:tcPr>
          <w:p>
            <w:pPr>
              <w:spacing w:after="0"/>
              <w:rPr>
                <w:sz w:val="5"/>
                <w:szCs w:val="5"/>
                <w:color w:val="auto"/>
              </w:rPr>
            </w:pPr>
          </w:p>
        </w:tc>
        <w:tc>
          <w:tcPr>
            <w:tcW w:w="6900" w:type="dxa"/>
            <w:vAlign w:val="bottom"/>
            <w:tcBorders>
              <w:bottom w:val="single" w:sz="8" w:color="auto"/>
            </w:tcBorders>
            <w:shd w:val="clear" w:color="auto" w:fill="F7F7F7"/>
          </w:tcPr>
          <w:p>
            <w:pPr>
              <w:spacing w:after="0"/>
              <w:rPr>
                <w:sz w:val="5"/>
                <w:szCs w:val="5"/>
                <w:color w:val="auto"/>
              </w:rPr>
            </w:pPr>
          </w:p>
        </w:tc>
        <w:tc>
          <w:tcPr>
            <w:tcW w:w="10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vMerge w:val="continue"/>
            <w:shd w:val="clear" w:color="auto" w:fill="F7F7F7"/>
          </w:tcPr>
          <w:p>
            <w:pPr>
              <w:spacing w:after="0"/>
              <w:rPr>
                <w:sz w:val="5"/>
                <w:szCs w:val="5"/>
                <w:color w:val="auto"/>
              </w:rPr>
            </w:pPr>
          </w:p>
        </w:tc>
        <w:tc>
          <w:tcPr>
            <w:tcW w:w="60" w:type="dxa"/>
            <w:vAlign w:val="bottom"/>
            <w:tcBorders>
              <w:bottom w:val="single" w:sz="8" w:color="auto"/>
            </w:tcBorders>
            <w:shd w:val="clear" w:color="auto" w:fill="F7F7F7"/>
          </w:tcPr>
          <w:p>
            <w:pPr>
              <w:spacing w:after="0"/>
              <w:rPr>
                <w:sz w:val="5"/>
                <w:szCs w:val="5"/>
                <w:color w:val="auto"/>
              </w:rPr>
            </w:pPr>
          </w:p>
        </w:tc>
        <w:tc>
          <w:tcPr>
            <w:tcW w:w="160" w:type="dxa"/>
            <w:vAlign w:val="bottom"/>
            <w:tcBorders>
              <w:bottom w:val="single" w:sz="8" w:color="auto"/>
            </w:tcBorders>
            <w:vMerge w:val="continue"/>
            <w:shd w:val="clear" w:color="auto" w:fill="F7F7F7"/>
          </w:tcPr>
          <w:p>
            <w:pPr>
              <w:spacing w:after="0"/>
              <w:rPr>
                <w:sz w:val="5"/>
                <w:szCs w:val="5"/>
                <w:color w:val="auto"/>
              </w:rPr>
            </w:pPr>
          </w:p>
        </w:tc>
        <w:tc>
          <w:tcPr>
            <w:tcW w:w="900" w:type="dxa"/>
            <w:vAlign w:val="bottom"/>
            <w:tcBorders>
              <w:bottom w:val="single" w:sz="8" w:color="auto"/>
            </w:tcBorders>
            <w:vMerge w:val="continue"/>
            <w:shd w:val="clear" w:color="auto" w:fill="F7F7F7"/>
          </w:tcPr>
          <w:p>
            <w:pPr>
              <w:spacing w:after="0"/>
              <w:rPr>
                <w:sz w:val="5"/>
                <w:szCs w:val="5"/>
                <w:color w:val="auto"/>
              </w:rPr>
            </w:pPr>
          </w:p>
        </w:tc>
        <w:tc>
          <w:tcPr>
            <w:tcW w:w="120" w:type="dxa"/>
            <w:vAlign w:val="bottom"/>
            <w:tcBorders>
              <w:bottom w:val="single" w:sz="8" w:color="auto"/>
            </w:tcBorders>
            <w:vMerge w:val="continue"/>
            <w:shd w:val="clear" w:color="auto" w:fill="F7F7F7"/>
          </w:tcPr>
          <w:p>
            <w:pPr>
              <w:spacing w:after="0"/>
              <w:rPr>
                <w:sz w:val="5"/>
                <w:szCs w:val="5"/>
                <w:color w:val="auto"/>
              </w:rPr>
            </w:pPr>
          </w:p>
        </w:tc>
        <w:tc>
          <w:tcPr>
            <w:tcW w:w="260" w:type="dxa"/>
            <w:vAlign w:val="bottom"/>
            <w:tcBorders>
              <w:bottom w:val="single" w:sz="8" w:color="auto"/>
            </w:tcBorders>
            <w:vMerge w:val="continue"/>
            <w:shd w:val="clear" w:color="auto" w:fill="F7F7F7"/>
          </w:tcPr>
          <w:p>
            <w:pPr>
              <w:spacing w:after="0"/>
              <w:rPr>
                <w:sz w:val="5"/>
                <w:szCs w:val="5"/>
                <w:color w:val="auto"/>
              </w:rPr>
            </w:pPr>
          </w:p>
        </w:tc>
        <w:tc>
          <w:tcPr>
            <w:tcW w:w="340" w:type="dxa"/>
            <w:vAlign w:val="bottom"/>
            <w:tcBorders>
              <w:bottom w:val="single" w:sz="8" w:color="auto"/>
            </w:tcBorders>
            <w:vMerge w:val="continue"/>
            <w:shd w:val="clear" w:color="auto" w:fill="F7F7F7"/>
          </w:tcPr>
          <w:p>
            <w:pPr>
              <w:spacing w:after="0"/>
              <w:rPr>
                <w:sz w:val="5"/>
                <w:szCs w:val="5"/>
                <w:color w:val="auto"/>
              </w:rPr>
            </w:pPr>
          </w:p>
        </w:tc>
        <w:tc>
          <w:tcPr>
            <w:tcW w:w="320" w:type="dxa"/>
            <w:vAlign w:val="bottom"/>
            <w:tcBorders>
              <w:bottom w:val="single" w:sz="8" w:color="auto"/>
            </w:tcBorders>
            <w:gridSpan w:val="2"/>
            <w:vMerge w:val="continue"/>
            <w:shd w:val="clear" w:color="auto" w:fill="F7F7F7"/>
          </w:tcPr>
          <w:p>
            <w:pPr>
              <w:spacing w:after="0"/>
              <w:rPr>
                <w:sz w:val="5"/>
                <w:szCs w:val="5"/>
                <w:color w:val="auto"/>
              </w:rPr>
            </w:pPr>
          </w:p>
        </w:tc>
        <w:tc>
          <w:tcPr>
            <w:tcW w:w="0" w:type="dxa"/>
            <w:vAlign w:val="bottom"/>
          </w:tcPr>
          <w:p>
            <w:pPr>
              <w:spacing w:after="0"/>
              <w:rPr>
                <w:sz w:val="1"/>
                <w:szCs w:val="1"/>
                <w:color w:val="auto"/>
              </w:rPr>
            </w:pPr>
          </w:p>
        </w:tc>
      </w:tr>
      <w:tr>
        <w:trPr>
          <w:trHeight w:val="333"/>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900" w:type="dxa"/>
            <w:vAlign w:val="bottom"/>
          </w:tcPr>
          <w:p>
            <w:pPr>
              <w:spacing w:after="0"/>
              <w:rPr>
                <w:sz w:val="20"/>
                <w:szCs w:val="20"/>
                <w:color w:val="auto"/>
              </w:rPr>
            </w:pPr>
            <w:r>
              <w:rPr>
                <w:rFonts w:ascii="Arial" w:cs="Arial" w:eastAsia="Arial" w:hAnsi="Arial"/>
                <w:sz w:val="14"/>
                <w:szCs w:val="14"/>
                <w:color w:val="auto"/>
              </w:rPr>
              <w:t>Janet S. Wong</w:t>
            </w:r>
            <w:r>
              <w:rPr>
                <w:rFonts w:ascii="Arial" w:cs="Arial" w:eastAsia="Arial" w:hAnsi="Arial"/>
                <w:sz w:val="17"/>
                <w:szCs w:val="17"/>
                <w:color w:val="auto"/>
                <w:vertAlign w:val="superscript"/>
              </w:rPr>
              <w:t>(14)</w:t>
            </w: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3,736</w:t>
            </w:r>
            <w:r>
              <w:rPr>
                <w:rFonts w:ascii="Arial" w:cs="Arial" w:eastAsia="Arial" w:hAnsi="Arial"/>
                <w:sz w:val="28"/>
                <w:szCs w:val="28"/>
                <w:color w:val="auto"/>
                <w:vertAlign w:val="subscript"/>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18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perscript"/>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2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32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F7F7F7"/>
          </w:tcPr>
          <w:p>
            <w:pPr>
              <w:spacing w:after="0"/>
              <w:rPr>
                <w:sz w:val="24"/>
                <w:szCs w:val="24"/>
                <w:color w:val="auto"/>
              </w:rPr>
            </w:pPr>
          </w:p>
        </w:tc>
        <w:tc>
          <w:tcPr>
            <w:tcW w:w="6900" w:type="dxa"/>
            <w:vAlign w:val="bottom"/>
            <w:tcBorders>
              <w:bottom w:val="single" w:sz="8" w:color="auto"/>
            </w:tcBorders>
            <w:shd w:val="clear" w:color="auto" w:fill="F7F7F7"/>
          </w:tcPr>
          <w:p>
            <w:pPr>
              <w:spacing w:after="0"/>
              <w:rPr>
                <w:sz w:val="20"/>
                <w:szCs w:val="20"/>
                <w:color w:val="auto"/>
              </w:rPr>
            </w:pPr>
            <w:r>
              <w:rPr>
                <w:rFonts w:ascii="Arial" w:cs="Arial" w:eastAsia="Arial" w:hAnsi="Arial"/>
                <w:sz w:val="14"/>
                <w:szCs w:val="14"/>
                <w:color w:val="auto"/>
              </w:rPr>
              <w:t>All executive officers and directors as a group (12 individuals)</w:t>
            </w:r>
          </w:p>
        </w:tc>
        <w:tc>
          <w:tcPr>
            <w:tcW w:w="160" w:type="dxa"/>
            <w:vAlign w:val="bottom"/>
            <w:tcBorders>
              <w:bottom w:val="single" w:sz="8" w:color="auto"/>
            </w:tcBorders>
            <w:gridSpan w:val="2"/>
            <w:shd w:val="clear" w:color="auto" w:fill="F7F7F7"/>
          </w:tcPr>
          <w:p>
            <w:pPr>
              <w:spacing w:after="0"/>
              <w:rPr>
                <w:sz w:val="20"/>
                <w:szCs w:val="20"/>
                <w:color w:val="auto"/>
              </w:rPr>
            </w:pPr>
            <w:r>
              <w:rPr>
                <w:rFonts w:ascii="Arial" w:cs="Arial" w:eastAsia="Arial" w:hAnsi="Arial"/>
                <w:sz w:val="14"/>
                <w:szCs w:val="14"/>
                <w:color w:val="auto"/>
              </w:rPr>
              <w:t>​ ​</w:t>
            </w:r>
          </w:p>
        </w:tc>
        <w:tc>
          <w:tcPr>
            <w:tcW w:w="60" w:type="dxa"/>
            <w:vAlign w:val="bottom"/>
            <w:tcBorders>
              <w:bottom w:val="single" w:sz="8" w:color="auto"/>
            </w:tcBorders>
            <w:shd w:val="clear" w:color="auto" w:fill="F7F7F7"/>
          </w:tcPr>
          <w:p>
            <w:pPr>
              <w:spacing w:after="0"/>
              <w:rPr>
                <w:sz w:val="24"/>
                <w:szCs w:val="24"/>
                <w:color w:val="auto"/>
              </w:rPr>
            </w:pPr>
          </w:p>
        </w:tc>
        <w:tc>
          <w:tcPr>
            <w:tcW w:w="1180" w:type="dxa"/>
            <w:vAlign w:val="bottom"/>
            <w:tcBorders>
              <w:bottom w:val="single" w:sz="8" w:color="auto"/>
            </w:tcBorders>
            <w:gridSpan w:val="3"/>
            <w:shd w:val="clear" w:color="auto" w:fill="F7F7F7"/>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​1,143,624,314</w:t>
            </w:r>
            <w:r>
              <w:rPr>
                <w:rFonts w:ascii="Arial" w:cs="Arial" w:eastAsia="Arial" w:hAnsi="Arial"/>
                <w:sz w:val="28"/>
                <w:szCs w:val="28"/>
                <w:color w:val="auto"/>
                <w:vertAlign w:val="subscript"/>
              </w:rPr>
              <w:t>​ ​</w:t>
            </w:r>
          </w:p>
        </w:tc>
        <w:tc>
          <w:tcPr>
            <w:tcW w:w="920" w:type="dxa"/>
            <w:vAlign w:val="bottom"/>
            <w:tcBorders>
              <w:bottom w:val="single" w:sz="8" w:color="auto"/>
            </w:tcBorders>
            <w:gridSpan w:val="4"/>
            <w:shd w:val="clear" w:color="auto" w:fill="F7F7F7"/>
          </w:tcPr>
          <w:p>
            <w:pPr>
              <w:jc w:val="right"/>
              <w:ind w:right="126"/>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​62.5% </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660"/>
        <w:spacing w:after="0"/>
        <w:rPr>
          <w:sz w:val="20"/>
          <w:szCs w:val="20"/>
          <w:color w:val="auto"/>
        </w:rPr>
      </w:pPr>
      <w:r>
        <w:rPr>
          <w:rFonts w:ascii="Arial" w:cs="Arial" w:eastAsia="Arial" w:hAnsi="Arial"/>
          <w:sz w:val="11"/>
          <w:szCs w:val="11"/>
          <w:color w:val="auto"/>
        </w:rPr>
        <w:t>* Less than 1%</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67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80" w:hanging="126"/>
        <w:spacing w:after="0"/>
        <w:tabs>
          <w:tab w:leader="none" w:pos="7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Unless otherwise noted, the business address of each of the following entities or individuals is c/o Lucid Group, Inc., 7373 Gateway Blvd., Newark, CA 94560.</w:t>
      </w:r>
    </w:p>
    <w:p>
      <w:pPr>
        <w:spacing w:after="0" w:line="74" w:lineRule="exact"/>
        <w:rPr>
          <w:rFonts w:ascii="Arial" w:cs="Arial" w:eastAsia="Arial" w:hAnsi="Arial"/>
          <w:sz w:val="15"/>
          <w:szCs w:val="15"/>
          <w:color w:val="auto"/>
          <w:vertAlign w:val="superscript"/>
        </w:rPr>
      </w:pPr>
    </w:p>
    <w:p>
      <w:pPr>
        <w:ind w:left="780" w:right="60" w:hanging="126"/>
        <w:spacing w:after="0" w:line="253" w:lineRule="auto"/>
        <w:tabs>
          <w:tab w:leader="none" w:pos="7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Based on the Schedule 13D/A filed with the SEC on December 28, 2022 by the Public Investment Fund of Saudi Arabia (“PIF”). According to the Schedule 13D/A, PIF has sole voting power over 8,041,393 shares of Common Stock held directly by PIF, shared voting power over 1,100,965,202 shares of Common Stock held by Ayar and sole dispositive power over 1,109,006,595 shares of Common Stock held either by PIF or Ayar. Ayar is a wholly owned subsidiary of PIF. The Board of Directors of PIF has dispositive power over the shares held by PIF and Ayar. Each of the Board of Directors of PIF, H.E. Al-Rumayyan and Turqi Alnowaiser has shared voting power over the shares held by Ayar. Neither H.E. 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do not include 4,654,595 shares of Common Stock held by H.E. Al-Rumayyan or 2,073,874 shares of Common Stock held by Mr. Alnowaiser. The business address for PIF and for H.E. Al-Rumayyan is Alr’idah Digital City, Building MU04, Al Nakhil District, P.O. Box 6847, Riyadh 11452, The Kingdom of Saudi Arabia.</w:t>
      </w:r>
    </w:p>
    <w:p>
      <w:pPr>
        <w:spacing w:after="0" w:line="197" w:lineRule="exact"/>
        <w:rPr>
          <w:rFonts w:ascii="Arial" w:cs="Arial" w:eastAsia="Arial" w:hAnsi="Arial"/>
          <w:sz w:val="15"/>
          <w:szCs w:val="15"/>
          <w:color w:val="auto"/>
          <w:vertAlign w:val="superscript"/>
        </w:rPr>
      </w:pPr>
    </w:p>
    <w:p>
      <w:pPr>
        <w:ind w:left="780" w:right="100" w:hanging="126"/>
        <w:spacing w:after="0" w:line="231" w:lineRule="auto"/>
        <w:tabs>
          <w:tab w:leader="none" w:pos="7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10,045,160 shares of Common Stock and 11,311,845 shares of Common Stock subject to option awards that are currently exercisable or exercisable within 60 days of February 15, 2023.</w:t>
      </w:r>
    </w:p>
    <w:p>
      <w:pPr>
        <w:spacing w:after="0" w:line="43"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142,600 shares of Common Stock.</w:t>
      </w:r>
    </w:p>
    <w:p>
      <w:pPr>
        <w:spacing w:after="0" w:line="87" w:lineRule="exact"/>
        <w:rPr>
          <w:rFonts w:ascii="Arial" w:cs="Arial" w:eastAsia="Arial" w:hAnsi="Arial"/>
          <w:sz w:val="15"/>
          <w:szCs w:val="15"/>
          <w:color w:val="auto"/>
          <w:vertAlign w:val="superscript"/>
        </w:rPr>
      </w:pPr>
    </w:p>
    <w:p>
      <w:pPr>
        <w:ind w:left="780" w:right="200" w:hanging="126"/>
        <w:spacing w:after="0" w:line="219" w:lineRule="auto"/>
        <w:tabs>
          <w:tab w:leader="none" w:pos="7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1,125,943 shares of Common Stock and 2,152,123 shares of Common Stock subject to option awards that are currently exercisable or exercisable within 60 days of February 15, 2023.</w:t>
      </w:r>
    </w:p>
    <w:p>
      <w:pPr>
        <w:spacing w:after="0" w:line="57"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460,850 shares of Common Stock.</w:t>
      </w:r>
    </w:p>
    <w:p>
      <w:pPr>
        <w:spacing w:after="0" w:line="87" w:lineRule="exact"/>
        <w:rPr>
          <w:rFonts w:ascii="Arial" w:cs="Arial" w:eastAsia="Arial" w:hAnsi="Arial"/>
          <w:sz w:val="15"/>
          <w:szCs w:val="15"/>
          <w:color w:val="auto"/>
          <w:vertAlign w:val="superscript"/>
        </w:rPr>
      </w:pPr>
    </w:p>
    <w:p>
      <w:pPr>
        <w:ind w:left="780" w:right="100" w:hanging="126"/>
        <w:spacing w:after="0" w:line="229" w:lineRule="auto"/>
        <w:tabs>
          <w:tab w:leader="none" w:pos="7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(i) 2,073,874 shares of Common Stock held by Mr. Alnowaiser and (ii) 1,100,965,202 shares of Common Stock held by Ayar. Mr. Alnowaiser, who is Deputy Governor and Head of the International Investments Division of PIF, has shared voting power with respect to the shares held by Ayar and has no pecuniary interest in and disclaims beneficial ownership of such shares. See note (2) above.</w:t>
      </w:r>
    </w:p>
    <w:p>
      <w:pPr>
        <w:spacing w:after="0" w:line="88" w:lineRule="exact"/>
        <w:rPr>
          <w:rFonts w:ascii="Arial" w:cs="Arial" w:eastAsia="Arial" w:hAnsi="Arial"/>
          <w:sz w:val="15"/>
          <w:szCs w:val="15"/>
          <w:color w:val="auto"/>
          <w:vertAlign w:val="superscript"/>
        </w:rPr>
      </w:pPr>
    </w:p>
    <w:p>
      <w:pPr>
        <w:jc w:val="both"/>
        <w:ind w:left="780" w:right="140" w:hanging="126"/>
        <w:spacing w:after="0"/>
        <w:tabs>
          <w:tab w:leader="none" w:pos="7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(i) 3,736 shares of Common Stock held by Mr. August and (ii) 7,000,000 shares of Common Stock and 6,858,574 shares of Common Stock issuable upon exercise of warrants to purchase shares of Common Stock held by OHA Partner Global Co-Investment III, LLP (“OHA PGCI3”). Mr. August has investment control over OHA PGCI3 and may be deemed to be a beneficial owner of such shares and warrants held by OHA PGCI3. The business address for OHA PGCI3 is OHA PGCI3, c/o Oak Hill Advisors, L.P., 1 Vanderbilt Avenue 16</w:t>
      </w:r>
      <w:r>
        <w:rPr>
          <w:rFonts w:ascii="Arial" w:cs="Arial" w:eastAsia="Arial" w:hAnsi="Arial"/>
          <w:sz w:val="15"/>
          <w:szCs w:val="15"/>
          <w:color w:val="auto"/>
          <w:vertAlign w:val="superscript"/>
        </w:rPr>
        <w:t>th</w:t>
      </w:r>
      <w:r>
        <w:rPr>
          <w:rFonts w:ascii="Arial" w:cs="Arial" w:eastAsia="Arial" w:hAnsi="Arial"/>
          <w:sz w:val="10"/>
          <w:szCs w:val="10"/>
          <w:color w:val="auto"/>
        </w:rPr>
        <w:t xml:space="preserve"> Floor, NYC, NY 10017.</w:t>
      </w:r>
    </w:p>
    <w:p>
      <w:pPr>
        <w:spacing w:after="0" w:line="130" w:lineRule="exact"/>
        <w:rPr>
          <w:rFonts w:ascii="Arial" w:cs="Arial" w:eastAsia="Arial" w:hAnsi="Arial"/>
          <w:sz w:val="15"/>
          <w:szCs w:val="15"/>
          <w:color w:val="auto"/>
          <w:vertAlign w:val="superscript"/>
        </w:rPr>
      </w:pPr>
    </w:p>
    <w:p>
      <w:pPr>
        <w:ind w:left="780" w:hanging="126"/>
        <w:spacing w:after="0"/>
        <w:tabs>
          <w:tab w:leader="none" w:pos="780" w:val="left"/>
        </w:tabs>
        <w:numPr>
          <w:ilvl w:val="0"/>
          <w:numId w:val="53"/>
        </w:numPr>
        <w:rPr>
          <w:rFonts w:ascii="Arial" w:cs="Arial" w:eastAsia="Arial" w:hAnsi="Arial"/>
          <w:sz w:val="15"/>
          <w:szCs w:val="15"/>
          <w:color w:val="auto"/>
          <w:vertAlign w:val="superscript"/>
        </w:rPr>
      </w:pPr>
      <w:r>
        <w:rPr>
          <w:rFonts w:ascii="Arial" w:cs="Arial" w:eastAsia="Arial" w:hAnsi="Arial"/>
          <w:sz w:val="10"/>
          <w:szCs w:val="10"/>
          <w:color w:val="auto"/>
        </w:rPr>
        <w:t>Interests shown consist of 128,736 shares of Common Stock.</w:t>
      </w:r>
    </w:p>
    <w:p>
      <w:pPr>
        <w:spacing w:after="0" w:line="66" w:lineRule="exact"/>
        <w:rPr>
          <w:rFonts w:ascii="Arial" w:cs="Arial" w:eastAsia="Arial" w:hAnsi="Arial"/>
          <w:sz w:val="15"/>
          <w:szCs w:val="15"/>
          <w:color w:val="auto"/>
          <w:vertAlign w:val="superscript"/>
        </w:rPr>
      </w:pPr>
    </w:p>
    <w:p>
      <w:pPr>
        <w:ind w:left="820" w:hanging="166"/>
        <w:spacing w:after="0"/>
        <w:tabs>
          <w:tab w:leader="none" w:pos="820" w:val="left"/>
        </w:tabs>
        <w:numPr>
          <w:ilvl w:val="0"/>
          <w:numId w:val="53"/>
        </w:numPr>
        <w:rPr>
          <w:rFonts w:ascii="Arial" w:cs="Arial" w:eastAsia="Arial" w:hAnsi="Arial"/>
          <w:sz w:val="13"/>
          <w:szCs w:val="13"/>
          <w:color w:val="auto"/>
          <w:vertAlign w:val="superscript"/>
        </w:rPr>
      </w:pPr>
      <w:r>
        <w:rPr>
          <w:rFonts w:ascii="Arial" w:cs="Arial" w:eastAsia="Arial" w:hAnsi="Arial"/>
          <w:sz w:val="9"/>
          <w:szCs w:val="9"/>
          <w:color w:val="auto"/>
        </w:rPr>
        <w:t>Interests shown consist of 3,736 shares of Common Stock.</w:t>
      </w:r>
    </w:p>
    <w:p>
      <w:pPr>
        <w:spacing w:after="0" w:line="87" w:lineRule="exact"/>
        <w:rPr>
          <w:rFonts w:ascii="Arial" w:cs="Arial" w:eastAsia="Arial" w:hAnsi="Arial"/>
          <w:sz w:val="13"/>
          <w:szCs w:val="13"/>
          <w:color w:val="auto"/>
          <w:vertAlign w:val="superscript"/>
        </w:rPr>
      </w:pPr>
    </w:p>
    <w:p>
      <w:pPr>
        <w:jc w:val="both"/>
        <w:ind w:left="820" w:right="140" w:hanging="166"/>
        <w:spacing w:after="0" w:line="266" w:lineRule="auto"/>
        <w:tabs>
          <w:tab w:leader="none" w:pos="820" w:val="left"/>
        </w:tabs>
        <w:numPr>
          <w:ilvl w:val="0"/>
          <w:numId w:val="53"/>
        </w:numPr>
        <w:rPr>
          <w:rFonts w:ascii="Arial" w:cs="Arial" w:eastAsia="Arial" w:hAnsi="Arial"/>
          <w:sz w:val="13"/>
          <w:szCs w:val="13"/>
          <w:color w:val="auto"/>
          <w:vertAlign w:val="superscript"/>
        </w:rPr>
      </w:pPr>
      <w:r>
        <w:rPr>
          <w:rFonts w:ascii="Arial" w:cs="Arial" w:eastAsia="Arial" w:hAnsi="Arial"/>
          <w:sz w:val="9"/>
          <w:szCs w:val="9"/>
          <w:color w:val="auto"/>
        </w:rPr>
        <w:t>Interests shown consist of  (i) 539,011 shares of Common Stock held by Mr. Liveris and (ii) 400,000 shares of Common Stock and 363,347 shares of Common Stock issuable upon exercise of warrants to purchase shares of Common Stock held by Liveris Capital Partners LLC. Mr. Liveris has investment control over Liveris Capital Partners and disclaims beneficial ownership of such shares and warrants held by Liveris Capital Partners LLC. The business address for Liveris Capital Partners LLC is c/o BDO 225 N E Mizner Blvd, Suite 685, Boca Raton, FL 33432.</w:t>
      </w:r>
    </w:p>
    <w:p>
      <w:pPr>
        <w:spacing w:after="0" w:line="69" w:lineRule="exact"/>
        <w:rPr>
          <w:rFonts w:ascii="Arial" w:cs="Arial" w:eastAsia="Arial" w:hAnsi="Arial"/>
          <w:sz w:val="13"/>
          <w:szCs w:val="13"/>
          <w:color w:val="auto"/>
          <w:vertAlign w:val="superscript"/>
        </w:rPr>
      </w:pPr>
    </w:p>
    <w:p>
      <w:pPr>
        <w:ind w:left="820" w:hanging="166"/>
        <w:spacing w:after="0"/>
        <w:tabs>
          <w:tab w:leader="none" w:pos="820" w:val="left"/>
        </w:tabs>
        <w:numPr>
          <w:ilvl w:val="0"/>
          <w:numId w:val="53"/>
        </w:numPr>
        <w:rPr>
          <w:rFonts w:ascii="Arial" w:cs="Arial" w:eastAsia="Arial" w:hAnsi="Arial"/>
          <w:sz w:val="13"/>
          <w:szCs w:val="13"/>
          <w:color w:val="auto"/>
          <w:vertAlign w:val="superscript"/>
        </w:rPr>
      </w:pPr>
      <w:r>
        <w:rPr>
          <w:rFonts w:ascii="Arial" w:cs="Arial" w:eastAsia="Arial" w:hAnsi="Arial"/>
          <w:sz w:val="9"/>
          <w:szCs w:val="9"/>
          <w:color w:val="auto"/>
        </w:rPr>
        <w:t>Interests shown consist of 3,736 shares of Common Stock.</w:t>
      </w:r>
    </w:p>
    <w:p>
      <w:pPr>
        <w:spacing w:after="0" w:line="80" w:lineRule="exact"/>
        <w:rPr>
          <w:rFonts w:ascii="Arial" w:cs="Arial" w:eastAsia="Arial" w:hAnsi="Arial"/>
          <w:sz w:val="13"/>
          <w:szCs w:val="13"/>
          <w:color w:val="auto"/>
          <w:vertAlign w:val="superscript"/>
        </w:rPr>
      </w:pPr>
    </w:p>
    <w:p>
      <w:pPr>
        <w:ind w:left="820" w:hanging="166"/>
        <w:spacing w:after="0"/>
        <w:tabs>
          <w:tab w:leader="none" w:pos="820" w:val="left"/>
        </w:tabs>
        <w:numPr>
          <w:ilvl w:val="0"/>
          <w:numId w:val="53"/>
        </w:numPr>
        <w:rPr>
          <w:rFonts w:ascii="Arial" w:cs="Arial" w:eastAsia="Arial" w:hAnsi="Arial"/>
          <w:sz w:val="13"/>
          <w:szCs w:val="13"/>
          <w:color w:val="auto"/>
          <w:vertAlign w:val="superscript"/>
        </w:rPr>
      </w:pPr>
      <w:r>
        <w:rPr>
          <w:rFonts w:ascii="Arial" w:cs="Arial" w:eastAsia="Arial" w:hAnsi="Arial"/>
          <w:sz w:val="9"/>
          <w:szCs w:val="9"/>
          <w:color w:val="auto"/>
        </w:rPr>
        <w:t>Interests shown consist of 42,105 shares of Common Stock.</w:t>
      </w:r>
    </w:p>
    <w:p>
      <w:pPr>
        <w:spacing w:after="0" w:line="66" w:lineRule="exact"/>
        <w:rPr>
          <w:rFonts w:ascii="Arial" w:cs="Arial" w:eastAsia="Arial" w:hAnsi="Arial"/>
          <w:sz w:val="13"/>
          <w:szCs w:val="13"/>
          <w:color w:val="auto"/>
          <w:vertAlign w:val="superscript"/>
        </w:rPr>
      </w:pPr>
    </w:p>
    <w:p>
      <w:pPr>
        <w:ind w:left="820" w:hanging="166"/>
        <w:spacing w:after="0"/>
        <w:tabs>
          <w:tab w:leader="none" w:pos="820" w:val="left"/>
        </w:tabs>
        <w:numPr>
          <w:ilvl w:val="0"/>
          <w:numId w:val="53"/>
        </w:numPr>
        <w:rPr>
          <w:rFonts w:ascii="Arial" w:cs="Arial" w:eastAsia="Arial" w:hAnsi="Arial"/>
          <w:sz w:val="13"/>
          <w:szCs w:val="13"/>
          <w:color w:val="auto"/>
          <w:vertAlign w:val="superscript"/>
        </w:rPr>
      </w:pPr>
      <w:r>
        <w:rPr>
          <w:rFonts w:ascii="Arial" w:cs="Arial" w:eastAsia="Arial" w:hAnsi="Arial"/>
          <w:sz w:val="9"/>
          <w:szCs w:val="9"/>
          <w:color w:val="auto"/>
        </w:rPr>
        <w:t>Interests shown consist of 3,736 shares of Common Stock.</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​68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Certain Relationships and Related Party Transactions</w:t>
      </w:r>
    </w:p>
    <w:p>
      <w:pPr>
        <w:spacing w:after="0" w:line="386" w:lineRule="exact"/>
        <w:rPr>
          <w:sz w:val="20"/>
          <w:szCs w:val="20"/>
          <w:color w:val="auto"/>
        </w:rPr>
      </w:pPr>
    </w:p>
    <w:p>
      <w:pPr>
        <w:ind w:left="660" w:right="100"/>
        <w:spacing w:after="0" w:line="304" w:lineRule="auto"/>
        <w:rPr>
          <w:sz w:val="20"/>
          <w:szCs w:val="20"/>
          <w:color w:val="auto"/>
        </w:rPr>
      </w:pPr>
      <w:r>
        <w:rPr>
          <w:rFonts w:ascii="Arial" w:cs="Arial" w:eastAsia="Arial" w:hAnsi="Arial"/>
          <w:sz w:val="16"/>
          <w:szCs w:val="16"/>
          <w:color w:val="auto"/>
        </w:rPr>
        <w:t>We describe below transactions and series of similar transactions, since the beginning of our last fiscal year or currently proposed, to which we were a party or will be a party, in which:</w:t>
      </w:r>
    </w:p>
    <w:p>
      <w:pPr>
        <w:spacing w:after="0" w:line="87" w:lineRule="exact"/>
        <w:rPr>
          <w:sz w:val="20"/>
          <w:szCs w:val="20"/>
          <w:color w:val="auto"/>
        </w:rPr>
      </w:pPr>
    </w:p>
    <w:p>
      <w:pPr>
        <w:ind w:left="820" w:hanging="166"/>
        <w:spacing w:after="0"/>
        <w:tabs>
          <w:tab w:leader="none" w:pos="820" w:val="left"/>
        </w:tabs>
        <w:numPr>
          <w:ilvl w:val="0"/>
          <w:numId w:val="54"/>
        </w:numPr>
        <w:rPr>
          <w:rFonts w:ascii="Arial" w:cs="Arial" w:eastAsia="Arial" w:hAnsi="Arial"/>
          <w:sz w:val="16"/>
          <w:szCs w:val="16"/>
          <w:color w:val="8A6B24"/>
        </w:rPr>
      </w:pPr>
      <w:r>
        <w:rPr>
          <w:rFonts w:ascii="Arial" w:cs="Arial" w:eastAsia="Arial" w:hAnsi="Arial"/>
          <w:sz w:val="16"/>
          <w:szCs w:val="16"/>
          <w:color w:val="auto"/>
        </w:rPr>
        <w:t>the amounts involved exceeds $120,000; and</w:t>
      </w:r>
    </w:p>
    <w:p>
      <w:pPr>
        <w:spacing w:after="0" w:line="167" w:lineRule="exact"/>
        <w:rPr>
          <w:rFonts w:ascii="Arial" w:cs="Arial" w:eastAsia="Arial" w:hAnsi="Arial"/>
          <w:sz w:val="16"/>
          <w:szCs w:val="16"/>
          <w:color w:val="8A6B24"/>
        </w:rPr>
      </w:pPr>
    </w:p>
    <w:p>
      <w:pPr>
        <w:ind w:left="820" w:right="180" w:hanging="166"/>
        <w:spacing w:after="0" w:line="321" w:lineRule="auto"/>
        <w:tabs>
          <w:tab w:leader="none" w:pos="820" w:val="left"/>
        </w:tabs>
        <w:numPr>
          <w:ilvl w:val="0"/>
          <w:numId w:val="54"/>
        </w:numPr>
        <w:rPr>
          <w:rFonts w:ascii="Arial" w:cs="Arial" w:eastAsia="Arial" w:hAnsi="Arial"/>
          <w:sz w:val="16"/>
          <w:szCs w:val="16"/>
          <w:color w:val="8A6B24"/>
        </w:rPr>
      </w:pPr>
      <w:r>
        <w:rPr>
          <w:rFonts w:ascii="Arial" w:cs="Arial" w:eastAsia="Arial" w:hAnsi="Arial"/>
          <w:sz w:val="16"/>
          <w:szCs w:val="16"/>
          <w:color w:val="auto"/>
        </w:rPr>
        <w:t>any of our directors, director nominees executive officers or beneficial holders of more than 5% of any class of our capital stock had or will have a direct or indirect material interest.</w:t>
      </w:r>
    </w:p>
    <w:p>
      <w:pPr>
        <w:spacing w:after="0" w:line="142" w:lineRule="exact"/>
        <w:rPr>
          <w:sz w:val="20"/>
          <w:szCs w:val="20"/>
          <w:color w:val="auto"/>
        </w:rPr>
      </w:pPr>
    </w:p>
    <w:p>
      <w:pPr>
        <w:ind w:left="660" w:right="320"/>
        <w:spacing w:after="0" w:line="304" w:lineRule="auto"/>
        <w:rPr>
          <w:sz w:val="20"/>
          <w:szCs w:val="20"/>
          <w:color w:val="auto"/>
        </w:rPr>
      </w:pPr>
      <w:r>
        <w:rPr>
          <w:rFonts w:ascii="Arial" w:cs="Arial" w:eastAsia="Arial" w:hAnsi="Arial"/>
          <w:sz w:val="16"/>
          <w:szCs w:val="16"/>
          <w:color w:val="auto"/>
        </w:rPr>
        <w:t>Compensation arrangements are described where required under the sections entitled “Director Compensation” and “Executive Compensation.”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Professional Services Contract</w:t>
      </w:r>
    </w:p>
    <w:p>
      <w:pPr>
        <w:spacing w:after="0" w:line="185" w:lineRule="exact"/>
        <w:rPr>
          <w:sz w:val="20"/>
          <w:szCs w:val="20"/>
          <w:color w:val="auto"/>
        </w:rPr>
      </w:pPr>
    </w:p>
    <w:p>
      <w:pPr>
        <w:ind w:left="660" w:right="200"/>
        <w:spacing w:after="0" w:line="283" w:lineRule="auto"/>
        <w:rPr>
          <w:sz w:val="20"/>
          <w:szCs w:val="20"/>
          <w:color w:val="auto"/>
        </w:rPr>
      </w:pPr>
      <w:r>
        <w:rPr>
          <w:rFonts w:ascii="Arial" w:cs="Arial" w:eastAsia="Arial" w:hAnsi="Arial"/>
          <w:sz w:val="16"/>
          <w:szCs w:val="16"/>
          <w:color w:val="auto"/>
        </w:rPr>
        <w:t>On July 14, 2021, a subsidiary of our predecessor, Atieva, entered into a master services agreement with Emdad Al Khebrat Limited Company (“Emdad”), an entity wholly owned by the PIF, the parent entity of Ayar, our controlling stockholder. Pursuant to the agreement, Emdad provided direct hire and contractor staffing services to us. We made payments of approximately $155,339 in 2022.</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Public Investment Fund Internship Agreement</w:t>
      </w:r>
    </w:p>
    <w:p>
      <w:pPr>
        <w:spacing w:after="0" w:line="185" w:lineRule="exact"/>
        <w:rPr>
          <w:sz w:val="20"/>
          <w:szCs w:val="20"/>
          <w:color w:val="auto"/>
        </w:rPr>
      </w:pPr>
    </w:p>
    <w:p>
      <w:pPr>
        <w:ind w:left="660" w:right="140"/>
        <w:spacing w:after="0" w:line="283" w:lineRule="auto"/>
        <w:rPr>
          <w:sz w:val="20"/>
          <w:szCs w:val="20"/>
          <w:color w:val="auto"/>
        </w:rPr>
      </w:pPr>
      <w:r>
        <w:rPr>
          <w:rFonts w:ascii="Arial" w:cs="Arial" w:eastAsia="Arial" w:hAnsi="Arial"/>
          <w:sz w:val="16"/>
          <w:szCs w:val="16"/>
          <w:color w:val="auto"/>
        </w:rPr>
        <w:t>On July 26, 2021, we entered into an agreement with PIF to implement a recruitment and talent development program pursuant to which we agreed to evaluate, employ and train participants nominated by PIF during six-month internships, and PIF agreed to reimburse us for expenses related to participant wages, visa fees, medical insurance, airfare and housing incurred by us. We expect to be reimbursed by PIF in an aggregate amount of approximately $1.0 million for fees incurred in 2022.</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Financial Advisor</w:t>
      </w:r>
    </w:p>
    <w:p>
      <w:pPr>
        <w:spacing w:after="0" w:line="185" w:lineRule="exact"/>
        <w:rPr>
          <w:sz w:val="20"/>
          <w:szCs w:val="20"/>
          <w:color w:val="auto"/>
        </w:rPr>
      </w:pPr>
    </w:p>
    <w:p>
      <w:pPr>
        <w:ind w:left="660" w:right="180"/>
        <w:spacing w:after="0" w:line="276" w:lineRule="auto"/>
        <w:rPr>
          <w:sz w:val="20"/>
          <w:szCs w:val="20"/>
          <w:color w:val="auto"/>
        </w:rPr>
      </w:pPr>
      <w:r>
        <w:rPr>
          <w:rFonts w:ascii="Arial" w:cs="Arial" w:eastAsia="Arial" w:hAnsi="Arial"/>
          <w:sz w:val="16"/>
          <w:szCs w:val="16"/>
          <w:color w:val="auto"/>
        </w:rPr>
        <w:t>On December 2, 2021, we entered into an engagement letter with The Klein Group, LLC (the “Klein Group”), an affiliate of the Sponsor, pursuant to which we engaged the Klein Group for financial advisory services. Pursuant to the engagement letter, we agreed to pay the Klein Group a quarterly retainer fee of  $300,000. In addition, if we conduct certain capital markets financings during the terms of the engagement, we agreed to pay the Klein Group a fee that is the lesser of  (i) 50% of the total fees payable to the “lead left” investment bank engaged in connection with such financing or (ii) 15% of total fees paid in aggregate to the underwriting syndicate in connection with such financing. Pursuant to the engagement letter, we have incurred aggregate fees of approximately $1.3 million for the year ended 2022. Klein Group ceased to be a related person in January 2023.</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Saudi Arabia Manufacturing Facility Lease</w:t>
      </w:r>
    </w:p>
    <w:p>
      <w:pPr>
        <w:spacing w:after="0" w:line="185" w:lineRule="exact"/>
        <w:rPr>
          <w:sz w:val="20"/>
          <w:szCs w:val="20"/>
          <w:color w:val="auto"/>
        </w:rPr>
      </w:pPr>
    </w:p>
    <w:p>
      <w:pPr>
        <w:jc w:val="both"/>
        <w:ind w:left="660" w:right="220"/>
        <w:spacing w:after="0" w:line="283" w:lineRule="auto"/>
        <w:rPr>
          <w:sz w:val="20"/>
          <w:szCs w:val="20"/>
          <w:color w:val="auto"/>
        </w:rPr>
      </w:pPr>
      <w:r>
        <w:rPr>
          <w:rFonts w:ascii="Arial" w:cs="Arial" w:eastAsia="Arial" w:hAnsi="Arial"/>
          <w:sz w:val="16"/>
          <w:szCs w:val="16"/>
          <w:color w:val="auto"/>
        </w:rPr>
        <w:t>On February 27, 2022, we announced that we selected King Abdullah Economic City (“KAEC”) in Saudi Arabia as the location of our first international manufacturing plant and, through our subsidiary, entered into a development lease agreement with Emaar, The Economic City (“Emaar”) at KAEC. PIF owns an approximately 25% interest in Emaar, the developer of KAEC. We expect to make payments under the agreement in the aggregate amount of approximately $30 million.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Gulf International Bank Facility Agreement</w:t>
      </w:r>
    </w:p>
    <w:p>
      <w:pPr>
        <w:spacing w:after="0" w:line="185" w:lineRule="exact"/>
        <w:rPr>
          <w:sz w:val="20"/>
          <w:szCs w:val="20"/>
          <w:color w:val="auto"/>
        </w:rPr>
      </w:pPr>
    </w:p>
    <w:p>
      <w:pPr>
        <w:ind w:left="660" w:right="60"/>
        <w:spacing w:after="0" w:line="272" w:lineRule="auto"/>
        <w:rPr>
          <w:sz w:val="20"/>
          <w:szCs w:val="20"/>
          <w:color w:val="auto"/>
        </w:rPr>
      </w:pPr>
      <w:r>
        <w:rPr>
          <w:rFonts w:ascii="Arial" w:cs="Arial" w:eastAsia="Arial" w:hAnsi="Arial"/>
          <w:sz w:val="16"/>
          <w:szCs w:val="16"/>
          <w:color w:val="auto"/>
        </w:rPr>
        <w:t>On April 29, 2022, our subsidiary Lucid LLC entered into a revolving credit facility agreement (the “GIB Facility Agreement”) with Gulf International Bank Saudi Arabia (“GIB”), maturing on February 28, 2025. PIF owns an approximately 98% interest in GIB. The GIB Facility Agreement provides for two committed revolving credit facilities in an aggregate principal amount of SAR 1 billion (approximately $266.1 million). SAR 650 million (approximately $173.0 million) under the GIB Facility Agreement is available as bridge financing (the “Bridge Facility”) of Lucid LLC’s capital expenditures in connection with our Advanced Manufacturing Plant 2 in Saudi Arabia (“AMP-2”). The remaining SAR 350 million (approximately $93.1 million) may be used for general corporate purposes (the “Working Capital Facility”). Loans under the Bridge Facility and the Working Capital Facility will have a maturity of no more than 12 months. The Bridge Facility will bear interest at a rate of 1.25% per annum over 3-month SAIBOR and the Working Capital Facility will bear interest at a rate of 1.70% per annum over 1- to 3-month SAIBOR and associated fees. We are required to pay a quarterly commitment fee of 0.15% per annum based on the unutilized portion of the GIB Credit Facility. Commitments under the GIB Facility Agreement will terminate, and all amounts then outstanding thereunder will become payable, on the maturity date of the GIB Facility Agreement. The GIB Facility Agreement contains certain conditions precedent to drawdowns,</w:t>
      </w:r>
    </w:p>
    <w:p>
      <w:pPr>
        <w:sectPr>
          <w:pgSz w:w="11900" w:h="16838" w:orient="portrait"/>
          <w:cols w:equalWidth="0" w:num="1">
            <w:col w:w="10080"/>
          </w:cols>
          <w:pgMar w:left="580" w:top="97" w:right="1239" w:bottom="1440" w:gutter="0" w:footer="0" w:header="0"/>
        </w:sectPr>
      </w:pPr>
    </w:p>
    <w:p>
      <w:pPr>
        <w:spacing w:after="0" w:line="396"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69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360"/>
        <w:spacing w:after="0" w:line="293" w:lineRule="auto"/>
        <w:rPr>
          <w:sz w:val="20"/>
          <w:szCs w:val="20"/>
          <w:color w:val="auto"/>
        </w:rPr>
      </w:pPr>
      <w:r>
        <w:rPr>
          <w:rFonts w:ascii="Arial" w:cs="Arial" w:eastAsia="Arial" w:hAnsi="Arial"/>
          <w:sz w:val="16"/>
          <w:szCs w:val="16"/>
          <w:color w:val="auto"/>
        </w:rPr>
        <w:t>representations and warranties and covenants of Lucid LLC and events of default. The largest aggregate amount of principal outstanding under the GIB Facility Agreement during fiscal year 2022 was SAR 51 million (approximately $13.6 million). During fiscal year 2022, we repaid SAR 40 million (approximately $10.6 million) of principal and SAR 0.9 million (approximately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$0.3 million) of interest under the GIB Facility Agreement. As of December 31, 2022, we had outstanding borrowings of SAR</w:t>
      </w:r>
    </w:p>
    <w:p>
      <w:pPr>
        <w:spacing w:after="0" w:line="32" w:lineRule="exact"/>
        <w:rPr>
          <w:sz w:val="20"/>
          <w:szCs w:val="20"/>
          <w:color w:val="auto"/>
        </w:rPr>
      </w:pPr>
    </w:p>
    <w:p>
      <w:pPr>
        <w:ind w:left="660" w:right="100"/>
        <w:spacing w:after="0" w:line="294" w:lineRule="auto"/>
        <w:rPr>
          <w:sz w:val="20"/>
          <w:szCs w:val="20"/>
          <w:color w:val="auto"/>
        </w:rPr>
      </w:pPr>
      <w:r>
        <w:rPr>
          <w:rFonts w:ascii="Arial" w:cs="Arial" w:eastAsia="Arial" w:hAnsi="Arial"/>
          <w:sz w:val="16"/>
          <w:szCs w:val="16"/>
          <w:color w:val="auto"/>
        </w:rPr>
        <w:t>36 million (approximately $9.6 million) with interest rate of 6.40% from the Working Capital Facility. As of December 31, 2022, available borrowings are SAR 650 million (approximately $173.0 million) and SAR 314 million (approximately $83.5 million) under the Bridge Facility and Working Capital Facility, respectively. Lucid LLC is expecting to enter into an amendment of the GIB Facility Agreement to combine the Bridge Facility and the Working Capital Facility into a committed SAR 1 billion (approximately</w:t>
      </w:r>
    </w:p>
    <w:p>
      <w:pPr>
        <w:spacing w:after="0" w:line="3" w:lineRule="exact"/>
        <w:rPr>
          <w:sz w:val="20"/>
          <w:szCs w:val="20"/>
          <w:color w:val="auto"/>
        </w:rPr>
      </w:pPr>
    </w:p>
    <w:p>
      <w:pPr>
        <w:ind w:left="660" w:right="380"/>
        <w:spacing w:after="0" w:line="339" w:lineRule="auto"/>
        <w:rPr>
          <w:sz w:val="20"/>
          <w:szCs w:val="20"/>
          <w:color w:val="auto"/>
        </w:rPr>
      </w:pPr>
      <w:r>
        <w:rPr>
          <w:rFonts w:ascii="Arial" w:cs="Arial" w:eastAsia="Arial" w:hAnsi="Arial"/>
          <w:sz w:val="16"/>
          <w:szCs w:val="16"/>
          <w:color w:val="auto"/>
        </w:rPr>
        <w:t>$266.1 million) revolving credit facility, which will bear interest at a rate of 1.4% per annum over SAIBOR (based on the term of borrowing) and associated fees.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Construction Service Contract</w:t>
      </w:r>
    </w:p>
    <w:p>
      <w:pPr>
        <w:spacing w:after="0" w:line="185" w:lineRule="exact"/>
        <w:rPr>
          <w:sz w:val="20"/>
          <w:szCs w:val="20"/>
          <w:color w:val="auto"/>
        </w:rPr>
      </w:pPr>
    </w:p>
    <w:p>
      <w:pPr>
        <w:ind w:left="660" w:right="280"/>
        <w:spacing w:after="0" w:line="304" w:lineRule="auto"/>
        <w:rPr>
          <w:sz w:val="20"/>
          <w:szCs w:val="20"/>
          <w:color w:val="auto"/>
        </w:rPr>
      </w:pPr>
      <w:r>
        <w:rPr>
          <w:rFonts w:ascii="Arial" w:cs="Arial" w:eastAsia="Arial" w:hAnsi="Arial"/>
          <w:sz w:val="16"/>
          <w:szCs w:val="16"/>
          <w:color w:val="auto"/>
        </w:rPr>
        <w:t>On July 1, 2022, Lucid LLC entered into a master services agreement and related agreements with Al Bawani Company Limited (“Al Bawani”) for certain design and construction services in connection with the development of AMP-2. PIF owns an approximately 30% interest in Al Bawani. The capital expenditures incurred under these agreements were SAR 109.5 million (approximately $29.1 million) for fiscal year 2022. Amounts due to Al Bawani under these agreements were SAR 42.1 million (approximately $11.2 million) as of December 31, 2022.</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Subscription Agreement</w:t>
      </w:r>
    </w:p>
    <w:p>
      <w:pPr>
        <w:spacing w:after="0" w:line="199" w:lineRule="exact"/>
        <w:rPr>
          <w:sz w:val="20"/>
          <w:szCs w:val="20"/>
          <w:color w:val="auto"/>
        </w:rPr>
      </w:pPr>
    </w:p>
    <w:p>
      <w:pPr>
        <w:ind w:left="660" w:right="80"/>
        <w:spacing w:after="0" w:line="300" w:lineRule="auto"/>
        <w:rPr>
          <w:sz w:val="20"/>
          <w:szCs w:val="20"/>
          <w:color w:val="auto"/>
        </w:rPr>
      </w:pPr>
      <w:r>
        <w:rPr>
          <w:rFonts w:ascii="Arial" w:cs="Arial" w:eastAsia="Arial" w:hAnsi="Arial"/>
          <w:sz w:val="16"/>
          <w:szCs w:val="16"/>
          <w:color w:val="auto"/>
        </w:rPr>
        <w:t>On November 8, 2022, we entered into a subscription agreement (the “Subscription Agreement”) with Ayar, pursuant to which Ayar agreed to purchase from us up to $915.0 million of shares of our Common Stock in one or more private placements through March 31, 2023. In December 2022, we issued 85,712,679 shares to Ayar pursuant to the Subscription Agreement at a weighted average price per share of  $10.68, and received aggregate proceeds of  $915.0 million. Ayar has agreed not to sell, transfer, pledge or otherwise dispose of shares of Common Stock they hold or receive for a period of six months after the date of any private placement.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Amendment to Investor Rights Agreement</w:t>
      </w:r>
    </w:p>
    <w:p>
      <w:pPr>
        <w:spacing w:after="0" w:line="185" w:lineRule="exact"/>
        <w:rPr>
          <w:sz w:val="20"/>
          <w:szCs w:val="20"/>
          <w:color w:val="auto"/>
        </w:rPr>
      </w:pPr>
    </w:p>
    <w:p>
      <w:pPr>
        <w:ind w:left="660" w:right="180"/>
        <w:spacing w:after="0" w:line="319" w:lineRule="auto"/>
        <w:rPr>
          <w:sz w:val="20"/>
          <w:szCs w:val="20"/>
          <w:color w:val="auto"/>
        </w:rPr>
      </w:pPr>
      <w:r>
        <w:rPr>
          <w:rFonts w:ascii="Arial" w:cs="Arial" w:eastAsia="Arial" w:hAnsi="Arial"/>
          <w:sz w:val="16"/>
          <w:szCs w:val="16"/>
          <w:color w:val="auto"/>
        </w:rPr>
        <w:t>On November 8, 2022, we entered into an amendment to the Investor Rights Agreement (the “IRA Amendment”). Pursuant to the IRA Amendment, Ayar is entitled to certain registration rights, including demand, piggy-back and shelf registration rights, with respect to the shares of Common Stock Ayar purchased pursuant to the Subscription Agreement.</w:t>
      </w:r>
    </w:p>
    <w:p>
      <w:pPr>
        <w:spacing w:after="0" w:line="157" w:lineRule="exact"/>
        <w:rPr>
          <w:sz w:val="20"/>
          <w:szCs w:val="20"/>
          <w:color w:val="auto"/>
        </w:rPr>
      </w:pPr>
    </w:p>
    <w:p>
      <w:pPr>
        <w:ind w:left="660" w:right="100"/>
        <w:spacing w:after="0" w:line="306" w:lineRule="auto"/>
        <w:rPr>
          <w:sz w:val="20"/>
          <w:szCs w:val="20"/>
          <w:color w:val="auto"/>
        </w:rPr>
      </w:pPr>
      <w:r>
        <w:rPr>
          <w:rFonts w:ascii="Arial" w:cs="Arial" w:eastAsia="Arial" w:hAnsi="Arial"/>
          <w:sz w:val="16"/>
          <w:szCs w:val="16"/>
          <w:color w:val="auto"/>
        </w:rPr>
        <w:t>In addition, if we commence certain equity and equity-linked offerings, we have agreed to provide Ayar with advance notice and an opportunity to participate as a purchaser in such offering or in a private placement substantially concurrent with such offering, subject to certain conditions. This provision will automatically terminate after such time as Ayar ceases to own at least 40% of the our outstanding Common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Connectivity Services Agreement</w:t>
      </w:r>
    </w:p>
    <w:p>
      <w:pPr>
        <w:spacing w:after="0" w:line="199" w:lineRule="exact"/>
        <w:rPr>
          <w:sz w:val="20"/>
          <w:szCs w:val="20"/>
          <w:color w:val="auto"/>
        </w:rPr>
      </w:pPr>
    </w:p>
    <w:p>
      <w:pPr>
        <w:ind w:left="660" w:right="180"/>
        <w:spacing w:after="0" w:line="306" w:lineRule="auto"/>
        <w:rPr>
          <w:sz w:val="20"/>
          <w:szCs w:val="20"/>
          <w:color w:val="auto"/>
        </w:rPr>
      </w:pPr>
      <w:r>
        <w:rPr>
          <w:rFonts w:ascii="Arial" w:cs="Arial" w:eastAsia="Arial" w:hAnsi="Arial"/>
          <w:sz w:val="16"/>
          <w:szCs w:val="16"/>
          <w:color w:val="auto"/>
        </w:rPr>
        <w:t>On February 28, 2023, Lucid LLC entered into a master services agreement and related agreements with Saudi Telecommunication Company (“STC”), pursuant to which STC will provide connectivity services for Lucid vehicles in Saudi Arabia and certain countries in the Middle East. PIF owns an approximately 64% interest in STC. The amounts payable under these agreements is dependent on volume per month per vehicle and the exact amounts cannot be estimated at this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National Automotive and Vehicles Academy of Saudi Arabia</w:t>
      </w:r>
    </w:p>
    <w:p>
      <w:pPr>
        <w:spacing w:after="0" w:line="185" w:lineRule="exact"/>
        <w:rPr>
          <w:sz w:val="20"/>
          <w:szCs w:val="20"/>
          <w:color w:val="auto"/>
        </w:rPr>
      </w:pPr>
    </w:p>
    <w:p>
      <w:pPr>
        <w:ind w:left="660" w:right="100"/>
        <w:spacing w:after="0" w:line="300" w:lineRule="auto"/>
        <w:rPr>
          <w:sz w:val="20"/>
          <w:szCs w:val="20"/>
          <w:color w:val="auto"/>
        </w:rPr>
      </w:pPr>
      <w:r>
        <w:rPr>
          <w:rFonts w:ascii="Arial" w:cs="Arial" w:eastAsia="Arial" w:hAnsi="Arial"/>
          <w:sz w:val="16"/>
          <w:szCs w:val="16"/>
          <w:color w:val="auto"/>
        </w:rPr>
        <w:t>In March 2023, Lucid LLC joined the National Automotive and Vehicles Academy of Saudi Arabia (the “Automotive Academy”), a non-profit vocational training institute that falls under the Saudi Arabian government’s Strategic Partnership Institute model, by appointing a representative to the Board of Trustees of the Automotive Academy. The Automotive Academy is expected to cater to the growing automotive ecosystem in Saudi Arabia by providing educational services to Lucid and other automotive-related manufacturers in Saudi Arabia and will be geared toward training of factory workers. PIF is a participant in the Automotive Academy and currently holds the majority of the seats of the Board of Trustees. As of the date hereof, Lucid is not expected to make any financial contributions and the potential benefits to Lucid resulting from the participation in the Automotive Academy cannot be estimated at this time.</w:t>
      </w:r>
    </w:p>
    <w:p>
      <w:pPr>
        <w:sectPr>
          <w:pgSz w:w="11900" w:h="16838" w:orient="portrait"/>
          <w:cols w:equalWidth="0" w:num="1">
            <w:col w:w="10080"/>
          </w:cols>
          <w:pgMar w:left="580" w:top="97" w:right="1239" w:bottom="1440" w:gutter="0" w:footer="0" w:header="0"/>
        </w:sectPr>
      </w:pPr>
    </w:p>
    <w:p>
      <w:pPr>
        <w:spacing w:after="0" w:line="357"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​70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Other Transactions</w:t>
      </w:r>
    </w:p>
    <w:p>
      <w:pPr>
        <w:spacing w:after="0" w:line="185" w:lineRule="exact"/>
        <w:rPr>
          <w:sz w:val="20"/>
          <w:szCs w:val="20"/>
          <w:color w:val="auto"/>
        </w:rPr>
      </w:pPr>
    </w:p>
    <w:p>
      <w:pPr>
        <w:jc w:val="both"/>
        <w:ind w:left="660" w:right="180"/>
        <w:spacing w:after="0" w:line="301" w:lineRule="auto"/>
        <w:rPr>
          <w:sz w:val="20"/>
          <w:szCs w:val="20"/>
          <w:color w:val="auto"/>
        </w:rPr>
      </w:pPr>
      <w:r>
        <w:rPr>
          <w:rFonts w:ascii="Arial" w:cs="Arial" w:eastAsia="Arial" w:hAnsi="Arial"/>
          <w:sz w:val="16"/>
          <w:szCs w:val="16"/>
          <w:color w:val="auto"/>
        </w:rPr>
        <w:t>During fiscal year 2022, Turqi Alnowaiser, Glenn R. August, Tony Posawatz and Sherry House each purchased Lucid Air vehicles at prices ranging from approximately $150,000 to $186,000 (after taxes and fees). No such director or officer received a discount on the purchase price.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Executive Officer and Director Compensation Arrangements</w:t>
      </w:r>
    </w:p>
    <w:p>
      <w:pPr>
        <w:spacing w:after="0" w:line="199" w:lineRule="exact"/>
        <w:rPr>
          <w:sz w:val="20"/>
          <w:szCs w:val="20"/>
          <w:color w:val="auto"/>
        </w:rPr>
      </w:pPr>
    </w:p>
    <w:p>
      <w:pPr>
        <w:ind w:left="660" w:right="440"/>
        <w:spacing w:after="0" w:line="301" w:lineRule="auto"/>
        <w:rPr>
          <w:sz w:val="20"/>
          <w:szCs w:val="20"/>
          <w:color w:val="auto"/>
        </w:rPr>
      </w:pPr>
      <w:r>
        <w:rPr>
          <w:rFonts w:ascii="Arial" w:cs="Arial" w:eastAsia="Arial" w:hAnsi="Arial"/>
          <w:sz w:val="16"/>
          <w:szCs w:val="16"/>
          <w:color w:val="auto"/>
        </w:rPr>
        <w:t>See “Executive Compensation” and “Director Compensation” for information regarding compensation arrangements with our executive officers and directors, respectively, which include, among other things, employment, termination of employment and change in control arrangements, stock awards, stock options and certain other benefits.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Director and Executive Officer Indemnification</w:t>
      </w:r>
    </w:p>
    <w:p>
      <w:pPr>
        <w:spacing w:after="0" w:line="185" w:lineRule="exact"/>
        <w:rPr>
          <w:sz w:val="20"/>
          <w:szCs w:val="20"/>
          <w:color w:val="auto"/>
        </w:rPr>
      </w:pPr>
    </w:p>
    <w:p>
      <w:pPr>
        <w:ind w:left="660" w:right="240"/>
        <w:spacing w:after="0" w:line="291" w:lineRule="auto"/>
        <w:rPr>
          <w:sz w:val="20"/>
          <w:szCs w:val="20"/>
          <w:color w:val="auto"/>
        </w:rPr>
      </w:pPr>
      <w:r>
        <w:rPr>
          <w:rFonts w:ascii="Arial" w:cs="Arial" w:eastAsia="Arial" w:hAnsi="Arial"/>
          <w:sz w:val="16"/>
          <w:szCs w:val="16"/>
          <w:color w:val="auto"/>
        </w:rPr>
        <w:t>Our certificate of incorporation provides for indemnification for directors and certain officers to the fullest extent permitted by law. We entered into indemnification agreements with each director and executive officer and certain other officers. Such agreements provide among other things, our officers and directors with contractual rights to indemnification, expense advancement and reimbursement, to the fullest extent permitted by law, including to the extent they serve at our request as directors, officers, employees or other agents of any other affiliated entity, to the fullest extent permitted by law.</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8A6B24"/>
        </w:rPr>
        <w:t>Policies and Procedures for Related Party Transactions</w:t>
      </w:r>
    </w:p>
    <w:p>
      <w:pPr>
        <w:spacing w:after="0" w:line="185" w:lineRule="exact"/>
        <w:rPr>
          <w:sz w:val="20"/>
          <w:szCs w:val="20"/>
          <w:color w:val="auto"/>
        </w:rPr>
      </w:pPr>
    </w:p>
    <w:p>
      <w:pPr>
        <w:ind w:left="660" w:right="120"/>
        <w:spacing w:after="0" w:line="295" w:lineRule="auto"/>
        <w:rPr>
          <w:sz w:val="20"/>
          <w:szCs w:val="20"/>
          <w:color w:val="auto"/>
        </w:rPr>
      </w:pPr>
      <w:r>
        <w:rPr>
          <w:rFonts w:ascii="Arial" w:cs="Arial" w:eastAsia="Arial" w:hAnsi="Arial"/>
          <w:sz w:val="16"/>
          <w:szCs w:val="16"/>
          <w:color w:val="auto"/>
        </w:rPr>
        <w:t>Our Board has adopted a written related person transaction policy that sets forth the following policies and procedures for the review and approval or ratification of related person transactions. 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w:t>
      </w:r>
    </w:p>
    <w:p>
      <w:pPr>
        <w:spacing w:after="0" w:line="94" w:lineRule="exact"/>
        <w:rPr>
          <w:sz w:val="20"/>
          <w:szCs w:val="20"/>
          <w:color w:val="auto"/>
        </w:rPr>
      </w:pPr>
    </w:p>
    <w:p>
      <w:pPr>
        <w:ind w:left="820" w:hanging="166"/>
        <w:spacing w:after="0"/>
        <w:tabs>
          <w:tab w:leader="none" w:pos="820" w:val="left"/>
        </w:tabs>
        <w:numPr>
          <w:ilvl w:val="0"/>
          <w:numId w:val="55"/>
        </w:numPr>
        <w:rPr>
          <w:rFonts w:ascii="Arial" w:cs="Arial" w:eastAsia="Arial" w:hAnsi="Arial"/>
          <w:sz w:val="16"/>
          <w:szCs w:val="16"/>
          <w:color w:val="8A6B24"/>
        </w:rPr>
      </w:pPr>
      <w:r>
        <w:rPr>
          <w:rFonts w:ascii="Arial" w:cs="Arial" w:eastAsia="Arial" w:hAnsi="Arial"/>
          <w:sz w:val="16"/>
          <w:szCs w:val="16"/>
          <w:color w:val="auto"/>
        </w:rPr>
        <w:t>any person who is, or at any time during the applicable period was, one of our executive officers or directors;</w:t>
      </w:r>
    </w:p>
    <w:p>
      <w:pPr>
        <w:spacing w:after="0" w:line="167" w:lineRule="exact"/>
        <w:rPr>
          <w:rFonts w:ascii="Arial" w:cs="Arial" w:eastAsia="Arial" w:hAnsi="Arial"/>
          <w:sz w:val="16"/>
          <w:szCs w:val="16"/>
          <w:color w:val="8A6B24"/>
        </w:rPr>
      </w:pPr>
    </w:p>
    <w:p>
      <w:pPr>
        <w:ind w:left="820" w:hanging="166"/>
        <w:spacing w:after="0"/>
        <w:tabs>
          <w:tab w:leader="none" w:pos="820" w:val="left"/>
        </w:tabs>
        <w:numPr>
          <w:ilvl w:val="0"/>
          <w:numId w:val="55"/>
        </w:numPr>
        <w:rPr>
          <w:rFonts w:ascii="Arial" w:cs="Arial" w:eastAsia="Arial" w:hAnsi="Arial"/>
          <w:sz w:val="16"/>
          <w:szCs w:val="16"/>
          <w:color w:val="8A6B24"/>
        </w:rPr>
      </w:pPr>
      <w:r>
        <w:rPr>
          <w:rFonts w:ascii="Arial" w:cs="Arial" w:eastAsia="Arial" w:hAnsi="Arial"/>
          <w:sz w:val="16"/>
          <w:szCs w:val="16"/>
          <w:color w:val="auto"/>
        </w:rPr>
        <w:t>any person who is known by us to be the beneficial owner of more than 5% of our voting stock;</w:t>
      </w:r>
    </w:p>
    <w:p>
      <w:pPr>
        <w:spacing w:after="0" w:line="167" w:lineRule="exact"/>
        <w:rPr>
          <w:rFonts w:ascii="Arial" w:cs="Arial" w:eastAsia="Arial" w:hAnsi="Arial"/>
          <w:sz w:val="16"/>
          <w:szCs w:val="16"/>
          <w:color w:val="8A6B24"/>
        </w:rPr>
      </w:pPr>
    </w:p>
    <w:p>
      <w:pPr>
        <w:ind w:left="820" w:right="60" w:hanging="166"/>
        <w:spacing w:after="0" w:line="295" w:lineRule="auto"/>
        <w:tabs>
          <w:tab w:leader="none" w:pos="820" w:val="left"/>
        </w:tabs>
        <w:numPr>
          <w:ilvl w:val="0"/>
          <w:numId w:val="55"/>
        </w:numPr>
        <w:rPr>
          <w:rFonts w:ascii="Arial" w:cs="Arial" w:eastAsia="Arial" w:hAnsi="Arial"/>
          <w:sz w:val="16"/>
          <w:szCs w:val="16"/>
          <w:color w:val="8A6B24"/>
        </w:rPr>
      </w:pPr>
      <w:r>
        <w:rPr>
          <w:rFonts w:ascii="Arial" w:cs="Arial" w:eastAsia="Arial" w:hAnsi="Arial"/>
          <w:sz w:val="16"/>
          <w:szCs w:val="16"/>
          <w:color w:val="auto"/>
        </w:rPr>
        <w:t>any immediate family member of any of the foregoing persons, which means any child, stepchild, parent, step-parent, spouse, sibling, mother-in-law, father-in-law, son-in-law, daughter-in-law, brother- in-law or sister-in-law of a director, executive officer or a beneficial owner of more than 5% of our voting stock, and any person (other than a tenant or employee) sharing the household of such director, executive officer or beneficial owner of more than 5% of our voting stock; and</w:t>
      </w:r>
    </w:p>
    <w:p>
      <w:pPr>
        <w:spacing w:after="0" w:line="94" w:lineRule="exact"/>
        <w:rPr>
          <w:rFonts w:ascii="Arial" w:cs="Arial" w:eastAsia="Arial" w:hAnsi="Arial"/>
          <w:sz w:val="16"/>
          <w:szCs w:val="16"/>
          <w:color w:val="8A6B24"/>
        </w:rPr>
      </w:pPr>
    </w:p>
    <w:p>
      <w:pPr>
        <w:ind w:left="820" w:right="260" w:hanging="166"/>
        <w:spacing w:after="0" w:line="321" w:lineRule="auto"/>
        <w:tabs>
          <w:tab w:leader="none" w:pos="820" w:val="left"/>
        </w:tabs>
        <w:numPr>
          <w:ilvl w:val="0"/>
          <w:numId w:val="55"/>
        </w:numPr>
        <w:rPr>
          <w:rFonts w:ascii="Arial" w:cs="Arial" w:eastAsia="Arial" w:hAnsi="Arial"/>
          <w:sz w:val="16"/>
          <w:szCs w:val="16"/>
          <w:color w:val="8A6B24"/>
        </w:rPr>
      </w:pPr>
      <w:r>
        <w:rPr>
          <w:rFonts w:ascii="Arial" w:cs="Arial" w:eastAsia="Arial" w:hAnsi="Arial"/>
          <w:sz w:val="16"/>
          <w:szCs w:val="16"/>
          <w:color w:val="auto"/>
        </w:rPr>
        <w:t>any firm, corporation or other entity in which any of the foregoing persons is a partner or principal, or in a similar position, or in which such person has a 10% or greater beneficial ownership interest.</w:t>
      </w:r>
    </w:p>
    <w:p>
      <w:pPr>
        <w:spacing w:after="0" w:line="156" w:lineRule="exact"/>
        <w:rPr>
          <w:sz w:val="20"/>
          <w:szCs w:val="20"/>
          <w:color w:val="auto"/>
        </w:rPr>
      </w:pPr>
    </w:p>
    <w:p>
      <w:pPr>
        <w:ind w:left="660" w:right="240"/>
        <w:spacing w:after="0" w:line="295" w:lineRule="auto"/>
        <w:rPr>
          <w:sz w:val="20"/>
          <w:szCs w:val="20"/>
          <w:color w:val="auto"/>
        </w:rPr>
      </w:pPr>
      <w:r>
        <w:rPr>
          <w:rFonts w:ascii="Arial" w:cs="Arial" w:eastAsia="Arial" w:hAnsi="Arial"/>
          <w:sz w:val="16"/>
          <w:szCs w:val="16"/>
          <w:color w:val="auto"/>
        </w:rPr>
        <w:t>We have policies and procedures designed to minimize potential conflicts of interest arising from any dealings we may have with our affiliates and to provide appropriate procedures for the disclosure of any actual or potential conflicts of interest that may exist from time to time. Specifically, pursuant to our Audit Committee charter, our Audit Committee has the responsibility to review related person transactions.</w:t>
      </w:r>
    </w:p>
    <w:p>
      <w:pPr>
        <w:spacing w:after="0" w:line="175" w:lineRule="exact"/>
        <w:rPr>
          <w:sz w:val="20"/>
          <w:szCs w:val="20"/>
          <w:color w:val="auto"/>
        </w:rPr>
      </w:pPr>
    </w:p>
    <w:p>
      <w:pPr>
        <w:ind w:left="660" w:right="60"/>
        <w:spacing w:after="0" w:line="321" w:lineRule="auto"/>
        <w:rPr>
          <w:sz w:val="20"/>
          <w:szCs w:val="20"/>
          <w:color w:val="auto"/>
        </w:rPr>
      </w:pPr>
      <w:r>
        <w:rPr>
          <w:rFonts w:ascii="Arial" w:cs="Arial" w:eastAsia="Arial" w:hAnsi="Arial"/>
          <w:sz w:val="16"/>
          <w:szCs w:val="16"/>
          <w:color w:val="auto"/>
        </w:rPr>
        <w:t>Our Audit Committee has also established standing pre-approvals for certain classes of related party transactions, such as sales of our vehicles, parts, services, merchandise, and other Lucid products and services purchased by related persons at market prices.</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tabs>
          <w:tab w:leader="none" w:pos="5220" w:val="left"/>
          <w:tab w:leader="none" w:pos="988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71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right="740"/>
        <w:spacing w:after="0" w:line="264" w:lineRule="auto"/>
        <w:rPr>
          <w:sz w:val="20"/>
          <w:szCs w:val="20"/>
          <w:color w:val="auto"/>
        </w:rPr>
      </w:pPr>
      <w:r>
        <w:rPr>
          <w:rFonts w:ascii="Times New Roman" w:cs="Times New Roman" w:eastAsia="Times New Roman" w:hAnsi="Times New Roman"/>
          <w:sz w:val="36"/>
          <w:szCs w:val="36"/>
          <w:b w:val="1"/>
          <w:bCs w:val="1"/>
          <w:color w:val="auto"/>
        </w:rPr>
        <w:t>Householding of Proxy Materials; Availability of Annual Report</w:t>
      </w:r>
    </w:p>
    <w:p>
      <w:pPr>
        <w:spacing w:after="0" w:line="294"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Availability Notice or other proxy materials with respect to two or more stockholders sharing the same address by delivering a single Proxy Availability Notice or other proxy materials addressed to those stockholders. This process, which is commonly referred to as householding, potentially provides extra convenience for stockholders and cost savings for companies. Stockholders who participate in householding will continue to be able to access and receive separate proxy cards.</w:t>
      </w:r>
    </w:p>
    <w:p>
      <w:pPr>
        <w:spacing w:after="0" w:line="181" w:lineRule="exact"/>
        <w:rPr>
          <w:sz w:val="20"/>
          <w:szCs w:val="20"/>
          <w:color w:val="auto"/>
        </w:rPr>
      </w:pPr>
    </w:p>
    <w:p>
      <w:pPr>
        <w:ind w:left="660" w:right="160"/>
        <w:spacing w:after="0" w:line="285"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Proxy Availability Notice or proxy materials will be delivered in a single envelope to multiple stockholders sharing an address unless contrary instructions have been received from one or more of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Availability Notice or proxy materials, please notify your broker, bank or other institution where you hold your shares. Stockholders who currently receive multiple copies of the Proxy Availability Notice or proxy materials at their address and would like to request householding of their communications should contact their broker, bank or other institution where they hold their shares. In addition, we will promptly deliver, upon written or oral request to Lucid Investor Relations at 7373 Gateway Boulevard, Newark, CA 94560, by email: investor@lucidmotors.com, or by telephone: (510) 648-3553, a separate copy of the Proxy Availability Notice or proxy materials to a stockholder at a shared address to which a single copy of the documents was delivered.</w:t>
      </w:r>
    </w:p>
    <w:p>
      <w:pPr>
        <w:spacing w:after="0" w:line="186" w:lineRule="exact"/>
        <w:rPr>
          <w:sz w:val="20"/>
          <w:szCs w:val="20"/>
          <w:color w:val="auto"/>
        </w:rPr>
      </w:pPr>
    </w:p>
    <w:p>
      <w:pPr>
        <w:ind w:left="660" w:right="140"/>
        <w:spacing w:after="0" w:line="295" w:lineRule="auto"/>
        <w:rPr>
          <w:sz w:val="20"/>
          <w:szCs w:val="20"/>
          <w:color w:val="auto"/>
        </w:rPr>
      </w:pPr>
      <w:r>
        <w:rPr>
          <w:rFonts w:ascii="Arial" w:cs="Arial" w:eastAsia="Arial" w:hAnsi="Arial"/>
          <w:sz w:val="16"/>
          <w:szCs w:val="16"/>
          <w:color w:val="auto"/>
        </w:rPr>
        <w:t>A copy of our Annual Report on Form 10-K for the year ended December 31, 2022, as filed with the SEC on February 28, 2023, is available without charge upon written request to Investor Relations, Lucid Group, Inc., 7373 Gateway Boulevard, Newark, CA 94560 or by accessing a copy on our website at ir.lucidmotors.com/financials/sec-filings in the Investors section under “SEC Filings.” Information on or accessible through our website is not incorporated by reference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Other Matters</w:t>
      </w:r>
    </w:p>
    <w:p>
      <w:pPr>
        <w:spacing w:after="0" w:line="400" w:lineRule="exact"/>
        <w:rPr>
          <w:sz w:val="20"/>
          <w:szCs w:val="20"/>
          <w:color w:val="auto"/>
        </w:rPr>
      </w:pPr>
    </w:p>
    <w:p>
      <w:pPr>
        <w:ind w:left="660" w:right="320"/>
        <w:spacing w:after="0" w:line="301"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​72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LUCID GROUP, INC.</w:t>
      </w:r>
    </w:p>
    <w:p>
      <w:pPr>
        <w:spacing w:after="0" w:line="26" w:lineRule="exact"/>
        <w:rPr>
          <w:sz w:val="20"/>
          <w:szCs w:val="20"/>
          <w:color w:val="auto"/>
        </w:rPr>
      </w:pPr>
    </w:p>
    <w:p>
      <w:pPr>
        <w:ind w:left="660" w:right="1000"/>
        <w:spacing w:after="0" w:line="238" w:lineRule="auto"/>
        <w:rPr>
          <w:sz w:val="20"/>
          <w:szCs w:val="20"/>
          <w:color w:val="auto"/>
        </w:rPr>
      </w:pPr>
      <w:r>
        <w:rPr>
          <w:rFonts w:ascii="Times New Roman" w:cs="Times New Roman" w:eastAsia="Times New Roman" w:hAnsi="Times New Roman"/>
          <w:sz w:val="36"/>
          <w:szCs w:val="36"/>
          <w:b w:val="1"/>
          <w:bCs w:val="1"/>
          <w:color w:val="auto"/>
        </w:rPr>
        <w:t>SECOND AMENDED AND RESTATED 2021 STOCK INCENTIVE PLAN</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spacing w:after="0"/>
        <w:tabs>
          <w:tab w:leader="none" w:pos="5220" w:val="left"/>
          <w:tab w:leader="none" w:pos="100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Table of Contents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660" w:type="dxa"/>
            <w:vAlign w:val="bottom"/>
          </w:tcPr>
          <w:p>
            <w:pPr>
              <w:spacing w:after="0"/>
              <w:rPr>
                <w:sz w:val="24"/>
                <w:szCs w:val="24"/>
                <w:color w:val="auto"/>
              </w:rPr>
            </w:pPr>
          </w:p>
        </w:tc>
        <w:tc>
          <w:tcPr>
            <w:tcW w:w="320" w:type="dxa"/>
            <w:vAlign w:val="bottom"/>
            <w:gridSpan w:val="3"/>
          </w:tcPr>
          <w:p>
            <w:pP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Page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20" w:type="dxa"/>
            <w:vAlign w:val="bottom"/>
            <w:tcBorders>
              <w:top w:val="single" w:sz="8" w:color="CCEEFF"/>
              <w:bottom w:val="single" w:sz="8" w:color="0000EE"/>
            </w:tcBorders>
            <w:gridSpan w:val="48"/>
            <w:shd w:val="clear" w:color="auto" w:fill="CCEEFF"/>
          </w:tcPr>
          <w:p>
            <w:pPr>
              <w:spacing w:after="0"/>
              <w:rPr>
                <w:sz w:val="20"/>
                <w:szCs w:val="20"/>
                <w:color w:val="auto"/>
              </w:rPr>
            </w:pPr>
            <w:r>
              <w:rPr>
                <w:rFonts w:ascii="Arial" w:cs="Arial" w:eastAsia="Arial" w:hAnsi="Arial"/>
                <w:sz w:val="16"/>
                <w:szCs w:val="16"/>
                <w:b w:val="1"/>
                <w:bCs w:val="1"/>
                <w:color w:val="0000EE"/>
              </w:rPr>
              <w:t>SECTION 1.  ESTABLISHMENT AND PURPOSE</w:t>
            </w:r>
          </w:p>
        </w:tc>
        <w:tc>
          <w:tcPr>
            <w:tcW w:w="4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vMerge w:val="restart"/>
            <w:shd w:val="clear" w:color="auto" w:fill="CCEEFF"/>
          </w:tcPr>
          <w:p>
            <w:pPr>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6"/>
                <w:szCs w:val="16"/>
                <w:b w:val="1"/>
                <w:bCs w:val="1"/>
                <w:color w:val="auto"/>
              </w:rPr>
              <w:t>​</w:t>
            </w:r>
          </w:p>
        </w:tc>
        <w:tc>
          <w:tcPr>
            <w:tcW w:w="260" w:type="dxa"/>
            <w:vAlign w:val="bottom"/>
            <w:tcBorders>
              <w:top w:val="single" w:sz="8" w:color="auto"/>
              <w:bottom w:val="single" w:sz="8" w:color="0000EE"/>
            </w:tcBorders>
            <w:gridSpan w:val="2"/>
            <w:shd w:val="clear" w:color="auto" w:fill="CCEEFF"/>
          </w:tcPr>
          <w:p>
            <w:pPr>
              <w:spacing w:after="0"/>
              <w:rPr>
                <w:sz w:val="20"/>
                <w:szCs w:val="20"/>
                <w:color w:val="auto"/>
              </w:rPr>
            </w:pPr>
            <w:r>
              <w:rPr>
                <w:rFonts w:ascii="Arial" w:cs="Arial" w:eastAsia="Arial" w:hAnsi="Arial"/>
                <w:sz w:val="16"/>
                <w:szCs w:val="16"/>
                <w:b w:val="1"/>
                <w:bCs w:val="1"/>
                <w:color w:val="0000EE"/>
                <w:w w:val="92"/>
              </w:rPr>
              <w:t>A-1</w:t>
            </w:r>
          </w:p>
        </w:tc>
        <w:tc>
          <w:tcPr>
            <w:tcW w:w="20" w:type="dxa"/>
            <w:vAlign w:val="bottom"/>
            <w:tcBorders>
              <w:bottom w:val="single" w:sz="8" w:color="0000EE"/>
            </w:tcBorders>
          </w:tcPr>
          <w:p>
            <w:pPr>
              <w:spacing w:after="0"/>
              <w:rPr>
                <w:sz w:val="18"/>
                <w:szCs w:val="18"/>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000" w:type="dxa"/>
            <w:vAlign w:val="bottom"/>
            <w:tcBorders>
              <w:bottom w:val="single" w:sz="8" w:color="CCEEFF"/>
            </w:tcBorders>
            <w:gridSpan w:val="14"/>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78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80" w:type="dxa"/>
            <w:vAlign w:val="bottom"/>
            <w:tcBorders>
              <w:bottom w:val="single" w:sz="8" w:color="0000EE"/>
            </w:tcBorders>
            <w:gridSpan w:val="43"/>
          </w:tcPr>
          <w:p>
            <w:pPr>
              <w:spacing w:after="0"/>
              <w:rPr>
                <w:sz w:val="20"/>
                <w:szCs w:val="20"/>
                <w:color w:val="auto"/>
              </w:rPr>
            </w:pPr>
            <w:r>
              <w:rPr>
                <w:rFonts w:ascii="Arial" w:cs="Arial" w:eastAsia="Arial" w:hAnsi="Arial"/>
                <w:sz w:val="16"/>
                <w:szCs w:val="16"/>
                <w:b w:val="1"/>
                <w:bCs w:val="1"/>
                <w:color w:val="0000EE"/>
              </w:rPr>
              <w:t>SECTION 2.  DEFINITIONS</w:t>
            </w: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b w:val="1"/>
                <w:bCs w:val="1"/>
                <w:color w:val="auto"/>
                <w:vertAlign w:val="superscript"/>
              </w:rPr>
              <w:t>​</w:t>
            </w:r>
          </w:p>
        </w:tc>
        <w:tc>
          <w:tcPr>
            <w:tcW w:w="2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rPr>
              <w:t>A-1</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000" w:type="dxa"/>
            <w:vAlign w:val="bottom"/>
            <w:gridSpan w:val="14"/>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(a)</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86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6"/>
                <w:szCs w:val="16"/>
                <w:color w:val="0000EE"/>
              </w:rPr>
              <w:t>“2009 Plan”</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58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5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(b)</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86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“2014 Plan”</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A-1</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(c)</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86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6"/>
                <w:szCs w:val="16"/>
                <w:color w:val="0000EE"/>
              </w:rPr>
              <w:t>“2021 Plan”</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58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5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(d)</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4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8"/>
              </w:rPr>
              <w:t>“Affiliate”</w:t>
            </w: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A-1</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(e)</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58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w w:val="99"/>
              </w:rPr>
              <w:t>“Award”</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58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5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2"/>
              </w:rPr>
              <w:t>(f)</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color w:val="0000EE"/>
              </w:rPr>
              <w:t>“Award Agreement”</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A-1</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(g)</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200" w:type="dxa"/>
            <w:vAlign w:val="bottom"/>
            <w:tcBorders>
              <w:bottom w:val="single" w:sz="8" w:color="0000EE"/>
            </w:tcBorders>
            <w:gridSpan w:val="33"/>
            <w:shd w:val="clear" w:color="auto" w:fill="CCEEFF"/>
          </w:tcPr>
          <w:p>
            <w:pPr>
              <w:spacing w:after="0"/>
              <w:rPr>
                <w:sz w:val="20"/>
                <w:szCs w:val="20"/>
                <w:color w:val="auto"/>
              </w:rPr>
            </w:pPr>
            <w:r>
              <w:rPr>
                <w:rFonts w:ascii="Arial" w:cs="Arial" w:eastAsia="Arial" w:hAnsi="Arial"/>
                <w:sz w:val="16"/>
                <w:szCs w:val="16"/>
                <w:color w:val="0000EE"/>
              </w:rPr>
              <w:t>“Board of Directors” or “Board”</w:t>
            </w: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(h)</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500" w:type="dxa"/>
            <w:vAlign w:val="bottom"/>
            <w:tcBorders>
              <w:bottom w:val="single" w:sz="8" w:color="0000EE"/>
            </w:tcBorders>
            <w:gridSpan w:val="31"/>
          </w:tcPr>
          <w:p>
            <w:pPr>
              <w:spacing w:after="0"/>
              <w:rPr>
                <w:sz w:val="20"/>
                <w:szCs w:val="20"/>
                <w:color w:val="auto"/>
              </w:rPr>
            </w:pPr>
            <w:r>
              <w:rPr>
                <w:rFonts w:ascii="Arial" w:cs="Arial" w:eastAsia="Arial" w:hAnsi="Arial"/>
                <w:sz w:val="16"/>
                <w:szCs w:val="16"/>
                <w:color w:val="0000EE"/>
                <w:w w:val="99"/>
              </w:rPr>
              <w:t>“Cash-Based Award”</w:t>
            </w:r>
          </w:p>
        </w:tc>
        <w:tc>
          <w:tcPr>
            <w:tcW w:w="120" w:type="dxa"/>
            <w:vAlign w:val="bottom"/>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A-1</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2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4"/>
              </w:rPr>
              <w:t>(i)</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0000EE"/>
            </w:tcBorders>
            <w:gridSpan w:val="6"/>
            <w:shd w:val="clear" w:color="auto" w:fill="CCEEFF"/>
          </w:tcPr>
          <w:p>
            <w:pPr>
              <w:spacing w:after="0"/>
              <w:rPr>
                <w:sz w:val="20"/>
                <w:szCs w:val="20"/>
                <w:color w:val="auto"/>
              </w:rPr>
            </w:pPr>
            <w:r>
              <w:rPr>
                <w:rFonts w:ascii="Arial" w:cs="Arial" w:eastAsia="Arial" w:hAnsi="Arial"/>
                <w:sz w:val="16"/>
                <w:szCs w:val="16"/>
                <w:color w:val="0000EE"/>
              </w:rPr>
              <w:t>“Cause”</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4"/>
              </w:rPr>
              <w:t>(j)</w:t>
            </w:r>
          </w:p>
        </w:tc>
        <w:tc>
          <w:tcPr>
            <w:tcW w:w="2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bottom w:val="single" w:sz="8" w:color="0000EE"/>
            </w:tcBorders>
            <w:gridSpan w:val="29"/>
          </w:tcPr>
          <w:p>
            <w:pPr>
              <w:spacing w:after="0"/>
              <w:rPr>
                <w:sz w:val="20"/>
                <w:szCs w:val="20"/>
                <w:color w:val="auto"/>
              </w:rPr>
            </w:pPr>
            <w:r>
              <w:rPr>
                <w:rFonts w:ascii="Arial" w:cs="Arial" w:eastAsia="Arial" w:hAnsi="Arial"/>
                <w:sz w:val="16"/>
                <w:szCs w:val="16"/>
                <w:color w:val="0000EE"/>
              </w:rPr>
              <w:t>“Change in Control”</w:t>
            </w:r>
          </w:p>
        </w:tc>
        <w:tc>
          <w:tcPr>
            <w:tcW w:w="160" w:type="dxa"/>
            <w:vAlign w:val="bottom"/>
            <w:gridSpan w:val="3"/>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A-2</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(k)</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5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8"/>
              </w:rPr>
              <w:t>“Code”</w:t>
            </w:r>
          </w:p>
        </w:tc>
        <w:tc>
          <w:tcPr>
            <w:tcW w:w="120" w:type="dxa"/>
            <w:vAlign w:val="bottom"/>
            <w:tcBorders>
              <w:bottom w:val="single" w:sz="8" w:color="CCEEFF"/>
            </w:tcBorders>
            <w:gridSpan w:val="3"/>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A-2</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3"/>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4"/>
              </w:rPr>
              <w:t>(l)</w:t>
            </w:r>
          </w:p>
        </w:tc>
        <w:tc>
          <w:tcPr>
            <w:tcW w:w="2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rPr>
              <w:t>“Committee”</w:t>
            </w:r>
          </w:p>
        </w:tc>
        <w:tc>
          <w:tcPr>
            <w:tcW w:w="1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A-2</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0000EE"/>
            </w:tcBorders>
            <w:gridSpan w:val="9"/>
            <w:shd w:val="clear" w:color="auto" w:fill="CCEEFF"/>
          </w:tcPr>
          <w:p>
            <w:pPr>
              <w:spacing w:after="0"/>
              <w:rPr>
                <w:sz w:val="20"/>
                <w:szCs w:val="20"/>
                <w:color w:val="auto"/>
              </w:rPr>
            </w:pPr>
            <w:r>
              <w:rPr>
                <w:rFonts w:ascii="Arial" w:cs="Arial" w:eastAsia="Arial" w:hAnsi="Arial"/>
                <w:sz w:val="16"/>
                <w:szCs w:val="16"/>
                <w:color w:val="0000EE"/>
              </w:rPr>
              <w:t>(m)</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80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6"/>
                <w:szCs w:val="16"/>
                <w:color w:val="0000EE"/>
                <w:w w:val="98"/>
              </w:rPr>
              <w:t>“Company”</w:t>
            </w: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8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(n)</w:t>
            </w: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90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“Consultant”</w:t>
            </w:r>
          </w:p>
        </w:tc>
        <w:tc>
          <w:tcPr>
            <w:tcW w:w="18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(o)</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76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6"/>
                <w:szCs w:val="16"/>
                <w:color w:val="0000EE"/>
                <w:w w:val="99"/>
              </w:rPr>
              <w:t>“Disability”</w:t>
            </w: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gridSpan w:val="3"/>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(p)</w:t>
            </w: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14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“Effective Date”</w:t>
            </w: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(q)</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84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6"/>
                <w:szCs w:val="16"/>
                <w:color w:val="0000EE"/>
              </w:rPr>
              <w:t>“Employee”</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gridSpan w:val="3"/>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87"/>
              </w:rPr>
              <w:t>(r)</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38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color w:val="0000EE"/>
              </w:rPr>
              <w:t>“ESPP Addendum”</w:t>
            </w: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220" w:type="dxa"/>
            <w:vAlign w:val="bottom"/>
            <w:gridSpan w:val="5"/>
          </w:tcPr>
          <w:p>
            <w:pPr>
              <w:spacing w:after="0"/>
              <w:rPr>
                <w:sz w:val="2"/>
                <w:szCs w:val="2"/>
                <w:color w:val="auto"/>
              </w:rPr>
            </w:pPr>
          </w:p>
        </w:tc>
        <w:tc>
          <w:tcPr>
            <w:tcW w:w="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(s)</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120" w:type="dxa"/>
            <w:vAlign w:val="bottom"/>
            <w:tcBorders>
              <w:bottom w:val="single" w:sz="8" w:color="0000EE"/>
            </w:tcBorders>
            <w:gridSpan w:val="19"/>
            <w:shd w:val="clear" w:color="auto" w:fill="CCEEFF"/>
          </w:tcPr>
          <w:p>
            <w:pPr>
              <w:spacing w:after="0"/>
              <w:rPr>
                <w:sz w:val="20"/>
                <w:szCs w:val="20"/>
                <w:color w:val="auto"/>
              </w:rPr>
            </w:pPr>
            <w:r>
              <w:rPr>
                <w:rFonts w:ascii="Arial" w:cs="Arial" w:eastAsia="Arial" w:hAnsi="Arial"/>
                <w:sz w:val="16"/>
                <w:szCs w:val="16"/>
                <w:color w:val="0000EE"/>
              </w:rPr>
              <w:t>“Exchange Act”</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spacing w:after="0"/>
              <w:rPr>
                <w:sz w:val="2"/>
                <w:szCs w:val="2"/>
                <w:color w:val="auto"/>
              </w:rPr>
            </w:pPr>
          </w:p>
        </w:tc>
        <w:tc>
          <w:tcPr>
            <w:tcW w:w="20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2"/>
              </w:rPr>
              <w:t>(t)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rPr>
              <w:t>“Exercise Price”</w:t>
            </w:r>
          </w:p>
        </w:tc>
        <w:tc>
          <w:tcPr>
            <w:tcW w:w="6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8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220" w:type="dxa"/>
            <w:vAlign w:val="bottom"/>
            <w:gridSpan w:val="5"/>
          </w:tcPr>
          <w:p>
            <w:pPr>
              <w:spacing w:after="0"/>
              <w:rPr>
                <w:sz w:val="2"/>
                <w:szCs w:val="2"/>
                <w:color w:val="auto"/>
              </w:rPr>
            </w:pPr>
          </w:p>
        </w:tc>
        <w:tc>
          <w:tcPr>
            <w:tcW w:w="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(u)</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400" w:type="dxa"/>
            <w:vAlign w:val="bottom"/>
            <w:tcBorders>
              <w:bottom w:val="single" w:sz="8" w:color="0000EE"/>
            </w:tcBorders>
            <w:gridSpan w:val="26"/>
            <w:shd w:val="clear" w:color="auto" w:fill="CCEEFF"/>
          </w:tcPr>
          <w:p>
            <w:pPr>
              <w:spacing w:after="0"/>
              <w:rPr>
                <w:sz w:val="20"/>
                <w:szCs w:val="20"/>
                <w:color w:val="auto"/>
              </w:rPr>
            </w:pPr>
            <w:r>
              <w:rPr>
                <w:rFonts w:ascii="Arial" w:cs="Arial" w:eastAsia="Arial" w:hAnsi="Arial"/>
                <w:sz w:val="16"/>
                <w:szCs w:val="16"/>
                <w:color w:val="0000EE"/>
              </w:rPr>
              <w:t>“Fair Market Value”</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20" w:type="dxa"/>
            <w:vAlign w:val="bottom"/>
            <w:tcBorders>
              <w:bottom w:val="single" w:sz="8" w:color="CCEEFF"/>
            </w:tcBorders>
            <w:gridSpan w:val="2"/>
            <w:vMerge w:val="restart"/>
            <w:shd w:val="clear" w:color="auto" w:fill="CCEEFF"/>
          </w:tcPr>
          <w:p>
            <w:pPr>
              <w:spacing w:after="0"/>
              <w:rPr>
                <w:sz w:val="19"/>
                <w:szCs w:val="19"/>
                <w:color w:val="auto"/>
              </w:rPr>
            </w:pP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spacing w:after="0"/>
              <w:rPr>
                <w:sz w:val="2"/>
                <w:szCs w:val="2"/>
                <w:color w:val="auto"/>
              </w:rPr>
            </w:pPr>
          </w:p>
        </w:tc>
        <w:tc>
          <w:tcPr>
            <w:tcW w:w="20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4"/>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20" w:type="dxa"/>
            <w:vAlign w:val="bottom"/>
            <w:tcBorders>
              <w:bottom w:val="single" w:sz="8" w:color="CCEEFF"/>
            </w:tcBorders>
            <w:gridSpan w:val="2"/>
            <w:vMerge w:val="continue"/>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(v)</w:t>
            </w: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0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9"/>
              </w:rPr>
              <w:t>“ISO”</w:t>
            </w: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60" w:type="dxa"/>
            <w:vAlign w:val="bottom"/>
            <w:gridSpan w:val="4"/>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20" w:type="dxa"/>
            <w:vAlign w:val="bottom"/>
            <w:gridSpan w:val="5"/>
            <w:vMerge w:val="restart"/>
          </w:tcPr>
          <w:p>
            <w:pPr>
              <w:spacing w:after="0"/>
              <w:rPr>
                <w:sz w:val="18"/>
                <w:szCs w:val="18"/>
                <w:color w:val="auto"/>
              </w:rPr>
            </w:pPr>
          </w:p>
        </w:tc>
        <w:tc>
          <w:tcPr>
            <w:tcW w:w="20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620" w:type="dxa"/>
            <w:vAlign w:val="bottom"/>
            <w:gridSpan w:val="2"/>
            <w:vMerge w:val="restart"/>
          </w:tcPr>
          <w:p>
            <w:pPr>
              <w:spacing w:after="0"/>
              <w:rPr>
                <w:sz w:val="18"/>
                <w:szCs w:val="18"/>
                <w:color w:val="auto"/>
              </w:rPr>
            </w:pPr>
          </w:p>
        </w:tc>
        <w:tc>
          <w:tcPr>
            <w:tcW w:w="1260" w:type="dxa"/>
            <w:vAlign w:val="bottom"/>
            <w:gridSpan w:val="2"/>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gridSpan w:val="4"/>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20" w:type="dxa"/>
            <w:vAlign w:val="bottom"/>
            <w:gridSpan w:val="5"/>
            <w:vMerge w:val="continue"/>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6"/>
                <w:szCs w:val="16"/>
                <w:color w:val="0000EE"/>
              </w:rPr>
              <w:t>(w)</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240" w:type="dxa"/>
            <w:vAlign w:val="bottom"/>
            <w:tcBorders>
              <w:bottom w:val="single" w:sz="8" w:color="0000EE"/>
            </w:tcBorders>
            <w:gridSpan w:val="34"/>
            <w:shd w:val="clear" w:color="auto" w:fill="CCEEFF"/>
          </w:tcPr>
          <w:p>
            <w:pPr>
              <w:spacing w:after="0"/>
              <w:rPr>
                <w:sz w:val="20"/>
                <w:szCs w:val="20"/>
                <w:color w:val="auto"/>
              </w:rPr>
            </w:pPr>
            <w:r>
              <w:rPr>
                <w:rFonts w:ascii="Arial" w:cs="Arial" w:eastAsia="Arial" w:hAnsi="Arial"/>
                <w:sz w:val="16"/>
                <w:szCs w:val="16"/>
                <w:color w:val="0000EE"/>
              </w:rPr>
              <w:t>“Nonstatutory Option” or “NSO”</w:t>
            </w:r>
          </w:p>
        </w:tc>
        <w:tc>
          <w:tcPr>
            <w:tcW w:w="1260" w:type="dxa"/>
            <w:vAlign w:val="bottom"/>
            <w:tcBorders>
              <w:bottom w:val="single" w:sz="8" w:color="CCEEFF"/>
            </w:tcBorders>
            <w:gridSpan w:val="2"/>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spacing w:after="0"/>
              <w:rPr>
                <w:sz w:val="2"/>
                <w:szCs w:val="2"/>
                <w:color w:val="auto"/>
              </w:rPr>
            </w:pPr>
          </w:p>
        </w:tc>
        <w:tc>
          <w:tcPr>
            <w:tcW w:w="20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4"/>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4"/>
            <w:shd w:val="clear" w:color="auto" w:fill="CCEEFF"/>
          </w:tcPr>
          <w:p>
            <w:pPr>
              <w:spacing w:after="0"/>
              <w:rPr>
                <w:sz w:val="2"/>
                <w:szCs w:val="2"/>
                <w:color w:val="auto"/>
              </w:rPr>
            </w:pPr>
          </w:p>
        </w:tc>
        <w:tc>
          <w:tcPr>
            <w:tcW w:w="180" w:type="dxa"/>
            <w:vAlign w:val="bottom"/>
            <w:tcBorders>
              <w:bottom w:val="single" w:sz="8" w:color="CCEEFF"/>
            </w:tcBorders>
            <w:gridSpan w:val="4"/>
            <w:shd w:val="clear" w:color="auto" w:fill="CCEEFF"/>
          </w:tcPr>
          <w:p>
            <w:pPr>
              <w:spacing w:after="0"/>
              <w:rPr>
                <w:sz w:val="2"/>
                <w:szCs w:val="2"/>
                <w:color w:val="auto"/>
              </w:rPr>
            </w:pPr>
          </w:p>
        </w:tc>
        <w:tc>
          <w:tcPr>
            <w:tcW w:w="620" w:type="dxa"/>
            <w:vAlign w:val="bottom"/>
            <w:tcBorders>
              <w:bottom w:val="single" w:sz="8" w:color="CCEEFF"/>
            </w:tcBorders>
            <w:gridSpan w:val="2"/>
            <w:shd w:val="clear" w:color="auto" w:fill="CCEEFF"/>
          </w:tcPr>
          <w:p>
            <w:pPr>
              <w:spacing w:after="0"/>
              <w:rPr>
                <w:sz w:val="2"/>
                <w:szCs w:val="2"/>
                <w:color w:val="auto"/>
              </w:rPr>
            </w:pPr>
          </w:p>
        </w:tc>
        <w:tc>
          <w:tcPr>
            <w:tcW w:w="1260" w:type="dxa"/>
            <w:vAlign w:val="bottom"/>
            <w:tcBorders>
              <w:bottom w:val="single" w:sz="8" w:color="CCEEFF"/>
            </w:tcBorders>
            <w:gridSpan w:val="2"/>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(x)</w:t>
            </w:r>
          </w:p>
        </w:tc>
        <w:tc>
          <w:tcPr>
            <w:tcW w:w="20" w:type="dxa"/>
            <w:vAlign w:val="bottom"/>
            <w:vMerge w:val="restart"/>
          </w:tcPr>
          <w:p>
            <w:pPr>
              <w:spacing w:after="0"/>
              <w:rPr>
                <w:sz w:val="18"/>
                <w:szCs w:val="18"/>
                <w:color w:val="auto"/>
              </w:rPr>
            </w:pPr>
          </w:p>
        </w:tc>
        <w:tc>
          <w:tcPr>
            <w:tcW w:w="8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2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“Option”</w:t>
            </w:r>
          </w:p>
        </w:tc>
        <w:tc>
          <w:tcPr>
            <w:tcW w:w="40" w:type="dxa"/>
            <w:vAlign w:val="bottom"/>
            <w:gridSpan w:val="2"/>
            <w:vMerge w:val="restart"/>
          </w:tcPr>
          <w:p>
            <w:pPr>
              <w:spacing w:after="0"/>
              <w:rPr>
                <w:sz w:val="18"/>
                <w:szCs w:val="18"/>
                <w:color w:val="auto"/>
              </w:rPr>
            </w:pPr>
          </w:p>
        </w:tc>
        <w:tc>
          <w:tcPr>
            <w:tcW w:w="220" w:type="dxa"/>
            <w:vAlign w:val="bottom"/>
            <w:gridSpan w:val="5"/>
            <w:vMerge w:val="restart"/>
          </w:tcPr>
          <w:p>
            <w:pPr>
              <w:spacing w:after="0"/>
              <w:rPr>
                <w:sz w:val="18"/>
                <w:szCs w:val="18"/>
                <w:color w:val="auto"/>
              </w:rPr>
            </w:pPr>
          </w:p>
        </w:tc>
        <w:tc>
          <w:tcPr>
            <w:tcW w:w="20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1880" w:type="dxa"/>
            <w:vAlign w:val="bottom"/>
            <w:gridSpan w:val="4"/>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20" w:type="dxa"/>
            <w:vAlign w:val="bottom"/>
            <w:gridSpan w:val="5"/>
            <w:vMerge w:val="continue"/>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1880" w:type="dxa"/>
            <w:vAlign w:val="bottom"/>
            <w:gridSpan w:val="4"/>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(y)</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gridSpan w:val="4"/>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280" w:type="dxa"/>
            <w:vAlign w:val="bottom"/>
            <w:tcBorders>
              <w:bottom w:val="single" w:sz="8" w:color="0000EE"/>
            </w:tcBorders>
            <w:gridSpan w:val="23"/>
            <w:shd w:val="clear" w:color="auto" w:fill="CCEEFF"/>
          </w:tcPr>
          <w:p>
            <w:pPr>
              <w:spacing w:after="0"/>
              <w:rPr>
                <w:sz w:val="20"/>
                <w:szCs w:val="20"/>
                <w:color w:val="auto"/>
              </w:rPr>
            </w:pPr>
            <w:r>
              <w:rPr>
                <w:rFonts w:ascii="Arial" w:cs="Arial" w:eastAsia="Arial" w:hAnsi="Arial"/>
                <w:sz w:val="16"/>
                <w:szCs w:val="16"/>
                <w:color w:val="0000EE"/>
                <w:w w:val="99"/>
              </w:rPr>
              <w:t>“Outside Director”</w:t>
            </w: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gridSpan w:val="4"/>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1880" w:type="dxa"/>
            <w:vAlign w:val="bottom"/>
            <w:tcBorders>
              <w:bottom w:val="single" w:sz="8" w:color="CCEEFF"/>
            </w:tcBorders>
            <w:gridSpan w:val="4"/>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6"/>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spacing w:after="0"/>
              <w:rPr>
                <w:sz w:val="2"/>
                <w:szCs w:val="2"/>
                <w:color w:val="auto"/>
              </w:rPr>
            </w:pPr>
          </w:p>
        </w:tc>
        <w:tc>
          <w:tcPr>
            <w:tcW w:w="20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4"/>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gridSpan w:val="4"/>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1880" w:type="dxa"/>
            <w:vAlign w:val="bottom"/>
            <w:tcBorders>
              <w:bottom w:val="single" w:sz="8" w:color="CCEEFF"/>
            </w:tcBorders>
            <w:gridSpan w:val="4"/>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(z)</w:t>
            </w:r>
          </w:p>
        </w:tc>
        <w:tc>
          <w:tcPr>
            <w:tcW w:w="20" w:type="dxa"/>
            <w:vAlign w:val="bottom"/>
            <w:vMerge w:val="restart"/>
          </w:tcPr>
          <w:p>
            <w:pPr>
              <w:spacing w:after="0"/>
              <w:rPr>
                <w:sz w:val="18"/>
                <w:szCs w:val="18"/>
                <w:color w:val="auto"/>
              </w:rPr>
            </w:pPr>
          </w:p>
        </w:tc>
        <w:tc>
          <w:tcPr>
            <w:tcW w:w="8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2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rPr>
              <w:t>“Parent”</w:t>
            </w:r>
          </w:p>
        </w:tc>
        <w:tc>
          <w:tcPr>
            <w:tcW w:w="40" w:type="dxa"/>
            <w:vAlign w:val="bottom"/>
            <w:gridSpan w:val="2"/>
            <w:vMerge w:val="restart"/>
          </w:tcPr>
          <w:p>
            <w:pPr>
              <w:spacing w:after="0"/>
              <w:rPr>
                <w:sz w:val="18"/>
                <w:szCs w:val="18"/>
                <w:color w:val="auto"/>
              </w:rPr>
            </w:pPr>
          </w:p>
        </w:tc>
        <w:tc>
          <w:tcPr>
            <w:tcW w:w="220" w:type="dxa"/>
            <w:vAlign w:val="bottom"/>
            <w:gridSpan w:val="5"/>
            <w:vMerge w:val="restart"/>
          </w:tcPr>
          <w:p>
            <w:pPr>
              <w:spacing w:after="0"/>
              <w:rPr>
                <w:sz w:val="18"/>
                <w:szCs w:val="18"/>
                <w:color w:val="auto"/>
              </w:rPr>
            </w:pPr>
          </w:p>
        </w:tc>
        <w:tc>
          <w:tcPr>
            <w:tcW w:w="20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1880" w:type="dxa"/>
            <w:vAlign w:val="bottom"/>
            <w:gridSpan w:val="4"/>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4"/>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20" w:type="dxa"/>
            <w:vAlign w:val="bottom"/>
            <w:gridSpan w:val="5"/>
            <w:vMerge w:val="continue"/>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1880" w:type="dxa"/>
            <w:vAlign w:val="bottom"/>
            <w:gridSpan w:val="4"/>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6"/>
                <w:szCs w:val="16"/>
                <w:color w:val="0000EE"/>
              </w:rPr>
              <w:t>(aa)</w:t>
            </w: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880" w:type="dxa"/>
            <w:vAlign w:val="bottom"/>
            <w:tcBorders>
              <w:bottom w:val="single" w:sz="8" w:color="0000EE"/>
            </w:tcBorders>
            <w:gridSpan w:val="14"/>
            <w:shd w:val="clear" w:color="auto" w:fill="CCEEFF"/>
          </w:tcPr>
          <w:p>
            <w:pPr>
              <w:spacing w:after="0"/>
              <w:rPr>
                <w:sz w:val="20"/>
                <w:szCs w:val="20"/>
                <w:color w:val="auto"/>
              </w:rPr>
            </w:pPr>
            <w:r>
              <w:rPr>
                <w:rFonts w:ascii="Arial" w:cs="Arial" w:eastAsia="Arial" w:hAnsi="Arial"/>
                <w:sz w:val="16"/>
                <w:szCs w:val="16"/>
                <w:color w:val="0000EE"/>
                <w:w w:val="99"/>
              </w:rPr>
              <w:t>“Participant”</w:t>
            </w:r>
          </w:p>
        </w:tc>
        <w:tc>
          <w:tcPr>
            <w:tcW w:w="200" w:type="dxa"/>
            <w:vAlign w:val="bottom"/>
            <w:tcBorders>
              <w:bottom w:val="single" w:sz="8" w:color="CCEEFF"/>
            </w:tcBorders>
            <w:gridSpan w:val="3"/>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gridSpan w:val="4"/>
            <w:vMerge w:val="restart"/>
            <w:shd w:val="clear" w:color="auto" w:fill="CCEEFF"/>
          </w:tcPr>
          <w:p>
            <w:pPr>
              <w:spacing w:after="0"/>
              <w:rPr>
                <w:sz w:val="19"/>
                <w:szCs w:val="19"/>
                <w:color w:val="auto"/>
              </w:rPr>
            </w:pPr>
          </w:p>
        </w:tc>
        <w:tc>
          <w:tcPr>
            <w:tcW w:w="100" w:type="dxa"/>
            <w:vAlign w:val="bottom"/>
            <w:tcBorders>
              <w:bottom w:val="single" w:sz="8" w:color="CCEEFF"/>
            </w:tcBorders>
            <w:gridSpan w:val="2"/>
            <w:vMerge w:val="restart"/>
            <w:shd w:val="clear" w:color="auto" w:fill="CCEEFF"/>
          </w:tcPr>
          <w:p>
            <w:pPr>
              <w:spacing w:after="0"/>
              <w:rPr>
                <w:sz w:val="19"/>
                <w:szCs w:val="19"/>
                <w:color w:val="auto"/>
              </w:rPr>
            </w:pPr>
          </w:p>
        </w:tc>
        <w:tc>
          <w:tcPr>
            <w:tcW w:w="120" w:type="dxa"/>
            <w:vAlign w:val="bottom"/>
            <w:tcBorders>
              <w:bottom w:val="single" w:sz="8" w:color="CCEEFF"/>
            </w:tcBorders>
            <w:gridSpan w:val="4"/>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1880" w:type="dxa"/>
            <w:vAlign w:val="bottom"/>
            <w:tcBorders>
              <w:bottom w:val="single" w:sz="8" w:color="CCEEFF"/>
            </w:tcBorders>
            <w:gridSpan w:val="4"/>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6"/>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spacing w:after="0"/>
              <w:rPr>
                <w:sz w:val="2"/>
                <w:szCs w:val="2"/>
                <w:color w:val="auto"/>
              </w:rPr>
            </w:pPr>
          </w:p>
        </w:tc>
        <w:tc>
          <w:tcPr>
            <w:tcW w:w="200" w:type="dxa"/>
            <w:vAlign w:val="bottom"/>
            <w:tcBorders>
              <w:bottom w:val="single" w:sz="8" w:color="CCEEFF"/>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gridSpan w:val="4"/>
            <w:vMerge w:val="continue"/>
            <w:shd w:val="clear" w:color="auto" w:fill="CCEEFF"/>
          </w:tcPr>
          <w:p>
            <w:pPr>
              <w:spacing w:after="0"/>
              <w:rPr>
                <w:sz w:val="2"/>
                <w:szCs w:val="2"/>
                <w:color w:val="auto"/>
              </w:rPr>
            </w:pPr>
          </w:p>
        </w:tc>
        <w:tc>
          <w:tcPr>
            <w:tcW w:w="10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gridSpan w:val="4"/>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1880" w:type="dxa"/>
            <w:vAlign w:val="bottom"/>
            <w:tcBorders>
              <w:bottom w:val="single" w:sz="8" w:color="CCEEFF"/>
            </w:tcBorders>
            <w:gridSpan w:val="4"/>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(bb)</w:t>
            </w:r>
          </w:p>
        </w:tc>
        <w:tc>
          <w:tcPr>
            <w:tcW w:w="100" w:type="dxa"/>
            <w:vAlign w:val="bottom"/>
            <w:vMerge w:val="restart"/>
          </w:tcPr>
          <w:p>
            <w:pPr>
              <w:spacing w:after="0"/>
              <w:rPr>
                <w:sz w:val="18"/>
                <w:szCs w:val="18"/>
                <w:color w:val="auto"/>
              </w:rPr>
            </w:pPr>
          </w:p>
        </w:tc>
        <w:tc>
          <w:tcPr>
            <w:tcW w:w="44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8"/>
              </w:rPr>
              <w:t>“Plan”</w:t>
            </w:r>
          </w:p>
        </w:tc>
        <w:tc>
          <w:tcPr>
            <w:tcW w:w="20" w:type="dxa"/>
            <w:vAlign w:val="bottom"/>
            <w:vMerge w:val="restart"/>
          </w:tcPr>
          <w:p>
            <w:pPr>
              <w:spacing w:after="0"/>
              <w:rPr>
                <w:sz w:val="18"/>
                <w:szCs w:val="18"/>
                <w:color w:val="auto"/>
              </w:rPr>
            </w:pPr>
          </w:p>
        </w:tc>
        <w:tc>
          <w:tcPr>
            <w:tcW w:w="200" w:type="dxa"/>
            <w:vAlign w:val="bottom"/>
            <w:gridSpan w:val="6"/>
            <w:vMerge w:val="restart"/>
          </w:tcPr>
          <w:p>
            <w:pPr>
              <w:spacing w:after="0"/>
              <w:rPr>
                <w:sz w:val="18"/>
                <w:szCs w:val="18"/>
                <w:color w:val="auto"/>
              </w:rPr>
            </w:pPr>
          </w:p>
        </w:tc>
        <w:tc>
          <w:tcPr>
            <w:tcW w:w="420" w:type="dxa"/>
            <w:vAlign w:val="bottom"/>
            <w:gridSpan w:val="8"/>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100" w:type="dxa"/>
            <w:vAlign w:val="bottom"/>
            <w:gridSpan w:val="2"/>
            <w:vMerge w:val="restart"/>
          </w:tcPr>
          <w:p>
            <w:pPr>
              <w:spacing w:after="0"/>
              <w:rPr>
                <w:sz w:val="18"/>
                <w:szCs w:val="18"/>
                <w:color w:val="auto"/>
              </w:rPr>
            </w:pPr>
          </w:p>
        </w:tc>
        <w:tc>
          <w:tcPr>
            <w:tcW w:w="120" w:type="dxa"/>
            <w:vAlign w:val="bottom"/>
            <w:gridSpan w:val="4"/>
            <w:vMerge w:val="restart"/>
          </w:tcPr>
          <w:p>
            <w:pPr>
              <w:spacing w:after="0"/>
              <w:rPr>
                <w:sz w:val="18"/>
                <w:szCs w:val="18"/>
                <w:color w:val="auto"/>
              </w:rPr>
            </w:pPr>
          </w:p>
        </w:tc>
        <w:tc>
          <w:tcPr>
            <w:tcW w:w="180" w:type="dxa"/>
            <w:vAlign w:val="bottom"/>
            <w:gridSpan w:val="4"/>
            <w:vMerge w:val="restart"/>
          </w:tcPr>
          <w:p>
            <w:pPr>
              <w:spacing w:after="0"/>
              <w:rPr>
                <w:sz w:val="18"/>
                <w:szCs w:val="18"/>
                <w:color w:val="auto"/>
              </w:rPr>
            </w:pPr>
          </w:p>
        </w:tc>
        <w:tc>
          <w:tcPr>
            <w:tcW w:w="1880" w:type="dxa"/>
            <w:vAlign w:val="bottom"/>
            <w:gridSpan w:val="4"/>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40" w:type="dxa"/>
            <w:vAlign w:val="bottom"/>
            <w:gridSpan w:val="2"/>
          </w:tcPr>
          <w:p>
            <w:pPr>
              <w:spacing w:after="0"/>
              <w:rPr>
                <w:sz w:val="2"/>
                <w:szCs w:val="2"/>
                <w:color w:val="auto"/>
              </w:rPr>
            </w:pPr>
          </w:p>
        </w:tc>
        <w:tc>
          <w:tcPr>
            <w:tcW w:w="20" w:type="dxa"/>
            <w:vAlign w:val="bottom"/>
            <w:vMerge w:val="continue"/>
          </w:tcPr>
          <w:p>
            <w:pPr>
              <w:spacing w:after="0"/>
              <w:rPr>
                <w:sz w:val="2"/>
                <w:szCs w:val="2"/>
                <w:color w:val="auto"/>
              </w:rPr>
            </w:pPr>
          </w:p>
        </w:tc>
        <w:tc>
          <w:tcPr>
            <w:tcW w:w="200" w:type="dxa"/>
            <w:vAlign w:val="bottom"/>
            <w:gridSpan w:val="6"/>
            <w:vMerge w:val="continue"/>
          </w:tcPr>
          <w:p>
            <w:pPr>
              <w:spacing w:after="0"/>
              <w:rPr>
                <w:sz w:val="2"/>
                <w:szCs w:val="2"/>
                <w:color w:val="auto"/>
              </w:rPr>
            </w:pPr>
          </w:p>
        </w:tc>
        <w:tc>
          <w:tcPr>
            <w:tcW w:w="420" w:type="dxa"/>
            <w:vAlign w:val="bottom"/>
            <w:gridSpan w:val="8"/>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1880" w:type="dxa"/>
            <w:vAlign w:val="bottom"/>
            <w:gridSpan w:val="4"/>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6"/>
                <w:szCs w:val="16"/>
                <w:color w:val="0000EE"/>
              </w:rPr>
              <w:t>(cc)</w:t>
            </w:r>
          </w:p>
        </w:tc>
        <w:tc>
          <w:tcPr>
            <w:tcW w:w="120" w:type="dxa"/>
            <w:vAlign w:val="bottom"/>
            <w:tcBorders>
              <w:bottom w:val="single" w:sz="8" w:color="CCEEFF"/>
            </w:tcBorders>
            <w:gridSpan w:val="2"/>
            <w:vMerge w:val="restart"/>
            <w:shd w:val="clear" w:color="auto" w:fill="CCEEFF"/>
          </w:tcPr>
          <w:p>
            <w:pPr>
              <w:spacing w:after="0"/>
              <w:rPr>
                <w:sz w:val="19"/>
                <w:szCs w:val="19"/>
                <w:color w:val="auto"/>
              </w:rPr>
            </w:pPr>
          </w:p>
        </w:tc>
        <w:tc>
          <w:tcPr>
            <w:tcW w:w="1220" w:type="dxa"/>
            <w:vAlign w:val="bottom"/>
            <w:tcBorders>
              <w:bottom w:val="single" w:sz="8" w:color="0000EE"/>
            </w:tcBorders>
            <w:gridSpan w:val="22"/>
            <w:shd w:val="clear" w:color="auto" w:fill="CCEEFF"/>
          </w:tcPr>
          <w:p>
            <w:pPr>
              <w:spacing w:after="0"/>
              <w:rPr>
                <w:sz w:val="20"/>
                <w:szCs w:val="20"/>
                <w:color w:val="auto"/>
              </w:rPr>
            </w:pPr>
            <w:r>
              <w:rPr>
                <w:rFonts w:ascii="Arial" w:cs="Arial" w:eastAsia="Arial" w:hAnsi="Arial"/>
                <w:sz w:val="16"/>
                <w:szCs w:val="16"/>
                <w:color w:val="0000EE"/>
              </w:rPr>
              <w:t>“Purchase Price”</w:t>
            </w:r>
          </w:p>
        </w:tc>
        <w:tc>
          <w:tcPr>
            <w:tcW w:w="100" w:type="dxa"/>
            <w:vAlign w:val="bottom"/>
            <w:tcBorders>
              <w:bottom w:val="single" w:sz="8" w:color="CCEEFF"/>
            </w:tcBorders>
            <w:gridSpan w:val="2"/>
            <w:vMerge w:val="restart"/>
            <w:shd w:val="clear" w:color="auto" w:fill="CCEEFF"/>
          </w:tcPr>
          <w:p>
            <w:pPr>
              <w:spacing w:after="0"/>
              <w:rPr>
                <w:sz w:val="19"/>
                <w:szCs w:val="19"/>
                <w:color w:val="auto"/>
              </w:rPr>
            </w:pPr>
          </w:p>
        </w:tc>
        <w:tc>
          <w:tcPr>
            <w:tcW w:w="120" w:type="dxa"/>
            <w:vAlign w:val="bottom"/>
            <w:tcBorders>
              <w:bottom w:val="single" w:sz="8" w:color="CCEEFF"/>
            </w:tcBorders>
            <w:gridSpan w:val="4"/>
            <w:vMerge w:val="restart"/>
            <w:shd w:val="clear" w:color="auto" w:fill="CCEEFF"/>
          </w:tcPr>
          <w:p>
            <w:pPr>
              <w:spacing w:after="0"/>
              <w:rPr>
                <w:sz w:val="19"/>
                <w:szCs w:val="19"/>
                <w:color w:val="auto"/>
              </w:rPr>
            </w:pP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1880" w:type="dxa"/>
            <w:vAlign w:val="bottom"/>
            <w:tcBorders>
              <w:bottom w:val="single" w:sz="8" w:color="CCEEFF"/>
            </w:tcBorders>
            <w:gridSpan w:val="4"/>
            <w:vMerge w:val="restart"/>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gridSpan w:val="4"/>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46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gridSpan w:val="6"/>
            <w:shd w:val="clear" w:color="auto" w:fill="CCEEFF"/>
          </w:tcPr>
          <w:p>
            <w:pPr>
              <w:spacing w:after="0"/>
              <w:rPr>
                <w:sz w:val="2"/>
                <w:szCs w:val="2"/>
                <w:color w:val="auto"/>
              </w:rPr>
            </w:pPr>
          </w:p>
        </w:tc>
        <w:tc>
          <w:tcPr>
            <w:tcW w:w="420" w:type="dxa"/>
            <w:vAlign w:val="bottom"/>
            <w:tcBorders>
              <w:bottom w:val="single" w:sz="8" w:color="CCEEFF"/>
            </w:tcBorders>
            <w:gridSpan w:val="8"/>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4"/>
            <w:shd w:val="clear" w:color="auto" w:fill="CCEEFF"/>
          </w:tcPr>
          <w:p>
            <w:pPr>
              <w:spacing w:after="0"/>
              <w:rPr>
                <w:sz w:val="2"/>
                <w:szCs w:val="2"/>
                <w:color w:val="auto"/>
              </w:rPr>
            </w:pPr>
          </w:p>
        </w:tc>
        <w:tc>
          <w:tcPr>
            <w:tcW w:w="100" w:type="dxa"/>
            <w:vAlign w:val="bottom"/>
            <w:tcBorders>
              <w:bottom w:val="single" w:sz="8" w:color="CCEEFF"/>
            </w:tcBorders>
            <w:gridSpan w:val="2"/>
            <w:vMerge w:val="continue"/>
            <w:shd w:val="clear" w:color="auto" w:fill="CCEEFF"/>
          </w:tcPr>
          <w:p>
            <w:pPr>
              <w:spacing w:after="0"/>
              <w:rPr>
                <w:sz w:val="2"/>
                <w:szCs w:val="2"/>
                <w:color w:val="auto"/>
              </w:rPr>
            </w:pPr>
          </w:p>
        </w:tc>
        <w:tc>
          <w:tcPr>
            <w:tcW w:w="120" w:type="dxa"/>
            <w:vAlign w:val="bottom"/>
            <w:tcBorders>
              <w:bottom w:val="single" w:sz="8" w:color="CCEEFF"/>
            </w:tcBorders>
            <w:gridSpan w:val="4"/>
            <w:vMerge w:val="continue"/>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1880" w:type="dxa"/>
            <w:vAlign w:val="bottom"/>
            <w:tcBorders>
              <w:bottom w:val="single" w:sz="8" w:color="CCEEFF"/>
            </w:tcBorders>
            <w:gridSpan w:val="4"/>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(dd)</w:t>
            </w:r>
          </w:p>
        </w:tc>
        <w:tc>
          <w:tcPr>
            <w:tcW w:w="100" w:type="dxa"/>
            <w:vAlign w:val="bottom"/>
            <w:vMerge w:val="restart"/>
          </w:tcPr>
          <w:p>
            <w:pPr>
              <w:spacing w:after="0"/>
              <w:rPr>
                <w:sz w:val="19"/>
                <w:szCs w:val="19"/>
                <w:color w:val="auto"/>
              </w:rPr>
            </w:pPr>
          </w:p>
        </w:tc>
        <w:tc>
          <w:tcPr>
            <w:tcW w:w="144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color w:val="0000EE"/>
              </w:rPr>
              <w:t>“Restatement Date”</w:t>
            </w:r>
          </w:p>
        </w:tc>
        <w:tc>
          <w:tcPr>
            <w:tcW w:w="180" w:type="dxa"/>
            <w:vAlign w:val="bottom"/>
            <w:gridSpan w:val="4"/>
            <w:vMerge w:val="restart"/>
          </w:tcPr>
          <w:p>
            <w:pPr>
              <w:spacing w:after="0"/>
              <w:rPr>
                <w:sz w:val="19"/>
                <w:szCs w:val="19"/>
                <w:color w:val="auto"/>
              </w:rPr>
            </w:pPr>
          </w:p>
        </w:tc>
        <w:tc>
          <w:tcPr>
            <w:tcW w:w="1880" w:type="dxa"/>
            <w:vAlign w:val="bottom"/>
            <w:gridSpan w:val="4"/>
            <w:vMerge w:val="restart"/>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gridSpan w:val="2"/>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00" w:type="dxa"/>
            <w:vAlign w:val="bottom"/>
            <w:gridSpan w:val="5"/>
          </w:tcPr>
          <w:p>
            <w:pPr>
              <w:spacing w:after="0"/>
              <w:rPr>
                <w:sz w:val="2"/>
                <w:szCs w:val="2"/>
                <w:color w:val="auto"/>
              </w:rPr>
            </w:pPr>
          </w:p>
        </w:tc>
        <w:tc>
          <w:tcPr>
            <w:tcW w:w="100" w:type="dxa"/>
            <w:vAlign w:val="bottom"/>
            <w:vMerge w:val="continue"/>
          </w:tcPr>
          <w:p>
            <w:pPr>
              <w:spacing w:after="0"/>
              <w:rPr>
                <w:sz w:val="2"/>
                <w:szCs w:val="2"/>
                <w:color w:val="auto"/>
              </w:rPr>
            </w:pPr>
          </w:p>
        </w:tc>
        <w:tc>
          <w:tcPr>
            <w:tcW w:w="460" w:type="dxa"/>
            <w:vAlign w:val="bottom"/>
            <w:gridSpan w:val="3"/>
          </w:tcPr>
          <w:p>
            <w:pPr>
              <w:spacing w:after="0"/>
              <w:rPr>
                <w:sz w:val="2"/>
                <w:szCs w:val="2"/>
                <w:color w:val="auto"/>
              </w:rPr>
            </w:pPr>
          </w:p>
        </w:tc>
        <w:tc>
          <w:tcPr>
            <w:tcW w:w="200" w:type="dxa"/>
            <w:vAlign w:val="bottom"/>
            <w:gridSpan w:val="6"/>
          </w:tcPr>
          <w:p>
            <w:pPr>
              <w:spacing w:after="0"/>
              <w:rPr>
                <w:sz w:val="2"/>
                <w:szCs w:val="2"/>
                <w:color w:val="auto"/>
              </w:rPr>
            </w:pPr>
          </w:p>
        </w:tc>
        <w:tc>
          <w:tcPr>
            <w:tcW w:w="420" w:type="dxa"/>
            <w:vAlign w:val="bottom"/>
            <w:gridSpan w:val="8"/>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6"/>
          </w:tcPr>
          <w:p>
            <w:pPr>
              <w:spacing w:after="0"/>
              <w:rPr>
                <w:sz w:val="2"/>
                <w:szCs w:val="2"/>
                <w:color w:val="auto"/>
              </w:rPr>
            </w:pPr>
          </w:p>
        </w:tc>
        <w:tc>
          <w:tcPr>
            <w:tcW w:w="120" w:type="dxa"/>
            <w:vAlign w:val="bottom"/>
            <w:gridSpan w:val="4"/>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1880" w:type="dxa"/>
            <w:vAlign w:val="bottom"/>
            <w:gridSpan w:val="4"/>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6"/>
                <w:szCs w:val="16"/>
                <w:color w:val="0000EE"/>
              </w:rPr>
              <w:t>(ee)</w:t>
            </w: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1320" w:type="dxa"/>
            <w:vAlign w:val="bottom"/>
            <w:tcBorders>
              <w:bottom w:val="single" w:sz="8" w:color="0000EE"/>
            </w:tcBorders>
            <w:gridSpan w:val="24"/>
            <w:shd w:val="clear" w:color="auto" w:fill="CCEEFF"/>
          </w:tcPr>
          <w:p>
            <w:pPr>
              <w:spacing w:after="0"/>
              <w:rPr>
                <w:sz w:val="20"/>
                <w:szCs w:val="20"/>
                <w:color w:val="auto"/>
              </w:rPr>
            </w:pPr>
            <w:r>
              <w:rPr>
                <w:rFonts w:ascii="Arial" w:cs="Arial" w:eastAsia="Arial" w:hAnsi="Arial"/>
                <w:sz w:val="16"/>
                <w:szCs w:val="16"/>
                <w:color w:val="0000EE"/>
              </w:rPr>
              <w:t>“Restricted Share”</w:t>
            </w:r>
          </w:p>
        </w:tc>
        <w:tc>
          <w:tcPr>
            <w:tcW w:w="300" w:type="dxa"/>
            <w:vAlign w:val="bottom"/>
            <w:tcBorders>
              <w:bottom w:val="single" w:sz="8" w:color="CCEEFF"/>
            </w:tcBorders>
            <w:gridSpan w:val="8"/>
            <w:vMerge w:val="restart"/>
            <w:shd w:val="clear" w:color="auto" w:fill="CCEEFF"/>
          </w:tcPr>
          <w:p>
            <w:pPr>
              <w:spacing w:after="0"/>
              <w:rPr>
                <w:sz w:val="21"/>
                <w:szCs w:val="21"/>
                <w:color w:val="auto"/>
              </w:rPr>
            </w:pPr>
          </w:p>
        </w:tc>
        <w:tc>
          <w:tcPr>
            <w:tcW w:w="1880" w:type="dxa"/>
            <w:vAlign w:val="bottom"/>
            <w:tcBorders>
              <w:bottom w:val="single" w:sz="8" w:color="CCEEFF"/>
            </w:tcBorders>
            <w:gridSpan w:val="4"/>
            <w:vMerge w:val="restart"/>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gridSpan w:val="5"/>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6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gridSpan w:val="6"/>
            <w:shd w:val="clear" w:color="auto" w:fill="CCEEFF"/>
          </w:tcPr>
          <w:p>
            <w:pPr>
              <w:spacing w:after="0"/>
              <w:rPr>
                <w:sz w:val="2"/>
                <w:szCs w:val="2"/>
                <w:color w:val="auto"/>
              </w:rPr>
            </w:pPr>
          </w:p>
        </w:tc>
        <w:tc>
          <w:tcPr>
            <w:tcW w:w="420" w:type="dxa"/>
            <w:vAlign w:val="bottom"/>
            <w:tcBorders>
              <w:bottom w:val="single" w:sz="8" w:color="CCEEFF"/>
            </w:tcBorders>
            <w:gridSpan w:val="8"/>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6"/>
            <w:shd w:val="clear" w:color="auto" w:fill="CCEEFF"/>
          </w:tcPr>
          <w:p>
            <w:pPr>
              <w:spacing w:after="0"/>
              <w:rPr>
                <w:sz w:val="2"/>
                <w:szCs w:val="2"/>
                <w:color w:val="auto"/>
              </w:rPr>
            </w:pPr>
          </w:p>
        </w:tc>
        <w:tc>
          <w:tcPr>
            <w:tcW w:w="300" w:type="dxa"/>
            <w:vAlign w:val="bottom"/>
            <w:tcBorders>
              <w:bottom w:val="single" w:sz="8" w:color="CCEEFF"/>
            </w:tcBorders>
            <w:gridSpan w:val="8"/>
            <w:vMerge w:val="continue"/>
            <w:shd w:val="clear" w:color="auto" w:fill="CCEEFF"/>
          </w:tcPr>
          <w:p>
            <w:pPr>
              <w:spacing w:after="0"/>
              <w:rPr>
                <w:sz w:val="2"/>
                <w:szCs w:val="2"/>
                <w:color w:val="auto"/>
              </w:rPr>
            </w:pPr>
          </w:p>
        </w:tc>
        <w:tc>
          <w:tcPr>
            <w:tcW w:w="1880" w:type="dxa"/>
            <w:vAlign w:val="bottom"/>
            <w:tcBorders>
              <w:bottom w:val="single" w:sz="8" w:color="CCEEFF"/>
            </w:tcBorders>
            <w:gridSpan w:val="4"/>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rPr>
              <w:t>(ff)</w:t>
            </w:r>
          </w:p>
        </w:tc>
        <w:tc>
          <w:tcPr>
            <w:tcW w:w="200" w:type="dxa"/>
            <w:vAlign w:val="bottom"/>
            <w:gridSpan w:val="6"/>
            <w:vMerge w:val="restart"/>
          </w:tcPr>
          <w:p>
            <w:pPr>
              <w:spacing w:after="0"/>
              <w:rPr>
                <w:sz w:val="19"/>
                <w:szCs w:val="19"/>
                <w:color w:val="auto"/>
              </w:rPr>
            </w:pPr>
          </w:p>
        </w:tc>
        <w:tc>
          <w:tcPr>
            <w:tcW w:w="1620" w:type="dxa"/>
            <w:vAlign w:val="bottom"/>
            <w:tcBorders>
              <w:bottom w:val="single" w:sz="8" w:color="0000EE"/>
            </w:tcBorders>
            <w:gridSpan w:val="32"/>
          </w:tcPr>
          <w:p>
            <w:pPr>
              <w:spacing w:after="0"/>
              <w:rPr>
                <w:sz w:val="20"/>
                <w:szCs w:val="20"/>
                <w:color w:val="auto"/>
              </w:rPr>
            </w:pPr>
            <w:r>
              <w:rPr>
                <w:rFonts w:ascii="Arial" w:cs="Arial" w:eastAsia="Arial" w:hAnsi="Arial"/>
                <w:sz w:val="16"/>
                <w:szCs w:val="16"/>
                <w:color w:val="0000EE"/>
                <w:w w:val="99"/>
              </w:rPr>
              <w:t>“Restricted Stock Unit”</w:t>
            </w:r>
          </w:p>
        </w:tc>
        <w:tc>
          <w:tcPr>
            <w:tcW w:w="1880" w:type="dxa"/>
            <w:vAlign w:val="bottom"/>
            <w:gridSpan w:val="4"/>
            <w:vMerge w:val="restart"/>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gridSpan w:val="2"/>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0" w:type="dxa"/>
            <w:vAlign w:val="bottom"/>
            <w:gridSpan w:val="6"/>
            <w:vMerge w:val="continue"/>
          </w:tcPr>
          <w:p>
            <w:pPr>
              <w:spacing w:after="0"/>
              <w:rPr>
                <w:sz w:val="2"/>
                <w:szCs w:val="2"/>
                <w:color w:val="auto"/>
              </w:rPr>
            </w:pPr>
          </w:p>
        </w:tc>
        <w:tc>
          <w:tcPr>
            <w:tcW w:w="460" w:type="dxa"/>
            <w:vAlign w:val="bottom"/>
            <w:gridSpan w:val="3"/>
          </w:tcPr>
          <w:p>
            <w:pPr>
              <w:spacing w:after="0"/>
              <w:rPr>
                <w:sz w:val="2"/>
                <w:szCs w:val="2"/>
                <w:color w:val="auto"/>
              </w:rPr>
            </w:pPr>
          </w:p>
        </w:tc>
        <w:tc>
          <w:tcPr>
            <w:tcW w:w="200" w:type="dxa"/>
            <w:vAlign w:val="bottom"/>
            <w:gridSpan w:val="6"/>
          </w:tcPr>
          <w:p>
            <w:pPr>
              <w:spacing w:after="0"/>
              <w:rPr>
                <w:sz w:val="2"/>
                <w:szCs w:val="2"/>
                <w:color w:val="auto"/>
              </w:rPr>
            </w:pPr>
          </w:p>
        </w:tc>
        <w:tc>
          <w:tcPr>
            <w:tcW w:w="420" w:type="dxa"/>
            <w:vAlign w:val="bottom"/>
            <w:gridSpan w:val="8"/>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14"/>
          </w:tcPr>
          <w:p>
            <w:pPr>
              <w:spacing w:after="0"/>
              <w:rPr>
                <w:sz w:val="2"/>
                <w:szCs w:val="2"/>
                <w:color w:val="auto"/>
              </w:rPr>
            </w:pPr>
          </w:p>
        </w:tc>
        <w:tc>
          <w:tcPr>
            <w:tcW w:w="1880" w:type="dxa"/>
            <w:vAlign w:val="bottom"/>
            <w:gridSpan w:val="4"/>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6"/>
                <w:szCs w:val="16"/>
                <w:color w:val="0000EE"/>
              </w:rPr>
              <w:t>(gg)</w:t>
            </w: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46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rPr>
              <w:t>“SAR”</w:t>
            </w:r>
          </w:p>
        </w:tc>
        <w:tc>
          <w:tcPr>
            <w:tcW w:w="200" w:type="dxa"/>
            <w:vAlign w:val="bottom"/>
            <w:tcBorders>
              <w:bottom w:val="single" w:sz="8" w:color="CCEEFF"/>
            </w:tcBorders>
            <w:gridSpan w:val="6"/>
            <w:vMerge w:val="restart"/>
            <w:shd w:val="clear" w:color="auto" w:fill="CCEEFF"/>
          </w:tcPr>
          <w:p>
            <w:pPr>
              <w:spacing w:after="0"/>
              <w:rPr>
                <w:sz w:val="21"/>
                <w:szCs w:val="21"/>
                <w:color w:val="auto"/>
              </w:rPr>
            </w:pPr>
          </w:p>
        </w:tc>
        <w:tc>
          <w:tcPr>
            <w:tcW w:w="420" w:type="dxa"/>
            <w:vAlign w:val="bottom"/>
            <w:tcBorders>
              <w:bottom w:val="single" w:sz="8" w:color="CCEEFF"/>
            </w:tcBorders>
            <w:gridSpan w:val="8"/>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400" w:type="dxa"/>
            <w:vAlign w:val="bottom"/>
            <w:tcBorders>
              <w:bottom w:val="single" w:sz="8" w:color="CCEEFF"/>
            </w:tcBorders>
            <w:gridSpan w:val="18"/>
            <w:vMerge w:val="restart"/>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7"/>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60" w:type="dxa"/>
            <w:vAlign w:val="bottom"/>
            <w:tcBorders>
              <w:bottom w:val="single" w:sz="8" w:color="CCEEFF"/>
            </w:tcBorders>
            <w:gridSpan w:val="3"/>
            <w:shd w:val="clear" w:color="auto" w:fill="CCEEFF"/>
          </w:tcPr>
          <w:p>
            <w:pPr>
              <w:spacing w:after="0"/>
              <w:rPr>
                <w:sz w:val="2"/>
                <w:szCs w:val="2"/>
                <w:color w:val="auto"/>
              </w:rPr>
            </w:pPr>
          </w:p>
        </w:tc>
        <w:tc>
          <w:tcPr>
            <w:tcW w:w="200" w:type="dxa"/>
            <w:vAlign w:val="bottom"/>
            <w:tcBorders>
              <w:bottom w:val="single" w:sz="8" w:color="CCEEFF"/>
            </w:tcBorders>
            <w:gridSpan w:val="6"/>
            <w:vMerge w:val="continue"/>
            <w:shd w:val="clear" w:color="auto" w:fill="CCEEFF"/>
          </w:tcPr>
          <w:p>
            <w:pPr>
              <w:spacing w:after="0"/>
              <w:rPr>
                <w:sz w:val="2"/>
                <w:szCs w:val="2"/>
                <w:color w:val="auto"/>
              </w:rPr>
            </w:pPr>
          </w:p>
        </w:tc>
        <w:tc>
          <w:tcPr>
            <w:tcW w:w="420" w:type="dxa"/>
            <w:vAlign w:val="bottom"/>
            <w:tcBorders>
              <w:bottom w:val="single" w:sz="8" w:color="CCEEFF"/>
            </w:tcBorders>
            <w:gridSpan w:val="8"/>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400" w:type="dxa"/>
            <w:vAlign w:val="bottom"/>
            <w:tcBorders>
              <w:bottom w:val="single" w:sz="8" w:color="CCEEFF"/>
            </w:tcBorders>
            <w:gridSpan w:val="18"/>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(hh)</w:t>
            </w:r>
          </w:p>
        </w:tc>
        <w:tc>
          <w:tcPr>
            <w:tcW w:w="100" w:type="dxa"/>
            <w:vAlign w:val="bottom"/>
            <w:vMerge w:val="restart"/>
          </w:tcPr>
          <w:p>
            <w:pPr>
              <w:spacing w:after="0"/>
              <w:rPr>
                <w:sz w:val="19"/>
                <w:szCs w:val="19"/>
                <w:color w:val="auto"/>
              </w:rPr>
            </w:pPr>
          </w:p>
        </w:tc>
        <w:tc>
          <w:tcPr>
            <w:tcW w:w="1080" w:type="dxa"/>
            <w:vAlign w:val="bottom"/>
            <w:tcBorders>
              <w:bottom w:val="single" w:sz="8" w:color="0000EE"/>
            </w:tcBorders>
            <w:gridSpan w:val="17"/>
          </w:tcPr>
          <w:p>
            <w:pPr>
              <w:spacing w:after="0"/>
              <w:rPr>
                <w:sz w:val="20"/>
                <w:szCs w:val="20"/>
                <w:color w:val="auto"/>
              </w:rPr>
            </w:pPr>
            <w:r>
              <w:rPr>
                <w:rFonts w:ascii="Arial" w:cs="Arial" w:eastAsia="Arial" w:hAnsi="Arial"/>
                <w:sz w:val="16"/>
                <w:szCs w:val="16"/>
                <w:color w:val="0000EE"/>
              </w:rPr>
              <w:t>“Section 409A”</w:t>
            </w:r>
          </w:p>
        </w:tc>
        <w:tc>
          <w:tcPr>
            <w:tcW w:w="20" w:type="dxa"/>
            <w:vAlign w:val="bottom"/>
            <w:vMerge w:val="restart"/>
          </w:tcPr>
          <w:p>
            <w:pPr>
              <w:spacing w:after="0"/>
              <w:rPr>
                <w:sz w:val="19"/>
                <w:szCs w:val="19"/>
                <w:color w:val="auto"/>
              </w:rPr>
            </w:pPr>
          </w:p>
        </w:tc>
        <w:tc>
          <w:tcPr>
            <w:tcW w:w="2400" w:type="dxa"/>
            <w:vAlign w:val="bottom"/>
            <w:gridSpan w:val="18"/>
            <w:vMerge w:val="restart"/>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gridSpan w:val="2"/>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gridSpan w:val="7"/>
          </w:tcPr>
          <w:p>
            <w:pPr>
              <w:spacing w:after="0"/>
              <w:rPr>
                <w:sz w:val="2"/>
                <w:szCs w:val="2"/>
                <w:color w:val="auto"/>
              </w:rPr>
            </w:pPr>
          </w:p>
        </w:tc>
        <w:tc>
          <w:tcPr>
            <w:tcW w:w="100" w:type="dxa"/>
            <w:vAlign w:val="bottom"/>
            <w:vMerge w:val="continue"/>
          </w:tcPr>
          <w:p>
            <w:pPr>
              <w:spacing w:after="0"/>
              <w:rPr>
                <w:sz w:val="2"/>
                <w:szCs w:val="2"/>
                <w:color w:val="auto"/>
              </w:rPr>
            </w:pPr>
          </w:p>
        </w:tc>
        <w:tc>
          <w:tcPr>
            <w:tcW w:w="660" w:type="dxa"/>
            <w:vAlign w:val="bottom"/>
            <w:gridSpan w:val="9"/>
          </w:tcPr>
          <w:p>
            <w:pPr>
              <w:spacing w:after="0"/>
              <w:rPr>
                <w:sz w:val="2"/>
                <w:szCs w:val="2"/>
                <w:color w:val="auto"/>
              </w:rPr>
            </w:pPr>
          </w:p>
        </w:tc>
        <w:tc>
          <w:tcPr>
            <w:tcW w:w="420" w:type="dxa"/>
            <w:vAlign w:val="bottom"/>
            <w:gridSpan w:val="8"/>
          </w:tcPr>
          <w:p>
            <w:pPr>
              <w:spacing w:after="0"/>
              <w:rPr>
                <w:sz w:val="2"/>
                <w:szCs w:val="2"/>
                <w:color w:val="auto"/>
              </w:rPr>
            </w:pPr>
          </w:p>
        </w:tc>
        <w:tc>
          <w:tcPr>
            <w:tcW w:w="20" w:type="dxa"/>
            <w:vAlign w:val="bottom"/>
            <w:vMerge w:val="continue"/>
          </w:tcPr>
          <w:p>
            <w:pPr>
              <w:spacing w:after="0"/>
              <w:rPr>
                <w:sz w:val="2"/>
                <w:szCs w:val="2"/>
                <w:color w:val="auto"/>
              </w:rPr>
            </w:pPr>
          </w:p>
        </w:tc>
        <w:tc>
          <w:tcPr>
            <w:tcW w:w="2400" w:type="dxa"/>
            <w:vAlign w:val="bottom"/>
            <w:gridSpan w:val="18"/>
            <w:vMerge w:val="continue"/>
          </w:tcPr>
          <w:p>
            <w:pPr>
              <w:spacing w:after="0"/>
              <w:rPr>
                <w:sz w:val="2"/>
                <w:szCs w:val="2"/>
                <w:color w:val="auto"/>
              </w:rPr>
            </w:pPr>
          </w:p>
        </w:tc>
        <w:tc>
          <w:tcPr>
            <w:tcW w:w="490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w w:val="89"/>
              </w:rPr>
              <w:t>(ii)</w:t>
            </w: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40" w:type="dxa"/>
            <w:vAlign w:val="bottom"/>
            <w:tcBorders>
              <w:bottom w:val="single" w:sz="8" w:color="CCEEFF"/>
            </w:tcBorders>
            <w:gridSpan w:val="8"/>
            <w:vMerge w:val="restart"/>
            <w:shd w:val="clear" w:color="auto" w:fill="CCEEFF"/>
          </w:tcPr>
          <w:p>
            <w:pPr>
              <w:spacing w:after="0"/>
              <w:rPr>
                <w:sz w:val="21"/>
                <w:szCs w:val="21"/>
                <w:color w:val="auto"/>
              </w:rPr>
            </w:pPr>
          </w:p>
        </w:tc>
        <w:tc>
          <w:tcPr>
            <w:tcW w:w="1100" w:type="dxa"/>
            <w:vAlign w:val="bottom"/>
            <w:tcBorders>
              <w:bottom w:val="single" w:sz="8" w:color="0000EE"/>
            </w:tcBorders>
            <w:gridSpan w:val="18"/>
            <w:shd w:val="clear" w:color="auto" w:fill="CCEEFF"/>
          </w:tcPr>
          <w:p>
            <w:pPr>
              <w:spacing w:after="0"/>
              <w:rPr>
                <w:sz w:val="20"/>
                <w:szCs w:val="20"/>
                <w:color w:val="auto"/>
              </w:rPr>
            </w:pPr>
            <w:r>
              <w:rPr>
                <w:rFonts w:ascii="Arial" w:cs="Arial" w:eastAsia="Arial" w:hAnsi="Arial"/>
                <w:sz w:val="16"/>
                <w:szCs w:val="16"/>
                <w:color w:val="0000EE"/>
                <w:w w:val="99"/>
              </w:rPr>
              <w:t>“Securities Act”</w:t>
            </w:r>
          </w:p>
        </w:tc>
        <w:tc>
          <w:tcPr>
            <w:tcW w:w="2400" w:type="dxa"/>
            <w:vAlign w:val="bottom"/>
            <w:tcBorders>
              <w:bottom w:val="single" w:sz="8" w:color="CCEEFF"/>
            </w:tcBorders>
            <w:gridSpan w:val="18"/>
            <w:vMerge w:val="restart"/>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40" w:type="dxa"/>
            <w:vAlign w:val="bottom"/>
            <w:tcBorders>
              <w:bottom w:val="single" w:sz="8" w:color="CCEEFF"/>
            </w:tcBorders>
            <w:gridSpan w:val="8"/>
            <w:vMerge w:val="continue"/>
            <w:shd w:val="clear" w:color="auto" w:fill="CCEEFF"/>
          </w:tcPr>
          <w:p>
            <w:pPr>
              <w:spacing w:after="0"/>
              <w:rPr>
                <w:sz w:val="2"/>
                <w:szCs w:val="2"/>
                <w:color w:val="auto"/>
              </w:rPr>
            </w:pPr>
          </w:p>
        </w:tc>
        <w:tc>
          <w:tcPr>
            <w:tcW w:w="660" w:type="dxa"/>
            <w:vAlign w:val="bottom"/>
            <w:tcBorders>
              <w:bottom w:val="single" w:sz="8" w:color="CCEEFF"/>
            </w:tcBorders>
            <w:gridSpan w:val="9"/>
            <w:shd w:val="clear" w:color="auto" w:fill="CCEEFF"/>
          </w:tcPr>
          <w:p>
            <w:pPr>
              <w:spacing w:after="0"/>
              <w:rPr>
                <w:sz w:val="2"/>
                <w:szCs w:val="2"/>
                <w:color w:val="auto"/>
              </w:rPr>
            </w:pPr>
          </w:p>
        </w:tc>
        <w:tc>
          <w:tcPr>
            <w:tcW w:w="440" w:type="dxa"/>
            <w:vAlign w:val="bottom"/>
            <w:tcBorders>
              <w:bottom w:val="single" w:sz="8" w:color="CCEEFF"/>
            </w:tcBorders>
            <w:gridSpan w:val="9"/>
            <w:shd w:val="clear" w:color="auto" w:fill="CCEEFF"/>
          </w:tcPr>
          <w:p>
            <w:pPr>
              <w:spacing w:after="0"/>
              <w:rPr>
                <w:sz w:val="2"/>
                <w:szCs w:val="2"/>
                <w:color w:val="auto"/>
              </w:rPr>
            </w:pPr>
          </w:p>
        </w:tc>
        <w:tc>
          <w:tcPr>
            <w:tcW w:w="2400" w:type="dxa"/>
            <w:vAlign w:val="bottom"/>
            <w:tcBorders>
              <w:bottom w:val="single" w:sz="8" w:color="CCEEFF"/>
            </w:tcBorders>
            <w:gridSpan w:val="18"/>
            <w:vMerge w:val="continue"/>
            <w:shd w:val="clear" w:color="auto" w:fill="CCEEFF"/>
          </w:tcPr>
          <w:p>
            <w:pPr>
              <w:spacing w:after="0"/>
              <w:rPr>
                <w:sz w:val="2"/>
                <w:szCs w:val="2"/>
                <w:color w:val="auto"/>
              </w:rPr>
            </w:pPr>
          </w:p>
        </w:tc>
        <w:tc>
          <w:tcPr>
            <w:tcW w:w="49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(jj)</w:t>
            </w:r>
          </w:p>
        </w:tc>
        <w:tc>
          <w:tcPr>
            <w:tcW w:w="240" w:type="dxa"/>
            <w:vAlign w:val="bottom"/>
            <w:gridSpan w:val="8"/>
            <w:vMerge w:val="restart"/>
          </w:tcPr>
          <w:p>
            <w:pPr>
              <w:spacing w:after="0"/>
              <w:rPr>
                <w:sz w:val="19"/>
                <w:szCs w:val="19"/>
                <w:color w:val="auto"/>
              </w:rPr>
            </w:pPr>
          </w:p>
        </w:tc>
        <w:tc>
          <w:tcPr>
            <w:tcW w:w="66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w w:val="99"/>
              </w:rPr>
              <w:t>“Service”</w:t>
            </w:r>
          </w:p>
        </w:tc>
        <w:tc>
          <w:tcPr>
            <w:tcW w:w="2840" w:type="dxa"/>
            <w:vAlign w:val="bottom"/>
            <w:gridSpan w:val="27"/>
            <w:vMerge w:val="restart"/>
          </w:tcPr>
          <w:p>
            <w:pPr>
              <w:spacing w:after="0"/>
              <w:rPr>
                <w:sz w:val="19"/>
                <w:szCs w:val="19"/>
                <w:color w:val="auto"/>
              </w:rPr>
            </w:pPr>
          </w:p>
        </w:tc>
        <w:tc>
          <w:tcPr>
            <w:tcW w:w="4900" w:type="dxa"/>
            <w:vAlign w:val="bottom"/>
          </w:tcPr>
          <w:p>
            <w:pPr>
              <w:spacing w:after="0"/>
              <w:rPr>
                <w:sz w:val="19"/>
                <w:szCs w:val="19"/>
                <w:color w:val="auto"/>
              </w:rPr>
            </w:pPr>
          </w:p>
        </w:tc>
        <w:tc>
          <w:tcPr>
            <w:tcW w:w="140" w:type="dxa"/>
            <w:vAlign w:val="bottom"/>
            <w:gridSpan w:val="2"/>
            <w:vMerge w:val="restart"/>
          </w:tcPr>
          <w:p>
            <w:pPr>
              <w:spacing w:after="0"/>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240" w:type="dxa"/>
            <w:vAlign w:val="bottom"/>
            <w:gridSpan w:val="8"/>
            <w:vMerge w:val="continue"/>
          </w:tcPr>
          <w:p>
            <w:pPr>
              <w:spacing w:after="0"/>
              <w:rPr>
                <w:sz w:val="14"/>
                <w:szCs w:val="14"/>
                <w:color w:val="auto"/>
              </w:rPr>
            </w:pPr>
          </w:p>
        </w:tc>
        <w:tc>
          <w:tcPr>
            <w:tcW w:w="660" w:type="dxa"/>
            <w:vAlign w:val="bottom"/>
            <w:gridSpan w:val="9"/>
          </w:tcPr>
          <w:p>
            <w:pPr>
              <w:spacing w:after="0"/>
              <w:rPr>
                <w:sz w:val="14"/>
                <w:szCs w:val="14"/>
                <w:color w:val="auto"/>
              </w:rPr>
            </w:pPr>
          </w:p>
        </w:tc>
        <w:tc>
          <w:tcPr>
            <w:tcW w:w="2840" w:type="dxa"/>
            <w:vAlign w:val="bottom"/>
            <w:gridSpan w:val="27"/>
            <w:vMerge w:val="continue"/>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60" w:type="dxa"/>
            <w:vAlign w:val="bottom"/>
            <w:gridSpan w:val="2"/>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5"/>
        </w:trPr>
        <w:tc>
          <w:tcPr>
            <w:tcW w:w="660" w:type="dxa"/>
            <w:vAlign w:val="bottom"/>
          </w:tcPr>
          <w:p>
            <w:pPr>
              <w:spacing w:after="0"/>
              <w:rPr>
                <w:sz w:val="24"/>
                <w:szCs w:val="24"/>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2023​</w:t>
            </w:r>
          </w:p>
        </w:tc>
        <w:tc>
          <w:tcPr>
            <w:tcW w:w="3780" w:type="dxa"/>
            <w:vAlign w:val="bottom"/>
            <w:gridSpan w:val="46"/>
          </w:tcPr>
          <w:p>
            <w:pPr>
              <w:spacing w:after="0"/>
              <w:rPr>
                <w:sz w:val="20"/>
                <w:szCs w:val="20"/>
                <w:color w:val="auto"/>
              </w:rPr>
            </w:pPr>
            <w:r>
              <w:rPr>
                <w:rFonts w:ascii="Arial" w:cs="Arial" w:eastAsia="Arial" w:hAnsi="Arial"/>
                <w:sz w:val="13"/>
                <w:szCs w:val="13"/>
                <w:color w:val="auto"/>
              </w:rPr>
              <w:t>Proxy Statement</w:t>
            </w:r>
          </w:p>
        </w:tc>
        <w:tc>
          <w:tcPr>
            <w:tcW w:w="4900" w:type="dxa"/>
            <w:vAlign w:val="bottom"/>
          </w:tcPr>
          <w:p>
            <w:pPr>
              <w:ind w:left="48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tcPr>
          <w:p>
            <w:pPr>
              <w:ind w:left="80"/>
              <w:spacing w:after="0"/>
              <w:rPr>
                <w:sz w:val="20"/>
                <w:szCs w:val="20"/>
                <w:color w:val="auto"/>
              </w:rPr>
            </w:pPr>
            <w:r>
              <w:rPr>
                <w:rFonts w:ascii="Arial" w:cs="Arial" w:eastAsia="Arial" w:hAnsi="Arial"/>
                <w:sz w:val="13"/>
                <w:szCs w:val="13"/>
                <w:b w:val="1"/>
                <w:bCs w:val="1"/>
                <w:color w:val="auto"/>
              </w:rPr>
              <w:t>A-i</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0720" w:type="dxa"/>
            <w:vAlign w:val="bottom"/>
            <w:tcBorders>
              <w:bottom w:val="single" w:sz="8" w:color="9A9A9A"/>
            </w:tcBorders>
            <w:gridSpan w:val="56"/>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-7388860</wp:posOffset>
            </wp:positionV>
            <wp:extent cx="571754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17540" cy="1714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660" w:type="dxa"/>
            <w:vAlign w:val="bottom"/>
          </w:tcPr>
          <w:p>
            <w:pPr>
              <w:spacing w:after="0"/>
              <w:rPr>
                <w:sz w:val="24"/>
                <w:szCs w:val="24"/>
                <w:color w:val="auto"/>
              </w:rPr>
            </w:pPr>
          </w:p>
        </w:tc>
        <w:tc>
          <w:tcPr>
            <w:tcW w:w="540" w:type="dxa"/>
            <w:vAlign w:val="bottom"/>
            <w:gridSpan w:val="9"/>
          </w:tcPr>
          <w:p>
            <w:pP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Page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0000EE"/>
            </w:tcBorders>
            <w:gridSpan w:val="6"/>
            <w:shd w:val="clear" w:color="auto" w:fill="CCEEFF"/>
          </w:tcPr>
          <w:p>
            <w:pPr>
              <w:spacing w:after="0"/>
              <w:rPr>
                <w:sz w:val="20"/>
                <w:szCs w:val="20"/>
                <w:color w:val="auto"/>
              </w:rPr>
            </w:pPr>
            <w:r>
              <w:rPr>
                <w:rFonts w:ascii="Arial" w:cs="Arial" w:eastAsia="Arial" w:hAnsi="Arial"/>
                <w:sz w:val="16"/>
                <w:szCs w:val="16"/>
                <w:color w:val="0000EE"/>
                <w:w w:val="89"/>
              </w:rPr>
              <w:t>(kk)</w:t>
            </w: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560" w:type="dxa"/>
            <w:vAlign w:val="bottom"/>
            <w:tcBorders>
              <w:top w:val="single" w:sz="8" w:color="CCEEFF"/>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rPr>
              <w:t>“Share”</w:t>
            </w:r>
          </w:p>
        </w:tc>
        <w:tc>
          <w:tcPr>
            <w:tcW w:w="3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8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vMerge w:val="restart"/>
            <w:shd w:val="clear" w:color="auto" w:fill="CCEEFF"/>
          </w:tcPr>
          <w:p>
            <w:pPr>
              <w:spacing w:after="0" w:line="2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1"/>
                <w:szCs w:val="31"/>
                <w:color w:val="auto"/>
                <w:vertAlign w:val="superscript"/>
              </w:rPr>
              <w:t>​</w:t>
            </w:r>
          </w:p>
        </w:tc>
        <w:tc>
          <w:tcPr>
            <w:tcW w:w="240" w:type="dxa"/>
            <w:vAlign w:val="bottom"/>
            <w:tcBorders>
              <w:top w:val="single" w:sz="8" w:color="auto"/>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18"/>
                <w:szCs w:val="18"/>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89"/>
              </w:rPr>
              <w:t>(ll)</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52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“Stock”</w:t>
            </w:r>
          </w:p>
        </w:tc>
        <w:tc>
          <w:tcPr>
            <w:tcW w:w="20" w:type="dxa"/>
            <w:vAlign w:val="bottom"/>
            <w:vMerge w:val="restart"/>
          </w:tcPr>
          <w:p>
            <w:pPr>
              <w:spacing w:after="0"/>
              <w:rPr>
                <w:sz w:val="18"/>
                <w:szCs w:val="18"/>
                <w:color w:val="auto"/>
              </w:rPr>
            </w:pPr>
          </w:p>
        </w:tc>
        <w:tc>
          <w:tcPr>
            <w:tcW w:w="340" w:type="dxa"/>
            <w:vAlign w:val="bottom"/>
            <w:gridSpan w:val="2"/>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20" w:type="dxa"/>
            <w:vAlign w:val="bottom"/>
            <w:vMerge w:val="restart"/>
          </w:tcPr>
          <w:p>
            <w:pPr>
              <w:spacing w:after="0"/>
              <w:rPr>
                <w:sz w:val="18"/>
                <w:szCs w:val="18"/>
                <w:color w:val="auto"/>
              </w:rPr>
            </w:pP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6"/>
                <w:szCs w:val="16"/>
                <w:color w:val="0000EE"/>
                <w:w w:val="96"/>
              </w:rPr>
              <w:t>(mm)</w:t>
            </w: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680" w:type="dxa"/>
            <w:vAlign w:val="bottom"/>
            <w:tcBorders>
              <w:bottom w:val="single" w:sz="8" w:color="0000EE"/>
            </w:tcBorders>
            <w:gridSpan w:val="19"/>
            <w:shd w:val="clear" w:color="auto" w:fill="CCEEFF"/>
          </w:tcPr>
          <w:p>
            <w:pPr>
              <w:spacing w:after="0"/>
              <w:rPr>
                <w:sz w:val="20"/>
                <w:szCs w:val="20"/>
                <w:color w:val="auto"/>
              </w:rPr>
            </w:pPr>
            <w:r>
              <w:rPr>
                <w:rFonts w:ascii="Arial" w:cs="Arial" w:eastAsia="Arial" w:hAnsi="Arial"/>
                <w:sz w:val="16"/>
                <w:szCs w:val="16"/>
                <w:color w:val="0000EE"/>
              </w:rPr>
              <w:t>“Stock Purchase Right”</w:t>
            </w: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20" w:type="dxa"/>
            <w:vAlign w:val="bottom"/>
            <w:tcBorders>
              <w:bottom w:val="single" w:sz="8" w:color="CCEEFF"/>
            </w:tcBorders>
            <w:vMerge w:val="restart"/>
            <w:shd w:val="clear" w:color="auto" w:fill="CCEEFF"/>
          </w:tcPr>
          <w:p>
            <w:pPr>
              <w:spacing w:after="0"/>
              <w:rPr>
                <w:sz w:val="19"/>
                <w:szCs w:val="19"/>
                <w:color w:val="auto"/>
              </w:rPr>
            </w:pPr>
          </w:p>
        </w:tc>
        <w:tc>
          <w:tcPr>
            <w:tcW w:w="1100" w:type="dxa"/>
            <w:vAlign w:val="bottom"/>
            <w:tcBorders>
              <w:bottom w:val="single" w:sz="8" w:color="CCEEFF"/>
            </w:tcBorders>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2"/>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34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1"/>
              </w:rPr>
              <w:t>(nn)</w:t>
            </w:r>
          </w:p>
        </w:tc>
        <w:tc>
          <w:tcPr>
            <w:tcW w:w="1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88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“Subsidiary”</w:t>
            </w:r>
          </w:p>
        </w:tc>
        <w:tc>
          <w:tcPr>
            <w:tcW w:w="8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8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20" w:type="dxa"/>
            <w:vAlign w:val="bottom"/>
            <w:vMerge w:val="restart"/>
          </w:tcPr>
          <w:p>
            <w:pPr>
              <w:spacing w:after="0"/>
              <w:rPr>
                <w:sz w:val="18"/>
                <w:szCs w:val="18"/>
                <w:color w:val="auto"/>
              </w:rPr>
            </w:pP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2420" w:type="dxa"/>
            <w:vAlign w:val="bottom"/>
            <w:tcBorders>
              <w:bottom w:val="single" w:sz="8" w:color="0000EE"/>
            </w:tcBorders>
            <w:gridSpan w:val="32"/>
            <w:shd w:val="clear" w:color="auto" w:fill="CCEEFF"/>
          </w:tcPr>
          <w:p>
            <w:pPr>
              <w:spacing w:after="0"/>
              <w:rPr>
                <w:sz w:val="20"/>
                <w:szCs w:val="20"/>
                <w:color w:val="auto"/>
              </w:rPr>
            </w:pPr>
            <w:r>
              <w:rPr>
                <w:rFonts w:ascii="Arial" w:cs="Arial" w:eastAsia="Arial" w:hAnsi="Arial"/>
                <w:sz w:val="16"/>
                <w:szCs w:val="16"/>
                <w:b w:val="1"/>
                <w:bCs w:val="1"/>
                <w:color w:val="0000EE"/>
              </w:rPr>
              <w:t>SECTION 3.  ADMINISTRATION</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20" w:type="dxa"/>
            <w:vAlign w:val="bottom"/>
            <w:tcBorders>
              <w:bottom w:val="single" w:sz="8" w:color="CCEEFF"/>
            </w:tcBorders>
            <w:vMerge w:val="restart"/>
            <w:shd w:val="clear" w:color="auto" w:fill="CCEEFF"/>
          </w:tcPr>
          <w:p>
            <w:pPr>
              <w:spacing w:after="0"/>
              <w:rPr>
                <w:sz w:val="19"/>
                <w:szCs w:val="19"/>
                <w:color w:val="auto"/>
              </w:rPr>
            </w:pPr>
          </w:p>
        </w:tc>
        <w:tc>
          <w:tcPr>
            <w:tcW w:w="1100" w:type="dxa"/>
            <w:vAlign w:val="bottom"/>
            <w:tcBorders>
              <w:bottom w:val="single" w:sz="8" w:color="CCEEFF"/>
            </w:tcBorders>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tc>
        <w:tc>
          <w:tcPr>
            <w:tcW w:w="26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6"/>
                <w:szCs w:val="16"/>
                <w:b w:val="1"/>
                <w:bCs w:val="1"/>
                <w:color w:val="0000EE"/>
                <w:w w:val="92"/>
              </w:rPr>
              <w:t>A-4</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140" w:type="dxa"/>
            <w:vAlign w:val="bottom"/>
            <w:tcBorders>
              <w:bottom w:val="single" w:sz="8" w:color="CCEEFF"/>
            </w:tcBorders>
            <w:gridSpan w:val="12"/>
            <w:shd w:val="clear" w:color="auto" w:fill="CCEEFF"/>
          </w:tcPr>
          <w:p>
            <w:pPr>
              <w:spacing w:after="0"/>
              <w:rPr>
                <w:sz w:val="2"/>
                <w:szCs w:val="2"/>
                <w:color w:val="auto"/>
              </w:rPr>
            </w:pPr>
          </w:p>
        </w:tc>
        <w:tc>
          <w:tcPr>
            <w:tcW w:w="420" w:type="dxa"/>
            <w:vAlign w:val="bottom"/>
            <w:tcBorders>
              <w:bottom w:val="single" w:sz="8" w:color="CCEEFF"/>
            </w:tcBorders>
            <w:gridSpan w:val="3"/>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(a)</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74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Committee Composition</w:t>
            </w:r>
          </w:p>
        </w:tc>
        <w:tc>
          <w:tcPr>
            <w:tcW w:w="20" w:type="dxa"/>
            <w:vAlign w:val="bottom"/>
            <w:vMerge w:val="restart"/>
          </w:tcPr>
          <w:p>
            <w:pPr>
              <w:spacing w:after="0"/>
              <w:rPr>
                <w:sz w:val="18"/>
                <w:szCs w:val="18"/>
                <w:color w:val="auto"/>
              </w:rPr>
            </w:pPr>
          </w:p>
        </w:tc>
        <w:tc>
          <w:tcPr>
            <w:tcW w:w="8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20" w:type="dxa"/>
            <w:vAlign w:val="bottom"/>
            <w:vMerge w:val="restart"/>
          </w:tcPr>
          <w:p>
            <w:pPr>
              <w:spacing w:after="0"/>
              <w:rPr>
                <w:sz w:val="18"/>
                <w:szCs w:val="18"/>
                <w:color w:val="auto"/>
              </w:rPr>
            </w:pP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4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(b)</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760" w:type="dxa"/>
            <w:vAlign w:val="bottom"/>
            <w:tcBorders>
              <w:bottom w:val="single" w:sz="8" w:color="0000EE"/>
            </w:tcBorders>
            <w:gridSpan w:val="21"/>
            <w:shd w:val="clear" w:color="auto" w:fill="CCEEFF"/>
          </w:tcPr>
          <w:p>
            <w:pPr>
              <w:spacing w:after="0"/>
              <w:rPr>
                <w:sz w:val="20"/>
                <w:szCs w:val="20"/>
                <w:color w:val="auto"/>
              </w:rPr>
            </w:pPr>
            <w:r>
              <w:rPr>
                <w:rFonts w:ascii="Arial" w:cs="Arial" w:eastAsia="Arial" w:hAnsi="Arial"/>
                <w:sz w:val="16"/>
                <w:szCs w:val="16"/>
                <w:color w:val="0000EE"/>
              </w:rPr>
              <w:t>Committee Appointment</w:t>
            </w: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20" w:type="dxa"/>
            <w:vAlign w:val="bottom"/>
            <w:tcBorders>
              <w:bottom w:val="single" w:sz="8" w:color="CCEEFF"/>
            </w:tcBorders>
            <w:vMerge w:val="restart"/>
            <w:shd w:val="clear" w:color="auto" w:fill="CCEEFF"/>
          </w:tcPr>
          <w:p>
            <w:pPr>
              <w:spacing w:after="0"/>
              <w:rPr>
                <w:sz w:val="19"/>
                <w:szCs w:val="19"/>
                <w:color w:val="auto"/>
              </w:rPr>
            </w:pPr>
          </w:p>
        </w:tc>
        <w:tc>
          <w:tcPr>
            <w:tcW w:w="1100" w:type="dxa"/>
            <w:vAlign w:val="bottom"/>
            <w:tcBorders>
              <w:bottom w:val="single" w:sz="8" w:color="CCEEFF"/>
            </w:tcBorders>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A-4</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420" w:type="dxa"/>
            <w:vAlign w:val="bottom"/>
            <w:tcBorders>
              <w:bottom w:val="single" w:sz="8" w:color="CCEEFF"/>
            </w:tcBorders>
            <w:gridSpan w:val="3"/>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gridSpan w:val="3"/>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6"/>
              </w:rPr>
              <w:t>(c)</w:t>
            </w:r>
          </w:p>
        </w:tc>
        <w:tc>
          <w:tcPr>
            <w:tcW w:w="18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98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color w:val="0000EE"/>
              </w:rPr>
              <w:t>Committee Responsibilities</w:t>
            </w:r>
          </w:p>
        </w:tc>
        <w:tc>
          <w:tcPr>
            <w:tcW w:w="20" w:type="dxa"/>
            <w:vAlign w:val="bottom"/>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20" w:type="dxa"/>
            <w:vAlign w:val="bottom"/>
            <w:vMerge w:val="restart"/>
          </w:tcPr>
          <w:p>
            <w:pPr>
              <w:spacing w:after="0"/>
              <w:rPr>
                <w:sz w:val="18"/>
                <w:szCs w:val="18"/>
                <w:color w:val="auto"/>
              </w:rPr>
            </w:pP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A-5</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4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2000" w:type="dxa"/>
            <w:vAlign w:val="bottom"/>
            <w:tcBorders>
              <w:bottom w:val="single" w:sz="8" w:color="0000EE"/>
            </w:tcBorders>
            <w:gridSpan w:val="25"/>
            <w:shd w:val="clear" w:color="auto" w:fill="CCEEFF"/>
          </w:tcPr>
          <w:p>
            <w:pPr>
              <w:spacing w:after="0"/>
              <w:rPr>
                <w:sz w:val="20"/>
                <w:szCs w:val="20"/>
                <w:color w:val="auto"/>
              </w:rPr>
            </w:pPr>
            <w:r>
              <w:rPr>
                <w:rFonts w:ascii="Arial" w:cs="Arial" w:eastAsia="Arial" w:hAnsi="Arial"/>
                <w:sz w:val="16"/>
                <w:szCs w:val="16"/>
                <w:b w:val="1"/>
                <w:bCs w:val="1"/>
                <w:color w:val="0000EE"/>
              </w:rPr>
              <w:t>SECTION 4.  ELIGIBILITY</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gridSpan w:val="5"/>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20" w:type="dxa"/>
            <w:vAlign w:val="bottom"/>
            <w:tcBorders>
              <w:bottom w:val="single" w:sz="8" w:color="CCEEFF"/>
            </w:tcBorders>
            <w:vMerge w:val="restart"/>
            <w:shd w:val="clear" w:color="auto" w:fill="CCEEFF"/>
          </w:tcPr>
          <w:p>
            <w:pPr>
              <w:spacing w:after="0"/>
              <w:rPr>
                <w:sz w:val="19"/>
                <w:szCs w:val="19"/>
                <w:color w:val="auto"/>
              </w:rPr>
            </w:pPr>
          </w:p>
        </w:tc>
        <w:tc>
          <w:tcPr>
            <w:tcW w:w="1100" w:type="dxa"/>
            <w:vAlign w:val="bottom"/>
            <w:tcBorders>
              <w:bottom w:val="single" w:sz="8" w:color="CCEEFF"/>
            </w:tcBorders>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26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6"/>
                <w:szCs w:val="16"/>
                <w:b w:val="1"/>
                <w:bCs w:val="1"/>
                <w:color w:val="0000EE"/>
                <w:w w:val="92"/>
              </w:rPr>
              <w:t>A-6</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140" w:type="dxa"/>
            <w:vAlign w:val="bottom"/>
            <w:tcBorders>
              <w:bottom w:val="single" w:sz="8" w:color="CCEEFF"/>
            </w:tcBorders>
            <w:gridSpan w:val="12"/>
            <w:shd w:val="clear" w:color="auto" w:fill="CCEEFF"/>
          </w:tcPr>
          <w:p>
            <w:pPr>
              <w:spacing w:after="0"/>
              <w:rPr>
                <w:sz w:val="2"/>
                <w:szCs w:val="2"/>
                <w:color w:val="auto"/>
              </w:rPr>
            </w:pPr>
          </w:p>
        </w:tc>
        <w:tc>
          <w:tcPr>
            <w:tcW w:w="420" w:type="dxa"/>
            <w:vAlign w:val="bottom"/>
            <w:tcBorders>
              <w:bottom w:val="single" w:sz="8" w:color="CCEEFF"/>
            </w:tcBorders>
            <w:gridSpan w:val="3"/>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5"/>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(a)</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96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9"/>
              </w:rPr>
              <w:t>General Rule</w:t>
            </w:r>
          </w:p>
        </w:tc>
        <w:tc>
          <w:tcPr>
            <w:tcW w:w="8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80" w:type="dxa"/>
            <w:vAlign w:val="bottom"/>
            <w:gridSpan w:val="5"/>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20" w:type="dxa"/>
            <w:vAlign w:val="bottom"/>
            <w:vMerge w:val="restart"/>
          </w:tcPr>
          <w:p>
            <w:pPr>
              <w:spacing w:after="0"/>
              <w:rPr>
                <w:sz w:val="18"/>
                <w:szCs w:val="18"/>
                <w:color w:val="auto"/>
              </w:rPr>
            </w:pP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A-6</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420" w:type="dxa"/>
            <w:vAlign w:val="bottom"/>
            <w:gridSpan w:val="3"/>
          </w:tcPr>
          <w:p>
            <w:pPr>
              <w:spacing w:after="0"/>
              <w:rPr>
                <w:sz w:val="2"/>
                <w:szCs w:val="2"/>
                <w:color w:val="auto"/>
              </w:rPr>
            </w:pPr>
          </w:p>
        </w:tc>
        <w:tc>
          <w:tcPr>
            <w:tcW w:w="8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80" w:type="dxa"/>
            <w:vAlign w:val="bottom"/>
            <w:gridSpan w:val="5"/>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(b)</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60" w:type="dxa"/>
            <w:vAlign w:val="bottom"/>
            <w:tcBorders>
              <w:bottom w:val="single" w:sz="8" w:color="0000EE"/>
            </w:tcBorders>
            <w:gridSpan w:val="24"/>
            <w:shd w:val="clear" w:color="auto" w:fill="CCEEFF"/>
          </w:tcPr>
          <w:p>
            <w:pPr>
              <w:spacing w:after="0"/>
              <w:rPr>
                <w:sz w:val="20"/>
                <w:szCs w:val="20"/>
                <w:color w:val="auto"/>
              </w:rPr>
            </w:pPr>
            <w:r>
              <w:rPr>
                <w:rFonts w:ascii="Arial" w:cs="Arial" w:eastAsia="Arial" w:hAnsi="Arial"/>
                <w:sz w:val="16"/>
                <w:szCs w:val="16"/>
                <w:color w:val="0000EE"/>
                <w:w w:val="99"/>
              </w:rPr>
              <w:t>Ten-Percent Stockholders</w:t>
            </w: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20" w:type="dxa"/>
            <w:vAlign w:val="bottom"/>
            <w:tcBorders>
              <w:bottom w:val="single" w:sz="8" w:color="CCEEFF"/>
            </w:tcBorders>
            <w:vMerge w:val="restart"/>
            <w:shd w:val="clear" w:color="auto" w:fill="CCEEFF"/>
          </w:tcPr>
          <w:p>
            <w:pPr>
              <w:spacing w:after="0"/>
              <w:rPr>
                <w:sz w:val="19"/>
                <w:szCs w:val="19"/>
                <w:color w:val="auto"/>
              </w:rPr>
            </w:pPr>
          </w:p>
        </w:tc>
        <w:tc>
          <w:tcPr>
            <w:tcW w:w="1100" w:type="dxa"/>
            <w:vAlign w:val="bottom"/>
            <w:tcBorders>
              <w:bottom w:val="single" w:sz="8" w:color="CCEEFF"/>
            </w:tcBorders>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A-6</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gridSpan w:val="4"/>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5"/>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6"/>
              </w:rPr>
              <w:t>(c)</w:t>
            </w:r>
          </w:p>
        </w:tc>
        <w:tc>
          <w:tcPr>
            <w:tcW w:w="18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20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Attribution Rules</w:t>
            </w:r>
          </w:p>
        </w:tc>
        <w:tc>
          <w:tcPr>
            <w:tcW w:w="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80" w:type="dxa"/>
            <w:vAlign w:val="bottom"/>
            <w:gridSpan w:val="5"/>
            <w:vMerge w:val="restart"/>
          </w:tcPr>
          <w:p>
            <w:pPr>
              <w:spacing w:after="0"/>
              <w:rPr>
                <w:sz w:val="18"/>
                <w:szCs w:val="18"/>
                <w:color w:val="auto"/>
              </w:rPr>
            </w:pPr>
          </w:p>
        </w:tc>
        <w:tc>
          <w:tcPr>
            <w:tcW w:w="12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20" w:type="dxa"/>
            <w:vAlign w:val="bottom"/>
            <w:vMerge w:val="restart"/>
          </w:tcPr>
          <w:p>
            <w:pPr>
              <w:spacing w:after="0"/>
              <w:rPr>
                <w:sz w:val="18"/>
                <w:szCs w:val="18"/>
                <w:color w:val="auto"/>
              </w:rPr>
            </w:pP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A-6</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80" w:type="dxa"/>
            <w:vAlign w:val="bottom"/>
            <w:gridSpan w:val="5"/>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82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(d)</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34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6"/>
                <w:szCs w:val="16"/>
                <w:color w:val="0000EE"/>
              </w:rPr>
              <w:t>Outstanding Stock</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gridSpan w:val="5"/>
            <w:vMerge w:val="restart"/>
            <w:shd w:val="clear" w:color="auto" w:fill="CCEEFF"/>
          </w:tcPr>
          <w:p>
            <w:pPr>
              <w:spacing w:after="0"/>
              <w:rPr>
                <w:sz w:val="19"/>
                <w:szCs w:val="19"/>
                <w:color w:val="auto"/>
              </w:rPr>
            </w:pPr>
          </w:p>
        </w:tc>
        <w:tc>
          <w:tcPr>
            <w:tcW w:w="12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820" w:type="dxa"/>
            <w:vAlign w:val="bottom"/>
            <w:tcBorders>
              <w:bottom w:val="single" w:sz="8" w:color="CCEEFF"/>
            </w:tcBorders>
            <w:vMerge w:val="restart"/>
            <w:shd w:val="clear" w:color="auto" w:fill="CCEEFF"/>
          </w:tcPr>
          <w:p>
            <w:pPr>
              <w:spacing w:after="0"/>
              <w:rPr>
                <w:sz w:val="19"/>
                <w:szCs w:val="19"/>
                <w:color w:val="auto"/>
              </w:rPr>
            </w:pPr>
          </w:p>
        </w:tc>
        <w:tc>
          <w:tcPr>
            <w:tcW w:w="1100" w:type="dxa"/>
            <w:vAlign w:val="bottom"/>
            <w:tcBorders>
              <w:bottom w:val="single" w:sz="8" w:color="CCEEFF"/>
            </w:tcBorders>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A-6</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gridSpan w:val="4"/>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5"/>
            <w:vMerge w:val="continue"/>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820" w:type="dxa"/>
            <w:vAlign w:val="bottom"/>
            <w:tcBorders>
              <w:bottom w:val="single" w:sz="8" w:color="CCEEFF"/>
            </w:tcBorders>
            <w:vMerge w:val="continue"/>
            <w:shd w:val="clear" w:color="auto" w:fill="CCEEFF"/>
          </w:tcPr>
          <w:p>
            <w:pPr>
              <w:spacing w:after="0"/>
              <w:rPr>
                <w:sz w:val="2"/>
                <w:szCs w:val="2"/>
                <w:color w:val="auto"/>
              </w:rPr>
            </w:pPr>
          </w:p>
        </w:tc>
        <w:tc>
          <w:tcPr>
            <w:tcW w:w="1100" w:type="dxa"/>
            <w:vAlign w:val="bottom"/>
            <w:tcBorders>
              <w:bottom w:val="single" w:sz="8" w:color="CCEEFF"/>
            </w:tcBorders>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920" w:type="dxa"/>
            <w:vAlign w:val="bottom"/>
            <w:tcBorders>
              <w:bottom w:val="single" w:sz="8" w:color="0000EE"/>
            </w:tcBorders>
            <w:gridSpan w:val="46"/>
          </w:tcPr>
          <w:p>
            <w:pPr>
              <w:spacing w:after="0"/>
              <w:rPr>
                <w:sz w:val="20"/>
                <w:szCs w:val="20"/>
                <w:color w:val="auto"/>
              </w:rPr>
            </w:pPr>
            <w:r>
              <w:rPr>
                <w:rFonts w:ascii="Arial" w:cs="Arial" w:eastAsia="Arial" w:hAnsi="Arial"/>
                <w:sz w:val="16"/>
                <w:szCs w:val="16"/>
                <w:b w:val="1"/>
                <w:bCs w:val="1"/>
                <w:color w:val="0000EE"/>
              </w:rPr>
              <w:t>SECTION 5.  STOCK SUBJECT TO PLAN; DIRECTOR COMPENSATION LIMIT</w:t>
            </w:r>
          </w:p>
        </w:tc>
        <w:tc>
          <w:tcPr>
            <w:tcW w:w="110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b w:val="1"/>
                <w:bCs w:val="1"/>
                <w:color w:val="auto"/>
                <w:vertAlign w:val="superscript"/>
              </w:rPr>
              <w:t>​</w:t>
            </w:r>
          </w:p>
        </w:tc>
        <w:tc>
          <w:tcPr>
            <w:tcW w:w="2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rPr>
              <w:t>A-6</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140" w:type="dxa"/>
            <w:vAlign w:val="bottom"/>
            <w:gridSpan w:val="12"/>
          </w:tcPr>
          <w:p>
            <w:pPr>
              <w:spacing w:after="0"/>
              <w:rPr>
                <w:sz w:val="2"/>
                <w:szCs w:val="2"/>
                <w:color w:val="auto"/>
              </w:rPr>
            </w:pPr>
          </w:p>
        </w:tc>
        <w:tc>
          <w:tcPr>
            <w:tcW w:w="5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5"/>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28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(a)</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140" w:type="dxa"/>
            <w:vAlign w:val="bottom"/>
            <w:tcBorders>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w w:val="99"/>
              </w:rPr>
              <w:t>Basic Limitation</w:t>
            </w:r>
          </w:p>
        </w:tc>
        <w:tc>
          <w:tcPr>
            <w:tcW w:w="1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gridSpan w:val="5"/>
            <w:vMerge w:val="restart"/>
            <w:shd w:val="clear" w:color="auto" w:fill="CCEEFF"/>
          </w:tcPr>
          <w:p>
            <w:pPr>
              <w:spacing w:after="0"/>
              <w:rPr>
                <w:sz w:val="19"/>
                <w:szCs w:val="19"/>
                <w:color w:val="auto"/>
              </w:rPr>
            </w:pPr>
          </w:p>
        </w:tc>
        <w:tc>
          <w:tcPr>
            <w:tcW w:w="12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18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920" w:type="dxa"/>
            <w:vAlign w:val="bottom"/>
            <w:tcBorders>
              <w:bottom w:val="single" w:sz="8" w:color="CCEEFF"/>
            </w:tcBorders>
            <w:gridSpan w:val="2"/>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A-6</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gridSpan w:val="4"/>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5"/>
            <w:vMerge w:val="continue"/>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18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920" w:type="dxa"/>
            <w:vAlign w:val="bottom"/>
            <w:tcBorders>
              <w:bottom w:val="single" w:sz="8" w:color="CCEEFF"/>
            </w:tcBorders>
            <w:gridSpan w:val="2"/>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(b)</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28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rPr>
              <w:t>Additional Shares</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80" w:type="dxa"/>
            <w:vAlign w:val="bottom"/>
            <w:gridSpan w:val="5"/>
            <w:vMerge w:val="restart"/>
          </w:tcPr>
          <w:p>
            <w:pPr>
              <w:spacing w:after="0"/>
              <w:rPr>
                <w:sz w:val="18"/>
                <w:szCs w:val="18"/>
                <w:color w:val="auto"/>
              </w:rPr>
            </w:pPr>
          </w:p>
        </w:tc>
        <w:tc>
          <w:tcPr>
            <w:tcW w:w="12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6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920" w:type="dxa"/>
            <w:vAlign w:val="bottom"/>
            <w:gridSpan w:val="2"/>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A-6</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gridSpan w:val="4"/>
          </w:tcPr>
          <w:p>
            <w:pPr>
              <w:spacing w:after="0"/>
              <w:rPr>
                <w:sz w:val="2"/>
                <w:szCs w:val="2"/>
                <w:color w:val="auto"/>
              </w:rPr>
            </w:pPr>
          </w:p>
        </w:tc>
        <w:tc>
          <w:tcPr>
            <w:tcW w:w="240" w:type="dxa"/>
            <w:vAlign w:val="bottom"/>
            <w:gridSpan w:val="3"/>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80" w:type="dxa"/>
            <w:vAlign w:val="bottom"/>
            <w:gridSpan w:val="5"/>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920" w:type="dxa"/>
            <w:vAlign w:val="bottom"/>
            <w:gridSpan w:val="2"/>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6"/>
              </w:rPr>
              <w:t>(c)</w:t>
            </w:r>
          </w:p>
        </w:tc>
        <w:tc>
          <w:tcPr>
            <w:tcW w:w="180" w:type="dxa"/>
            <w:vAlign w:val="bottom"/>
            <w:tcBorders>
              <w:bottom w:val="single" w:sz="8" w:color="CCEEFF"/>
            </w:tcBorders>
            <w:gridSpan w:val="4"/>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820" w:type="dxa"/>
            <w:vAlign w:val="bottom"/>
            <w:tcBorders>
              <w:bottom w:val="single" w:sz="8" w:color="0000EE"/>
            </w:tcBorders>
            <w:gridSpan w:val="33"/>
            <w:shd w:val="clear" w:color="auto" w:fill="CCEEFF"/>
          </w:tcPr>
          <w:p>
            <w:pPr>
              <w:spacing w:after="0"/>
              <w:rPr>
                <w:sz w:val="20"/>
                <w:szCs w:val="20"/>
                <w:color w:val="auto"/>
              </w:rPr>
            </w:pPr>
            <w:r>
              <w:rPr>
                <w:rFonts w:ascii="Arial" w:cs="Arial" w:eastAsia="Arial" w:hAnsi="Arial"/>
                <w:sz w:val="16"/>
                <w:szCs w:val="16"/>
                <w:color w:val="0000EE"/>
              </w:rPr>
              <w:t>Substitution and Assumption of Awards</w:t>
            </w:r>
          </w:p>
        </w:tc>
        <w:tc>
          <w:tcPr>
            <w:tcW w:w="6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920" w:type="dxa"/>
            <w:vAlign w:val="bottom"/>
            <w:tcBorders>
              <w:bottom w:val="single" w:sz="8" w:color="CCEEFF"/>
            </w:tcBorders>
            <w:gridSpan w:val="2"/>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A-6</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gridSpan w:val="4"/>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5"/>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920" w:type="dxa"/>
            <w:vAlign w:val="bottom"/>
            <w:tcBorders>
              <w:bottom w:val="single" w:sz="8" w:color="CCEEFF"/>
            </w:tcBorders>
            <w:gridSpan w:val="2"/>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(d)</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660" w:type="dxa"/>
            <w:vAlign w:val="bottom"/>
            <w:tcBorders>
              <w:bottom w:val="single" w:sz="8" w:color="0000EE"/>
            </w:tcBorders>
            <w:gridSpan w:val="32"/>
          </w:tcPr>
          <w:p>
            <w:pPr>
              <w:spacing w:after="0"/>
              <w:rPr>
                <w:sz w:val="20"/>
                <w:szCs w:val="20"/>
                <w:color w:val="auto"/>
              </w:rPr>
            </w:pPr>
            <w:r>
              <w:rPr>
                <w:rFonts w:ascii="Arial" w:cs="Arial" w:eastAsia="Arial" w:hAnsi="Arial"/>
                <w:sz w:val="16"/>
                <w:szCs w:val="16"/>
                <w:color w:val="0000EE"/>
              </w:rPr>
              <w:t>Outside Director Compensation Limit</w:t>
            </w:r>
          </w:p>
        </w:tc>
        <w:tc>
          <w:tcPr>
            <w:tcW w:w="78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920" w:type="dxa"/>
            <w:vAlign w:val="bottom"/>
            <w:gridSpan w:val="2"/>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A-7</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gridSpan w:val="4"/>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5"/>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920" w:type="dxa"/>
            <w:vAlign w:val="bottom"/>
            <w:gridSpan w:val="2"/>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2780" w:type="dxa"/>
            <w:vAlign w:val="bottom"/>
            <w:tcBorders>
              <w:bottom w:val="single" w:sz="8" w:color="0000EE"/>
            </w:tcBorders>
            <w:gridSpan w:val="38"/>
            <w:shd w:val="clear" w:color="auto" w:fill="CCEEFF"/>
          </w:tcPr>
          <w:p>
            <w:pPr>
              <w:spacing w:after="0"/>
              <w:rPr>
                <w:sz w:val="20"/>
                <w:szCs w:val="20"/>
                <w:color w:val="auto"/>
              </w:rPr>
            </w:pPr>
            <w:r>
              <w:rPr>
                <w:rFonts w:ascii="Arial" w:cs="Arial" w:eastAsia="Arial" w:hAnsi="Arial"/>
                <w:sz w:val="16"/>
                <w:szCs w:val="16"/>
                <w:b w:val="1"/>
                <w:bCs w:val="1"/>
                <w:color w:val="0000EE"/>
              </w:rPr>
              <w:t>SECTION 6.  RESTRICTED SHARES</w:t>
            </w: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88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920" w:type="dxa"/>
            <w:vAlign w:val="bottom"/>
            <w:tcBorders>
              <w:bottom w:val="single" w:sz="8" w:color="CCEEFF"/>
            </w:tcBorders>
            <w:gridSpan w:val="2"/>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26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6"/>
                <w:szCs w:val="16"/>
                <w:b w:val="1"/>
                <w:bCs w:val="1"/>
                <w:color w:val="0000EE"/>
                <w:w w:val="92"/>
              </w:rPr>
              <w:t>A-7</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140" w:type="dxa"/>
            <w:vAlign w:val="bottom"/>
            <w:tcBorders>
              <w:bottom w:val="single" w:sz="8" w:color="CCEEFF"/>
            </w:tcBorders>
            <w:gridSpan w:val="12"/>
            <w:shd w:val="clear" w:color="auto" w:fill="CCEEFF"/>
          </w:tcPr>
          <w:p>
            <w:pPr>
              <w:spacing w:after="0"/>
              <w:rPr>
                <w:sz w:val="2"/>
                <w:szCs w:val="2"/>
                <w:color w:val="auto"/>
              </w:rPr>
            </w:pPr>
          </w:p>
        </w:tc>
        <w:tc>
          <w:tcPr>
            <w:tcW w:w="500" w:type="dxa"/>
            <w:vAlign w:val="bottom"/>
            <w:tcBorders>
              <w:bottom w:val="single" w:sz="8" w:color="CCEEFF"/>
            </w:tcBorders>
            <w:gridSpan w:val="4"/>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5"/>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88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920" w:type="dxa"/>
            <w:vAlign w:val="bottom"/>
            <w:tcBorders>
              <w:bottom w:val="single" w:sz="8" w:color="CCEEFF"/>
            </w:tcBorders>
            <w:gridSpan w:val="2"/>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(a)</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560" w:type="dxa"/>
            <w:vAlign w:val="bottom"/>
            <w:tcBorders>
              <w:bottom w:val="single" w:sz="8" w:color="0000EE"/>
            </w:tcBorders>
            <w:gridSpan w:val="31"/>
          </w:tcPr>
          <w:p>
            <w:pPr>
              <w:spacing w:after="0"/>
              <w:rPr>
                <w:sz w:val="20"/>
                <w:szCs w:val="20"/>
                <w:color w:val="auto"/>
              </w:rPr>
            </w:pPr>
            <w:r>
              <w:rPr>
                <w:rFonts w:ascii="Arial" w:cs="Arial" w:eastAsia="Arial" w:hAnsi="Arial"/>
                <w:sz w:val="16"/>
                <w:szCs w:val="16"/>
                <w:color w:val="0000EE"/>
              </w:rPr>
              <w:t>Restricted Share Award Agreement</w:t>
            </w:r>
          </w:p>
        </w:tc>
        <w:tc>
          <w:tcPr>
            <w:tcW w:w="88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920" w:type="dxa"/>
            <w:vAlign w:val="bottom"/>
            <w:gridSpan w:val="2"/>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A-7</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gridSpan w:val="4"/>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gridSpan w:val="5"/>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920" w:type="dxa"/>
            <w:vAlign w:val="bottom"/>
            <w:gridSpan w:val="2"/>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(b)</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460" w:type="dxa"/>
            <w:vAlign w:val="bottom"/>
            <w:tcBorders>
              <w:bottom w:val="single" w:sz="8" w:color="0000EE"/>
            </w:tcBorders>
            <w:gridSpan w:val="18"/>
            <w:shd w:val="clear" w:color="auto" w:fill="CCEEFF"/>
          </w:tcPr>
          <w:p>
            <w:pPr>
              <w:spacing w:after="0"/>
              <w:rPr>
                <w:sz w:val="20"/>
                <w:szCs w:val="20"/>
                <w:color w:val="auto"/>
              </w:rPr>
            </w:pPr>
            <w:r>
              <w:rPr>
                <w:rFonts w:ascii="Arial" w:cs="Arial" w:eastAsia="Arial" w:hAnsi="Arial"/>
                <w:sz w:val="16"/>
                <w:szCs w:val="16"/>
                <w:color w:val="0000EE"/>
                <w:w w:val="99"/>
              </w:rPr>
              <w:t>Payment for Awards</w:t>
            </w:r>
          </w:p>
        </w:tc>
        <w:tc>
          <w:tcPr>
            <w:tcW w:w="380" w:type="dxa"/>
            <w:vAlign w:val="bottom"/>
            <w:tcBorders>
              <w:bottom w:val="single" w:sz="8" w:color="CCEEFF"/>
            </w:tcBorders>
            <w:gridSpan w:val="5"/>
            <w:vMerge w:val="restart"/>
            <w:shd w:val="clear" w:color="auto" w:fill="CCEEFF"/>
          </w:tcPr>
          <w:p>
            <w:pPr>
              <w:spacing w:after="0"/>
              <w:rPr>
                <w:sz w:val="19"/>
                <w:szCs w:val="19"/>
                <w:color w:val="auto"/>
              </w:rPr>
            </w:pPr>
          </w:p>
        </w:tc>
        <w:tc>
          <w:tcPr>
            <w:tcW w:w="12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300" w:type="dxa"/>
            <w:vAlign w:val="bottom"/>
            <w:tcBorders>
              <w:bottom w:val="single" w:sz="8" w:color="CCEEFF"/>
            </w:tcBorders>
            <w:gridSpan w:val="2"/>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980" w:type="dxa"/>
            <w:vAlign w:val="bottom"/>
            <w:tcBorders>
              <w:bottom w:val="single" w:sz="8" w:color="CCEEFF"/>
            </w:tcBorders>
            <w:gridSpan w:val="4"/>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920" w:type="dxa"/>
            <w:vAlign w:val="bottom"/>
            <w:tcBorders>
              <w:bottom w:val="single" w:sz="8" w:color="CCEEFF"/>
            </w:tcBorders>
            <w:gridSpan w:val="2"/>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A-7</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540" w:type="dxa"/>
            <w:vAlign w:val="bottom"/>
            <w:tcBorders>
              <w:bottom w:val="single" w:sz="8" w:color="CCEEFF"/>
            </w:tcBorders>
            <w:gridSpan w:val="2"/>
            <w:shd w:val="clear" w:color="auto" w:fill="CCEEFF"/>
          </w:tcPr>
          <w:p>
            <w:pPr>
              <w:spacing w:after="0"/>
              <w:rPr>
                <w:sz w:val="2"/>
                <w:szCs w:val="2"/>
                <w:color w:val="auto"/>
              </w:rPr>
            </w:pPr>
          </w:p>
        </w:tc>
        <w:tc>
          <w:tcPr>
            <w:tcW w:w="500" w:type="dxa"/>
            <w:vAlign w:val="bottom"/>
            <w:tcBorders>
              <w:bottom w:val="single" w:sz="8" w:color="CCEEFF"/>
            </w:tcBorders>
            <w:gridSpan w:val="4"/>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5"/>
            <w:vMerge w:val="continue"/>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300" w:type="dxa"/>
            <w:vAlign w:val="bottom"/>
            <w:tcBorders>
              <w:bottom w:val="single" w:sz="8" w:color="CCEEFF"/>
            </w:tcBorders>
            <w:gridSpan w:val="2"/>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980" w:type="dxa"/>
            <w:vAlign w:val="bottom"/>
            <w:tcBorders>
              <w:bottom w:val="single" w:sz="8" w:color="CCEEFF"/>
            </w:tcBorders>
            <w:gridSpan w:val="4"/>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920" w:type="dxa"/>
            <w:vAlign w:val="bottom"/>
            <w:tcBorders>
              <w:bottom w:val="single" w:sz="8" w:color="CCEEFF"/>
            </w:tcBorders>
            <w:gridSpan w:val="2"/>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6"/>
              </w:rPr>
              <w:t>(c)</w:t>
            </w:r>
          </w:p>
        </w:tc>
        <w:tc>
          <w:tcPr>
            <w:tcW w:w="18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54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7"/>
              </w:rPr>
              <w:t>Vesting</w:t>
            </w:r>
          </w:p>
        </w:tc>
        <w:tc>
          <w:tcPr>
            <w:tcW w:w="500" w:type="dxa"/>
            <w:vAlign w:val="bottom"/>
            <w:gridSpan w:val="4"/>
            <w:vMerge w:val="restart"/>
          </w:tcPr>
          <w:p>
            <w:pPr>
              <w:spacing w:after="0"/>
              <w:rPr>
                <w:sz w:val="18"/>
                <w:szCs w:val="18"/>
                <w:color w:val="auto"/>
              </w:rPr>
            </w:pPr>
          </w:p>
        </w:tc>
        <w:tc>
          <w:tcPr>
            <w:tcW w:w="26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0" w:type="dxa"/>
            <w:vAlign w:val="bottom"/>
            <w:gridSpan w:val="6"/>
            <w:vMerge w:val="restart"/>
          </w:tcPr>
          <w:p>
            <w:pPr>
              <w:spacing w:after="0"/>
              <w:rPr>
                <w:sz w:val="18"/>
                <w:szCs w:val="18"/>
                <w:color w:val="auto"/>
              </w:rPr>
            </w:pPr>
          </w:p>
        </w:tc>
        <w:tc>
          <w:tcPr>
            <w:tcW w:w="120" w:type="dxa"/>
            <w:vAlign w:val="bottom"/>
            <w:gridSpan w:val="2"/>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300" w:type="dxa"/>
            <w:vAlign w:val="bottom"/>
            <w:gridSpan w:val="2"/>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98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920" w:type="dxa"/>
            <w:vAlign w:val="bottom"/>
            <w:gridSpan w:val="2"/>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A-7</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540" w:type="dxa"/>
            <w:vAlign w:val="bottom"/>
            <w:gridSpan w:val="2"/>
          </w:tcPr>
          <w:p>
            <w:pPr>
              <w:spacing w:after="0"/>
              <w:rPr>
                <w:sz w:val="2"/>
                <w:szCs w:val="2"/>
                <w:color w:val="auto"/>
              </w:rPr>
            </w:pPr>
          </w:p>
        </w:tc>
        <w:tc>
          <w:tcPr>
            <w:tcW w:w="500" w:type="dxa"/>
            <w:vAlign w:val="bottom"/>
            <w:gridSpan w:val="4"/>
            <w:vMerge w:val="continue"/>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0" w:type="dxa"/>
            <w:vAlign w:val="bottom"/>
            <w:gridSpan w:val="6"/>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920" w:type="dxa"/>
            <w:vAlign w:val="bottom"/>
            <w:gridSpan w:val="2"/>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(d)</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960" w:type="dxa"/>
            <w:vAlign w:val="bottom"/>
            <w:tcBorders>
              <w:bottom w:val="single" w:sz="8" w:color="0000EE"/>
            </w:tcBorders>
            <w:gridSpan w:val="25"/>
            <w:shd w:val="clear" w:color="auto" w:fill="CCEEFF"/>
          </w:tcPr>
          <w:p>
            <w:pPr>
              <w:spacing w:after="0"/>
              <w:rPr>
                <w:sz w:val="20"/>
                <w:szCs w:val="20"/>
                <w:color w:val="auto"/>
              </w:rPr>
            </w:pPr>
            <w:r>
              <w:rPr>
                <w:rFonts w:ascii="Arial" w:cs="Arial" w:eastAsia="Arial" w:hAnsi="Arial"/>
                <w:sz w:val="16"/>
                <w:szCs w:val="16"/>
                <w:color w:val="0000EE"/>
              </w:rPr>
              <w:t>Voting and Dividend Rights</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300" w:type="dxa"/>
            <w:vAlign w:val="bottom"/>
            <w:tcBorders>
              <w:bottom w:val="single" w:sz="8" w:color="CCEEFF"/>
            </w:tcBorders>
            <w:gridSpan w:val="2"/>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980" w:type="dxa"/>
            <w:vAlign w:val="bottom"/>
            <w:tcBorders>
              <w:bottom w:val="single" w:sz="8" w:color="CCEEFF"/>
            </w:tcBorders>
            <w:gridSpan w:val="4"/>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2920" w:type="dxa"/>
            <w:vAlign w:val="bottom"/>
            <w:tcBorders>
              <w:bottom w:val="single" w:sz="8" w:color="CCEEFF"/>
            </w:tcBorders>
            <w:gridSpan w:val="2"/>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A-7</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40" w:type="dxa"/>
            <w:vAlign w:val="bottom"/>
            <w:tcBorders>
              <w:bottom w:val="single" w:sz="8" w:color="CCEEFF"/>
            </w:tcBorders>
            <w:gridSpan w:val="6"/>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gridSpan w:val="6"/>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300" w:type="dxa"/>
            <w:vAlign w:val="bottom"/>
            <w:tcBorders>
              <w:bottom w:val="single" w:sz="8" w:color="CCEEFF"/>
            </w:tcBorders>
            <w:gridSpan w:val="2"/>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980" w:type="dxa"/>
            <w:vAlign w:val="bottom"/>
            <w:tcBorders>
              <w:bottom w:val="single" w:sz="8" w:color="CCEEFF"/>
            </w:tcBorders>
            <w:gridSpan w:val="4"/>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2920" w:type="dxa"/>
            <w:vAlign w:val="bottom"/>
            <w:tcBorders>
              <w:bottom w:val="single" w:sz="8" w:color="CCEEFF"/>
            </w:tcBorders>
            <w:gridSpan w:val="2"/>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(e)</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46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color w:val="0000EE"/>
              </w:rPr>
              <w:t>Restrictions on Transfer of Shares</w:t>
            </w:r>
          </w:p>
        </w:tc>
        <w:tc>
          <w:tcPr>
            <w:tcW w:w="98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920" w:type="dxa"/>
            <w:vAlign w:val="bottom"/>
            <w:gridSpan w:val="2"/>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A-7</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40" w:type="dxa"/>
            <w:vAlign w:val="bottom"/>
            <w:gridSpan w:val="6"/>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gridSpan w:val="6"/>
          </w:tcPr>
          <w:p>
            <w:pPr>
              <w:spacing w:after="0"/>
              <w:rPr>
                <w:sz w:val="2"/>
                <w:szCs w:val="2"/>
                <w:color w:val="auto"/>
              </w:rPr>
            </w:pPr>
          </w:p>
        </w:tc>
        <w:tc>
          <w:tcPr>
            <w:tcW w:w="160" w:type="dxa"/>
            <w:vAlign w:val="bottom"/>
            <w:gridSpan w:val="4"/>
          </w:tcPr>
          <w:p>
            <w:pPr>
              <w:spacing w:after="0"/>
              <w:rPr>
                <w:sz w:val="2"/>
                <w:szCs w:val="2"/>
                <w:color w:val="auto"/>
              </w:rPr>
            </w:pPr>
          </w:p>
        </w:tc>
        <w:tc>
          <w:tcPr>
            <w:tcW w:w="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2920" w:type="dxa"/>
            <w:vAlign w:val="bottom"/>
            <w:gridSpan w:val="2"/>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4100" w:type="dxa"/>
            <w:vAlign w:val="bottom"/>
            <w:tcBorders>
              <w:bottom w:val="single" w:sz="8" w:color="0000EE"/>
            </w:tcBorders>
            <w:gridSpan w:val="45"/>
            <w:shd w:val="clear" w:color="auto" w:fill="CCEEFF"/>
          </w:tcPr>
          <w:p>
            <w:pPr>
              <w:spacing w:after="0"/>
              <w:rPr>
                <w:sz w:val="20"/>
                <w:szCs w:val="20"/>
                <w:color w:val="auto"/>
              </w:rPr>
            </w:pPr>
            <w:r>
              <w:rPr>
                <w:rFonts w:ascii="Arial" w:cs="Arial" w:eastAsia="Arial" w:hAnsi="Arial"/>
                <w:sz w:val="16"/>
                <w:szCs w:val="16"/>
                <w:b w:val="1"/>
                <w:bCs w:val="1"/>
                <w:color w:val="0000EE"/>
              </w:rPr>
              <w:t>SECTION 7.  TERMS AND CONDITIONS OF OPTIONS</w:t>
            </w:r>
          </w:p>
        </w:tc>
        <w:tc>
          <w:tcPr>
            <w:tcW w:w="2920" w:type="dxa"/>
            <w:vAlign w:val="bottom"/>
            <w:tcBorders>
              <w:bottom w:val="single" w:sz="8" w:color="CCEEFF"/>
            </w:tcBorders>
            <w:gridSpan w:val="2"/>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26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6"/>
                <w:szCs w:val="16"/>
                <w:b w:val="1"/>
                <w:bCs w:val="1"/>
                <w:color w:val="0000EE"/>
                <w:w w:val="92"/>
              </w:rPr>
              <w:t>A-8</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40" w:type="dxa"/>
            <w:vAlign w:val="bottom"/>
            <w:tcBorders>
              <w:bottom w:val="single" w:sz="8" w:color="CCEEFF"/>
            </w:tcBorders>
            <w:gridSpan w:val="16"/>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0" w:type="dxa"/>
            <w:vAlign w:val="bottom"/>
            <w:tcBorders>
              <w:bottom w:val="single" w:sz="8" w:color="CCEEFF"/>
            </w:tcBorders>
            <w:gridSpan w:val="6"/>
            <w:shd w:val="clear" w:color="auto" w:fill="CCEEFF"/>
          </w:tcPr>
          <w:p>
            <w:pPr>
              <w:spacing w:after="0"/>
              <w:rPr>
                <w:sz w:val="2"/>
                <w:szCs w:val="2"/>
                <w:color w:val="auto"/>
              </w:rPr>
            </w:pPr>
          </w:p>
        </w:tc>
        <w:tc>
          <w:tcPr>
            <w:tcW w:w="160" w:type="dxa"/>
            <w:vAlign w:val="bottom"/>
            <w:tcBorders>
              <w:bottom w:val="single" w:sz="8" w:color="CCEEFF"/>
            </w:tcBorders>
            <w:gridSpan w:val="4"/>
            <w:shd w:val="clear" w:color="auto" w:fill="CCEEFF"/>
          </w:tcPr>
          <w:p>
            <w:pPr>
              <w:spacing w:after="0"/>
              <w:rPr>
                <w:sz w:val="2"/>
                <w:szCs w:val="2"/>
                <w:color w:val="auto"/>
              </w:rPr>
            </w:pPr>
          </w:p>
        </w:tc>
        <w:tc>
          <w:tcPr>
            <w:tcW w:w="300" w:type="dxa"/>
            <w:vAlign w:val="bottom"/>
            <w:tcBorders>
              <w:bottom w:val="single" w:sz="8" w:color="CCEEFF"/>
            </w:tcBorders>
            <w:gridSpan w:val="2"/>
            <w:shd w:val="clear" w:color="auto" w:fill="CCEEFF"/>
          </w:tcPr>
          <w:p>
            <w:pPr>
              <w:spacing w:after="0"/>
              <w:rPr>
                <w:sz w:val="2"/>
                <w:szCs w:val="2"/>
                <w:color w:val="auto"/>
              </w:rPr>
            </w:pPr>
          </w:p>
        </w:tc>
        <w:tc>
          <w:tcPr>
            <w:tcW w:w="1140" w:type="dxa"/>
            <w:vAlign w:val="bottom"/>
            <w:tcBorders>
              <w:bottom w:val="single" w:sz="8" w:color="CCEEFF"/>
            </w:tcBorders>
            <w:gridSpan w:val="5"/>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2920" w:type="dxa"/>
            <w:vAlign w:val="bottom"/>
            <w:tcBorders>
              <w:bottom w:val="single" w:sz="8" w:color="CCEEFF"/>
            </w:tcBorders>
            <w:gridSpan w:val="2"/>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(a)</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84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rPr>
              <w:t>Option Award Agreement</w:t>
            </w:r>
          </w:p>
        </w:tc>
        <w:tc>
          <w:tcPr>
            <w:tcW w:w="160" w:type="dxa"/>
            <w:vAlign w:val="bottom"/>
            <w:gridSpan w:val="4"/>
            <w:vMerge w:val="restart"/>
          </w:tcPr>
          <w:p>
            <w:pPr>
              <w:spacing w:after="0"/>
              <w:rPr>
                <w:sz w:val="18"/>
                <w:szCs w:val="18"/>
                <w:color w:val="auto"/>
              </w:rPr>
            </w:pPr>
          </w:p>
        </w:tc>
        <w:tc>
          <w:tcPr>
            <w:tcW w:w="300" w:type="dxa"/>
            <w:vAlign w:val="bottom"/>
            <w:gridSpan w:val="2"/>
            <w:vMerge w:val="restart"/>
          </w:tcPr>
          <w:p>
            <w:pPr>
              <w:spacing w:after="0"/>
              <w:rPr>
                <w:sz w:val="18"/>
                <w:szCs w:val="18"/>
                <w:color w:val="auto"/>
              </w:rPr>
            </w:pPr>
          </w:p>
        </w:tc>
        <w:tc>
          <w:tcPr>
            <w:tcW w:w="1140" w:type="dxa"/>
            <w:vAlign w:val="bottom"/>
            <w:gridSpan w:val="5"/>
            <w:vMerge w:val="restart"/>
          </w:tcPr>
          <w:p>
            <w:pPr>
              <w:spacing w:after="0"/>
              <w:rPr>
                <w:sz w:val="18"/>
                <w:szCs w:val="18"/>
                <w:color w:val="auto"/>
              </w:rPr>
            </w:pPr>
          </w:p>
        </w:tc>
        <w:tc>
          <w:tcPr>
            <w:tcW w:w="2980" w:type="dxa"/>
            <w:vAlign w:val="bottom"/>
            <w:gridSpan w:val="3"/>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A-8</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40" w:type="dxa"/>
            <w:vAlign w:val="bottom"/>
            <w:gridSpan w:val="6"/>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gridSpan w:val="6"/>
          </w:tcPr>
          <w:p>
            <w:pPr>
              <w:spacing w:after="0"/>
              <w:rPr>
                <w:sz w:val="2"/>
                <w:szCs w:val="2"/>
                <w:color w:val="auto"/>
              </w:rPr>
            </w:pPr>
          </w:p>
        </w:tc>
        <w:tc>
          <w:tcPr>
            <w:tcW w:w="160" w:type="dxa"/>
            <w:vAlign w:val="bottom"/>
            <w:gridSpan w:val="4"/>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2980" w:type="dxa"/>
            <w:vAlign w:val="bottom"/>
            <w:gridSpan w:val="3"/>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(b)</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32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6"/>
                <w:szCs w:val="16"/>
                <w:color w:val="0000EE"/>
              </w:rPr>
              <w:t>Number of Shares</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560" w:type="dxa"/>
            <w:vAlign w:val="bottom"/>
            <w:tcBorders>
              <w:bottom w:val="single" w:sz="8" w:color="CCEEFF"/>
            </w:tcBorders>
            <w:gridSpan w:val="10"/>
            <w:vMerge w:val="restart"/>
            <w:shd w:val="clear" w:color="auto" w:fill="CCEEFF"/>
          </w:tcPr>
          <w:p>
            <w:pPr>
              <w:spacing w:after="0"/>
              <w:rPr>
                <w:sz w:val="19"/>
                <w:szCs w:val="19"/>
                <w:color w:val="auto"/>
              </w:rPr>
            </w:pPr>
          </w:p>
        </w:tc>
        <w:tc>
          <w:tcPr>
            <w:tcW w:w="300" w:type="dxa"/>
            <w:vAlign w:val="bottom"/>
            <w:tcBorders>
              <w:bottom w:val="single" w:sz="8" w:color="CCEEFF"/>
            </w:tcBorders>
            <w:gridSpan w:val="2"/>
            <w:vMerge w:val="restart"/>
            <w:shd w:val="clear" w:color="auto" w:fill="CCEEFF"/>
          </w:tcPr>
          <w:p>
            <w:pPr>
              <w:spacing w:after="0"/>
              <w:rPr>
                <w:sz w:val="19"/>
                <w:szCs w:val="19"/>
                <w:color w:val="auto"/>
              </w:rPr>
            </w:pPr>
          </w:p>
        </w:tc>
        <w:tc>
          <w:tcPr>
            <w:tcW w:w="1140" w:type="dxa"/>
            <w:vAlign w:val="bottom"/>
            <w:tcBorders>
              <w:bottom w:val="single" w:sz="8" w:color="CCEEFF"/>
            </w:tcBorders>
            <w:gridSpan w:val="5"/>
            <w:vMerge w:val="restart"/>
            <w:shd w:val="clear" w:color="auto" w:fill="CCEEFF"/>
          </w:tcPr>
          <w:p>
            <w:pPr>
              <w:spacing w:after="0"/>
              <w:rPr>
                <w:sz w:val="19"/>
                <w:szCs w:val="19"/>
                <w:color w:val="auto"/>
              </w:rPr>
            </w:pPr>
          </w:p>
        </w:tc>
        <w:tc>
          <w:tcPr>
            <w:tcW w:w="2980" w:type="dxa"/>
            <w:vAlign w:val="bottom"/>
            <w:tcBorders>
              <w:bottom w:val="single" w:sz="8" w:color="CCEEFF"/>
            </w:tcBorders>
            <w:gridSpan w:val="3"/>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A-8</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040" w:type="dxa"/>
            <w:vAlign w:val="bottom"/>
            <w:tcBorders>
              <w:bottom w:val="single" w:sz="8" w:color="CCEEFF"/>
            </w:tcBorders>
            <w:gridSpan w:val="6"/>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560" w:type="dxa"/>
            <w:vAlign w:val="bottom"/>
            <w:tcBorders>
              <w:bottom w:val="single" w:sz="8" w:color="CCEEFF"/>
            </w:tcBorders>
            <w:gridSpan w:val="10"/>
            <w:vMerge w:val="continue"/>
            <w:shd w:val="clear" w:color="auto" w:fill="CCEEFF"/>
          </w:tcPr>
          <w:p>
            <w:pPr>
              <w:spacing w:after="0"/>
              <w:rPr>
                <w:sz w:val="2"/>
                <w:szCs w:val="2"/>
                <w:color w:val="auto"/>
              </w:rPr>
            </w:pPr>
          </w:p>
        </w:tc>
        <w:tc>
          <w:tcPr>
            <w:tcW w:w="300" w:type="dxa"/>
            <w:vAlign w:val="bottom"/>
            <w:tcBorders>
              <w:bottom w:val="single" w:sz="8" w:color="CCEEFF"/>
            </w:tcBorders>
            <w:gridSpan w:val="2"/>
            <w:vMerge w:val="continue"/>
            <w:shd w:val="clear" w:color="auto" w:fill="CCEEFF"/>
          </w:tcPr>
          <w:p>
            <w:pPr>
              <w:spacing w:after="0"/>
              <w:rPr>
                <w:sz w:val="2"/>
                <w:szCs w:val="2"/>
                <w:color w:val="auto"/>
              </w:rPr>
            </w:pPr>
          </w:p>
        </w:tc>
        <w:tc>
          <w:tcPr>
            <w:tcW w:w="1140" w:type="dxa"/>
            <w:vAlign w:val="bottom"/>
            <w:tcBorders>
              <w:bottom w:val="single" w:sz="8" w:color="CCEEFF"/>
            </w:tcBorders>
            <w:gridSpan w:val="5"/>
            <w:vMerge w:val="continue"/>
            <w:shd w:val="clear" w:color="auto" w:fill="CCEEFF"/>
          </w:tcPr>
          <w:p>
            <w:pPr>
              <w:spacing w:after="0"/>
              <w:rPr>
                <w:sz w:val="2"/>
                <w:szCs w:val="2"/>
                <w:color w:val="auto"/>
              </w:rPr>
            </w:pPr>
          </w:p>
        </w:tc>
        <w:tc>
          <w:tcPr>
            <w:tcW w:w="2980" w:type="dxa"/>
            <w:vAlign w:val="bottom"/>
            <w:tcBorders>
              <w:bottom w:val="single" w:sz="8" w:color="CCEEFF"/>
            </w:tcBorders>
            <w:gridSpan w:val="3"/>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6"/>
              </w:rPr>
              <w:t>(c)</w:t>
            </w:r>
          </w:p>
        </w:tc>
        <w:tc>
          <w:tcPr>
            <w:tcW w:w="180" w:type="dxa"/>
            <w:vAlign w:val="bottom"/>
            <w:gridSpan w:val="4"/>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0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9"/>
              </w:rPr>
              <w:t>Exercise Price</w:t>
            </w:r>
          </w:p>
        </w:tc>
        <w:tc>
          <w:tcPr>
            <w:tcW w:w="260" w:type="dxa"/>
            <w:vAlign w:val="bottom"/>
            <w:gridSpan w:val="4"/>
            <w:vMerge w:val="restart"/>
          </w:tcPr>
          <w:p>
            <w:pPr>
              <w:spacing w:after="0"/>
              <w:rPr>
                <w:sz w:val="18"/>
                <w:szCs w:val="18"/>
                <w:color w:val="auto"/>
              </w:rPr>
            </w:pPr>
          </w:p>
        </w:tc>
        <w:tc>
          <w:tcPr>
            <w:tcW w:w="6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60" w:type="dxa"/>
            <w:vAlign w:val="bottom"/>
            <w:gridSpan w:val="10"/>
            <w:vMerge w:val="restart"/>
          </w:tcPr>
          <w:p>
            <w:pPr>
              <w:spacing w:after="0"/>
              <w:rPr>
                <w:sz w:val="18"/>
                <w:szCs w:val="18"/>
                <w:color w:val="auto"/>
              </w:rPr>
            </w:pPr>
          </w:p>
        </w:tc>
        <w:tc>
          <w:tcPr>
            <w:tcW w:w="300" w:type="dxa"/>
            <w:vAlign w:val="bottom"/>
            <w:gridSpan w:val="2"/>
            <w:vMerge w:val="restart"/>
          </w:tcPr>
          <w:p>
            <w:pPr>
              <w:spacing w:after="0"/>
              <w:rPr>
                <w:sz w:val="18"/>
                <w:szCs w:val="18"/>
                <w:color w:val="auto"/>
              </w:rPr>
            </w:pPr>
          </w:p>
        </w:tc>
        <w:tc>
          <w:tcPr>
            <w:tcW w:w="1140" w:type="dxa"/>
            <w:vAlign w:val="bottom"/>
            <w:gridSpan w:val="5"/>
            <w:vMerge w:val="restart"/>
          </w:tcPr>
          <w:p>
            <w:pPr>
              <w:spacing w:after="0"/>
              <w:rPr>
                <w:sz w:val="18"/>
                <w:szCs w:val="18"/>
                <w:color w:val="auto"/>
              </w:rPr>
            </w:pPr>
          </w:p>
        </w:tc>
        <w:tc>
          <w:tcPr>
            <w:tcW w:w="2980" w:type="dxa"/>
            <w:vAlign w:val="bottom"/>
            <w:gridSpan w:val="3"/>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A-8</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80" w:type="dxa"/>
            <w:vAlign w:val="bottom"/>
            <w:gridSpan w:val="4"/>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40" w:type="dxa"/>
            <w:vAlign w:val="bottom"/>
            <w:gridSpan w:val="6"/>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560" w:type="dxa"/>
            <w:vAlign w:val="bottom"/>
            <w:gridSpan w:val="10"/>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2980" w:type="dxa"/>
            <w:vAlign w:val="bottom"/>
            <w:gridSpan w:val="3"/>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(d)</w:t>
            </w:r>
          </w:p>
        </w:tc>
        <w:tc>
          <w:tcPr>
            <w:tcW w:w="16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320" w:type="dxa"/>
            <w:vAlign w:val="bottom"/>
            <w:tcBorders>
              <w:bottom w:val="single" w:sz="8" w:color="0000EE"/>
            </w:tcBorders>
            <w:gridSpan w:val="11"/>
            <w:shd w:val="clear" w:color="auto" w:fill="CCEEFF"/>
          </w:tcPr>
          <w:p>
            <w:pPr>
              <w:spacing w:after="0"/>
              <w:rPr>
                <w:sz w:val="20"/>
                <w:szCs w:val="20"/>
                <w:color w:val="auto"/>
              </w:rPr>
            </w:pPr>
            <w:r>
              <w:rPr>
                <w:rFonts w:ascii="Arial" w:cs="Arial" w:eastAsia="Arial" w:hAnsi="Arial"/>
                <w:sz w:val="16"/>
                <w:szCs w:val="16"/>
                <w:color w:val="0000EE"/>
                <w:w w:val="98"/>
              </w:rPr>
              <w:t>Withholding Taxes</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560" w:type="dxa"/>
            <w:vAlign w:val="bottom"/>
            <w:tcBorders>
              <w:bottom w:val="single" w:sz="8" w:color="CCEEFF"/>
            </w:tcBorders>
            <w:gridSpan w:val="10"/>
            <w:vMerge w:val="restart"/>
            <w:shd w:val="clear" w:color="auto" w:fill="CCEEFF"/>
          </w:tcPr>
          <w:p>
            <w:pPr>
              <w:spacing w:after="0"/>
              <w:rPr>
                <w:sz w:val="19"/>
                <w:szCs w:val="19"/>
                <w:color w:val="auto"/>
              </w:rPr>
            </w:pPr>
          </w:p>
        </w:tc>
        <w:tc>
          <w:tcPr>
            <w:tcW w:w="300" w:type="dxa"/>
            <w:vAlign w:val="bottom"/>
            <w:tcBorders>
              <w:bottom w:val="single" w:sz="8" w:color="CCEEFF"/>
            </w:tcBorders>
            <w:gridSpan w:val="2"/>
            <w:vMerge w:val="restart"/>
            <w:shd w:val="clear" w:color="auto" w:fill="CCEEFF"/>
          </w:tcPr>
          <w:p>
            <w:pPr>
              <w:spacing w:after="0"/>
              <w:rPr>
                <w:sz w:val="19"/>
                <w:szCs w:val="19"/>
                <w:color w:val="auto"/>
              </w:rPr>
            </w:pPr>
          </w:p>
        </w:tc>
        <w:tc>
          <w:tcPr>
            <w:tcW w:w="1140" w:type="dxa"/>
            <w:vAlign w:val="bottom"/>
            <w:tcBorders>
              <w:bottom w:val="single" w:sz="8" w:color="CCEEFF"/>
            </w:tcBorders>
            <w:gridSpan w:val="5"/>
            <w:vMerge w:val="restart"/>
            <w:shd w:val="clear" w:color="auto" w:fill="CCEEFF"/>
          </w:tcPr>
          <w:p>
            <w:pPr>
              <w:spacing w:after="0"/>
              <w:rPr>
                <w:sz w:val="19"/>
                <w:szCs w:val="19"/>
                <w:color w:val="auto"/>
              </w:rPr>
            </w:pPr>
          </w:p>
        </w:tc>
        <w:tc>
          <w:tcPr>
            <w:tcW w:w="2980" w:type="dxa"/>
            <w:vAlign w:val="bottom"/>
            <w:tcBorders>
              <w:bottom w:val="single" w:sz="8" w:color="CCEEFF"/>
            </w:tcBorders>
            <w:gridSpan w:val="3"/>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A-8</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300" w:type="dxa"/>
            <w:vAlign w:val="bottom"/>
            <w:tcBorders>
              <w:bottom w:val="single" w:sz="8" w:color="CCEEFF"/>
            </w:tcBorders>
            <w:gridSpan w:val="10"/>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560" w:type="dxa"/>
            <w:vAlign w:val="bottom"/>
            <w:tcBorders>
              <w:bottom w:val="single" w:sz="8" w:color="CCEEFF"/>
            </w:tcBorders>
            <w:gridSpan w:val="10"/>
            <w:vMerge w:val="continue"/>
            <w:shd w:val="clear" w:color="auto" w:fill="CCEEFF"/>
          </w:tcPr>
          <w:p>
            <w:pPr>
              <w:spacing w:after="0"/>
              <w:rPr>
                <w:sz w:val="2"/>
                <w:szCs w:val="2"/>
                <w:color w:val="auto"/>
              </w:rPr>
            </w:pPr>
          </w:p>
        </w:tc>
        <w:tc>
          <w:tcPr>
            <w:tcW w:w="300" w:type="dxa"/>
            <w:vAlign w:val="bottom"/>
            <w:tcBorders>
              <w:bottom w:val="single" w:sz="8" w:color="CCEEFF"/>
            </w:tcBorders>
            <w:gridSpan w:val="2"/>
            <w:vMerge w:val="continue"/>
            <w:shd w:val="clear" w:color="auto" w:fill="CCEEFF"/>
          </w:tcPr>
          <w:p>
            <w:pPr>
              <w:spacing w:after="0"/>
              <w:rPr>
                <w:sz w:val="2"/>
                <w:szCs w:val="2"/>
                <w:color w:val="auto"/>
              </w:rPr>
            </w:pPr>
          </w:p>
        </w:tc>
        <w:tc>
          <w:tcPr>
            <w:tcW w:w="1140" w:type="dxa"/>
            <w:vAlign w:val="bottom"/>
            <w:tcBorders>
              <w:bottom w:val="single" w:sz="8" w:color="CCEEFF"/>
            </w:tcBorders>
            <w:gridSpan w:val="5"/>
            <w:vMerge w:val="continue"/>
            <w:shd w:val="clear" w:color="auto" w:fill="CCEEFF"/>
          </w:tcPr>
          <w:p>
            <w:pPr>
              <w:spacing w:after="0"/>
              <w:rPr>
                <w:sz w:val="2"/>
                <w:szCs w:val="2"/>
                <w:color w:val="auto"/>
              </w:rPr>
            </w:pPr>
          </w:p>
        </w:tc>
        <w:tc>
          <w:tcPr>
            <w:tcW w:w="2980" w:type="dxa"/>
            <w:vAlign w:val="bottom"/>
            <w:tcBorders>
              <w:bottom w:val="single" w:sz="8" w:color="CCEEFF"/>
            </w:tcBorders>
            <w:gridSpan w:val="3"/>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(e)</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1680" w:type="dxa"/>
            <w:vAlign w:val="bottom"/>
            <w:tcBorders>
              <w:bottom w:val="single" w:sz="8" w:color="0000EE"/>
            </w:tcBorders>
            <w:gridSpan w:val="19"/>
          </w:tcPr>
          <w:p>
            <w:pPr>
              <w:spacing w:after="0"/>
              <w:rPr>
                <w:sz w:val="20"/>
                <w:szCs w:val="20"/>
                <w:color w:val="auto"/>
              </w:rPr>
            </w:pPr>
            <w:r>
              <w:rPr>
                <w:rFonts w:ascii="Arial" w:cs="Arial" w:eastAsia="Arial" w:hAnsi="Arial"/>
                <w:sz w:val="16"/>
                <w:szCs w:val="16"/>
                <w:color w:val="0000EE"/>
                <w:w w:val="99"/>
              </w:rPr>
              <w:t>Exercisability and Term</w:t>
            </w:r>
          </w:p>
        </w:tc>
        <w:tc>
          <w:tcPr>
            <w:tcW w:w="320" w:type="dxa"/>
            <w:vAlign w:val="bottom"/>
            <w:gridSpan w:val="8"/>
            <w:vMerge w:val="restart"/>
          </w:tcPr>
          <w:p>
            <w:pPr>
              <w:spacing w:after="0"/>
              <w:rPr>
                <w:sz w:val="18"/>
                <w:szCs w:val="18"/>
                <w:color w:val="auto"/>
              </w:rPr>
            </w:pPr>
          </w:p>
        </w:tc>
        <w:tc>
          <w:tcPr>
            <w:tcW w:w="300" w:type="dxa"/>
            <w:vAlign w:val="bottom"/>
            <w:gridSpan w:val="2"/>
            <w:vMerge w:val="restart"/>
          </w:tcPr>
          <w:p>
            <w:pPr>
              <w:spacing w:after="0"/>
              <w:rPr>
                <w:sz w:val="18"/>
                <w:szCs w:val="18"/>
                <w:color w:val="auto"/>
              </w:rPr>
            </w:pPr>
          </w:p>
        </w:tc>
        <w:tc>
          <w:tcPr>
            <w:tcW w:w="1140" w:type="dxa"/>
            <w:vAlign w:val="bottom"/>
            <w:gridSpan w:val="5"/>
            <w:vMerge w:val="restart"/>
          </w:tcPr>
          <w:p>
            <w:pPr>
              <w:spacing w:after="0"/>
              <w:rPr>
                <w:sz w:val="18"/>
                <w:szCs w:val="18"/>
                <w:color w:val="auto"/>
              </w:rPr>
            </w:pPr>
          </w:p>
        </w:tc>
        <w:tc>
          <w:tcPr>
            <w:tcW w:w="2980" w:type="dxa"/>
            <w:vAlign w:val="bottom"/>
            <w:gridSpan w:val="3"/>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A-8</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3"/>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300" w:type="dxa"/>
            <w:vAlign w:val="bottom"/>
            <w:gridSpan w:val="10"/>
          </w:tcPr>
          <w:p>
            <w:pPr>
              <w:spacing w:after="0"/>
              <w:rPr>
                <w:sz w:val="2"/>
                <w:szCs w:val="2"/>
                <w:color w:val="auto"/>
              </w:rPr>
            </w:pPr>
          </w:p>
        </w:tc>
        <w:tc>
          <w:tcPr>
            <w:tcW w:w="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320" w:type="dxa"/>
            <w:vAlign w:val="bottom"/>
            <w:gridSpan w:val="8"/>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2980" w:type="dxa"/>
            <w:vAlign w:val="bottom"/>
            <w:gridSpan w:val="3"/>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0000EE"/>
                <w:w w:val="92"/>
              </w:rPr>
              <w:t>(f)</w:t>
            </w:r>
          </w:p>
        </w:tc>
        <w:tc>
          <w:tcPr>
            <w:tcW w:w="220" w:type="dxa"/>
            <w:vAlign w:val="bottom"/>
            <w:tcBorders>
              <w:bottom w:val="single" w:sz="8" w:color="CCEEFF"/>
            </w:tcBorders>
            <w:gridSpan w:val="6"/>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1440" w:type="dxa"/>
            <w:vAlign w:val="bottom"/>
            <w:tcBorders>
              <w:bottom w:val="single" w:sz="8" w:color="0000EE"/>
            </w:tcBorders>
            <w:gridSpan w:val="17"/>
            <w:shd w:val="clear" w:color="auto" w:fill="CCEEFF"/>
          </w:tcPr>
          <w:p>
            <w:pPr>
              <w:spacing w:after="0"/>
              <w:rPr>
                <w:sz w:val="20"/>
                <w:szCs w:val="20"/>
                <w:color w:val="auto"/>
              </w:rPr>
            </w:pPr>
            <w:r>
              <w:rPr>
                <w:rFonts w:ascii="Arial" w:cs="Arial" w:eastAsia="Arial" w:hAnsi="Arial"/>
                <w:sz w:val="16"/>
                <w:szCs w:val="16"/>
                <w:color w:val="0000EE"/>
              </w:rPr>
              <w:t>Exercise of Options</w:t>
            </w:r>
          </w:p>
        </w:tc>
        <w:tc>
          <w:tcPr>
            <w:tcW w:w="560" w:type="dxa"/>
            <w:vAlign w:val="bottom"/>
            <w:tcBorders>
              <w:bottom w:val="single" w:sz="8" w:color="CCEEFF"/>
            </w:tcBorders>
            <w:gridSpan w:val="10"/>
            <w:vMerge w:val="restart"/>
            <w:shd w:val="clear" w:color="auto" w:fill="CCEEFF"/>
          </w:tcPr>
          <w:p>
            <w:pPr>
              <w:spacing w:after="0"/>
              <w:rPr>
                <w:sz w:val="19"/>
                <w:szCs w:val="19"/>
                <w:color w:val="auto"/>
              </w:rPr>
            </w:pPr>
          </w:p>
        </w:tc>
        <w:tc>
          <w:tcPr>
            <w:tcW w:w="300" w:type="dxa"/>
            <w:vAlign w:val="bottom"/>
            <w:tcBorders>
              <w:bottom w:val="single" w:sz="8" w:color="CCEEFF"/>
            </w:tcBorders>
            <w:gridSpan w:val="2"/>
            <w:vMerge w:val="restart"/>
            <w:shd w:val="clear" w:color="auto" w:fill="CCEEFF"/>
          </w:tcPr>
          <w:p>
            <w:pPr>
              <w:spacing w:after="0"/>
              <w:rPr>
                <w:sz w:val="19"/>
                <w:szCs w:val="19"/>
                <w:color w:val="auto"/>
              </w:rPr>
            </w:pPr>
          </w:p>
        </w:tc>
        <w:tc>
          <w:tcPr>
            <w:tcW w:w="1140" w:type="dxa"/>
            <w:vAlign w:val="bottom"/>
            <w:tcBorders>
              <w:bottom w:val="single" w:sz="8" w:color="CCEEFF"/>
            </w:tcBorders>
            <w:gridSpan w:val="5"/>
            <w:vMerge w:val="restart"/>
            <w:shd w:val="clear" w:color="auto" w:fill="CCEEFF"/>
          </w:tcPr>
          <w:p>
            <w:pPr>
              <w:spacing w:after="0"/>
              <w:rPr>
                <w:sz w:val="19"/>
                <w:szCs w:val="19"/>
                <w:color w:val="auto"/>
              </w:rPr>
            </w:pPr>
          </w:p>
        </w:tc>
        <w:tc>
          <w:tcPr>
            <w:tcW w:w="2980" w:type="dxa"/>
            <w:vAlign w:val="bottom"/>
            <w:tcBorders>
              <w:bottom w:val="single" w:sz="8" w:color="CCEEFF"/>
            </w:tcBorders>
            <w:gridSpan w:val="3"/>
            <w:vMerge w:val="restart"/>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A-8</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6"/>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300" w:type="dxa"/>
            <w:vAlign w:val="bottom"/>
            <w:tcBorders>
              <w:bottom w:val="single" w:sz="8" w:color="CCEEFF"/>
            </w:tcBorders>
            <w:gridSpan w:val="10"/>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gridSpan w:val="10"/>
            <w:vMerge w:val="continue"/>
            <w:shd w:val="clear" w:color="auto" w:fill="CCEEFF"/>
          </w:tcPr>
          <w:p>
            <w:pPr>
              <w:spacing w:after="0"/>
              <w:rPr>
                <w:sz w:val="2"/>
                <w:szCs w:val="2"/>
                <w:color w:val="auto"/>
              </w:rPr>
            </w:pPr>
          </w:p>
        </w:tc>
        <w:tc>
          <w:tcPr>
            <w:tcW w:w="300" w:type="dxa"/>
            <w:vAlign w:val="bottom"/>
            <w:tcBorders>
              <w:bottom w:val="single" w:sz="8" w:color="CCEEFF"/>
            </w:tcBorders>
            <w:gridSpan w:val="2"/>
            <w:vMerge w:val="continue"/>
            <w:shd w:val="clear" w:color="auto" w:fill="CCEEFF"/>
          </w:tcPr>
          <w:p>
            <w:pPr>
              <w:spacing w:after="0"/>
              <w:rPr>
                <w:sz w:val="2"/>
                <w:szCs w:val="2"/>
                <w:color w:val="auto"/>
              </w:rPr>
            </w:pPr>
          </w:p>
        </w:tc>
        <w:tc>
          <w:tcPr>
            <w:tcW w:w="1140" w:type="dxa"/>
            <w:vAlign w:val="bottom"/>
            <w:tcBorders>
              <w:bottom w:val="single" w:sz="8" w:color="CCEEFF"/>
            </w:tcBorders>
            <w:gridSpan w:val="5"/>
            <w:vMerge w:val="continue"/>
            <w:shd w:val="clear" w:color="auto" w:fill="CCEEFF"/>
          </w:tcPr>
          <w:p>
            <w:pPr>
              <w:spacing w:after="0"/>
              <w:rPr>
                <w:sz w:val="2"/>
                <w:szCs w:val="2"/>
                <w:color w:val="auto"/>
              </w:rPr>
            </w:pPr>
          </w:p>
        </w:tc>
        <w:tc>
          <w:tcPr>
            <w:tcW w:w="2980" w:type="dxa"/>
            <w:vAlign w:val="bottom"/>
            <w:tcBorders>
              <w:bottom w:val="single" w:sz="8" w:color="CCEEFF"/>
            </w:tcBorders>
            <w:gridSpan w:val="3"/>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(g)</w:t>
            </w:r>
          </w:p>
        </w:tc>
        <w:tc>
          <w:tcPr>
            <w:tcW w:w="160" w:type="dxa"/>
            <w:vAlign w:val="bottom"/>
            <w:gridSpan w:val="3"/>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00" w:type="dxa"/>
            <w:vAlign w:val="bottom"/>
            <w:tcBorders>
              <w:bottom w:val="single" w:sz="8" w:color="0000EE"/>
            </w:tcBorders>
            <w:gridSpan w:val="27"/>
          </w:tcPr>
          <w:p>
            <w:pPr>
              <w:spacing w:after="0"/>
              <w:rPr>
                <w:sz w:val="20"/>
                <w:szCs w:val="20"/>
                <w:color w:val="auto"/>
              </w:rPr>
            </w:pPr>
            <w:r>
              <w:rPr>
                <w:rFonts w:ascii="Arial" w:cs="Arial" w:eastAsia="Arial" w:hAnsi="Arial"/>
                <w:sz w:val="16"/>
                <w:szCs w:val="16"/>
                <w:color w:val="0000EE"/>
              </w:rPr>
              <w:t>No Rights as a Stockholder</w:t>
            </w:r>
          </w:p>
        </w:tc>
        <w:tc>
          <w:tcPr>
            <w:tcW w:w="300" w:type="dxa"/>
            <w:vAlign w:val="bottom"/>
            <w:gridSpan w:val="2"/>
            <w:vMerge w:val="restart"/>
          </w:tcPr>
          <w:p>
            <w:pPr>
              <w:spacing w:after="0"/>
              <w:rPr>
                <w:sz w:val="18"/>
                <w:szCs w:val="18"/>
                <w:color w:val="auto"/>
              </w:rPr>
            </w:pPr>
          </w:p>
        </w:tc>
        <w:tc>
          <w:tcPr>
            <w:tcW w:w="1140" w:type="dxa"/>
            <w:vAlign w:val="bottom"/>
            <w:gridSpan w:val="5"/>
            <w:vMerge w:val="restart"/>
          </w:tcPr>
          <w:p>
            <w:pPr>
              <w:spacing w:after="0"/>
              <w:rPr>
                <w:sz w:val="18"/>
                <w:szCs w:val="18"/>
                <w:color w:val="auto"/>
              </w:rPr>
            </w:pPr>
          </w:p>
        </w:tc>
        <w:tc>
          <w:tcPr>
            <w:tcW w:w="2980" w:type="dxa"/>
            <w:vAlign w:val="bottom"/>
            <w:gridSpan w:val="3"/>
            <w:vMerge w:val="restart"/>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A-8</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gridSpan w:val="4"/>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300" w:type="dxa"/>
            <w:vAlign w:val="bottom"/>
            <w:gridSpan w:val="10"/>
          </w:tcPr>
          <w:p>
            <w:pPr>
              <w:spacing w:after="0"/>
              <w:rPr>
                <w:sz w:val="2"/>
                <w:szCs w:val="2"/>
                <w:color w:val="auto"/>
              </w:rPr>
            </w:pPr>
          </w:p>
        </w:tc>
        <w:tc>
          <w:tcPr>
            <w:tcW w:w="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580" w:type="dxa"/>
            <w:vAlign w:val="bottom"/>
            <w:gridSpan w:val="11"/>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2980" w:type="dxa"/>
            <w:vAlign w:val="bottom"/>
            <w:gridSpan w:val="3"/>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(h)</w:t>
            </w:r>
          </w:p>
        </w:tc>
        <w:tc>
          <w:tcPr>
            <w:tcW w:w="160" w:type="dxa"/>
            <w:vAlign w:val="bottom"/>
            <w:tcBorders>
              <w:bottom w:val="single" w:sz="8" w:color="CCEEFF"/>
            </w:tcBorders>
            <w:gridSpan w:val="3"/>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3440" w:type="dxa"/>
            <w:vAlign w:val="bottom"/>
            <w:tcBorders>
              <w:bottom w:val="single" w:sz="8" w:color="0000EE"/>
            </w:tcBorders>
            <w:gridSpan w:val="34"/>
            <w:shd w:val="clear" w:color="auto" w:fill="CCEEFF"/>
          </w:tcPr>
          <w:p>
            <w:pPr>
              <w:spacing w:after="0"/>
              <w:rPr>
                <w:sz w:val="20"/>
                <w:szCs w:val="20"/>
                <w:color w:val="auto"/>
              </w:rPr>
            </w:pPr>
            <w:r>
              <w:rPr>
                <w:rFonts w:ascii="Arial" w:cs="Arial" w:eastAsia="Arial" w:hAnsi="Arial"/>
                <w:sz w:val="16"/>
                <w:szCs w:val="16"/>
                <w:color w:val="0000EE"/>
              </w:rPr>
              <w:t>Modification, Extension and Renewal of Options</w:t>
            </w:r>
          </w:p>
        </w:tc>
        <w:tc>
          <w:tcPr>
            <w:tcW w:w="2980" w:type="dxa"/>
            <w:vAlign w:val="bottom"/>
            <w:tcBorders>
              <w:bottom w:val="single" w:sz="8" w:color="CCEEFF"/>
            </w:tcBorders>
            <w:gridSpan w:val="3"/>
            <w:vMerge w:val="restart"/>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A-8</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gridSpan w:val="4"/>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300" w:type="dxa"/>
            <w:vAlign w:val="bottom"/>
            <w:tcBorders>
              <w:bottom w:val="single" w:sz="8" w:color="CCEEFF"/>
            </w:tcBorders>
            <w:gridSpan w:val="10"/>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880" w:type="dxa"/>
            <w:vAlign w:val="bottom"/>
            <w:tcBorders>
              <w:bottom w:val="single" w:sz="8" w:color="CCEEFF"/>
            </w:tcBorders>
            <w:gridSpan w:val="13"/>
            <w:shd w:val="clear" w:color="auto" w:fill="CCEEFF"/>
          </w:tcPr>
          <w:p>
            <w:pPr>
              <w:spacing w:after="0"/>
              <w:rPr>
                <w:sz w:val="2"/>
                <w:szCs w:val="2"/>
                <w:color w:val="auto"/>
              </w:rPr>
            </w:pPr>
          </w:p>
        </w:tc>
        <w:tc>
          <w:tcPr>
            <w:tcW w:w="1140" w:type="dxa"/>
            <w:vAlign w:val="bottom"/>
            <w:tcBorders>
              <w:bottom w:val="single" w:sz="8" w:color="CCEEFF"/>
            </w:tcBorders>
            <w:gridSpan w:val="5"/>
            <w:shd w:val="clear" w:color="auto" w:fill="CCEEFF"/>
          </w:tcPr>
          <w:p>
            <w:pPr>
              <w:spacing w:after="0"/>
              <w:rPr>
                <w:sz w:val="2"/>
                <w:szCs w:val="2"/>
                <w:color w:val="auto"/>
              </w:rPr>
            </w:pPr>
          </w:p>
        </w:tc>
        <w:tc>
          <w:tcPr>
            <w:tcW w:w="2980" w:type="dxa"/>
            <w:vAlign w:val="bottom"/>
            <w:tcBorders>
              <w:bottom w:val="single" w:sz="8" w:color="CCEEFF"/>
            </w:tcBorders>
            <w:gridSpan w:val="3"/>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4"/>
              </w:rPr>
              <w:t>(i)</w:t>
            </w:r>
          </w:p>
        </w:tc>
        <w:tc>
          <w:tcPr>
            <w:tcW w:w="240" w:type="dxa"/>
            <w:vAlign w:val="bottom"/>
            <w:gridSpan w:val="7"/>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46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color w:val="0000EE"/>
              </w:rPr>
              <w:t>Restrictions on Transfer of Shares</w:t>
            </w:r>
          </w:p>
        </w:tc>
        <w:tc>
          <w:tcPr>
            <w:tcW w:w="3960" w:type="dxa"/>
            <w:vAlign w:val="bottom"/>
            <w:gridSpan w:val="7"/>
            <w:vMerge w:val="restart"/>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gridSpan w:val="2"/>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A-8</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gridSpan w:val="7"/>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300" w:type="dxa"/>
            <w:vAlign w:val="bottom"/>
            <w:gridSpan w:val="10"/>
          </w:tcPr>
          <w:p>
            <w:pPr>
              <w:spacing w:after="0"/>
              <w:rPr>
                <w:sz w:val="2"/>
                <w:szCs w:val="2"/>
                <w:color w:val="auto"/>
              </w:rPr>
            </w:pPr>
          </w:p>
        </w:tc>
        <w:tc>
          <w:tcPr>
            <w:tcW w:w="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880" w:type="dxa"/>
            <w:vAlign w:val="bottom"/>
            <w:gridSpan w:val="13"/>
          </w:tcPr>
          <w:p>
            <w:pPr>
              <w:spacing w:after="0"/>
              <w:rPr>
                <w:sz w:val="2"/>
                <w:szCs w:val="2"/>
                <w:color w:val="auto"/>
              </w:rPr>
            </w:pPr>
          </w:p>
        </w:tc>
        <w:tc>
          <w:tcPr>
            <w:tcW w:w="160" w:type="dxa"/>
            <w:vAlign w:val="bottom"/>
          </w:tcPr>
          <w:p>
            <w:pPr>
              <w:spacing w:after="0"/>
              <w:rPr>
                <w:sz w:val="2"/>
                <w:szCs w:val="2"/>
                <w:color w:val="auto"/>
              </w:rPr>
            </w:pPr>
          </w:p>
        </w:tc>
        <w:tc>
          <w:tcPr>
            <w:tcW w:w="3960" w:type="dxa"/>
            <w:vAlign w:val="bottom"/>
            <w:gridSpan w:val="7"/>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4"/>
              </w:rPr>
              <w:t>(j)</w:t>
            </w:r>
          </w:p>
        </w:tc>
        <w:tc>
          <w:tcPr>
            <w:tcW w:w="240" w:type="dxa"/>
            <w:vAlign w:val="bottom"/>
            <w:tcBorders>
              <w:bottom w:val="single" w:sz="8" w:color="CCEEFF"/>
            </w:tcBorders>
            <w:gridSpan w:val="7"/>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30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6"/>
                <w:szCs w:val="16"/>
                <w:color w:val="0000EE"/>
                <w:w w:val="99"/>
              </w:rPr>
              <w:t>Buyout Provisions</w:t>
            </w:r>
          </w:p>
        </w:tc>
        <w:tc>
          <w:tcPr>
            <w:tcW w:w="60" w:type="dxa"/>
            <w:vAlign w:val="bottom"/>
            <w:tcBorders>
              <w:bottom w:val="single" w:sz="8" w:color="CCEEFF"/>
            </w:tcBorders>
            <w:gridSpan w:val="3"/>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gridSpan w:val="2"/>
            <w:vMerge w:val="restart"/>
            <w:shd w:val="clear" w:color="auto" w:fill="CCEEFF"/>
          </w:tcPr>
          <w:p>
            <w:pPr>
              <w:spacing w:after="0"/>
              <w:rPr>
                <w:sz w:val="21"/>
                <w:szCs w:val="21"/>
                <w:color w:val="auto"/>
              </w:rPr>
            </w:pPr>
          </w:p>
        </w:tc>
        <w:tc>
          <w:tcPr>
            <w:tcW w:w="880" w:type="dxa"/>
            <w:vAlign w:val="bottom"/>
            <w:tcBorders>
              <w:bottom w:val="single" w:sz="8" w:color="CCEEFF"/>
            </w:tcBorders>
            <w:gridSpan w:val="13"/>
            <w:vMerge w:val="restart"/>
            <w:shd w:val="clear" w:color="auto" w:fill="CCEEFF"/>
          </w:tcPr>
          <w:p>
            <w:pPr>
              <w:spacing w:after="0"/>
              <w:rPr>
                <w:sz w:val="21"/>
                <w:szCs w:val="21"/>
                <w:color w:val="auto"/>
              </w:rPr>
            </w:pPr>
          </w:p>
        </w:tc>
        <w:tc>
          <w:tcPr>
            <w:tcW w:w="4120" w:type="dxa"/>
            <w:vAlign w:val="bottom"/>
            <w:tcBorders>
              <w:bottom w:val="single" w:sz="8" w:color="CCEEFF"/>
            </w:tcBorders>
            <w:gridSpan w:val="8"/>
            <w:vMerge w:val="restart"/>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A-9</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7"/>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300" w:type="dxa"/>
            <w:vAlign w:val="bottom"/>
            <w:tcBorders>
              <w:bottom w:val="single" w:sz="8" w:color="CCEEFF"/>
            </w:tcBorders>
            <w:gridSpan w:val="10"/>
            <w:shd w:val="clear" w:color="auto" w:fill="CCEEFF"/>
          </w:tcPr>
          <w:p>
            <w:pPr>
              <w:spacing w:after="0"/>
              <w:rPr>
                <w:sz w:val="2"/>
                <w:szCs w:val="2"/>
                <w:color w:val="auto"/>
              </w:rPr>
            </w:pPr>
          </w:p>
        </w:tc>
        <w:tc>
          <w:tcPr>
            <w:tcW w:w="60" w:type="dxa"/>
            <w:vAlign w:val="bottom"/>
            <w:tcBorders>
              <w:bottom w:val="single" w:sz="8" w:color="CCEEFF"/>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880" w:type="dxa"/>
            <w:vAlign w:val="bottom"/>
            <w:tcBorders>
              <w:bottom w:val="single" w:sz="8" w:color="CCEEFF"/>
            </w:tcBorders>
            <w:gridSpan w:val="13"/>
            <w:vMerge w:val="continue"/>
            <w:shd w:val="clear" w:color="auto" w:fill="CCEEFF"/>
          </w:tcPr>
          <w:p>
            <w:pPr>
              <w:spacing w:after="0"/>
              <w:rPr>
                <w:sz w:val="2"/>
                <w:szCs w:val="2"/>
                <w:color w:val="auto"/>
              </w:rPr>
            </w:pPr>
          </w:p>
        </w:tc>
        <w:tc>
          <w:tcPr>
            <w:tcW w:w="4120" w:type="dxa"/>
            <w:vAlign w:val="bottom"/>
            <w:tcBorders>
              <w:bottom w:val="single" w:sz="8" w:color="CCEEFF"/>
            </w:tcBorders>
            <w:gridSpan w:val="8"/>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900" w:type="dxa"/>
            <w:vAlign w:val="bottom"/>
            <w:tcBorders>
              <w:bottom w:val="single" w:sz="8" w:color="0000EE"/>
            </w:tcBorders>
            <w:gridSpan w:val="39"/>
          </w:tcPr>
          <w:p>
            <w:pPr>
              <w:spacing w:after="0"/>
              <w:rPr>
                <w:sz w:val="20"/>
                <w:szCs w:val="20"/>
                <w:color w:val="auto"/>
              </w:rPr>
            </w:pPr>
            <w:r>
              <w:rPr>
                <w:rFonts w:ascii="Arial" w:cs="Arial" w:eastAsia="Arial" w:hAnsi="Arial"/>
                <w:sz w:val="16"/>
                <w:szCs w:val="16"/>
                <w:b w:val="1"/>
                <w:bCs w:val="1"/>
                <w:color w:val="0000EE"/>
              </w:rPr>
              <w:t>SECTION 8.  PAYMENT FOR SHARES</w:t>
            </w:r>
          </w:p>
        </w:tc>
        <w:tc>
          <w:tcPr>
            <w:tcW w:w="4120" w:type="dxa"/>
            <w:vAlign w:val="bottom"/>
            <w:gridSpan w:val="8"/>
            <w:vMerge w:val="restart"/>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2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rPr>
              <w:t>A-9</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960" w:type="dxa"/>
            <w:vAlign w:val="bottom"/>
            <w:gridSpan w:val="2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880" w:type="dxa"/>
            <w:vAlign w:val="bottom"/>
            <w:gridSpan w:val="13"/>
          </w:tcPr>
          <w:p>
            <w:pPr>
              <w:spacing w:after="0"/>
              <w:rPr>
                <w:sz w:val="2"/>
                <w:szCs w:val="2"/>
                <w:color w:val="auto"/>
              </w:rPr>
            </w:pPr>
          </w:p>
        </w:tc>
        <w:tc>
          <w:tcPr>
            <w:tcW w:w="4120" w:type="dxa"/>
            <w:vAlign w:val="bottom"/>
            <w:gridSpan w:val="8"/>
            <w:vMerge w:val="continue"/>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28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rPr>
              <w:t>(a)</w:t>
            </w:r>
          </w:p>
        </w:tc>
        <w:tc>
          <w:tcPr>
            <w:tcW w:w="160" w:type="dxa"/>
            <w:vAlign w:val="bottom"/>
            <w:tcBorders>
              <w:bottom w:val="single" w:sz="8" w:color="CCEEFF"/>
            </w:tcBorders>
            <w:gridSpan w:val="3"/>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960" w:type="dxa"/>
            <w:vAlign w:val="bottom"/>
            <w:tcBorders>
              <w:bottom w:val="single" w:sz="8" w:color="0000EE"/>
            </w:tcBorders>
            <w:gridSpan w:val="5"/>
            <w:shd w:val="clear" w:color="auto" w:fill="CCEEFF"/>
          </w:tcPr>
          <w:p>
            <w:pPr>
              <w:spacing w:after="0"/>
              <w:rPr>
                <w:sz w:val="20"/>
                <w:szCs w:val="20"/>
                <w:color w:val="auto"/>
              </w:rPr>
            </w:pPr>
            <w:r>
              <w:rPr>
                <w:rFonts w:ascii="Arial" w:cs="Arial" w:eastAsia="Arial" w:hAnsi="Arial"/>
                <w:sz w:val="16"/>
                <w:szCs w:val="16"/>
                <w:color w:val="0000EE"/>
                <w:w w:val="99"/>
              </w:rPr>
              <w:t>General Rule</w:t>
            </w:r>
          </w:p>
        </w:tc>
        <w:tc>
          <w:tcPr>
            <w:tcW w:w="400" w:type="dxa"/>
            <w:vAlign w:val="bottom"/>
            <w:tcBorders>
              <w:bottom w:val="single" w:sz="8" w:color="CCEEFF"/>
            </w:tcBorders>
            <w:gridSpan w:val="8"/>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gridSpan w:val="2"/>
            <w:vMerge w:val="restart"/>
            <w:shd w:val="clear" w:color="auto" w:fill="CCEEFF"/>
          </w:tcPr>
          <w:p>
            <w:pPr>
              <w:spacing w:after="0"/>
              <w:rPr>
                <w:sz w:val="21"/>
                <w:szCs w:val="21"/>
                <w:color w:val="auto"/>
              </w:rPr>
            </w:pPr>
          </w:p>
        </w:tc>
        <w:tc>
          <w:tcPr>
            <w:tcW w:w="5000" w:type="dxa"/>
            <w:vAlign w:val="bottom"/>
            <w:tcBorders>
              <w:bottom w:val="single" w:sz="8" w:color="CCEEFF"/>
            </w:tcBorders>
            <w:gridSpan w:val="21"/>
            <w:vMerge w:val="restart"/>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A-9</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5"/>
            <w:shd w:val="clear" w:color="auto" w:fill="CCEEFF"/>
          </w:tcPr>
          <w:p>
            <w:pPr>
              <w:spacing w:after="0"/>
              <w:rPr>
                <w:sz w:val="2"/>
                <w:szCs w:val="2"/>
                <w:color w:val="auto"/>
              </w:rPr>
            </w:pPr>
          </w:p>
        </w:tc>
        <w:tc>
          <w:tcPr>
            <w:tcW w:w="16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960" w:type="dxa"/>
            <w:vAlign w:val="bottom"/>
            <w:tcBorders>
              <w:bottom w:val="single" w:sz="8" w:color="CCEEFF"/>
            </w:tcBorders>
            <w:gridSpan w:val="5"/>
            <w:shd w:val="clear" w:color="auto" w:fill="CCEEFF"/>
          </w:tcPr>
          <w:p>
            <w:pPr>
              <w:spacing w:after="0"/>
              <w:rPr>
                <w:sz w:val="2"/>
                <w:szCs w:val="2"/>
                <w:color w:val="auto"/>
              </w:rPr>
            </w:pPr>
          </w:p>
        </w:tc>
        <w:tc>
          <w:tcPr>
            <w:tcW w:w="400" w:type="dxa"/>
            <w:vAlign w:val="bottom"/>
            <w:tcBorders>
              <w:bottom w:val="single" w:sz="8" w:color="CCEEFF"/>
            </w:tcBorders>
            <w:gridSpan w:val="8"/>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5000" w:type="dxa"/>
            <w:vAlign w:val="bottom"/>
            <w:tcBorders>
              <w:bottom w:val="single" w:sz="8" w:color="CCEEFF"/>
            </w:tcBorders>
            <w:gridSpan w:val="21"/>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(b)</w:t>
            </w:r>
          </w:p>
        </w:tc>
        <w:tc>
          <w:tcPr>
            <w:tcW w:w="16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380" w:type="dxa"/>
            <w:vAlign w:val="bottom"/>
            <w:tcBorders>
              <w:bottom w:val="single" w:sz="8" w:color="0000EE"/>
            </w:tcBorders>
            <w:gridSpan w:val="14"/>
          </w:tcPr>
          <w:p>
            <w:pPr>
              <w:spacing w:after="0"/>
              <w:rPr>
                <w:sz w:val="20"/>
                <w:szCs w:val="20"/>
                <w:color w:val="auto"/>
              </w:rPr>
            </w:pPr>
            <w:r>
              <w:rPr>
                <w:rFonts w:ascii="Arial" w:cs="Arial" w:eastAsia="Arial" w:hAnsi="Arial"/>
                <w:sz w:val="16"/>
                <w:szCs w:val="16"/>
                <w:color w:val="0000EE"/>
              </w:rPr>
              <w:t>Surrender of Stock</w:t>
            </w:r>
          </w:p>
        </w:tc>
        <w:tc>
          <w:tcPr>
            <w:tcW w:w="40" w:type="dxa"/>
            <w:vAlign w:val="bottom"/>
            <w:gridSpan w:val="2"/>
            <w:vMerge w:val="restart"/>
          </w:tcPr>
          <w:p>
            <w:pPr>
              <w:spacing w:after="0"/>
              <w:rPr>
                <w:sz w:val="19"/>
                <w:szCs w:val="19"/>
                <w:color w:val="auto"/>
              </w:rPr>
            </w:pPr>
          </w:p>
        </w:tc>
        <w:tc>
          <w:tcPr>
            <w:tcW w:w="5000" w:type="dxa"/>
            <w:vAlign w:val="bottom"/>
            <w:gridSpan w:val="21"/>
            <w:vMerge w:val="restart"/>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gridSpan w:val="2"/>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A-9</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gridSpan w:val="5"/>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360" w:type="dxa"/>
            <w:vAlign w:val="bottom"/>
            <w:gridSpan w:val="1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5000" w:type="dxa"/>
            <w:vAlign w:val="bottom"/>
            <w:gridSpan w:val="21"/>
            <w:vMerge w:val="continue"/>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6"/>
              </w:rPr>
              <w:t>(c)</w:t>
            </w:r>
          </w:p>
        </w:tc>
        <w:tc>
          <w:tcPr>
            <w:tcW w:w="180" w:type="dxa"/>
            <w:vAlign w:val="bottom"/>
            <w:tcBorders>
              <w:bottom w:val="single" w:sz="8" w:color="CCEEFF"/>
            </w:tcBorders>
            <w:gridSpan w:val="4"/>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420" w:type="dxa"/>
            <w:vAlign w:val="bottom"/>
            <w:tcBorders>
              <w:bottom w:val="single" w:sz="8" w:color="0000EE"/>
            </w:tcBorders>
            <w:gridSpan w:val="16"/>
            <w:shd w:val="clear" w:color="auto" w:fill="CCEEFF"/>
          </w:tcPr>
          <w:p>
            <w:pPr>
              <w:spacing w:after="0"/>
              <w:rPr>
                <w:sz w:val="20"/>
                <w:szCs w:val="20"/>
                <w:color w:val="auto"/>
              </w:rPr>
            </w:pPr>
            <w:r>
              <w:rPr>
                <w:rFonts w:ascii="Arial" w:cs="Arial" w:eastAsia="Arial" w:hAnsi="Arial"/>
                <w:sz w:val="16"/>
                <w:szCs w:val="16"/>
                <w:color w:val="0000EE"/>
              </w:rPr>
              <w:t>Services Rendered</w:t>
            </w:r>
          </w:p>
        </w:tc>
        <w:tc>
          <w:tcPr>
            <w:tcW w:w="5000" w:type="dxa"/>
            <w:vAlign w:val="bottom"/>
            <w:tcBorders>
              <w:bottom w:val="single" w:sz="8" w:color="CCEEFF"/>
            </w:tcBorders>
            <w:gridSpan w:val="21"/>
            <w:vMerge w:val="restart"/>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line="29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A-9</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180" w:type="dxa"/>
            <w:vAlign w:val="bottom"/>
            <w:tcBorders>
              <w:bottom w:val="single" w:sz="8" w:color="CCEEFF"/>
            </w:tcBorders>
            <w:gridSpan w:val="4"/>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1360" w:type="dxa"/>
            <w:vAlign w:val="bottom"/>
            <w:tcBorders>
              <w:bottom w:val="single" w:sz="8" w:color="CCEEFF"/>
            </w:tcBorders>
            <w:gridSpan w:val="13"/>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5000" w:type="dxa"/>
            <w:vAlign w:val="bottom"/>
            <w:tcBorders>
              <w:bottom w:val="single" w:sz="8" w:color="CCEEFF"/>
            </w:tcBorders>
            <w:gridSpan w:val="21"/>
            <w:vMerge w:val="continue"/>
            <w:shd w:val="clear" w:color="auto" w:fill="CCEEFF"/>
          </w:tcPr>
          <w:p>
            <w:pPr>
              <w:spacing w:after="0"/>
              <w:rPr>
                <w:sz w:val="2"/>
                <w:szCs w:val="2"/>
                <w:color w:val="auto"/>
              </w:rPr>
            </w:pPr>
          </w:p>
        </w:tc>
        <w:tc>
          <w:tcPr>
            <w:tcW w:w="198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(d)</w:t>
            </w:r>
          </w:p>
        </w:tc>
        <w:tc>
          <w:tcPr>
            <w:tcW w:w="16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36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Cashless Exercise</w:t>
            </w:r>
          </w:p>
        </w:tc>
        <w:tc>
          <w:tcPr>
            <w:tcW w:w="5060" w:type="dxa"/>
            <w:vAlign w:val="bottom"/>
            <w:gridSpan w:val="24"/>
            <w:vMerge w:val="restart"/>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A-9</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5"/>
          </w:tcPr>
          <w:p>
            <w:pPr>
              <w:spacing w:after="0"/>
              <w:rPr>
                <w:sz w:val="20"/>
                <w:szCs w:val="20"/>
                <w:color w:val="auto"/>
              </w:rPr>
            </w:pPr>
          </w:p>
        </w:tc>
        <w:tc>
          <w:tcPr>
            <w:tcW w:w="160" w:type="dxa"/>
            <w:vAlign w:val="bottom"/>
            <w:gridSpan w:val="3"/>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360" w:type="dxa"/>
            <w:vAlign w:val="bottom"/>
            <w:gridSpan w:val="13"/>
          </w:tcPr>
          <w:p>
            <w:pPr>
              <w:spacing w:after="0"/>
              <w:rPr>
                <w:sz w:val="20"/>
                <w:szCs w:val="20"/>
                <w:color w:val="auto"/>
              </w:rPr>
            </w:pPr>
          </w:p>
        </w:tc>
        <w:tc>
          <w:tcPr>
            <w:tcW w:w="5060" w:type="dxa"/>
            <w:vAlign w:val="bottom"/>
            <w:gridSpan w:val="24"/>
            <w:vMerge w:val="continue"/>
          </w:tcPr>
          <w:p>
            <w:pPr>
              <w:spacing w:after="0"/>
              <w:rPr>
                <w:sz w:val="20"/>
                <w:szCs w:val="20"/>
                <w:color w:val="auto"/>
              </w:rPr>
            </w:pPr>
          </w:p>
        </w:tc>
        <w:tc>
          <w:tcPr>
            <w:tcW w:w="1980" w:type="dxa"/>
            <w:vAlign w:val="bottom"/>
          </w:tcPr>
          <w:p>
            <w:pPr>
              <w:spacing w:after="0"/>
              <w:rPr>
                <w:sz w:val="20"/>
                <w:szCs w:val="20"/>
                <w:color w:val="auto"/>
              </w:rPr>
            </w:pPr>
          </w:p>
        </w:tc>
        <w:tc>
          <w:tcPr>
            <w:tcW w:w="140" w:type="dxa"/>
            <w:vAlign w:val="bottom"/>
            <w:gridSpan w:val="2"/>
            <w:vMerge w:val="continue"/>
          </w:tcPr>
          <w:p>
            <w:pPr>
              <w:spacing w:after="0"/>
              <w:rPr>
                <w:sz w:val="20"/>
                <w:szCs w:val="20"/>
                <w:color w:val="auto"/>
              </w:rPr>
            </w:pPr>
          </w:p>
        </w:tc>
        <w:tc>
          <w:tcPr>
            <w:tcW w:w="260" w:type="dxa"/>
            <w:vAlign w:val="bottom"/>
            <w:gridSpan w:val="2"/>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60" w:type="dxa"/>
            <w:vAlign w:val="bottom"/>
          </w:tcPr>
          <w:p>
            <w:pPr>
              <w:spacing w:after="0"/>
              <w:rPr>
                <w:sz w:val="24"/>
                <w:szCs w:val="24"/>
                <w:color w:val="auto"/>
              </w:rPr>
            </w:pPr>
          </w:p>
        </w:tc>
        <w:tc>
          <w:tcPr>
            <w:tcW w:w="540" w:type="dxa"/>
            <w:vAlign w:val="bottom"/>
            <w:gridSpan w:val="9"/>
          </w:tcPr>
          <w:p>
            <w:pPr>
              <w:spacing w:after="0"/>
              <w:rPr>
                <w:sz w:val="20"/>
                <w:szCs w:val="20"/>
                <w:color w:val="auto"/>
              </w:rPr>
            </w:pPr>
            <w:r>
              <w:rPr>
                <w:rFonts w:ascii="Arial" w:cs="Arial" w:eastAsia="Arial" w:hAnsi="Arial"/>
                <w:sz w:val="13"/>
                <w:szCs w:val="13"/>
                <w:b w:val="1"/>
                <w:bCs w:val="1"/>
                <w:color w:val="auto"/>
              </w:rPr>
              <w:t>A​-ii</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gridSpan w:val="2"/>
          </w:tcPr>
          <w:p>
            <w:pPr>
              <w:ind w:left="480"/>
              <w:spacing w:after="0"/>
              <w:rPr>
                <w:sz w:val="20"/>
                <w:szCs w:val="20"/>
                <w:color w:val="auto"/>
              </w:rPr>
            </w:pPr>
            <w:r>
              <w:rPr>
                <w:rFonts w:ascii="Arial" w:cs="Arial" w:eastAsia="Arial" w:hAnsi="Arial"/>
                <w:sz w:val="13"/>
                <w:szCs w:val="13"/>
                <w:b w:val="1"/>
                <w:bCs w:val="1"/>
                <w:color w:val="auto"/>
              </w:rPr>
              <w:t>​ ​</w:t>
            </w:r>
          </w:p>
        </w:tc>
        <w:tc>
          <w:tcPr>
            <w:tcW w:w="3040" w:type="dxa"/>
            <w:vAlign w:val="bottom"/>
            <w:gridSpan w:val="6"/>
          </w:tcPr>
          <w:p>
            <w:pPr>
              <w:ind w:left="1120"/>
              <w:spacing w:after="0"/>
              <w:rPr>
                <w:sz w:val="20"/>
                <w:szCs w:val="20"/>
                <w:color w:val="auto"/>
              </w:rPr>
            </w:pPr>
            <w:r>
              <w:rPr>
                <w:rFonts w:ascii="Arial" w:cs="Arial" w:eastAsia="Arial" w:hAnsi="Arial"/>
                <w:sz w:val="13"/>
                <w:szCs w:val="13"/>
                <w:color w:val="auto"/>
              </w:rPr>
              <w:t>2023 Proxy Statement</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3"/>
        </w:trPr>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8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-7705725</wp:posOffset>
            </wp:positionV>
            <wp:extent cx="571754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17540" cy="1714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660" w:type="dxa"/>
            <w:vAlign w:val="bottom"/>
          </w:tcPr>
          <w:p>
            <w:pPr>
              <w:spacing w:after="0"/>
              <w:rPr>
                <w:sz w:val="24"/>
                <w:szCs w:val="24"/>
                <w:color w:val="auto"/>
              </w:rPr>
            </w:pPr>
          </w:p>
        </w:tc>
        <w:tc>
          <w:tcPr>
            <w:tcW w:w="380" w:type="dxa"/>
            <w:vAlign w:val="bottom"/>
            <w:gridSpan w:val="6"/>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60" w:type="dxa"/>
            <w:vAlign w:val="bottom"/>
            <w:gridSpan w:val="6"/>
          </w:tcPr>
          <w:p>
            <w:pPr>
              <w:jc w:val="center"/>
              <w:ind w:right="559"/>
              <w:spacing w:after="0"/>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Page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(e)</w:t>
            </w: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180" w:type="dxa"/>
            <w:vAlign w:val="bottom"/>
            <w:tcBorders>
              <w:top w:val="single" w:sz="8" w:color="CCEEFF"/>
              <w:bottom w:val="single" w:sz="8" w:color="0000EE"/>
            </w:tcBorders>
            <w:gridSpan w:val="7"/>
            <w:shd w:val="clear" w:color="auto" w:fill="CCEEFF"/>
          </w:tcPr>
          <w:p>
            <w:pPr>
              <w:spacing w:after="0"/>
              <w:rPr>
                <w:sz w:val="20"/>
                <w:szCs w:val="20"/>
                <w:color w:val="auto"/>
              </w:rPr>
            </w:pPr>
            <w:r>
              <w:rPr>
                <w:rFonts w:ascii="Arial" w:cs="Arial" w:eastAsia="Arial" w:hAnsi="Arial"/>
                <w:sz w:val="16"/>
                <w:szCs w:val="16"/>
                <w:color w:val="0000EE"/>
              </w:rPr>
              <w:t>Exercise/Pledge</w:t>
            </w: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3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3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5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3"/>
            <w:vMerge w:val="restart"/>
            <w:shd w:val="clear" w:color="auto" w:fill="CCEEFF"/>
          </w:tcPr>
          <w:p>
            <w:pPr>
              <w:spacing w:after="0" w:line="2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1"/>
                <w:szCs w:val="31"/>
                <w:color w:val="auto"/>
                <w:vertAlign w:val="superscript"/>
              </w:rPr>
              <w:t>​</w:t>
            </w:r>
          </w:p>
        </w:tc>
        <w:tc>
          <w:tcPr>
            <w:tcW w:w="240" w:type="dxa"/>
            <w:vAlign w:val="bottom"/>
            <w:tcBorders>
              <w:top w:val="single" w:sz="8" w:color="auto"/>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A-9</w:t>
            </w:r>
          </w:p>
        </w:tc>
        <w:tc>
          <w:tcPr>
            <w:tcW w:w="20" w:type="dxa"/>
            <w:vAlign w:val="bottom"/>
            <w:tcBorders>
              <w:bottom w:val="single" w:sz="8" w:color="0000EE"/>
            </w:tcBorders>
          </w:tcPr>
          <w:p>
            <w:pPr>
              <w:spacing w:after="0"/>
              <w:rPr>
                <w:sz w:val="18"/>
                <w:szCs w:val="18"/>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3"/>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2"/>
              </w:rPr>
              <w:t>(f)</w:t>
            </w: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9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9"/>
              </w:rPr>
              <w:t>Net Exercise</w:t>
            </w: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38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5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gridSpan w:val="3"/>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A-9</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(g)</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20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6"/>
                <w:szCs w:val="16"/>
                <w:color w:val="0000EE"/>
                <w:w w:val="99"/>
              </w:rPr>
              <w:t>Promissory Note</w:t>
            </w: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340" w:type="dxa"/>
            <w:vAlign w:val="bottom"/>
            <w:tcBorders>
              <w:bottom w:val="single" w:sz="8" w:color="CCEEFF"/>
            </w:tcBorders>
            <w:vMerge w:val="restart"/>
            <w:shd w:val="clear" w:color="auto" w:fill="CCEEFF"/>
          </w:tcPr>
          <w:p>
            <w:pPr>
              <w:spacing w:after="0"/>
              <w:rPr>
                <w:sz w:val="19"/>
                <w:szCs w:val="19"/>
                <w:color w:val="auto"/>
              </w:rPr>
            </w:pPr>
          </w:p>
        </w:tc>
        <w:tc>
          <w:tcPr>
            <w:tcW w:w="5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3"/>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A-9</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3"/>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(h)</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7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Other Forms of Payment</w:t>
            </w: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38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5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gridSpan w:val="3"/>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2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6"/>
              </w:rPr>
              <w:t>A-9</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4"/>
              </w:rPr>
              <w:t>(i)</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2380" w:type="dxa"/>
            <w:vAlign w:val="bottom"/>
            <w:tcBorders>
              <w:bottom w:val="single" w:sz="8" w:color="0000EE"/>
            </w:tcBorders>
            <w:gridSpan w:val="25"/>
            <w:shd w:val="clear" w:color="auto" w:fill="CCEEFF"/>
          </w:tcPr>
          <w:p>
            <w:pPr>
              <w:spacing w:after="0"/>
              <w:rPr>
                <w:sz w:val="20"/>
                <w:szCs w:val="20"/>
                <w:color w:val="auto"/>
              </w:rPr>
            </w:pPr>
            <w:r>
              <w:rPr>
                <w:rFonts w:ascii="Arial" w:cs="Arial" w:eastAsia="Arial" w:hAnsi="Arial"/>
                <w:sz w:val="16"/>
                <w:szCs w:val="16"/>
                <w:color w:val="0000EE"/>
              </w:rPr>
              <w:t>Limitations under Applicable Law</w:t>
            </w: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340" w:type="dxa"/>
            <w:vAlign w:val="bottom"/>
            <w:tcBorders>
              <w:bottom w:val="single" w:sz="8" w:color="CCEEFF"/>
            </w:tcBorders>
            <w:vMerge w:val="restart"/>
            <w:shd w:val="clear" w:color="auto" w:fill="CCEEFF"/>
          </w:tcPr>
          <w:p>
            <w:pPr>
              <w:spacing w:after="0"/>
              <w:rPr>
                <w:sz w:val="19"/>
                <w:szCs w:val="19"/>
                <w:color w:val="auto"/>
              </w:rPr>
            </w:pPr>
          </w:p>
        </w:tc>
        <w:tc>
          <w:tcPr>
            <w:tcW w:w="5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3"/>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2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88"/>
              </w:rPr>
              <w:t>A-9</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3"/>
            <w:vMerge w:val="continue"/>
            <w:shd w:val="clear" w:color="auto" w:fill="CCEEFF"/>
          </w:tcPr>
          <w:p>
            <w:pPr>
              <w:spacing w:after="0"/>
              <w:rPr>
                <w:sz w:val="2"/>
                <w:szCs w:val="2"/>
                <w:color w:val="auto"/>
              </w:rPr>
            </w:pPr>
          </w:p>
        </w:tc>
        <w:tc>
          <w:tcPr>
            <w:tcW w:w="2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500" w:type="dxa"/>
            <w:vAlign w:val="bottom"/>
            <w:tcBorders>
              <w:bottom w:val="single" w:sz="8" w:color="0000EE"/>
            </w:tcBorders>
            <w:gridSpan w:val="37"/>
          </w:tcPr>
          <w:p>
            <w:pPr>
              <w:spacing w:after="0"/>
              <w:rPr>
                <w:sz w:val="20"/>
                <w:szCs w:val="20"/>
                <w:color w:val="auto"/>
              </w:rPr>
            </w:pPr>
            <w:r>
              <w:rPr>
                <w:rFonts w:ascii="Arial" w:cs="Arial" w:eastAsia="Arial" w:hAnsi="Arial"/>
                <w:sz w:val="16"/>
                <w:szCs w:val="16"/>
                <w:b w:val="1"/>
                <w:bCs w:val="1"/>
                <w:color w:val="0000EE"/>
              </w:rPr>
              <w:t>SECTION 9.  STOCK APPRECIATION RIGHTS</w:t>
            </w:r>
          </w:p>
        </w:tc>
        <w:tc>
          <w:tcPr>
            <w:tcW w:w="160" w:type="dxa"/>
            <w:vAlign w:val="bottom"/>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5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gridSpan w:val="5"/>
            <w:vMerge w:val="restart"/>
          </w:tcPr>
          <w:p>
            <w:pPr>
              <w:jc w:val="cente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A-10</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500" w:type="dxa"/>
            <w:vAlign w:val="bottom"/>
            <w:gridSpan w:val="8"/>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gridSpan w:val="5"/>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(a)</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700" w:type="dxa"/>
            <w:vAlign w:val="bottom"/>
            <w:tcBorders>
              <w:bottom w:val="single" w:sz="8" w:color="0000EE"/>
            </w:tcBorders>
            <w:gridSpan w:val="19"/>
            <w:shd w:val="clear" w:color="auto" w:fill="CCEEFF"/>
          </w:tcPr>
          <w:p>
            <w:pPr>
              <w:spacing w:after="0"/>
              <w:rPr>
                <w:sz w:val="20"/>
                <w:szCs w:val="20"/>
                <w:color w:val="auto"/>
              </w:rPr>
            </w:pPr>
            <w:r>
              <w:rPr>
                <w:rFonts w:ascii="Arial" w:cs="Arial" w:eastAsia="Arial" w:hAnsi="Arial"/>
                <w:sz w:val="16"/>
                <w:szCs w:val="16"/>
                <w:color w:val="0000EE"/>
              </w:rPr>
              <w:t>SAR Award Agreement</w:t>
            </w:r>
          </w:p>
        </w:tc>
        <w:tc>
          <w:tcPr>
            <w:tcW w:w="12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gridSpan w:val="2"/>
            <w:vMerge w:val="restart"/>
            <w:shd w:val="clear" w:color="auto" w:fill="CCEEFF"/>
          </w:tcPr>
          <w:p>
            <w:pPr>
              <w:spacing w:after="0"/>
              <w:rPr>
                <w:sz w:val="19"/>
                <w:szCs w:val="19"/>
                <w:color w:val="auto"/>
              </w:rPr>
            </w:pPr>
          </w:p>
        </w:tc>
        <w:tc>
          <w:tcPr>
            <w:tcW w:w="340" w:type="dxa"/>
            <w:vAlign w:val="bottom"/>
            <w:tcBorders>
              <w:bottom w:val="single" w:sz="8" w:color="CCEEFF"/>
            </w:tcBorders>
            <w:vMerge w:val="restart"/>
            <w:shd w:val="clear" w:color="auto" w:fill="CCEEFF"/>
          </w:tcPr>
          <w:p>
            <w:pPr>
              <w:spacing w:after="0"/>
              <w:rPr>
                <w:sz w:val="19"/>
                <w:szCs w:val="19"/>
                <w:color w:val="auto"/>
              </w:rPr>
            </w:pPr>
          </w:p>
        </w:tc>
        <w:tc>
          <w:tcPr>
            <w:tcW w:w="5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color w:val="0000EE"/>
              </w:rPr>
              <w:t>A-10</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vMerge w:val="continue"/>
            <w:shd w:val="clear" w:color="auto" w:fill="CCEEFF"/>
          </w:tcPr>
          <w:p>
            <w:pPr>
              <w:spacing w:after="0"/>
              <w:rPr>
                <w:sz w:val="2"/>
                <w:szCs w:val="2"/>
                <w:color w:val="auto"/>
              </w:rPr>
            </w:pPr>
          </w:p>
        </w:tc>
        <w:tc>
          <w:tcPr>
            <w:tcW w:w="34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(b)</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34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Number of Shares</w:t>
            </w: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4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380" w:type="dxa"/>
            <w:vAlign w:val="bottom"/>
            <w:vMerge w:val="restart"/>
          </w:tcPr>
          <w:p>
            <w:pPr>
              <w:spacing w:after="0"/>
              <w:rPr>
                <w:sz w:val="18"/>
                <w:szCs w:val="18"/>
                <w:color w:val="auto"/>
              </w:rPr>
            </w:pPr>
          </w:p>
        </w:tc>
        <w:tc>
          <w:tcPr>
            <w:tcW w:w="8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5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color w:val="0000EE"/>
              </w:rPr>
              <w:t>A-10</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w w:val="85"/>
              </w:rPr>
              <w:t>(c)</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04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9"/>
              </w:rPr>
              <w:t>Exercise Price</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80" w:type="dxa"/>
            <w:vAlign w:val="bottom"/>
            <w:tcBorders>
              <w:bottom w:val="single" w:sz="8" w:color="CCEEFF"/>
            </w:tcBorders>
            <w:gridSpan w:val="3"/>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140" w:type="dxa"/>
            <w:vAlign w:val="bottom"/>
            <w:tcBorders>
              <w:bottom w:val="single" w:sz="8" w:color="CCEEFF"/>
            </w:tcBorders>
            <w:gridSpan w:val="3"/>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gridSpan w:val="2"/>
            <w:vMerge w:val="restart"/>
            <w:shd w:val="clear" w:color="auto" w:fill="CCEEFF"/>
          </w:tcPr>
          <w:p>
            <w:pPr>
              <w:spacing w:after="0"/>
              <w:rPr>
                <w:sz w:val="19"/>
                <w:szCs w:val="19"/>
                <w:color w:val="auto"/>
              </w:rPr>
            </w:pPr>
          </w:p>
        </w:tc>
        <w:tc>
          <w:tcPr>
            <w:tcW w:w="340" w:type="dxa"/>
            <w:vAlign w:val="bottom"/>
            <w:tcBorders>
              <w:bottom w:val="single" w:sz="8" w:color="CCEEFF"/>
            </w:tcBorders>
            <w:vMerge w:val="restart"/>
            <w:shd w:val="clear" w:color="auto" w:fill="CCEEFF"/>
          </w:tcPr>
          <w:p>
            <w:pPr>
              <w:spacing w:after="0"/>
              <w:rPr>
                <w:sz w:val="19"/>
                <w:szCs w:val="19"/>
                <w:color w:val="auto"/>
              </w:rPr>
            </w:pPr>
          </w:p>
        </w:tc>
        <w:tc>
          <w:tcPr>
            <w:tcW w:w="5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color w:val="0000EE"/>
              </w:rPr>
              <w:t>A-10</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80" w:type="dxa"/>
            <w:vAlign w:val="bottom"/>
            <w:tcBorders>
              <w:bottom w:val="single" w:sz="8" w:color="CCEEFF"/>
            </w:tcBorders>
            <w:gridSpan w:val="3"/>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gridSpan w:val="3"/>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vMerge w:val="continue"/>
            <w:shd w:val="clear" w:color="auto" w:fill="CCEEFF"/>
          </w:tcPr>
          <w:p>
            <w:pPr>
              <w:spacing w:after="0"/>
              <w:rPr>
                <w:sz w:val="2"/>
                <w:szCs w:val="2"/>
                <w:color w:val="auto"/>
              </w:rPr>
            </w:pPr>
          </w:p>
        </w:tc>
        <w:tc>
          <w:tcPr>
            <w:tcW w:w="34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(d)</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68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w w:val="99"/>
              </w:rPr>
              <w:t>Exercisability and Term</w:t>
            </w:r>
          </w:p>
        </w:tc>
        <w:tc>
          <w:tcPr>
            <w:tcW w:w="14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380" w:type="dxa"/>
            <w:vAlign w:val="bottom"/>
            <w:vMerge w:val="restart"/>
          </w:tcPr>
          <w:p>
            <w:pPr>
              <w:spacing w:after="0"/>
              <w:rPr>
                <w:sz w:val="18"/>
                <w:szCs w:val="18"/>
                <w:color w:val="auto"/>
              </w:rPr>
            </w:pPr>
          </w:p>
        </w:tc>
        <w:tc>
          <w:tcPr>
            <w:tcW w:w="8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340" w:type="dxa"/>
            <w:vAlign w:val="bottom"/>
            <w:vMerge w:val="restart"/>
          </w:tcPr>
          <w:p>
            <w:pPr>
              <w:spacing w:after="0"/>
              <w:rPr>
                <w:sz w:val="18"/>
                <w:szCs w:val="18"/>
                <w:color w:val="auto"/>
              </w:rPr>
            </w:pPr>
          </w:p>
        </w:tc>
        <w:tc>
          <w:tcPr>
            <w:tcW w:w="5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color w:val="0000EE"/>
              </w:rPr>
              <w:t>A-10</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(e)</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260" w:type="dxa"/>
            <w:vAlign w:val="bottom"/>
            <w:tcBorders>
              <w:bottom w:val="single" w:sz="8" w:color="0000EE"/>
            </w:tcBorders>
            <w:gridSpan w:val="9"/>
            <w:shd w:val="clear" w:color="auto" w:fill="CCEEFF"/>
          </w:tcPr>
          <w:p>
            <w:pPr>
              <w:spacing w:after="0"/>
              <w:rPr>
                <w:sz w:val="20"/>
                <w:szCs w:val="20"/>
                <w:color w:val="auto"/>
              </w:rPr>
            </w:pPr>
            <w:r>
              <w:rPr>
                <w:rFonts w:ascii="Arial" w:cs="Arial" w:eastAsia="Arial" w:hAnsi="Arial"/>
                <w:sz w:val="16"/>
                <w:szCs w:val="16"/>
                <w:color w:val="0000EE"/>
                <w:w w:val="99"/>
              </w:rPr>
              <w:t>Exercise of SARs</w:t>
            </w: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60" w:type="dxa"/>
            <w:vAlign w:val="bottom"/>
            <w:tcBorders>
              <w:bottom w:val="single" w:sz="8" w:color="CCEEFF"/>
            </w:tcBorders>
            <w:gridSpan w:val="4"/>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gridSpan w:val="2"/>
            <w:vMerge w:val="restart"/>
            <w:shd w:val="clear" w:color="auto" w:fill="CCEEFF"/>
          </w:tcPr>
          <w:p>
            <w:pPr>
              <w:spacing w:after="0"/>
              <w:rPr>
                <w:sz w:val="19"/>
                <w:szCs w:val="19"/>
                <w:color w:val="auto"/>
              </w:rPr>
            </w:pPr>
          </w:p>
        </w:tc>
        <w:tc>
          <w:tcPr>
            <w:tcW w:w="340" w:type="dxa"/>
            <w:vAlign w:val="bottom"/>
            <w:tcBorders>
              <w:bottom w:val="single" w:sz="8" w:color="CCEEFF"/>
            </w:tcBorders>
            <w:vMerge w:val="restart"/>
            <w:shd w:val="clear" w:color="auto" w:fill="CCEEFF"/>
          </w:tcPr>
          <w:p>
            <w:pPr>
              <w:spacing w:after="0"/>
              <w:rPr>
                <w:sz w:val="19"/>
                <w:szCs w:val="19"/>
                <w:color w:val="auto"/>
              </w:rPr>
            </w:pPr>
          </w:p>
        </w:tc>
        <w:tc>
          <w:tcPr>
            <w:tcW w:w="520" w:type="dxa"/>
            <w:vAlign w:val="bottom"/>
            <w:tcBorders>
              <w:bottom w:val="single" w:sz="8" w:color="CCEEFF"/>
            </w:tcBorders>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color w:val="0000EE"/>
              </w:rPr>
              <w:t>A-10</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vMerge w:val="continue"/>
            <w:shd w:val="clear" w:color="auto" w:fill="CCEEFF"/>
          </w:tcPr>
          <w:p>
            <w:pPr>
              <w:spacing w:after="0"/>
              <w:rPr>
                <w:sz w:val="2"/>
                <w:szCs w:val="2"/>
                <w:color w:val="auto"/>
              </w:rPr>
            </w:pPr>
          </w:p>
        </w:tc>
        <w:tc>
          <w:tcPr>
            <w:tcW w:w="340" w:type="dxa"/>
            <w:vAlign w:val="bottom"/>
            <w:tcBorders>
              <w:bottom w:val="single" w:sz="8" w:color="CCEEFF"/>
            </w:tcBorders>
            <w:vMerge w:val="continue"/>
            <w:shd w:val="clear" w:color="auto" w:fill="CCEEFF"/>
          </w:tcPr>
          <w:p>
            <w:pPr>
              <w:spacing w:after="0"/>
              <w:rPr>
                <w:sz w:val="2"/>
                <w:szCs w:val="2"/>
                <w:color w:val="auto"/>
              </w:rPr>
            </w:pPr>
          </w:p>
        </w:tc>
        <w:tc>
          <w:tcPr>
            <w:tcW w:w="520" w:type="dxa"/>
            <w:vAlign w:val="bottom"/>
            <w:tcBorders>
              <w:bottom w:val="single" w:sz="8" w:color="CCEEFF"/>
            </w:tcBorders>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2"/>
              </w:rPr>
              <w:t>(f)</w:t>
            </w:r>
          </w:p>
        </w:tc>
        <w:tc>
          <w:tcPr>
            <w:tcW w:w="60" w:type="dxa"/>
            <w:vAlign w:val="bottom"/>
            <w:gridSpan w:val="3"/>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3400" w:type="dxa"/>
            <w:vAlign w:val="bottom"/>
            <w:tcBorders>
              <w:bottom w:val="single" w:sz="8" w:color="0000EE"/>
            </w:tcBorders>
            <w:gridSpan w:val="32"/>
          </w:tcPr>
          <w:p>
            <w:pPr>
              <w:spacing w:after="0"/>
              <w:rPr>
                <w:sz w:val="20"/>
                <w:szCs w:val="20"/>
                <w:color w:val="auto"/>
              </w:rPr>
            </w:pPr>
            <w:r>
              <w:rPr>
                <w:rFonts w:ascii="Arial" w:cs="Arial" w:eastAsia="Arial" w:hAnsi="Arial"/>
                <w:sz w:val="16"/>
                <w:szCs w:val="16"/>
                <w:color w:val="0000EE"/>
              </w:rPr>
              <w:t>Modification, Extension or Assumption of SARs</w:t>
            </w:r>
          </w:p>
        </w:tc>
        <w:tc>
          <w:tcPr>
            <w:tcW w:w="5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color w:val="0000EE"/>
              </w:rPr>
              <w:t>A-10</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(g)</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300" w:type="dxa"/>
            <w:vAlign w:val="bottom"/>
            <w:tcBorders>
              <w:bottom w:val="single" w:sz="8" w:color="0000EE"/>
            </w:tcBorders>
            <w:gridSpan w:val="10"/>
            <w:shd w:val="clear" w:color="auto" w:fill="CCEEFF"/>
          </w:tcPr>
          <w:p>
            <w:pPr>
              <w:spacing w:after="0"/>
              <w:rPr>
                <w:sz w:val="20"/>
                <w:szCs w:val="20"/>
                <w:color w:val="auto"/>
              </w:rPr>
            </w:pPr>
            <w:r>
              <w:rPr>
                <w:rFonts w:ascii="Arial" w:cs="Arial" w:eastAsia="Arial" w:hAnsi="Arial"/>
                <w:sz w:val="16"/>
                <w:szCs w:val="16"/>
                <w:color w:val="0000EE"/>
                <w:w w:val="99"/>
              </w:rPr>
              <w:t>Buyout Provisions</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00" w:type="dxa"/>
            <w:vAlign w:val="bottom"/>
            <w:tcBorders>
              <w:bottom w:val="single" w:sz="8" w:color="CCEEFF"/>
            </w:tcBorders>
            <w:vMerge w:val="restart"/>
            <w:shd w:val="clear" w:color="auto" w:fill="CCEEFF"/>
          </w:tcPr>
          <w:p>
            <w:pPr>
              <w:spacing w:after="0"/>
              <w:rPr>
                <w:sz w:val="19"/>
                <w:szCs w:val="19"/>
                <w:color w:val="auto"/>
              </w:rPr>
            </w:pPr>
          </w:p>
        </w:tc>
        <w:tc>
          <w:tcPr>
            <w:tcW w:w="260" w:type="dxa"/>
            <w:vAlign w:val="bottom"/>
            <w:tcBorders>
              <w:bottom w:val="single" w:sz="8" w:color="CCEEFF"/>
            </w:tcBorders>
            <w:gridSpan w:val="4"/>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vMerge w:val="restart"/>
            <w:shd w:val="clear" w:color="auto" w:fill="CCEEFF"/>
          </w:tcPr>
          <w:p>
            <w:pPr>
              <w:spacing w:after="0"/>
              <w:rPr>
                <w:sz w:val="19"/>
                <w:szCs w:val="19"/>
                <w:color w:val="auto"/>
              </w:rPr>
            </w:pP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gridSpan w:val="2"/>
            <w:vMerge w:val="restart"/>
            <w:shd w:val="clear" w:color="auto" w:fill="CCEEFF"/>
          </w:tcPr>
          <w:p>
            <w:pPr>
              <w:spacing w:after="0"/>
              <w:rPr>
                <w:sz w:val="19"/>
                <w:szCs w:val="19"/>
                <w:color w:val="auto"/>
              </w:rPr>
            </w:pPr>
          </w:p>
        </w:tc>
        <w:tc>
          <w:tcPr>
            <w:tcW w:w="860" w:type="dxa"/>
            <w:vAlign w:val="bottom"/>
            <w:tcBorders>
              <w:bottom w:val="single" w:sz="8" w:color="CCEEFF"/>
            </w:tcBorders>
            <w:gridSpan w:val="2"/>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color w:val="0000EE"/>
              </w:rPr>
              <w:t>A-10</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00" w:type="dxa"/>
            <w:vAlign w:val="bottom"/>
            <w:tcBorders>
              <w:bottom w:val="single" w:sz="8" w:color="CCEEFF"/>
            </w:tcBorders>
            <w:vMerge w:val="continue"/>
            <w:shd w:val="clear" w:color="auto" w:fill="CCEEFF"/>
          </w:tcPr>
          <w:p>
            <w:pPr>
              <w:spacing w:after="0"/>
              <w:rPr>
                <w:sz w:val="2"/>
                <w:szCs w:val="2"/>
                <w:color w:val="auto"/>
              </w:rPr>
            </w:pPr>
          </w:p>
        </w:tc>
        <w:tc>
          <w:tcPr>
            <w:tcW w:w="26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gridSpan w:val="2"/>
            <w:vMerge w:val="continue"/>
            <w:shd w:val="clear" w:color="auto" w:fill="CCEEFF"/>
          </w:tcPr>
          <w:p>
            <w:pPr>
              <w:spacing w:after="0"/>
              <w:rPr>
                <w:sz w:val="2"/>
                <w:szCs w:val="2"/>
                <w:color w:val="auto"/>
              </w:rPr>
            </w:pPr>
          </w:p>
        </w:tc>
        <w:tc>
          <w:tcPr>
            <w:tcW w:w="86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00" w:type="dxa"/>
            <w:vAlign w:val="bottom"/>
            <w:tcBorders>
              <w:bottom w:val="single" w:sz="8" w:color="0000EE"/>
            </w:tcBorders>
            <w:gridSpan w:val="35"/>
          </w:tcPr>
          <w:p>
            <w:pPr>
              <w:spacing w:after="0"/>
              <w:rPr>
                <w:sz w:val="20"/>
                <w:szCs w:val="20"/>
                <w:color w:val="auto"/>
              </w:rPr>
            </w:pPr>
            <w:r>
              <w:rPr>
                <w:rFonts w:ascii="Arial" w:cs="Arial" w:eastAsia="Arial" w:hAnsi="Arial"/>
                <w:sz w:val="16"/>
                <w:szCs w:val="16"/>
                <w:b w:val="1"/>
                <w:bCs w:val="1"/>
                <w:color w:val="0000EE"/>
              </w:rPr>
              <w:t>SECTION 10.  RESTRICTED STOCK UNITS</w:t>
            </w:r>
          </w:p>
        </w:tc>
        <w:tc>
          <w:tcPr>
            <w:tcW w:w="16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86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gridSpan w:val="5"/>
            <w:vMerge w:val="restart"/>
          </w:tcPr>
          <w:p>
            <w:pPr>
              <w:jc w:val="cente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A-10</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500" w:type="dxa"/>
            <w:vAlign w:val="bottom"/>
            <w:gridSpan w:val="8"/>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gridSpan w:val="5"/>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(a)</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2860" w:type="dxa"/>
            <w:vAlign w:val="bottom"/>
            <w:tcBorders>
              <w:bottom w:val="single" w:sz="8" w:color="0000EE"/>
            </w:tcBorders>
            <w:gridSpan w:val="29"/>
            <w:shd w:val="clear" w:color="auto" w:fill="CCEEFF"/>
          </w:tcPr>
          <w:p>
            <w:pPr>
              <w:spacing w:after="0"/>
              <w:rPr>
                <w:sz w:val="20"/>
                <w:szCs w:val="20"/>
                <w:color w:val="auto"/>
              </w:rPr>
            </w:pPr>
            <w:r>
              <w:rPr>
                <w:rFonts w:ascii="Arial" w:cs="Arial" w:eastAsia="Arial" w:hAnsi="Arial"/>
                <w:sz w:val="16"/>
                <w:szCs w:val="16"/>
                <w:color w:val="0000EE"/>
              </w:rPr>
              <w:t>Restricted Stock Unit Award Agreement</w:t>
            </w:r>
          </w:p>
        </w:tc>
        <w:tc>
          <w:tcPr>
            <w:tcW w:w="200" w:type="dxa"/>
            <w:vAlign w:val="bottom"/>
            <w:tcBorders>
              <w:bottom w:val="single" w:sz="8" w:color="CCEEFF"/>
            </w:tcBorders>
            <w:gridSpan w:val="2"/>
            <w:vMerge w:val="restart"/>
            <w:shd w:val="clear" w:color="auto" w:fill="CCEEFF"/>
          </w:tcPr>
          <w:p>
            <w:pPr>
              <w:spacing w:after="0"/>
              <w:rPr>
                <w:sz w:val="19"/>
                <w:szCs w:val="19"/>
                <w:color w:val="auto"/>
              </w:rPr>
            </w:pPr>
          </w:p>
        </w:tc>
        <w:tc>
          <w:tcPr>
            <w:tcW w:w="860" w:type="dxa"/>
            <w:vAlign w:val="bottom"/>
            <w:tcBorders>
              <w:bottom w:val="single" w:sz="8" w:color="CCEEFF"/>
            </w:tcBorders>
            <w:gridSpan w:val="2"/>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color w:val="0000EE"/>
              </w:rPr>
              <w:t>A-10</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5"/>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gridSpan w:val="2"/>
            <w:vMerge w:val="continue"/>
            <w:shd w:val="clear" w:color="auto" w:fill="CCEEFF"/>
          </w:tcPr>
          <w:p>
            <w:pPr>
              <w:spacing w:after="0"/>
              <w:rPr>
                <w:sz w:val="2"/>
                <w:szCs w:val="2"/>
                <w:color w:val="auto"/>
              </w:rPr>
            </w:pPr>
          </w:p>
        </w:tc>
        <w:tc>
          <w:tcPr>
            <w:tcW w:w="86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(b)</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46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color w:val="0000EE"/>
                <w:w w:val="99"/>
              </w:rPr>
              <w:t>Payment for Awards</w:t>
            </w:r>
          </w:p>
        </w:tc>
        <w:tc>
          <w:tcPr>
            <w:tcW w:w="100" w:type="dxa"/>
            <w:vAlign w:val="bottom"/>
            <w:vMerge w:val="restart"/>
          </w:tcPr>
          <w:p>
            <w:pPr>
              <w:spacing w:after="0"/>
              <w:rPr>
                <w:sz w:val="18"/>
                <w:szCs w:val="18"/>
                <w:color w:val="auto"/>
              </w:rPr>
            </w:pPr>
          </w:p>
        </w:tc>
        <w:tc>
          <w:tcPr>
            <w:tcW w:w="26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380" w:type="dxa"/>
            <w:vAlign w:val="bottom"/>
            <w:vMerge w:val="restart"/>
          </w:tcPr>
          <w:p>
            <w:pPr>
              <w:spacing w:after="0"/>
              <w:rPr>
                <w:sz w:val="18"/>
                <w:szCs w:val="18"/>
                <w:color w:val="auto"/>
              </w:rPr>
            </w:pPr>
          </w:p>
        </w:tc>
        <w:tc>
          <w:tcPr>
            <w:tcW w:w="8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440" w:type="dxa"/>
            <w:vAlign w:val="bottom"/>
            <w:gridSpan w:val="4"/>
            <w:vMerge w:val="restart"/>
          </w:tcPr>
          <w:p>
            <w:pPr>
              <w:spacing w:after="0"/>
              <w:rPr>
                <w:sz w:val="18"/>
                <w:szCs w:val="18"/>
                <w:color w:val="auto"/>
              </w:rPr>
            </w:pPr>
          </w:p>
        </w:tc>
        <w:tc>
          <w:tcPr>
            <w:tcW w:w="86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3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color w:val="0000EE"/>
              </w:rPr>
              <w:t>A-10</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38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w w:val="85"/>
              </w:rPr>
              <w:t>(c)</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36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6"/>
                <w:szCs w:val="16"/>
                <w:color w:val="0000EE"/>
              </w:rPr>
              <w:t>Vesting Conditions</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rPr>
                <w:sz w:val="19"/>
                <w:szCs w:val="19"/>
                <w:color w:val="auto"/>
              </w:rPr>
            </w:pPr>
          </w:p>
        </w:tc>
        <w:tc>
          <w:tcPr>
            <w:tcW w:w="140" w:type="dxa"/>
            <w:vAlign w:val="bottom"/>
            <w:tcBorders>
              <w:bottom w:val="single" w:sz="8" w:color="CCEEFF"/>
            </w:tcBorders>
            <w:gridSpan w:val="2"/>
            <w:vMerge w:val="restart"/>
            <w:shd w:val="clear" w:color="auto" w:fill="CCEEFF"/>
          </w:tcPr>
          <w:p>
            <w:pPr>
              <w:spacing w:after="0"/>
              <w:rPr>
                <w:sz w:val="19"/>
                <w:szCs w:val="19"/>
                <w:color w:val="auto"/>
              </w:rPr>
            </w:pPr>
          </w:p>
        </w:tc>
        <w:tc>
          <w:tcPr>
            <w:tcW w:w="260" w:type="dxa"/>
            <w:vAlign w:val="bottom"/>
            <w:tcBorders>
              <w:bottom w:val="single" w:sz="8" w:color="CCEEFF"/>
            </w:tcBorders>
            <w:gridSpan w:val="4"/>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12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vMerge w:val="restart"/>
            <w:shd w:val="clear" w:color="auto" w:fill="CCEEFF"/>
          </w:tcPr>
          <w:p>
            <w:pPr>
              <w:spacing w:after="0"/>
              <w:rPr>
                <w:sz w:val="19"/>
                <w:szCs w:val="19"/>
                <w:color w:val="auto"/>
              </w:rPr>
            </w:pP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440" w:type="dxa"/>
            <w:vAlign w:val="bottom"/>
            <w:tcBorders>
              <w:bottom w:val="single" w:sz="8" w:color="CCEEFF"/>
            </w:tcBorders>
            <w:gridSpan w:val="4"/>
            <w:vMerge w:val="restart"/>
            <w:shd w:val="clear" w:color="auto" w:fill="CCEEFF"/>
          </w:tcPr>
          <w:p>
            <w:pPr>
              <w:spacing w:after="0"/>
              <w:rPr>
                <w:sz w:val="19"/>
                <w:szCs w:val="19"/>
                <w:color w:val="auto"/>
              </w:rPr>
            </w:pPr>
          </w:p>
        </w:tc>
        <w:tc>
          <w:tcPr>
            <w:tcW w:w="860" w:type="dxa"/>
            <w:vAlign w:val="bottom"/>
            <w:tcBorders>
              <w:bottom w:val="single" w:sz="8" w:color="CCEEFF"/>
            </w:tcBorders>
            <w:gridSpan w:val="2"/>
            <w:vMerge w:val="restart"/>
            <w:shd w:val="clear" w:color="auto" w:fill="CCEEFF"/>
          </w:tcPr>
          <w:p>
            <w:pPr>
              <w:spacing w:after="0"/>
              <w:rPr>
                <w:sz w:val="19"/>
                <w:szCs w:val="19"/>
                <w:color w:val="auto"/>
              </w:rPr>
            </w:pP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color w:val="0000EE"/>
              </w:rPr>
              <w:t>A-10</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5"/>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gridSpan w:val="2"/>
            <w:vMerge w:val="continue"/>
            <w:shd w:val="clear" w:color="auto" w:fill="CCEEFF"/>
          </w:tcPr>
          <w:p>
            <w:pPr>
              <w:spacing w:after="0"/>
              <w:rPr>
                <w:sz w:val="2"/>
                <w:szCs w:val="2"/>
                <w:color w:val="auto"/>
              </w:rPr>
            </w:pPr>
          </w:p>
        </w:tc>
        <w:tc>
          <w:tcPr>
            <w:tcW w:w="26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gridSpan w:val="4"/>
            <w:vMerge w:val="continue"/>
            <w:shd w:val="clear" w:color="auto" w:fill="CCEEFF"/>
          </w:tcPr>
          <w:p>
            <w:pPr>
              <w:spacing w:after="0"/>
              <w:rPr>
                <w:sz w:val="2"/>
                <w:szCs w:val="2"/>
                <w:color w:val="auto"/>
              </w:rPr>
            </w:pPr>
          </w:p>
        </w:tc>
        <w:tc>
          <w:tcPr>
            <w:tcW w:w="860" w:type="dxa"/>
            <w:vAlign w:val="bottom"/>
            <w:tcBorders>
              <w:bottom w:val="single" w:sz="8" w:color="CCEEFF"/>
            </w:tcBorders>
            <w:gridSpan w:val="2"/>
            <w:vMerge w:val="continue"/>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(d)</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96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rPr>
              <w:t>Voting and Dividend Rights</w:t>
            </w:r>
          </w:p>
        </w:tc>
        <w:tc>
          <w:tcPr>
            <w:tcW w:w="380" w:type="dxa"/>
            <w:vAlign w:val="bottom"/>
            <w:vMerge w:val="restart"/>
          </w:tcPr>
          <w:p>
            <w:pPr>
              <w:spacing w:after="0"/>
              <w:rPr>
                <w:sz w:val="18"/>
                <w:szCs w:val="18"/>
                <w:color w:val="auto"/>
              </w:rPr>
            </w:pPr>
          </w:p>
        </w:tc>
        <w:tc>
          <w:tcPr>
            <w:tcW w:w="8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440" w:type="dxa"/>
            <w:vAlign w:val="bottom"/>
            <w:gridSpan w:val="4"/>
            <w:vMerge w:val="restart"/>
          </w:tcPr>
          <w:p>
            <w:pPr>
              <w:spacing w:after="0"/>
              <w:rPr>
                <w:sz w:val="18"/>
                <w:szCs w:val="18"/>
                <w:color w:val="auto"/>
              </w:rPr>
            </w:pPr>
          </w:p>
        </w:tc>
        <w:tc>
          <w:tcPr>
            <w:tcW w:w="86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 w:type="dxa"/>
            <w:vAlign w:val="bottom"/>
            <w:gridSpan w:val="2"/>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4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A-11</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34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(e)</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3920" w:type="dxa"/>
            <w:vAlign w:val="bottom"/>
            <w:tcBorders>
              <w:bottom w:val="single" w:sz="8" w:color="0000EE"/>
            </w:tcBorders>
            <w:gridSpan w:val="33"/>
            <w:shd w:val="clear" w:color="auto" w:fill="CCEEFF"/>
          </w:tcPr>
          <w:p>
            <w:pPr>
              <w:spacing w:after="0"/>
              <w:rPr>
                <w:sz w:val="20"/>
                <w:szCs w:val="20"/>
                <w:color w:val="auto"/>
              </w:rPr>
            </w:pPr>
            <w:r>
              <w:rPr>
                <w:rFonts w:ascii="Arial" w:cs="Arial" w:eastAsia="Arial" w:hAnsi="Arial"/>
                <w:sz w:val="16"/>
                <w:szCs w:val="16"/>
                <w:color w:val="0000EE"/>
              </w:rPr>
              <w:t>Form and Time of Settlement of Restricted Stock Units</w:t>
            </w:r>
          </w:p>
        </w:tc>
        <w:tc>
          <w:tcPr>
            <w:tcW w:w="60" w:type="dxa"/>
            <w:vAlign w:val="bottom"/>
            <w:tcBorders>
              <w:bottom w:val="single" w:sz="8" w:color="CCEEFF"/>
            </w:tcBorders>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2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w w:val="94"/>
              </w:rPr>
              <w:t>A-11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5"/>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gridSpan w:val="2"/>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00" w:type="dxa"/>
            <w:vAlign w:val="bottom"/>
            <w:tcBorders>
              <w:bottom w:val="single" w:sz="8" w:color="CCEEFF"/>
            </w:tcBorders>
            <w:gridSpan w:val="2"/>
            <w:shd w:val="clear" w:color="auto" w:fill="CCEEFF"/>
          </w:tcPr>
          <w:p>
            <w:pPr>
              <w:spacing w:after="0"/>
              <w:rPr>
                <w:sz w:val="2"/>
                <w:szCs w:val="2"/>
                <w:color w:val="auto"/>
              </w:rPr>
            </w:pPr>
          </w:p>
        </w:tc>
        <w:tc>
          <w:tcPr>
            <w:tcW w:w="80" w:type="dxa"/>
            <w:vAlign w:val="bottom"/>
            <w:tcBorders>
              <w:bottom w:val="single" w:sz="8" w:color="CCEEFF"/>
            </w:tcBorders>
            <w:gridSpan w:val="2"/>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440" w:type="dxa"/>
            <w:vAlign w:val="bottom"/>
            <w:tcBorders>
              <w:bottom w:val="single" w:sz="8" w:color="CCEEFF"/>
            </w:tcBorders>
            <w:gridSpan w:val="4"/>
            <w:shd w:val="clear" w:color="auto" w:fill="CCEEFF"/>
          </w:tcPr>
          <w:p>
            <w:pPr>
              <w:spacing w:after="0"/>
              <w:rPr>
                <w:sz w:val="2"/>
                <w:szCs w:val="2"/>
                <w:color w:val="auto"/>
              </w:rPr>
            </w:pPr>
          </w:p>
        </w:tc>
        <w:tc>
          <w:tcPr>
            <w:tcW w:w="860" w:type="dxa"/>
            <w:vAlign w:val="bottom"/>
            <w:tcBorders>
              <w:bottom w:val="single" w:sz="8" w:color="CCEEFF"/>
            </w:tcBorders>
            <w:gridSpan w:val="2"/>
            <w:shd w:val="clear" w:color="auto" w:fill="CCEEFF"/>
          </w:tcPr>
          <w:p>
            <w:pPr>
              <w:spacing w:after="0"/>
              <w:rPr>
                <w:sz w:val="2"/>
                <w:szCs w:val="2"/>
                <w:color w:val="auto"/>
              </w:rPr>
            </w:pPr>
          </w:p>
        </w:tc>
        <w:tc>
          <w:tcPr>
            <w:tcW w:w="60" w:type="dxa"/>
            <w:vAlign w:val="bottom"/>
            <w:tcBorders>
              <w:bottom w:val="single" w:sz="8" w:color="CCEEFF"/>
            </w:tcBorders>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2"/>
            <w:vMerge w:val="continue"/>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2"/>
              </w:rPr>
              <w:t>(f)</w:t>
            </w:r>
          </w:p>
        </w:tc>
        <w:tc>
          <w:tcPr>
            <w:tcW w:w="60" w:type="dxa"/>
            <w:vAlign w:val="bottom"/>
            <w:gridSpan w:val="3"/>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42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w w:val="99"/>
              </w:rPr>
              <w:t>Death of Participant</w:t>
            </w:r>
          </w:p>
        </w:tc>
        <w:tc>
          <w:tcPr>
            <w:tcW w:w="140" w:type="dxa"/>
            <w:vAlign w:val="bottom"/>
            <w:gridSpan w:val="2"/>
            <w:vMerge w:val="restart"/>
          </w:tcPr>
          <w:p>
            <w:pPr>
              <w:spacing w:after="0"/>
              <w:rPr>
                <w:sz w:val="18"/>
                <w:szCs w:val="18"/>
                <w:color w:val="auto"/>
              </w:rPr>
            </w:pPr>
          </w:p>
        </w:tc>
        <w:tc>
          <w:tcPr>
            <w:tcW w:w="260" w:type="dxa"/>
            <w:vAlign w:val="bottom"/>
            <w:gridSpan w:val="4"/>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00" w:type="dxa"/>
            <w:vAlign w:val="bottom"/>
            <w:gridSpan w:val="2"/>
            <w:vMerge w:val="restart"/>
          </w:tcPr>
          <w:p>
            <w:pPr>
              <w:spacing w:after="0"/>
              <w:rPr>
                <w:sz w:val="18"/>
                <w:szCs w:val="18"/>
                <w:color w:val="auto"/>
              </w:rPr>
            </w:pPr>
          </w:p>
        </w:tc>
        <w:tc>
          <w:tcPr>
            <w:tcW w:w="8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440" w:type="dxa"/>
            <w:vAlign w:val="bottom"/>
            <w:gridSpan w:val="4"/>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 w:type="dxa"/>
            <w:vAlign w:val="bottom"/>
            <w:gridSpan w:val="2"/>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34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A-11</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6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260" w:type="dxa"/>
            <w:vAlign w:val="bottom"/>
            <w:gridSpan w:val="4"/>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340" w:type="dxa"/>
            <w:vAlign w:val="bottom"/>
            <w:gridSpan w:val="3"/>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(g)</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200" w:type="dxa"/>
            <w:vAlign w:val="bottom"/>
            <w:tcBorders>
              <w:bottom w:val="single" w:sz="8" w:color="0000EE"/>
            </w:tcBorders>
            <w:gridSpan w:val="8"/>
            <w:shd w:val="clear" w:color="auto" w:fill="CCEEFF"/>
          </w:tcPr>
          <w:p>
            <w:pPr>
              <w:spacing w:after="0"/>
              <w:rPr>
                <w:sz w:val="20"/>
                <w:szCs w:val="20"/>
                <w:color w:val="auto"/>
              </w:rPr>
            </w:pPr>
            <w:r>
              <w:rPr>
                <w:rFonts w:ascii="Arial" w:cs="Arial" w:eastAsia="Arial" w:hAnsi="Arial"/>
                <w:sz w:val="16"/>
                <w:szCs w:val="16"/>
                <w:color w:val="0000EE"/>
                <w:w w:val="99"/>
              </w:rPr>
              <w:t>Creditors’ Rights</w:t>
            </w:r>
          </w:p>
        </w:tc>
        <w:tc>
          <w:tcPr>
            <w:tcW w:w="120" w:type="dxa"/>
            <w:vAlign w:val="bottom"/>
            <w:tcBorders>
              <w:bottom w:val="single" w:sz="8" w:color="CCEEFF"/>
            </w:tcBorders>
            <w:gridSpan w:val="3"/>
            <w:vMerge w:val="restart"/>
            <w:shd w:val="clear" w:color="auto" w:fill="CCEEFF"/>
          </w:tcPr>
          <w:p>
            <w:pPr>
              <w:spacing w:after="0"/>
              <w:rPr>
                <w:sz w:val="19"/>
                <w:szCs w:val="19"/>
                <w:color w:val="auto"/>
              </w:rPr>
            </w:pPr>
          </w:p>
        </w:tc>
        <w:tc>
          <w:tcPr>
            <w:tcW w:w="60" w:type="dxa"/>
            <w:vAlign w:val="bottom"/>
            <w:tcBorders>
              <w:bottom w:val="single" w:sz="8" w:color="CCEEFF"/>
            </w:tcBorders>
            <w:gridSpan w:val="3"/>
            <w:vMerge w:val="restart"/>
            <w:shd w:val="clear" w:color="auto" w:fill="CCEEFF"/>
          </w:tcPr>
          <w:p>
            <w:pPr>
              <w:spacing w:after="0"/>
              <w:rPr>
                <w:sz w:val="19"/>
                <w:szCs w:val="19"/>
                <w:color w:val="auto"/>
              </w:rPr>
            </w:pPr>
          </w:p>
        </w:tc>
        <w:tc>
          <w:tcPr>
            <w:tcW w:w="180" w:type="dxa"/>
            <w:vAlign w:val="bottom"/>
            <w:tcBorders>
              <w:bottom w:val="single" w:sz="8" w:color="CCEEFF"/>
            </w:tcBorders>
            <w:gridSpan w:val="3"/>
            <w:vMerge w:val="restart"/>
            <w:shd w:val="clear" w:color="auto" w:fill="CCEEFF"/>
          </w:tcPr>
          <w:p>
            <w:pPr>
              <w:spacing w:after="0"/>
              <w:rPr>
                <w:sz w:val="19"/>
                <w:szCs w:val="19"/>
                <w:color w:val="auto"/>
              </w:rPr>
            </w:pPr>
          </w:p>
        </w:tc>
        <w:tc>
          <w:tcPr>
            <w:tcW w:w="260" w:type="dxa"/>
            <w:vAlign w:val="bottom"/>
            <w:tcBorders>
              <w:bottom w:val="single" w:sz="8" w:color="CCEEFF"/>
            </w:tcBorders>
            <w:gridSpan w:val="4"/>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500" w:type="dxa"/>
            <w:vAlign w:val="bottom"/>
            <w:tcBorders>
              <w:bottom w:val="single" w:sz="8" w:color="CCEEFF"/>
            </w:tcBorders>
            <w:gridSpan w:val="2"/>
            <w:vMerge w:val="restart"/>
            <w:shd w:val="clear" w:color="auto" w:fill="CCEEFF"/>
          </w:tcPr>
          <w:p>
            <w:pPr>
              <w:spacing w:after="0"/>
              <w:rPr>
                <w:sz w:val="19"/>
                <w:szCs w:val="19"/>
                <w:color w:val="auto"/>
              </w:rPr>
            </w:pPr>
          </w:p>
        </w:tc>
        <w:tc>
          <w:tcPr>
            <w:tcW w:w="80" w:type="dxa"/>
            <w:vAlign w:val="bottom"/>
            <w:tcBorders>
              <w:bottom w:val="single" w:sz="8" w:color="CCEEFF"/>
            </w:tcBorders>
            <w:gridSpan w:val="2"/>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440" w:type="dxa"/>
            <w:vAlign w:val="bottom"/>
            <w:tcBorders>
              <w:bottom w:val="single" w:sz="8" w:color="CCEEFF"/>
            </w:tcBorders>
            <w:gridSpan w:val="4"/>
            <w:vMerge w:val="restart"/>
            <w:shd w:val="clear" w:color="auto" w:fill="CCEEFF"/>
          </w:tcPr>
          <w:p>
            <w:pPr>
              <w:spacing w:after="0"/>
              <w:rPr>
                <w:sz w:val="19"/>
                <w:szCs w:val="19"/>
                <w:color w:val="auto"/>
              </w:rPr>
            </w:pPr>
          </w:p>
        </w:tc>
        <w:tc>
          <w:tcPr>
            <w:tcW w:w="920" w:type="dxa"/>
            <w:vAlign w:val="bottom"/>
            <w:tcBorders>
              <w:bottom w:val="single" w:sz="8" w:color="CCEEFF"/>
            </w:tcBorders>
            <w:gridSpan w:val="3"/>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320" w:type="dxa"/>
            <w:vAlign w:val="bottom"/>
            <w:tcBorders>
              <w:bottom w:val="single" w:sz="8" w:color="0000EE"/>
            </w:tcBorders>
            <w:gridSpan w:val="2"/>
            <w:shd w:val="clear" w:color="auto" w:fill="CCEEFF"/>
          </w:tcPr>
          <w:p>
            <w:pPr>
              <w:jc w:val="center"/>
              <w:spacing w:after="0"/>
              <w:rPr>
                <w:sz w:val="20"/>
                <w:szCs w:val="20"/>
                <w:color w:val="auto"/>
              </w:rPr>
            </w:pPr>
            <w:r>
              <w:rPr>
                <w:rFonts w:ascii="Arial" w:cs="Arial" w:eastAsia="Arial" w:hAnsi="Arial"/>
                <w:sz w:val="16"/>
                <w:szCs w:val="16"/>
                <w:color w:val="0000EE"/>
                <w:w w:val="94"/>
              </w:rPr>
              <w:t>A-11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120" w:type="dxa"/>
            <w:vAlign w:val="bottom"/>
            <w:tcBorders>
              <w:bottom w:val="single" w:sz="8" w:color="CCEEFF"/>
            </w:tcBorders>
            <w:gridSpan w:val="3"/>
            <w:vMerge w:val="continue"/>
            <w:shd w:val="clear" w:color="auto" w:fill="CCEEFF"/>
          </w:tcPr>
          <w:p>
            <w:pPr>
              <w:spacing w:after="0"/>
              <w:rPr>
                <w:sz w:val="2"/>
                <w:szCs w:val="2"/>
                <w:color w:val="auto"/>
              </w:rPr>
            </w:pPr>
          </w:p>
        </w:tc>
        <w:tc>
          <w:tcPr>
            <w:tcW w:w="60" w:type="dxa"/>
            <w:vAlign w:val="bottom"/>
            <w:tcBorders>
              <w:bottom w:val="single" w:sz="8" w:color="CCEEFF"/>
            </w:tcBorders>
            <w:gridSpan w:val="3"/>
            <w:vMerge w:val="continue"/>
            <w:shd w:val="clear" w:color="auto" w:fill="CCEEFF"/>
          </w:tcPr>
          <w:p>
            <w:pPr>
              <w:spacing w:after="0"/>
              <w:rPr>
                <w:sz w:val="2"/>
                <w:szCs w:val="2"/>
                <w:color w:val="auto"/>
              </w:rPr>
            </w:pPr>
          </w:p>
        </w:tc>
        <w:tc>
          <w:tcPr>
            <w:tcW w:w="180" w:type="dxa"/>
            <w:vAlign w:val="bottom"/>
            <w:tcBorders>
              <w:bottom w:val="single" w:sz="8" w:color="CCEEFF"/>
            </w:tcBorders>
            <w:gridSpan w:val="3"/>
            <w:vMerge w:val="continue"/>
            <w:shd w:val="clear" w:color="auto" w:fill="CCEEFF"/>
          </w:tcPr>
          <w:p>
            <w:pPr>
              <w:spacing w:after="0"/>
              <w:rPr>
                <w:sz w:val="2"/>
                <w:szCs w:val="2"/>
                <w:color w:val="auto"/>
              </w:rPr>
            </w:pPr>
          </w:p>
        </w:tc>
        <w:tc>
          <w:tcPr>
            <w:tcW w:w="26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50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gridSpan w:val="2"/>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440" w:type="dxa"/>
            <w:vAlign w:val="bottom"/>
            <w:tcBorders>
              <w:bottom w:val="single" w:sz="8" w:color="CCEEFF"/>
            </w:tcBorders>
            <w:gridSpan w:val="4"/>
            <w:vMerge w:val="continue"/>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gridSpan w:val="2"/>
            <w:vMerge w:val="continue"/>
            <w:shd w:val="clear" w:color="auto" w:fill="CCEEFF"/>
          </w:tcPr>
          <w:p>
            <w:pPr>
              <w:spacing w:after="0"/>
              <w:rPr>
                <w:sz w:val="2"/>
                <w:szCs w:val="2"/>
                <w:color w:val="auto"/>
              </w:rPr>
            </w:pPr>
          </w:p>
        </w:tc>
        <w:tc>
          <w:tcPr>
            <w:tcW w:w="32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940" w:type="dxa"/>
            <w:vAlign w:val="bottom"/>
            <w:tcBorders>
              <w:bottom w:val="single" w:sz="8" w:color="0000EE"/>
            </w:tcBorders>
            <w:gridSpan w:val="31"/>
          </w:tcPr>
          <w:p>
            <w:pPr>
              <w:spacing w:after="0"/>
              <w:rPr>
                <w:sz w:val="20"/>
                <w:szCs w:val="20"/>
                <w:color w:val="auto"/>
              </w:rPr>
            </w:pPr>
            <w:r>
              <w:rPr>
                <w:rFonts w:ascii="Arial" w:cs="Arial" w:eastAsia="Arial" w:hAnsi="Arial"/>
                <w:sz w:val="16"/>
                <w:szCs w:val="16"/>
                <w:b w:val="1"/>
                <w:bCs w:val="1"/>
                <w:color w:val="0000EE"/>
              </w:rPr>
              <w:t>SECTION 11.  CASH-BASED AWARDS</w:t>
            </w:r>
          </w:p>
        </w:tc>
        <w:tc>
          <w:tcPr>
            <w:tcW w:w="80" w:type="dxa"/>
            <w:vAlign w:val="bottom"/>
            <w:gridSpan w:val="2"/>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440" w:type="dxa"/>
            <w:vAlign w:val="bottom"/>
            <w:gridSpan w:val="4"/>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b w:val="1"/>
                <w:bCs w:val="1"/>
                <w:color w:val="auto"/>
                <w:vertAlign w:val="superscript"/>
              </w:rPr>
              <w:t>​</w:t>
            </w:r>
          </w:p>
        </w:tc>
        <w:tc>
          <w:tcPr>
            <w:tcW w:w="3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b w:val="1"/>
                <w:bCs w:val="1"/>
                <w:color w:val="0000EE"/>
              </w:rPr>
              <w:t>A-11</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500" w:type="dxa"/>
            <w:vAlign w:val="bottom"/>
            <w:gridSpan w:val="8"/>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60" w:type="dxa"/>
            <w:vAlign w:val="bottom"/>
            <w:gridSpan w:val="3"/>
          </w:tcPr>
          <w:p>
            <w:pPr>
              <w:spacing w:after="0"/>
              <w:rPr>
                <w:sz w:val="2"/>
                <w:szCs w:val="2"/>
                <w:color w:val="auto"/>
              </w:rPr>
            </w:pPr>
          </w:p>
        </w:tc>
        <w:tc>
          <w:tcPr>
            <w:tcW w:w="180" w:type="dxa"/>
            <w:vAlign w:val="bottom"/>
            <w:gridSpan w:val="3"/>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3300" w:type="dxa"/>
            <w:vAlign w:val="bottom"/>
            <w:tcBorders>
              <w:bottom w:val="single" w:sz="8" w:color="0000EE"/>
            </w:tcBorders>
            <w:gridSpan w:val="35"/>
            <w:shd w:val="clear" w:color="auto" w:fill="CCEEFF"/>
          </w:tcPr>
          <w:p>
            <w:pPr>
              <w:spacing w:after="0"/>
              <w:rPr>
                <w:sz w:val="20"/>
                <w:szCs w:val="20"/>
                <w:color w:val="auto"/>
              </w:rPr>
            </w:pPr>
            <w:r>
              <w:rPr>
                <w:rFonts w:ascii="Arial" w:cs="Arial" w:eastAsia="Arial" w:hAnsi="Arial"/>
                <w:sz w:val="16"/>
                <w:szCs w:val="16"/>
                <w:b w:val="1"/>
                <w:bCs w:val="1"/>
                <w:color w:val="0000EE"/>
              </w:rPr>
              <w:t>SECTION 12.  STOCK PURCHASE RIGHTS</w:t>
            </w:r>
          </w:p>
        </w:tc>
        <w:tc>
          <w:tcPr>
            <w:tcW w:w="360" w:type="dxa"/>
            <w:vAlign w:val="bottom"/>
            <w:tcBorders>
              <w:bottom w:val="single" w:sz="8" w:color="CCEEFF"/>
            </w:tcBorders>
            <w:gridSpan w:val="3"/>
            <w:vMerge w:val="restart"/>
            <w:shd w:val="clear" w:color="auto" w:fill="CCEEFF"/>
          </w:tcPr>
          <w:p>
            <w:pPr>
              <w:spacing w:after="0"/>
              <w:rPr>
                <w:sz w:val="19"/>
                <w:szCs w:val="19"/>
                <w:color w:val="auto"/>
              </w:rPr>
            </w:pPr>
          </w:p>
        </w:tc>
        <w:tc>
          <w:tcPr>
            <w:tcW w:w="920" w:type="dxa"/>
            <w:vAlign w:val="bottom"/>
            <w:tcBorders>
              <w:bottom w:val="single" w:sz="8" w:color="CCEEFF"/>
            </w:tcBorders>
            <w:gridSpan w:val="3"/>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b w:val="1"/>
                <w:bCs w:val="1"/>
                <w:color w:val="auto"/>
                <w:vertAlign w:val="superscript"/>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0000EE"/>
                <w:w w:val="97"/>
              </w:rPr>
              <w:t>A-11</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500" w:type="dxa"/>
            <w:vAlign w:val="bottom"/>
            <w:tcBorders>
              <w:bottom w:val="single" w:sz="8" w:color="CCEEFF"/>
            </w:tcBorders>
            <w:gridSpan w:val="8"/>
            <w:shd w:val="clear" w:color="auto" w:fill="CCEEFF"/>
          </w:tcPr>
          <w:p>
            <w:pPr>
              <w:spacing w:after="0"/>
              <w:rPr>
                <w:sz w:val="2"/>
                <w:szCs w:val="2"/>
                <w:color w:val="auto"/>
              </w:rPr>
            </w:pPr>
          </w:p>
        </w:tc>
        <w:tc>
          <w:tcPr>
            <w:tcW w:w="120" w:type="dxa"/>
            <w:vAlign w:val="bottom"/>
            <w:tcBorders>
              <w:bottom w:val="single" w:sz="8" w:color="CCEEFF"/>
            </w:tcBorders>
            <w:gridSpan w:val="2"/>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5"/>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580" w:type="dxa"/>
            <w:vAlign w:val="bottom"/>
            <w:tcBorders>
              <w:bottom w:val="single" w:sz="8" w:color="CCEEFF"/>
            </w:tcBorders>
            <w:gridSpan w:val="4"/>
            <w:shd w:val="clear" w:color="auto" w:fill="CCEEFF"/>
          </w:tcPr>
          <w:p>
            <w:pPr>
              <w:spacing w:after="0"/>
              <w:rPr>
                <w:sz w:val="2"/>
                <w:szCs w:val="2"/>
                <w:color w:val="auto"/>
              </w:rPr>
            </w:pPr>
          </w:p>
        </w:tc>
        <w:tc>
          <w:tcPr>
            <w:tcW w:w="200" w:type="dxa"/>
            <w:vAlign w:val="bottom"/>
            <w:tcBorders>
              <w:bottom w:val="single" w:sz="8" w:color="CCEEFF"/>
            </w:tcBorders>
            <w:shd w:val="clear" w:color="auto" w:fill="CCEEFF"/>
          </w:tcPr>
          <w:p>
            <w:pPr>
              <w:spacing w:after="0"/>
              <w:rPr>
                <w:sz w:val="2"/>
                <w:szCs w:val="2"/>
                <w:color w:val="auto"/>
              </w:rPr>
            </w:pPr>
          </w:p>
        </w:tc>
        <w:tc>
          <w:tcPr>
            <w:tcW w:w="80" w:type="dxa"/>
            <w:vAlign w:val="bottom"/>
            <w:tcBorders>
              <w:bottom w:val="single" w:sz="8" w:color="CCEEFF"/>
            </w:tcBorders>
            <w:shd w:val="clear" w:color="auto" w:fill="CCEEFF"/>
          </w:tcPr>
          <w:p>
            <w:pPr>
              <w:spacing w:after="0"/>
              <w:rPr>
                <w:sz w:val="2"/>
                <w:szCs w:val="2"/>
                <w:color w:val="auto"/>
              </w:rPr>
            </w:pPr>
          </w:p>
        </w:tc>
        <w:tc>
          <w:tcPr>
            <w:tcW w:w="360" w:type="dxa"/>
            <w:vAlign w:val="bottom"/>
            <w:tcBorders>
              <w:bottom w:val="single" w:sz="8" w:color="CCEEFF"/>
            </w:tcBorders>
            <w:gridSpan w:val="3"/>
            <w:vMerge w:val="continue"/>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220" w:type="dxa"/>
            <w:vAlign w:val="bottom"/>
            <w:tcBorders>
              <w:bottom w:val="single" w:sz="8" w:color="0000EE"/>
            </w:tcBorders>
            <w:gridSpan w:val="34"/>
          </w:tcPr>
          <w:p>
            <w:pPr>
              <w:spacing w:after="0"/>
              <w:rPr>
                <w:sz w:val="20"/>
                <w:szCs w:val="20"/>
                <w:color w:val="auto"/>
              </w:rPr>
            </w:pPr>
            <w:r>
              <w:rPr>
                <w:rFonts w:ascii="Arial" w:cs="Arial" w:eastAsia="Arial" w:hAnsi="Arial"/>
                <w:sz w:val="16"/>
                <w:szCs w:val="16"/>
                <w:b w:val="1"/>
                <w:bCs w:val="1"/>
                <w:color w:val="0000EE"/>
              </w:rPr>
              <w:t>SECTION 13.  ADJUSTMENT OF SHARES</w:t>
            </w:r>
          </w:p>
        </w:tc>
        <w:tc>
          <w:tcPr>
            <w:tcW w:w="440" w:type="dxa"/>
            <w:vAlign w:val="bottom"/>
            <w:gridSpan w:val="4"/>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gridSpan w:val="5"/>
            <w:vMerge w:val="restart"/>
          </w:tcPr>
          <w:p>
            <w:pPr>
              <w:jc w:val="cente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A-12</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500" w:type="dxa"/>
            <w:vAlign w:val="bottom"/>
            <w:gridSpan w:val="8"/>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60" w:type="dxa"/>
            <w:vAlign w:val="bottom"/>
            <w:gridSpan w:val="3"/>
          </w:tcPr>
          <w:p>
            <w:pPr>
              <w:spacing w:after="0"/>
              <w:rPr>
                <w:sz w:val="2"/>
                <w:szCs w:val="2"/>
                <w:color w:val="auto"/>
              </w:rPr>
            </w:pPr>
          </w:p>
        </w:tc>
        <w:tc>
          <w:tcPr>
            <w:tcW w:w="180" w:type="dxa"/>
            <w:vAlign w:val="bottom"/>
            <w:gridSpan w:val="3"/>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gridSpan w:val="4"/>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gridSpan w:val="5"/>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(a)</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90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99"/>
              </w:rPr>
              <w:t>Adjustments</w:t>
            </w:r>
          </w:p>
        </w:tc>
        <w:tc>
          <w:tcPr>
            <w:tcW w:w="12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40" w:type="dxa"/>
            <w:vAlign w:val="bottom"/>
            <w:tcBorders>
              <w:bottom w:val="single" w:sz="8" w:color="CCEEFF"/>
            </w:tcBorders>
            <w:gridSpan w:val="5"/>
            <w:vMerge w:val="restart"/>
            <w:shd w:val="clear" w:color="auto" w:fill="CCEEFF"/>
          </w:tcPr>
          <w:p>
            <w:pPr>
              <w:spacing w:after="0"/>
              <w:rPr>
                <w:sz w:val="19"/>
                <w:szCs w:val="19"/>
                <w:color w:val="auto"/>
              </w:rPr>
            </w:pPr>
          </w:p>
        </w:tc>
        <w:tc>
          <w:tcPr>
            <w:tcW w:w="60" w:type="dxa"/>
            <w:vAlign w:val="bottom"/>
            <w:tcBorders>
              <w:bottom w:val="single" w:sz="8" w:color="CCEEFF"/>
            </w:tcBorders>
            <w:gridSpan w:val="3"/>
            <w:vMerge w:val="restart"/>
            <w:shd w:val="clear" w:color="auto" w:fill="CCEEFF"/>
          </w:tcPr>
          <w:p>
            <w:pPr>
              <w:spacing w:after="0"/>
              <w:rPr>
                <w:sz w:val="19"/>
                <w:szCs w:val="19"/>
                <w:color w:val="auto"/>
              </w:rPr>
            </w:pPr>
          </w:p>
        </w:tc>
        <w:tc>
          <w:tcPr>
            <w:tcW w:w="180" w:type="dxa"/>
            <w:vAlign w:val="bottom"/>
            <w:tcBorders>
              <w:bottom w:val="single" w:sz="8" w:color="CCEEFF"/>
            </w:tcBorders>
            <w:gridSpan w:val="3"/>
            <w:vMerge w:val="restart"/>
            <w:shd w:val="clear" w:color="auto" w:fill="CCEEFF"/>
          </w:tcPr>
          <w:p>
            <w:pPr>
              <w:spacing w:after="0"/>
              <w:rPr>
                <w:sz w:val="19"/>
                <w:szCs w:val="19"/>
                <w:color w:val="auto"/>
              </w:rPr>
            </w:pPr>
          </w:p>
        </w:tc>
        <w:tc>
          <w:tcPr>
            <w:tcW w:w="260" w:type="dxa"/>
            <w:vAlign w:val="bottom"/>
            <w:tcBorders>
              <w:bottom w:val="single" w:sz="8" w:color="CCEEFF"/>
            </w:tcBorders>
            <w:gridSpan w:val="4"/>
            <w:vMerge w:val="restart"/>
            <w:shd w:val="clear" w:color="auto" w:fill="CCEEFF"/>
          </w:tcPr>
          <w:p>
            <w:pPr>
              <w:spacing w:after="0"/>
              <w:rPr>
                <w:sz w:val="19"/>
                <w:szCs w:val="19"/>
                <w:color w:val="auto"/>
              </w:rPr>
            </w:pP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580" w:type="dxa"/>
            <w:vAlign w:val="bottom"/>
            <w:tcBorders>
              <w:bottom w:val="single" w:sz="8" w:color="CCEEFF"/>
            </w:tcBorders>
            <w:gridSpan w:val="4"/>
            <w:vMerge w:val="restart"/>
            <w:shd w:val="clear" w:color="auto" w:fill="CCEEFF"/>
          </w:tcPr>
          <w:p>
            <w:pPr>
              <w:spacing w:after="0"/>
              <w:rPr>
                <w:sz w:val="19"/>
                <w:szCs w:val="19"/>
                <w:color w:val="auto"/>
              </w:rPr>
            </w:pPr>
          </w:p>
        </w:tc>
        <w:tc>
          <w:tcPr>
            <w:tcW w:w="640" w:type="dxa"/>
            <w:vAlign w:val="bottom"/>
            <w:tcBorders>
              <w:bottom w:val="single" w:sz="8" w:color="CCEEFF"/>
            </w:tcBorders>
            <w:gridSpan w:val="5"/>
            <w:vMerge w:val="restart"/>
            <w:shd w:val="clear" w:color="auto" w:fill="CCEEFF"/>
          </w:tcPr>
          <w:p>
            <w:pPr>
              <w:spacing w:after="0"/>
              <w:rPr>
                <w:sz w:val="19"/>
                <w:szCs w:val="19"/>
                <w:color w:val="auto"/>
              </w:rPr>
            </w:pPr>
          </w:p>
        </w:tc>
        <w:tc>
          <w:tcPr>
            <w:tcW w:w="920" w:type="dxa"/>
            <w:vAlign w:val="bottom"/>
            <w:tcBorders>
              <w:bottom w:val="single" w:sz="8" w:color="CCEEFF"/>
            </w:tcBorders>
            <w:gridSpan w:val="3"/>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color w:val="0000EE"/>
              </w:rPr>
              <w:t>A-12</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40" w:type="dxa"/>
            <w:vAlign w:val="bottom"/>
            <w:tcBorders>
              <w:bottom w:val="single" w:sz="8" w:color="CCEEFF"/>
            </w:tcBorders>
            <w:gridSpan w:val="5"/>
            <w:vMerge w:val="continue"/>
            <w:shd w:val="clear" w:color="auto" w:fill="CCEEFF"/>
          </w:tcPr>
          <w:p>
            <w:pPr>
              <w:spacing w:after="0"/>
              <w:rPr>
                <w:sz w:val="2"/>
                <w:szCs w:val="2"/>
                <w:color w:val="auto"/>
              </w:rPr>
            </w:pPr>
          </w:p>
        </w:tc>
        <w:tc>
          <w:tcPr>
            <w:tcW w:w="60" w:type="dxa"/>
            <w:vAlign w:val="bottom"/>
            <w:tcBorders>
              <w:bottom w:val="single" w:sz="8" w:color="CCEEFF"/>
            </w:tcBorders>
            <w:gridSpan w:val="3"/>
            <w:vMerge w:val="continue"/>
            <w:shd w:val="clear" w:color="auto" w:fill="CCEEFF"/>
          </w:tcPr>
          <w:p>
            <w:pPr>
              <w:spacing w:after="0"/>
              <w:rPr>
                <w:sz w:val="2"/>
                <w:szCs w:val="2"/>
                <w:color w:val="auto"/>
              </w:rPr>
            </w:pPr>
          </w:p>
        </w:tc>
        <w:tc>
          <w:tcPr>
            <w:tcW w:w="180" w:type="dxa"/>
            <w:vAlign w:val="bottom"/>
            <w:tcBorders>
              <w:bottom w:val="single" w:sz="8" w:color="CCEEFF"/>
            </w:tcBorders>
            <w:gridSpan w:val="3"/>
            <w:vMerge w:val="continue"/>
            <w:shd w:val="clear" w:color="auto" w:fill="CCEEFF"/>
          </w:tcPr>
          <w:p>
            <w:pPr>
              <w:spacing w:after="0"/>
              <w:rPr>
                <w:sz w:val="2"/>
                <w:szCs w:val="2"/>
                <w:color w:val="auto"/>
              </w:rPr>
            </w:pPr>
          </w:p>
        </w:tc>
        <w:tc>
          <w:tcPr>
            <w:tcW w:w="26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580" w:type="dxa"/>
            <w:vAlign w:val="bottom"/>
            <w:tcBorders>
              <w:bottom w:val="single" w:sz="8" w:color="CCEEFF"/>
            </w:tcBorders>
            <w:gridSpan w:val="4"/>
            <w:vMerge w:val="continue"/>
            <w:shd w:val="clear" w:color="auto" w:fill="CCEEFF"/>
          </w:tcPr>
          <w:p>
            <w:pPr>
              <w:spacing w:after="0"/>
              <w:rPr>
                <w:sz w:val="2"/>
                <w:szCs w:val="2"/>
                <w:color w:val="auto"/>
              </w:rPr>
            </w:pPr>
          </w:p>
        </w:tc>
        <w:tc>
          <w:tcPr>
            <w:tcW w:w="640" w:type="dxa"/>
            <w:vAlign w:val="bottom"/>
            <w:tcBorders>
              <w:bottom w:val="single" w:sz="8" w:color="CCEEFF"/>
            </w:tcBorders>
            <w:gridSpan w:val="5"/>
            <w:vMerge w:val="continue"/>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(b)</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82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color w:val="0000EE"/>
              </w:rPr>
              <w:t>Dissolution or Liquidation</w:t>
            </w:r>
          </w:p>
        </w:tc>
        <w:tc>
          <w:tcPr>
            <w:tcW w:w="20" w:type="dxa"/>
            <w:vAlign w:val="bottom"/>
            <w:vMerge w:val="restart"/>
          </w:tcPr>
          <w:p>
            <w:pPr>
              <w:spacing w:after="0"/>
              <w:rPr>
                <w:sz w:val="18"/>
                <w:szCs w:val="18"/>
                <w:color w:val="auto"/>
              </w:rPr>
            </w:pPr>
          </w:p>
        </w:tc>
        <w:tc>
          <w:tcPr>
            <w:tcW w:w="580" w:type="dxa"/>
            <w:vAlign w:val="bottom"/>
            <w:gridSpan w:val="4"/>
            <w:vMerge w:val="restart"/>
          </w:tcPr>
          <w:p>
            <w:pPr>
              <w:spacing w:after="0"/>
              <w:rPr>
                <w:sz w:val="18"/>
                <w:szCs w:val="18"/>
                <w:color w:val="auto"/>
              </w:rPr>
            </w:pPr>
          </w:p>
        </w:tc>
        <w:tc>
          <w:tcPr>
            <w:tcW w:w="640" w:type="dxa"/>
            <w:vAlign w:val="bottom"/>
            <w:gridSpan w:val="5"/>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3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color w:val="0000EE"/>
              </w:rPr>
              <w:t>A-12</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60" w:type="dxa"/>
            <w:vAlign w:val="bottom"/>
            <w:gridSpan w:val="3"/>
          </w:tcPr>
          <w:p>
            <w:pPr>
              <w:spacing w:after="0"/>
              <w:rPr>
                <w:sz w:val="2"/>
                <w:szCs w:val="2"/>
                <w:color w:val="auto"/>
              </w:rPr>
            </w:pPr>
          </w:p>
        </w:tc>
        <w:tc>
          <w:tcPr>
            <w:tcW w:w="180" w:type="dxa"/>
            <w:vAlign w:val="bottom"/>
            <w:gridSpan w:val="3"/>
          </w:tcPr>
          <w:p>
            <w:pPr>
              <w:spacing w:after="0"/>
              <w:rPr>
                <w:sz w:val="2"/>
                <w:szCs w:val="2"/>
                <w:color w:val="auto"/>
              </w:rPr>
            </w:pPr>
          </w:p>
        </w:tc>
        <w:tc>
          <w:tcPr>
            <w:tcW w:w="26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580" w:type="dxa"/>
            <w:vAlign w:val="bottom"/>
            <w:gridSpan w:val="4"/>
            <w:vMerge w:val="continue"/>
          </w:tcPr>
          <w:p>
            <w:pPr>
              <w:spacing w:after="0"/>
              <w:rPr>
                <w:sz w:val="2"/>
                <w:szCs w:val="2"/>
                <w:color w:val="auto"/>
              </w:rPr>
            </w:pPr>
          </w:p>
        </w:tc>
        <w:tc>
          <w:tcPr>
            <w:tcW w:w="640" w:type="dxa"/>
            <w:vAlign w:val="bottom"/>
            <w:gridSpan w:val="5"/>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w w:val="85"/>
              </w:rPr>
              <w:t>(c)</w:t>
            </w:r>
          </w:p>
        </w:tc>
        <w:tc>
          <w:tcPr>
            <w:tcW w:w="40" w:type="dxa"/>
            <w:vAlign w:val="bottom"/>
            <w:tcBorders>
              <w:bottom w:val="single" w:sz="8" w:color="CCEEFF"/>
            </w:tcBorders>
            <w:gridSpan w:val="2"/>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840" w:type="dxa"/>
            <w:vAlign w:val="bottom"/>
            <w:tcBorders>
              <w:bottom w:val="single" w:sz="8" w:color="0000EE"/>
            </w:tcBorders>
            <w:gridSpan w:val="22"/>
            <w:shd w:val="clear" w:color="auto" w:fill="CCEEFF"/>
          </w:tcPr>
          <w:p>
            <w:pPr>
              <w:spacing w:after="0"/>
              <w:rPr>
                <w:sz w:val="20"/>
                <w:szCs w:val="20"/>
                <w:color w:val="auto"/>
              </w:rPr>
            </w:pPr>
            <w:r>
              <w:rPr>
                <w:rFonts w:ascii="Arial" w:cs="Arial" w:eastAsia="Arial" w:hAnsi="Arial"/>
                <w:sz w:val="16"/>
                <w:szCs w:val="16"/>
                <w:color w:val="0000EE"/>
              </w:rPr>
              <w:t>Merger or Reorganization</w:t>
            </w:r>
          </w:p>
        </w:tc>
        <w:tc>
          <w:tcPr>
            <w:tcW w:w="580" w:type="dxa"/>
            <w:vAlign w:val="bottom"/>
            <w:tcBorders>
              <w:bottom w:val="single" w:sz="8" w:color="CCEEFF"/>
            </w:tcBorders>
            <w:gridSpan w:val="4"/>
            <w:vMerge w:val="restart"/>
            <w:shd w:val="clear" w:color="auto" w:fill="CCEEFF"/>
          </w:tcPr>
          <w:p>
            <w:pPr>
              <w:spacing w:after="0"/>
              <w:rPr>
                <w:sz w:val="19"/>
                <w:szCs w:val="19"/>
                <w:color w:val="auto"/>
              </w:rPr>
            </w:pPr>
          </w:p>
        </w:tc>
        <w:tc>
          <w:tcPr>
            <w:tcW w:w="640" w:type="dxa"/>
            <w:vAlign w:val="bottom"/>
            <w:tcBorders>
              <w:bottom w:val="single" w:sz="8" w:color="CCEEFF"/>
            </w:tcBorders>
            <w:gridSpan w:val="5"/>
            <w:vMerge w:val="restart"/>
            <w:shd w:val="clear" w:color="auto" w:fill="CCEEFF"/>
          </w:tcPr>
          <w:p>
            <w:pPr>
              <w:spacing w:after="0"/>
              <w:rPr>
                <w:sz w:val="19"/>
                <w:szCs w:val="19"/>
                <w:color w:val="auto"/>
              </w:rPr>
            </w:pPr>
          </w:p>
        </w:tc>
        <w:tc>
          <w:tcPr>
            <w:tcW w:w="920" w:type="dxa"/>
            <w:vAlign w:val="bottom"/>
            <w:tcBorders>
              <w:bottom w:val="single" w:sz="8" w:color="CCEEFF"/>
            </w:tcBorders>
            <w:gridSpan w:val="3"/>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color w:val="0000EE"/>
              </w:rPr>
              <w:t>A-12</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02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gridSpan w:val="5"/>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280" w:type="dxa"/>
            <w:vAlign w:val="bottom"/>
            <w:tcBorders>
              <w:bottom w:val="single" w:sz="8" w:color="CCEEFF"/>
            </w:tcBorders>
            <w:gridSpan w:val="5"/>
            <w:shd w:val="clear" w:color="auto" w:fill="CCEEFF"/>
          </w:tcPr>
          <w:p>
            <w:pPr>
              <w:spacing w:after="0"/>
              <w:rPr>
                <w:sz w:val="2"/>
                <w:szCs w:val="2"/>
                <w:color w:val="auto"/>
              </w:rPr>
            </w:pPr>
          </w:p>
        </w:tc>
        <w:tc>
          <w:tcPr>
            <w:tcW w:w="580" w:type="dxa"/>
            <w:vAlign w:val="bottom"/>
            <w:tcBorders>
              <w:bottom w:val="single" w:sz="8" w:color="CCEEFF"/>
            </w:tcBorders>
            <w:gridSpan w:val="4"/>
            <w:vMerge w:val="continue"/>
            <w:shd w:val="clear" w:color="auto" w:fill="CCEEFF"/>
          </w:tcPr>
          <w:p>
            <w:pPr>
              <w:spacing w:after="0"/>
              <w:rPr>
                <w:sz w:val="2"/>
                <w:szCs w:val="2"/>
                <w:color w:val="auto"/>
              </w:rPr>
            </w:pPr>
          </w:p>
        </w:tc>
        <w:tc>
          <w:tcPr>
            <w:tcW w:w="640" w:type="dxa"/>
            <w:vAlign w:val="bottom"/>
            <w:tcBorders>
              <w:bottom w:val="single" w:sz="8" w:color="CCEEFF"/>
            </w:tcBorders>
            <w:gridSpan w:val="5"/>
            <w:vMerge w:val="continue"/>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(d)</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3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Change in Control</w:t>
            </w:r>
          </w:p>
        </w:tc>
        <w:tc>
          <w:tcPr>
            <w:tcW w:w="60" w:type="dxa"/>
            <w:vAlign w:val="bottom"/>
            <w:gridSpan w:val="3"/>
            <w:vMerge w:val="restart"/>
          </w:tcPr>
          <w:p>
            <w:pPr>
              <w:spacing w:after="0"/>
              <w:rPr>
                <w:sz w:val="18"/>
                <w:szCs w:val="18"/>
                <w:color w:val="auto"/>
              </w:rPr>
            </w:pPr>
          </w:p>
        </w:tc>
        <w:tc>
          <w:tcPr>
            <w:tcW w:w="180" w:type="dxa"/>
            <w:vAlign w:val="bottom"/>
            <w:gridSpan w:val="3"/>
            <w:vMerge w:val="restart"/>
          </w:tcPr>
          <w:p>
            <w:pPr>
              <w:spacing w:after="0"/>
              <w:rPr>
                <w:sz w:val="18"/>
                <w:szCs w:val="18"/>
                <w:color w:val="auto"/>
              </w:rPr>
            </w:pPr>
          </w:p>
        </w:tc>
        <w:tc>
          <w:tcPr>
            <w:tcW w:w="860" w:type="dxa"/>
            <w:vAlign w:val="bottom"/>
            <w:gridSpan w:val="9"/>
            <w:vMerge w:val="restart"/>
          </w:tcPr>
          <w:p>
            <w:pPr>
              <w:spacing w:after="0"/>
              <w:rPr>
                <w:sz w:val="18"/>
                <w:szCs w:val="18"/>
                <w:color w:val="auto"/>
              </w:rPr>
            </w:pPr>
          </w:p>
        </w:tc>
        <w:tc>
          <w:tcPr>
            <w:tcW w:w="640" w:type="dxa"/>
            <w:vAlign w:val="bottom"/>
            <w:gridSpan w:val="5"/>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color w:val="0000EE"/>
              </w:rPr>
              <w:t>A-13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gridSpan w:val="5"/>
          </w:tcPr>
          <w:p>
            <w:pPr>
              <w:spacing w:after="0"/>
              <w:rPr>
                <w:sz w:val="2"/>
                <w:szCs w:val="2"/>
                <w:color w:val="auto"/>
              </w:rPr>
            </w:pPr>
          </w:p>
        </w:tc>
        <w:tc>
          <w:tcPr>
            <w:tcW w:w="60" w:type="dxa"/>
            <w:vAlign w:val="bottom"/>
            <w:gridSpan w:val="3"/>
            <w:vMerge w:val="continue"/>
          </w:tcPr>
          <w:p>
            <w:pPr>
              <w:spacing w:after="0"/>
              <w:rPr>
                <w:sz w:val="2"/>
                <w:szCs w:val="2"/>
                <w:color w:val="auto"/>
              </w:rPr>
            </w:pPr>
          </w:p>
        </w:tc>
        <w:tc>
          <w:tcPr>
            <w:tcW w:w="180" w:type="dxa"/>
            <w:vAlign w:val="bottom"/>
            <w:gridSpan w:val="3"/>
            <w:vMerge w:val="continue"/>
          </w:tcPr>
          <w:p>
            <w:pPr>
              <w:spacing w:after="0"/>
              <w:rPr>
                <w:sz w:val="2"/>
                <w:szCs w:val="2"/>
                <w:color w:val="auto"/>
              </w:rPr>
            </w:pPr>
          </w:p>
        </w:tc>
        <w:tc>
          <w:tcPr>
            <w:tcW w:w="860" w:type="dxa"/>
            <w:vAlign w:val="bottom"/>
            <w:gridSpan w:val="9"/>
            <w:vMerge w:val="continue"/>
          </w:tcPr>
          <w:p>
            <w:pPr>
              <w:spacing w:after="0"/>
              <w:rPr>
                <w:sz w:val="2"/>
                <w:szCs w:val="2"/>
                <w:color w:val="auto"/>
              </w:rPr>
            </w:pPr>
          </w:p>
        </w:tc>
        <w:tc>
          <w:tcPr>
            <w:tcW w:w="640" w:type="dxa"/>
            <w:vAlign w:val="bottom"/>
            <w:gridSpan w:val="5"/>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(e)</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560" w:type="dxa"/>
            <w:vAlign w:val="bottom"/>
            <w:tcBorders>
              <w:bottom w:val="single" w:sz="8" w:color="0000EE"/>
            </w:tcBorders>
            <w:gridSpan w:val="17"/>
            <w:shd w:val="clear" w:color="auto" w:fill="CCEEFF"/>
          </w:tcPr>
          <w:p>
            <w:pPr>
              <w:spacing w:after="0"/>
              <w:rPr>
                <w:sz w:val="20"/>
                <w:szCs w:val="20"/>
                <w:color w:val="auto"/>
              </w:rPr>
            </w:pPr>
            <w:r>
              <w:rPr>
                <w:rFonts w:ascii="Arial" w:cs="Arial" w:eastAsia="Arial" w:hAnsi="Arial"/>
                <w:sz w:val="16"/>
                <w:szCs w:val="16"/>
                <w:color w:val="0000EE"/>
              </w:rPr>
              <w:t>Reservation of Rights</w:t>
            </w:r>
          </w:p>
        </w:tc>
        <w:tc>
          <w:tcPr>
            <w:tcW w:w="860" w:type="dxa"/>
            <w:vAlign w:val="bottom"/>
            <w:tcBorders>
              <w:bottom w:val="single" w:sz="8" w:color="CCEEFF"/>
            </w:tcBorders>
            <w:gridSpan w:val="9"/>
            <w:vMerge w:val="restart"/>
            <w:shd w:val="clear" w:color="auto" w:fill="CCEEFF"/>
          </w:tcPr>
          <w:p>
            <w:pPr>
              <w:spacing w:after="0"/>
              <w:rPr>
                <w:sz w:val="19"/>
                <w:szCs w:val="19"/>
                <w:color w:val="auto"/>
              </w:rPr>
            </w:pPr>
          </w:p>
        </w:tc>
        <w:tc>
          <w:tcPr>
            <w:tcW w:w="640" w:type="dxa"/>
            <w:vAlign w:val="bottom"/>
            <w:tcBorders>
              <w:bottom w:val="single" w:sz="8" w:color="CCEEFF"/>
            </w:tcBorders>
            <w:gridSpan w:val="5"/>
            <w:vMerge w:val="restart"/>
            <w:shd w:val="clear" w:color="auto" w:fill="CCEEFF"/>
          </w:tcPr>
          <w:p>
            <w:pPr>
              <w:spacing w:after="0"/>
              <w:rPr>
                <w:sz w:val="19"/>
                <w:szCs w:val="19"/>
                <w:color w:val="auto"/>
              </w:rPr>
            </w:pPr>
          </w:p>
        </w:tc>
        <w:tc>
          <w:tcPr>
            <w:tcW w:w="920" w:type="dxa"/>
            <w:vAlign w:val="bottom"/>
            <w:tcBorders>
              <w:bottom w:val="single" w:sz="8" w:color="CCEEFF"/>
            </w:tcBorders>
            <w:gridSpan w:val="3"/>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color w:val="0000EE"/>
              </w:rPr>
              <w:t>A-13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02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gridSpan w:val="8"/>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860" w:type="dxa"/>
            <w:vAlign w:val="bottom"/>
            <w:tcBorders>
              <w:bottom w:val="single" w:sz="8" w:color="CCEEFF"/>
            </w:tcBorders>
            <w:gridSpan w:val="9"/>
            <w:vMerge w:val="continue"/>
            <w:shd w:val="clear" w:color="auto" w:fill="CCEEFF"/>
          </w:tcPr>
          <w:p>
            <w:pPr>
              <w:spacing w:after="0"/>
              <w:rPr>
                <w:sz w:val="2"/>
                <w:szCs w:val="2"/>
                <w:color w:val="auto"/>
              </w:rPr>
            </w:pPr>
          </w:p>
        </w:tc>
        <w:tc>
          <w:tcPr>
            <w:tcW w:w="640" w:type="dxa"/>
            <w:vAlign w:val="bottom"/>
            <w:tcBorders>
              <w:bottom w:val="single" w:sz="8" w:color="CCEEFF"/>
            </w:tcBorders>
            <w:gridSpan w:val="5"/>
            <w:vMerge w:val="continue"/>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20" w:type="dxa"/>
            <w:vAlign w:val="bottom"/>
            <w:tcBorders>
              <w:bottom w:val="single" w:sz="8" w:color="0000EE"/>
            </w:tcBorders>
            <w:gridSpan w:val="33"/>
          </w:tcPr>
          <w:p>
            <w:pPr>
              <w:spacing w:after="0"/>
              <w:rPr>
                <w:sz w:val="20"/>
                <w:szCs w:val="20"/>
                <w:color w:val="auto"/>
              </w:rPr>
            </w:pPr>
            <w:r>
              <w:rPr>
                <w:rFonts w:ascii="Arial" w:cs="Arial" w:eastAsia="Arial" w:hAnsi="Arial"/>
                <w:sz w:val="16"/>
                <w:szCs w:val="16"/>
                <w:b w:val="1"/>
                <w:bCs w:val="1"/>
                <w:color w:val="0000EE"/>
              </w:rPr>
              <w:t>SECTION 14.  DEFERRAL OF AWARDS</w:t>
            </w:r>
          </w:p>
        </w:tc>
        <w:tc>
          <w:tcPr>
            <w:tcW w:w="640" w:type="dxa"/>
            <w:vAlign w:val="bottom"/>
            <w:gridSpan w:val="5"/>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gridSpan w:val="5"/>
            <w:vMerge w:val="restart"/>
          </w:tcPr>
          <w:p>
            <w:pPr>
              <w:jc w:val="cente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A-13</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20" w:type="dxa"/>
            <w:vAlign w:val="bottom"/>
            <w:gridSpan w:val="10"/>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8"/>
          </w:tcPr>
          <w:p>
            <w:pPr>
              <w:spacing w:after="0"/>
              <w:rPr>
                <w:sz w:val="2"/>
                <w:szCs w:val="2"/>
                <w:color w:val="auto"/>
              </w:rPr>
            </w:pPr>
          </w:p>
        </w:tc>
        <w:tc>
          <w:tcPr>
            <w:tcW w:w="1040" w:type="dxa"/>
            <w:vAlign w:val="bottom"/>
            <w:gridSpan w:val="12"/>
          </w:tcPr>
          <w:p>
            <w:pPr>
              <w:spacing w:after="0"/>
              <w:rPr>
                <w:sz w:val="2"/>
                <w:szCs w:val="2"/>
                <w:color w:val="auto"/>
              </w:rPr>
            </w:pPr>
          </w:p>
        </w:tc>
        <w:tc>
          <w:tcPr>
            <w:tcW w:w="640" w:type="dxa"/>
            <w:vAlign w:val="bottom"/>
            <w:gridSpan w:val="5"/>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gridSpan w:val="5"/>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(a)</w:t>
            </w:r>
          </w:p>
        </w:tc>
        <w:tc>
          <w:tcPr>
            <w:tcW w:w="2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380" w:type="dxa"/>
            <w:vAlign w:val="bottom"/>
            <w:tcBorders>
              <w:bottom w:val="single" w:sz="8" w:color="0000EE"/>
            </w:tcBorders>
            <w:gridSpan w:val="14"/>
            <w:shd w:val="clear" w:color="auto" w:fill="CCEEFF"/>
          </w:tcPr>
          <w:p>
            <w:pPr>
              <w:spacing w:after="0"/>
              <w:rPr>
                <w:sz w:val="20"/>
                <w:szCs w:val="20"/>
                <w:color w:val="auto"/>
              </w:rPr>
            </w:pPr>
            <w:r>
              <w:rPr>
                <w:rFonts w:ascii="Arial" w:cs="Arial" w:eastAsia="Arial" w:hAnsi="Arial"/>
                <w:sz w:val="16"/>
                <w:szCs w:val="16"/>
                <w:color w:val="0000EE"/>
              </w:rPr>
              <w:t>Committee Powers</w:t>
            </w:r>
          </w:p>
        </w:tc>
        <w:tc>
          <w:tcPr>
            <w:tcW w:w="1680" w:type="dxa"/>
            <w:vAlign w:val="bottom"/>
            <w:tcBorders>
              <w:bottom w:val="single" w:sz="8" w:color="CCEEFF"/>
            </w:tcBorders>
            <w:gridSpan w:val="17"/>
            <w:vMerge w:val="restart"/>
            <w:shd w:val="clear" w:color="auto" w:fill="CCEEFF"/>
          </w:tcPr>
          <w:p>
            <w:pPr>
              <w:spacing w:after="0"/>
              <w:rPr>
                <w:sz w:val="19"/>
                <w:szCs w:val="19"/>
                <w:color w:val="auto"/>
              </w:rPr>
            </w:pPr>
          </w:p>
        </w:tc>
        <w:tc>
          <w:tcPr>
            <w:tcW w:w="920" w:type="dxa"/>
            <w:vAlign w:val="bottom"/>
            <w:tcBorders>
              <w:bottom w:val="single" w:sz="8" w:color="CCEEFF"/>
            </w:tcBorders>
            <w:gridSpan w:val="3"/>
            <w:vMerge w:val="restart"/>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color w:val="0000EE"/>
              </w:rPr>
              <w:t>A-13</w:t>
            </w:r>
          </w:p>
        </w:tc>
        <w:tc>
          <w:tcPr>
            <w:tcW w:w="20" w:type="dxa"/>
            <w:vAlign w:val="bottom"/>
            <w:tcBorders>
              <w:bottom w:val="single" w:sz="8" w:color="0000EE"/>
            </w:tcBorders>
          </w:tcPr>
          <w:p>
            <w:pPr>
              <w:spacing w:after="0"/>
              <w:rPr>
                <w:sz w:val="19"/>
                <w:szCs w:val="19"/>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02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300" w:type="dxa"/>
            <w:vAlign w:val="bottom"/>
            <w:tcBorders>
              <w:bottom w:val="single" w:sz="8" w:color="CCEEFF"/>
            </w:tcBorders>
            <w:gridSpan w:val="8"/>
            <w:shd w:val="clear" w:color="auto" w:fill="CCEEFF"/>
          </w:tcPr>
          <w:p>
            <w:pPr>
              <w:spacing w:after="0"/>
              <w:rPr>
                <w:sz w:val="2"/>
                <w:szCs w:val="2"/>
                <w:color w:val="auto"/>
              </w:rPr>
            </w:pPr>
          </w:p>
        </w:tc>
        <w:tc>
          <w:tcPr>
            <w:tcW w:w="1680" w:type="dxa"/>
            <w:vAlign w:val="bottom"/>
            <w:tcBorders>
              <w:bottom w:val="single" w:sz="8" w:color="CCEEFF"/>
            </w:tcBorders>
            <w:gridSpan w:val="17"/>
            <w:vMerge w:val="continue"/>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(b)</w:t>
            </w:r>
          </w:p>
        </w:tc>
        <w:tc>
          <w:tcPr>
            <w:tcW w:w="2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06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General Rules</w:t>
            </w:r>
          </w:p>
        </w:tc>
        <w:tc>
          <w:tcPr>
            <w:tcW w:w="20" w:type="dxa"/>
            <w:vAlign w:val="bottom"/>
            <w:vMerge w:val="restart"/>
          </w:tcPr>
          <w:p>
            <w:pPr>
              <w:spacing w:after="0"/>
              <w:rPr>
                <w:sz w:val="18"/>
                <w:szCs w:val="18"/>
                <w:color w:val="auto"/>
              </w:rPr>
            </w:pPr>
          </w:p>
        </w:tc>
        <w:tc>
          <w:tcPr>
            <w:tcW w:w="1980" w:type="dxa"/>
            <w:vAlign w:val="bottom"/>
            <w:gridSpan w:val="25"/>
            <w:vMerge w:val="restart"/>
          </w:tcPr>
          <w:p>
            <w:pPr>
              <w:spacing w:after="0"/>
              <w:rPr>
                <w:sz w:val="18"/>
                <w:szCs w:val="18"/>
                <w:color w:val="auto"/>
              </w:rPr>
            </w:pPr>
          </w:p>
        </w:tc>
        <w:tc>
          <w:tcPr>
            <w:tcW w:w="920" w:type="dxa"/>
            <w:vAlign w:val="bottom"/>
            <w:gridSpan w:val="3"/>
            <w:vMerge w:val="restart"/>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3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color w:val="0000EE"/>
              </w:rPr>
              <w:t>A-13</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02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vMerge w:val="continue"/>
          </w:tcPr>
          <w:p>
            <w:pPr>
              <w:spacing w:after="0"/>
              <w:rPr>
                <w:sz w:val="2"/>
                <w:szCs w:val="2"/>
                <w:color w:val="auto"/>
              </w:rPr>
            </w:pPr>
          </w:p>
        </w:tc>
        <w:tc>
          <w:tcPr>
            <w:tcW w:w="1980" w:type="dxa"/>
            <w:vAlign w:val="bottom"/>
            <w:gridSpan w:val="25"/>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3660" w:type="dxa"/>
            <w:vAlign w:val="bottom"/>
            <w:tcBorders>
              <w:bottom w:val="single" w:sz="8" w:color="0000EE"/>
            </w:tcBorders>
            <w:gridSpan w:val="38"/>
            <w:shd w:val="clear" w:color="auto" w:fill="CCEEFF"/>
          </w:tcPr>
          <w:p>
            <w:pPr>
              <w:spacing w:after="0"/>
              <w:rPr>
                <w:sz w:val="20"/>
                <w:szCs w:val="20"/>
                <w:color w:val="auto"/>
              </w:rPr>
            </w:pPr>
            <w:r>
              <w:rPr>
                <w:rFonts w:ascii="Arial" w:cs="Arial" w:eastAsia="Arial" w:hAnsi="Arial"/>
                <w:sz w:val="16"/>
                <w:szCs w:val="16"/>
                <w:b w:val="1"/>
                <w:bCs w:val="1"/>
                <w:color w:val="0000EE"/>
              </w:rPr>
              <w:t>SECTION 15.  AWARDS UNDER OTHER PLANS</w:t>
            </w:r>
          </w:p>
        </w:tc>
        <w:tc>
          <w:tcPr>
            <w:tcW w:w="920" w:type="dxa"/>
            <w:vAlign w:val="bottom"/>
            <w:tcBorders>
              <w:bottom w:val="single" w:sz="8" w:color="CCEEFF"/>
            </w:tcBorders>
            <w:gridSpan w:val="3"/>
            <w:vMerge w:val="restart"/>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4"/>
            <w:vMerge w:val="restart"/>
            <w:shd w:val="clear" w:color="auto" w:fill="CCEEFF"/>
          </w:tcPr>
          <w:p>
            <w:pPr>
              <w:jc w:val="center"/>
              <w:spacing w:after="0" w:line="29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A-14</w:t>
            </w:r>
          </w:p>
        </w:tc>
        <w:tc>
          <w:tcPr>
            <w:tcW w:w="2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20" w:type="dxa"/>
            <w:vAlign w:val="bottom"/>
            <w:tcBorders>
              <w:bottom w:val="single" w:sz="8" w:color="CCEEFF"/>
            </w:tcBorders>
            <w:gridSpan w:val="10"/>
            <w:shd w:val="clear" w:color="auto" w:fill="CCEEFF"/>
          </w:tcPr>
          <w:p>
            <w:pPr>
              <w:spacing w:after="0"/>
              <w:rPr>
                <w:sz w:val="2"/>
                <w:szCs w:val="2"/>
                <w:color w:val="auto"/>
              </w:rPr>
            </w:pPr>
          </w:p>
        </w:tc>
        <w:tc>
          <w:tcPr>
            <w:tcW w:w="60" w:type="dxa"/>
            <w:vAlign w:val="bottom"/>
            <w:tcBorders>
              <w:bottom w:val="single" w:sz="8" w:color="CCEEFF"/>
            </w:tcBorders>
            <w:gridSpan w:val="3"/>
            <w:shd w:val="clear" w:color="auto" w:fill="CCEEFF"/>
          </w:tcPr>
          <w:p>
            <w:pPr>
              <w:spacing w:after="0"/>
              <w:rPr>
                <w:sz w:val="2"/>
                <w:szCs w:val="2"/>
                <w:color w:val="auto"/>
              </w:rPr>
            </w:pPr>
          </w:p>
        </w:tc>
        <w:tc>
          <w:tcPr>
            <w:tcW w:w="1980" w:type="dxa"/>
            <w:vAlign w:val="bottom"/>
            <w:tcBorders>
              <w:bottom w:val="single" w:sz="8" w:color="CCEEFF"/>
            </w:tcBorders>
            <w:gridSpan w:val="25"/>
            <w:shd w:val="clear" w:color="auto" w:fill="CCEEFF"/>
          </w:tcPr>
          <w:p>
            <w:pPr>
              <w:spacing w:after="0"/>
              <w:rPr>
                <w:sz w:val="2"/>
                <w:szCs w:val="2"/>
                <w:color w:val="auto"/>
              </w:rPr>
            </w:pPr>
          </w:p>
        </w:tc>
        <w:tc>
          <w:tcPr>
            <w:tcW w:w="920" w:type="dxa"/>
            <w:vAlign w:val="bottom"/>
            <w:tcBorders>
              <w:bottom w:val="single" w:sz="8" w:color="CCEEFF"/>
            </w:tcBorders>
            <w:gridSpan w:val="3"/>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880" w:type="dxa"/>
            <w:vAlign w:val="bottom"/>
            <w:tcBorders>
              <w:bottom w:val="single" w:sz="8" w:color="0000EE"/>
            </w:tcBorders>
            <w:gridSpan w:val="42"/>
          </w:tcPr>
          <w:p>
            <w:pPr>
              <w:spacing w:after="0"/>
              <w:rPr>
                <w:sz w:val="20"/>
                <w:szCs w:val="20"/>
                <w:color w:val="auto"/>
              </w:rPr>
            </w:pPr>
            <w:r>
              <w:rPr>
                <w:rFonts w:ascii="Arial" w:cs="Arial" w:eastAsia="Arial" w:hAnsi="Arial"/>
                <w:sz w:val="16"/>
                <w:szCs w:val="16"/>
                <w:b w:val="1"/>
                <w:bCs w:val="1"/>
                <w:color w:val="0000EE"/>
              </w:rPr>
              <w:t>SECTION 16.  PAYMENT OF DIRECTOR’S FEES IN SECURITIES</w:t>
            </w:r>
          </w:p>
        </w:tc>
        <w:tc>
          <w:tcPr>
            <w:tcW w:w="14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660" w:type="dxa"/>
            <w:vAlign w:val="bottom"/>
            <w:vMerge w:val="restart"/>
          </w:tcPr>
          <w:p>
            <w:pPr>
              <w:spacing w:after="0"/>
              <w:rPr>
                <w:sz w:val="19"/>
                <w:szCs w:val="19"/>
                <w:color w:val="auto"/>
              </w:rPr>
            </w:pPr>
          </w:p>
        </w:tc>
        <w:tc>
          <w:tcPr>
            <w:tcW w:w="400" w:type="dxa"/>
            <w:vAlign w:val="bottom"/>
            <w:gridSpan w:val="5"/>
            <w:vMerge w:val="restart"/>
          </w:tcPr>
          <w:p>
            <w:pPr>
              <w:jc w:val="center"/>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A-14</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20" w:type="dxa"/>
            <w:vAlign w:val="bottom"/>
            <w:gridSpan w:val="10"/>
          </w:tcPr>
          <w:p>
            <w:pPr>
              <w:spacing w:after="0"/>
              <w:rPr>
                <w:sz w:val="2"/>
                <w:szCs w:val="2"/>
                <w:color w:val="auto"/>
              </w:rPr>
            </w:pPr>
          </w:p>
        </w:tc>
        <w:tc>
          <w:tcPr>
            <w:tcW w:w="60" w:type="dxa"/>
            <w:vAlign w:val="bottom"/>
            <w:gridSpan w:val="3"/>
          </w:tcPr>
          <w:p>
            <w:pPr>
              <w:spacing w:after="0"/>
              <w:rPr>
                <w:sz w:val="2"/>
                <w:szCs w:val="2"/>
                <w:color w:val="auto"/>
              </w:rPr>
            </w:pPr>
          </w:p>
        </w:tc>
        <w:tc>
          <w:tcPr>
            <w:tcW w:w="2900" w:type="dxa"/>
            <w:vAlign w:val="bottom"/>
            <w:gridSpan w:val="28"/>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660" w:type="dxa"/>
            <w:vAlign w:val="bottom"/>
            <w:vMerge w:val="continue"/>
          </w:tcPr>
          <w:p>
            <w:pPr>
              <w:spacing w:after="0"/>
              <w:rPr>
                <w:sz w:val="2"/>
                <w:szCs w:val="2"/>
                <w:color w:val="auto"/>
              </w:rPr>
            </w:pPr>
          </w:p>
        </w:tc>
        <w:tc>
          <w:tcPr>
            <w:tcW w:w="400" w:type="dxa"/>
            <w:vAlign w:val="bottom"/>
            <w:gridSpan w:val="5"/>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4"/>
            <w:shd w:val="clear" w:color="auto" w:fill="CCEEFF"/>
          </w:tcPr>
          <w:p>
            <w:pPr>
              <w:spacing w:after="0"/>
              <w:rPr>
                <w:sz w:val="20"/>
                <w:szCs w:val="20"/>
                <w:color w:val="auto"/>
              </w:rPr>
            </w:pPr>
            <w:r>
              <w:rPr>
                <w:rFonts w:ascii="Arial" w:cs="Arial" w:eastAsia="Arial" w:hAnsi="Arial"/>
                <w:sz w:val="16"/>
                <w:szCs w:val="16"/>
                <w:color w:val="0000EE"/>
                <w:w w:val="91"/>
              </w:rPr>
              <w:t>(a)</w:t>
            </w: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20" w:type="dxa"/>
            <w:vAlign w:val="bottom"/>
            <w:tcBorders>
              <w:bottom w:val="single" w:sz="8" w:color="CCEEFF"/>
            </w:tcBorders>
            <w:vMerge w:val="restart"/>
            <w:shd w:val="clear" w:color="auto" w:fill="CCEEFF"/>
          </w:tcPr>
          <w:p>
            <w:pPr>
              <w:spacing w:after="0"/>
              <w:rPr>
                <w:sz w:val="21"/>
                <w:szCs w:val="21"/>
                <w:color w:val="auto"/>
              </w:rPr>
            </w:pPr>
          </w:p>
        </w:tc>
        <w:tc>
          <w:tcPr>
            <w:tcW w:w="102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rPr>
              <w:t>Effective Date</w:t>
            </w:r>
          </w:p>
        </w:tc>
        <w:tc>
          <w:tcPr>
            <w:tcW w:w="60" w:type="dxa"/>
            <w:vAlign w:val="bottom"/>
            <w:tcBorders>
              <w:bottom w:val="single" w:sz="8" w:color="CCEEFF"/>
            </w:tcBorders>
            <w:gridSpan w:val="3"/>
            <w:vMerge w:val="restart"/>
            <w:shd w:val="clear" w:color="auto" w:fill="CCEEFF"/>
          </w:tcPr>
          <w:p>
            <w:pPr>
              <w:spacing w:after="0"/>
              <w:rPr>
                <w:sz w:val="21"/>
                <w:szCs w:val="21"/>
                <w:color w:val="auto"/>
              </w:rPr>
            </w:pPr>
          </w:p>
        </w:tc>
        <w:tc>
          <w:tcPr>
            <w:tcW w:w="2900" w:type="dxa"/>
            <w:vAlign w:val="bottom"/>
            <w:tcBorders>
              <w:bottom w:val="single" w:sz="8" w:color="CCEEFF"/>
            </w:tcBorders>
            <w:gridSpan w:val="28"/>
            <w:vMerge w:val="restart"/>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line="29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color w:val="0000EE"/>
              </w:rPr>
              <w:t>A-14</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020" w:type="dxa"/>
            <w:vAlign w:val="bottom"/>
            <w:tcBorders>
              <w:bottom w:val="single" w:sz="8" w:color="CCEEFF"/>
            </w:tcBorders>
            <w:gridSpan w:val="3"/>
            <w:shd w:val="clear" w:color="auto" w:fill="CCEEFF"/>
          </w:tcPr>
          <w:p>
            <w:pPr>
              <w:spacing w:after="0"/>
              <w:rPr>
                <w:sz w:val="2"/>
                <w:szCs w:val="2"/>
                <w:color w:val="auto"/>
              </w:rPr>
            </w:pPr>
          </w:p>
        </w:tc>
        <w:tc>
          <w:tcPr>
            <w:tcW w:w="60" w:type="dxa"/>
            <w:vAlign w:val="bottom"/>
            <w:tcBorders>
              <w:bottom w:val="single" w:sz="8" w:color="CCEEFF"/>
            </w:tcBorders>
            <w:gridSpan w:val="3"/>
            <w:vMerge w:val="continue"/>
            <w:shd w:val="clear" w:color="auto" w:fill="CCEEFF"/>
          </w:tcPr>
          <w:p>
            <w:pPr>
              <w:spacing w:after="0"/>
              <w:rPr>
                <w:sz w:val="2"/>
                <w:szCs w:val="2"/>
                <w:color w:val="auto"/>
              </w:rPr>
            </w:pPr>
          </w:p>
        </w:tc>
        <w:tc>
          <w:tcPr>
            <w:tcW w:w="2900" w:type="dxa"/>
            <w:vAlign w:val="bottom"/>
            <w:tcBorders>
              <w:bottom w:val="single" w:sz="8" w:color="CCEEFF"/>
            </w:tcBorders>
            <w:gridSpan w:val="28"/>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1"/>
              </w:rPr>
              <w:t>(b)</w:t>
            </w:r>
          </w:p>
        </w:tc>
        <w:tc>
          <w:tcPr>
            <w:tcW w:w="2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5700" w:type="dxa"/>
            <w:vAlign w:val="bottom"/>
            <w:tcBorders>
              <w:bottom w:val="single" w:sz="8" w:color="0000EE"/>
            </w:tcBorders>
            <w:gridSpan w:val="36"/>
          </w:tcPr>
          <w:p>
            <w:pPr>
              <w:spacing w:after="0"/>
              <w:rPr>
                <w:sz w:val="20"/>
                <w:szCs w:val="20"/>
                <w:color w:val="auto"/>
              </w:rPr>
            </w:pPr>
            <w:r>
              <w:rPr>
                <w:rFonts w:ascii="Arial" w:cs="Arial" w:eastAsia="Arial" w:hAnsi="Arial"/>
                <w:sz w:val="16"/>
                <w:szCs w:val="16"/>
                <w:color w:val="0000EE"/>
              </w:rPr>
              <w:t>Elections to Receive NSOs, SARs, Restricted Shares, or Restricted Stock Units</w:t>
            </w:r>
          </w:p>
        </w:tc>
        <w:tc>
          <w:tcPr>
            <w:tcW w:w="40" w:type="dxa"/>
            <w:vAlign w:val="bottom"/>
            <w:vMerge w:val="restart"/>
          </w:tcPr>
          <w:p>
            <w:pPr>
              <w:spacing w:after="0"/>
              <w:rPr>
                <w:sz w:val="19"/>
                <w:szCs w:val="19"/>
                <w:color w:val="auto"/>
              </w:rPr>
            </w:pPr>
          </w:p>
        </w:tc>
        <w:tc>
          <w:tcPr>
            <w:tcW w:w="2660" w:type="dxa"/>
            <w:vAlign w:val="bottom"/>
            <w:vMerge w:val="restart"/>
          </w:tcPr>
          <w:p>
            <w:pPr>
              <w:spacing w:after="0"/>
              <w:rPr>
                <w:sz w:val="19"/>
                <w:szCs w:val="19"/>
                <w:color w:val="auto"/>
              </w:rPr>
            </w:pPr>
          </w:p>
        </w:tc>
        <w:tc>
          <w:tcPr>
            <w:tcW w:w="40" w:type="dxa"/>
            <w:vAlign w:val="bottom"/>
            <w:vMerge w:val="restart"/>
          </w:tcPr>
          <w:p>
            <w:pPr>
              <w:spacing w:after="0" w:line="2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color w:val="0000EE"/>
              </w:rPr>
              <w:t>A-14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gridSpan w:val="4"/>
          </w:tcPr>
          <w:p>
            <w:pPr>
              <w:spacing w:after="0"/>
              <w:rPr>
                <w:sz w:val="2"/>
                <w:szCs w:val="2"/>
                <w:color w:val="auto"/>
              </w:rPr>
            </w:pPr>
          </w:p>
        </w:tc>
        <w:tc>
          <w:tcPr>
            <w:tcW w:w="2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080" w:type="dxa"/>
            <w:vAlign w:val="bottom"/>
            <w:gridSpan w:val="6"/>
          </w:tcPr>
          <w:p>
            <w:pPr>
              <w:spacing w:after="0"/>
              <w:rPr>
                <w:sz w:val="2"/>
                <w:szCs w:val="2"/>
                <w:color w:val="auto"/>
              </w:rPr>
            </w:pPr>
          </w:p>
        </w:tc>
        <w:tc>
          <w:tcPr>
            <w:tcW w:w="2900" w:type="dxa"/>
            <w:vAlign w:val="bottom"/>
            <w:gridSpan w:val="28"/>
          </w:tcPr>
          <w:p>
            <w:pPr>
              <w:spacing w:after="0"/>
              <w:rPr>
                <w:sz w:val="2"/>
                <w:szCs w:val="2"/>
                <w:color w:val="auto"/>
              </w:rPr>
            </w:pPr>
          </w:p>
        </w:tc>
        <w:tc>
          <w:tcPr>
            <w:tcW w:w="172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26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4"/>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w w:val="85"/>
              </w:rPr>
              <w:t>(c)</w:t>
            </w:r>
          </w:p>
        </w:tc>
        <w:tc>
          <w:tcPr>
            <w:tcW w:w="40" w:type="dxa"/>
            <w:vAlign w:val="bottom"/>
            <w:tcBorders>
              <w:bottom w:val="single" w:sz="8" w:color="CCEEFF"/>
            </w:tcBorders>
            <w:gridSpan w:val="2"/>
            <w:vMerge w:val="restart"/>
            <w:shd w:val="clear" w:color="auto" w:fill="CCEEFF"/>
          </w:tcPr>
          <w:p>
            <w:pPr>
              <w:spacing w:after="0"/>
              <w:rPr>
                <w:sz w:val="21"/>
                <w:szCs w:val="21"/>
                <w:color w:val="auto"/>
              </w:rPr>
            </w:pPr>
          </w:p>
        </w:tc>
        <w:tc>
          <w:tcPr>
            <w:tcW w:w="220" w:type="dxa"/>
            <w:vAlign w:val="bottom"/>
            <w:tcBorders>
              <w:bottom w:val="single" w:sz="8" w:color="CCEEFF"/>
            </w:tcBorders>
            <w:vMerge w:val="restart"/>
            <w:shd w:val="clear" w:color="auto" w:fill="CCEEFF"/>
          </w:tcPr>
          <w:p>
            <w:pPr>
              <w:spacing w:after="0"/>
              <w:rPr>
                <w:sz w:val="21"/>
                <w:szCs w:val="21"/>
                <w:color w:val="auto"/>
              </w:rPr>
            </w:pPr>
          </w:p>
        </w:tc>
        <w:tc>
          <w:tcPr>
            <w:tcW w:w="5740" w:type="dxa"/>
            <w:vAlign w:val="bottom"/>
            <w:tcBorders>
              <w:bottom w:val="single" w:sz="8" w:color="0000EE"/>
            </w:tcBorders>
            <w:gridSpan w:val="37"/>
            <w:shd w:val="clear" w:color="auto" w:fill="CCEEFF"/>
          </w:tcPr>
          <w:p>
            <w:pPr>
              <w:spacing w:after="0"/>
              <w:rPr>
                <w:sz w:val="20"/>
                <w:szCs w:val="20"/>
                <w:color w:val="auto"/>
              </w:rPr>
            </w:pPr>
            <w:r>
              <w:rPr>
                <w:rFonts w:ascii="Arial" w:cs="Arial" w:eastAsia="Arial" w:hAnsi="Arial"/>
                <w:sz w:val="16"/>
                <w:szCs w:val="16"/>
                <w:color w:val="0000EE"/>
              </w:rPr>
              <w:t>Number and Terms of NSOs, SARs, Restricted Shares or Restricted Stock Units</w:t>
            </w:r>
          </w:p>
        </w:tc>
        <w:tc>
          <w:tcPr>
            <w:tcW w:w="266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line="29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color w:val="auto"/>
              </w:rPr>
              <w:t>​</w:t>
            </w:r>
          </w:p>
        </w:tc>
        <w:tc>
          <w:tcPr>
            <w:tcW w:w="340" w:type="dxa"/>
            <w:vAlign w:val="bottom"/>
            <w:tcBorders>
              <w:bottom w:val="single" w:sz="8" w:color="0000EE"/>
            </w:tcBorders>
            <w:gridSpan w:val="3"/>
            <w:shd w:val="clear" w:color="auto" w:fill="CCEEFF"/>
          </w:tcPr>
          <w:p>
            <w:pPr>
              <w:jc w:val="center"/>
              <w:spacing w:after="0"/>
              <w:rPr>
                <w:sz w:val="20"/>
                <w:szCs w:val="20"/>
                <w:color w:val="auto"/>
              </w:rPr>
            </w:pPr>
            <w:r>
              <w:rPr>
                <w:rFonts w:ascii="Arial" w:cs="Arial" w:eastAsia="Arial" w:hAnsi="Arial"/>
                <w:sz w:val="16"/>
                <w:szCs w:val="16"/>
                <w:color w:val="0000EE"/>
              </w:rPr>
              <w:t>A-14</w:t>
            </w:r>
          </w:p>
        </w:tc>
        <w:tc>
          <w:tcPr>
            <w:tcW w:w="20" w:type="dxa"/>
            <w:vAlign w:val="bottom"/>
            <w:tcBorders>
              <w:bottom w:val="single" w:sz="8" w:color="0000EE"/>
            </w:tcBorders>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gridSpan w:val="3"/>
            <w:shd w:val="clear" w:color="auto" w:fill="CCEEFF"/>
          </w:tcPr>
          <w:p>
            <w:pPr>
              <w:spacing w:after="0"/>
              <w:rPr>
                <w:sz w:val="2"/>
                <w:szCs w:val="2"/>
                <w:color w:val="auto"/>
              </w:rPr>
            </w:pPr>
          </w:p>
        </w:tc>
        <w:tc>
          <w:tcPr>
            <w:tcW w:w="40" w:type="dxa"/>
            <w:vAlign w:val="bottom"/>
            <w:tcBorders>
              <w:bottom w:val="single" w:sz="8" w:color="CCEEFF"/>
            </w:tcBorders>
            <w:gridSpan w:val="2"/>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080" w:type="dxa"/>
            <w:vAlign w:val="bottom"/>
            <w:tcBorders>
              <w:bottom w:val="single" w:sz="8" w:color="CCEEFF"/>
            </w:tcBorders>
            <w:gridSpan w:val="6"/>
            <w:shd w:val="clear" w:color="auto" w:fill="CCEEFF"/>
          </w:tcPr>
          <w:p>
            <w:pPr>
              <w:spacing w:after="0"/>
              <w:rPr>
                <w:sz w:val="2"/>
                <w:szCs w:val="2"/>
                <w:color w:val="auto"/>
              </w:rPr>
            </w:pPr>
          </w:p>
        </w:tc>
        <w:tc>
          <w:tcPr>
            <w:tcW w:w="2900" w:type="dxa"/>
            <w:vAlign w:val="bottom"/>
            <w:tcBorders>
              <w:bottom w:val="single" w:sz="8" w:color="CCEEFF"/>
            </w:tcBorders>
            <w:gridSpan w:val="28"/>
            <w:shd w:val="clear" w:color="auto" w:fill="CCEEFF"/>
          </w:tcPr>
          <w:p>
            <w:pPr>
              <w:spacing w:after="0"/>
              <w:rPr>
                <w:sz w:val="2"/>
                <w:szCs w:val="2"/>
                <w:color w:val="auto"/>
              </w:rPr>
            </w:pPr>
          </w:p>
        </w:tc>
        <w:tc>
          <w:tcPr>
            <w:tcW w:w="1760" w:type="dxa"/>
            <w:vAlign w:val="bottom"/>
            <w:tcBorders>
              <w:bottom w:val="single" w:sz="8" w:color="CCEEFF"/>
            </w:tcBorders>
            <w:gridSpan w:val="3"/>
            <w:shd w:val="clear" w:color="auto" w:fill="CCEEFF"/>
          </w:tcPr>
          <w:p>
            <w:pPr>
              <w:spacing w:after="0"/>
              <w:rPr>
                <w:sz w:val="2"/>
                <w:szCs w:val="2"/>
                <w:color w:val="auto"/>
              </w:rPr>
            </w:pPr>
          </w:p>
        </w:tc>
        <w:tc>
          <w:tcPr>
            <w:tcW w:w="266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gridSpan w:val="3"/>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80" w:type="dxa"/>
            <w:vAlign w:val="bottom"/>
            <w:tcBorders>
              <w:bottom w:val="single" w:sz="8" w:color="0000EE"/>
            </w:tcBorders>
            <w:gridSpan w:val="41"/>
          </w:tcPr>
          <w:p>
            <w:pPr>
              <w:spacing w:after="0"/>
              <w:rPr>
                <w:sz w:val="20"/>
                <w:szCs w:val="20"/>
                <w:color w:val="auto"/>
              </w:rPr>
            </w:pPr>
            <w:r>
              <w:rPr>
                <w:rFonts w:ascii="Arial" w:cs="Arial" w:eastAsia="Arial" w:hAnsi="Arial"/>
                <w:sz w:val="16"/>
                <w:szCs w:val="16"/>
                <w:b w:val="1"/>
                <w:bCs w:val="1"/>
                <w:color w:val="0000EE"/>
              </w:rPr>
              <w:t>SECTION 17.  LEGAL AND REGULATORY REQUIREMENTS</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gridSpan w:val="5"/>
            <w:vMerge w:val="restart"/>
          </w:tcPr>
          <w:p>
            <w:pPr>
              <w:jc w:val="center"/>
              <w:spacing w:after="0" w:line="27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A-14</w:t>
            </w: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80" w:type="dxa"/>
            <w:vAlign w:val="bottom"/>
            <w:gridSpan w:val="13"/>
          </w:tcPr>
          <w:p>
            <w:pPr>
              <w:spacing w:after="0"/>
              <w:rPr>
                <w:sz w:val="2"/>
                <w:szCs w:val="2"/>
                <w:color w:val="auto"/>
              </w:rPr>
            </w:pPr>
          </w:p>
        </w:tc>
        <w:tc>
          <w:tcPr>
            <w:tcW w:w="2900" w:type="dxa"/>
            <w:vAlign w:val="bottom"/>
            <w:gridSpan w:val="28"/>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0" w:type="dxa"/>
            <w:vAlign w:val="bottom"/>
            <w:gridSpan w:val="5"/>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tcPr>
          <w:p>
            <w:pPr>
              <w:spacing w:after="0"/>
              <w:rPr>
                <w:sz w:val="21"/>
                <w:szCs w:val="21"/>
                <w:color w:val="auto"/>
              </w:rPr>
            </w:pPr>
          </w:p>
        </w:tc>
        <w:tc>
          <w:tcPr>
            <w:tcW w:w="1680" w:type="dxa"/>
            <w:vAlign w:val="bottom"/>
            <w:tcBorders>
              <w:bottom w:val="single" w:sz="8" w:color="0000EE"/>
            </w:tcBorders>
            <w:gridSpan w:val="13"/>
            <w:shd w:val="clear" w:color="auto" w:fill="CCEEFF"/>
          </w:tcPr>
          <w:p>
            <w:pPr>
              <w:spacing w:after="0"/>
              <w:rPr>
                <w:sz w:val="20"/>
                <w:szCs w:val="20"/>
                <w:color w:val="auto"/>
              </w:rPr>
            </w:pPr>
            <w:r>
              <w:rPr>
                <w:rFonts w:ascii="Arial" w:cs="Arial" w:eastAsia="Arial" w:hAnsi="Arial"/>
                <w:sz w:val="16"/>
                <w:szCs w:val="16"/>
                <w:b w:val="1"/>
                <w:bCs w:val="1"/>
                <w:color w:val="0000EE"/>
              </w:rPr>
              <w:t>SECTION 18.  TAXES</w:t>
            </w:r>
          </w:p>
        </w:tc>
        <w:tc>
          <w:tcPr>
            <w:tcW w:w="2900" w:type="dxa"/>
            <w:vAlign w:val="bottom"/>
            <w:tcBorders>
              <w:bottom w:val="single" w:sz="8" w:color="CCEEFF"/>
            </w:tcBorders>
            <w:gridSpan w:val="28"/>
            <w:vMerge w:val="restart"/>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4"/>
            <w:vMerge w:val="restart"/>
            <w:shd w:val="clear" w:color="auto" w:fill="CCEEFF"/>
          </w:tcPr>
          <w:p>
            <w:pPr>
              <w:jc w:val="center"/>
              <w:spacing w:after="0" w:line="296"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A-14</w:t>
            </w:r>
          </w:p>
        </w:tc>
        <w:tc>
          <w:tcPr>
            <w:tcW w:w="20" w:type="dxa"/>
            <w:vAlign w:val="bottom"/>
          </w:tcPr>
          <w:p>
            <w:pPr>
              <w:spacing w:after="0"/>
              <w:rPr>
                <w:sz w:val="21"/>
                <w:szCs w:val="21"/>
                <w:color w:val="auto"/>
              </w:rPr>
            </w:pPr>
          </w:p>
        </w:tc>
        <w:tc>
          <w:tcPr>
            <w:tcW w:w="6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680" w:type="dxa"/>
            <w:vAlign w:val="bottom"/>
            <w:tcBorders>
              <w:bottom w:val="single" w:sz="8" w:color="CCEEFF"/>
            </w:tcBorders>
            <w:gridSpan w:val="13"/>
            <w:shd w:val="clear" w:color="auto" w:fill="CCEEFF"/>
          </w:tcPr>
          <w:p>
            <w:pPr>
              <w:spacing w:after="0"/>
              <w:rPr>
                <w:sz w:val="2"/>
                <w:szCs w:val="2"/>
                <w:color w:val="auto"/>
              </w:rPr>
            </w:pPr>
          </w:p>
        </w:tc>
        <w:tc>
          <w:tcPr>
            <w:tcW w:w="2900" w:type="dxa"/>
            <w:vAlign w:val="bottom"/>
            <w:tcBorders>
              <w:bottom w:val="single" w:sz="8" w:color="CCEEFF"/>
            </w:tcBorders>
            <w:gridSpan w:val="28"/>
            <w:vMerge w:val="continue"/>
            <w:shd w:val="clear" w:color="auto" w:fill="CCEEFF"/>
          </w:tcPr>
          <w:p>
            <w:pPr>
              <w:spacing w:after="0"/>
              <w:rPr>
                <w:sz w:val="2"/>
                <w:szCs w:val="2"/>
                <w:color w:val="auto"/>
              </w:rPr>
            </w:pPr>
          </w:p>
        </w:tc>
        <w:tc>
          <w:tcPr>
            <w:tcW w:w="300" w:type="dxa"/>
            <w:vAlign w:val="bottom"/>
            <w:tcBorders>
              <w:bottom w:val="single" w:sz="8" w:color="CCEEFF"/>
            </w:tcBorders>
            <w:shd w:val="clear" w:color="auto" w:fill="CCEEFF"/>
          </w:tcPr>
          <w:p>
            <w:pPr>
              <w:spacing w:after="0"/>
              <w:rPr>
                <w:sz w:val="2"/>
                <w:szCs w:val="2"/>
                <w:color w:val="auto"/>
              </w:rPr>
            </w:pPr>
          </w:p>
        </w:tc>
        <w:tc>
          <w:tcPr>
            <w:tcW w:w="1420" w:type="dxa"/>
            <w:vAlign w:val="bottom"/>
            <w:tcBorders>
              <w:bottom w:val="single" w:sz="8" w:color="CCEEFF"/>
            </w:tcBorders>
            <w:shd w:val="clear" w:color="auto" w:fill="CCEEFF"/>
          </w:tcPr>
          <w:p>
            <w:pPr>
              <w:spacing w:after="0"/>
              <w:rPr>
                <w:sz w:val="2"/>
                <w:szCs w:val="2"/>
                <w:color w:val="auto"/>
              </w:rPr>
            </w:pPr>
          </w:p>
        </w:tc>
        <w:tc>
          <w:tcPr>
            <w:tcW w:w="40" w:type="dxa"/>
            <w:vAlign w:val="bottom"/>
            <w:tcBorders>
              <w:bottom w:val="single" w:sz="8" w:color="CCEEFF"/>
            </w:tcBorders>
            <w:shd w:val="clear" w:color="auto" w:fill="CCEEFF"/>
          </w:tcPr>
          <w:p>
            <w:pPr>
              <w:spacing w:after="0"/>
              <w:rPr>
                <w:sz w:val="2"/>
                <w:szCs w:val="2"/>
                <w:color w:val="auto"/>
              </w:rPr>
            </w:pPr>
          </w:p>
        </w:tc>
        <w:tc>
          <w:tcPr>
            <w:tcW w:w="2660" w:type="dxa"/>
            <w:vAlign w:val="bottom"/>
            <w:tcBorders>
              <w:bottom w:val="single" w:sz="8" w:color="CCEEFF"/>
            </w:tcBorders>
            <w:shd w:val="clear" w:color="auto" w:fill="CCEEFF"/>
          </w:tcPr>
          <w:p>
            <w:pPr>
              <w:spacing w:after="0"/>
              <w:rPr>
                <w:sz w:val="2"/>
                <w:szCs w:val="2"/>
                <w:color w:val="auto"/>
              </w:rPr>
            </w:pPr>
          </w:p>
        </w:tc>
        <w:tc>
          <w:tcPr>
            <w:tcW w:w="380" w:type="dxa"/>
            <w:vAlign w:val="bottom"/>
            <w:tcBorders>
              <w:bottom w:val="single" w:sz="8" w:color="CCEEFF"/>
            </w:tcBorders>
            <w:gridSpan w:val="4"/>
            <w:vMerge w:val="continue"/>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rPr>
              <w:t>(a)</w:t>
            </w:r>
          </w:p>
        </w:tc>
        <w:tc>
          <w:tcPr>
            <w:tcW w:w="220" w:type="dxa"/>
            <w:vAlign w:val="bottom"/>
            <w:vMerge w:val="restart"/>
          </w:tcPr>
          <w:p>
            <w:pPr>
              <w:spacing w:after="0"/>
              <w:rPr>
                <w:sz w:val="19"/>
                <w:szCs w:val="19"/>
                <w:color w:val="auto"/>
              </w:rPr>
            </w:pPr>
          </w:p>
        </w:tc>
        <w:tc>
          <w:tcPr>
            <w:tcW w:w="134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Withholding Taxes</w:t>
            </w:r>
          </w:p>
        </w:tc>
        <w:tc>
          <w:tcPr>
            <w:tcW w:w="2640" w:type="dxa"/>
            <w:vAlign w:val="bottom"/>
            <w:gridSpan w:val="22"/>
            <w:vMerge w:val="restart"/>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60" w:type="dxa"/>
            <w:vAlign w:val="bottom"/>
            <w:tcBorders>
              <w:bottom w:val="single" w:sz="8" w:color="0000EE"/>
            </w:tcBorders>
            <w:gridSpan w:val="4"/>
          </w:tcPr>
          <w:p>
            <w:pPr>
              <w:jc w:val="center"/>
              <w:spacing w:after="0"/>
              <w:rPr>
                <w:sz w:val="20"/>
                <w:szCs w:val="20"/>
                <w:color w:val="auto"/>
              </w:rPr>
            </w:pPr>
            <w:r>
              <w:rPr>
                <w:rFonts w:ascii="Arial" w:cs="Arial" w:eastAsia="Arial" w:hAnsi="Arial"/>
                <w:sz w:val="16"/>
                <w:szCs w:val="16"/>
                <w:color w:val="0000EE"/>
              </w:rPr>
              <w:t>A-14</w:t>
            </w:r>
          </w:p>
        </w:tc>
        <w:tc>
          <w:tcPr>
            <w:tcW w:w="66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5"/>
          </w:tcPr>
          <w:p>
            <w:pPr>
              <w:spacing w:after="0"/>
              <w:rPr>
                <w:sz w:val="20"/>
                <w:szCs w:val="20"/>
                <w:color w:val="auto"/>
              </w:rPr>
            </w:pPr>
          </w:p>
        </w:tc>
        <w:tc>
          <w:tcPr>
            <w:tcW w:w="220" w:type="dxa"/>
            <w:vAlign w:val="bottom"/>
            <w:vMerge w:val="continue"/>
          </w:tcPr>
          <w:p>
            <w:pPr>
              <w:spacing w:after="0"/>
              <w:rPr>
                <w:sz w:val="20"/>
                <w:szCs w:val="20"/>
                <w:color w:val="auto"/>
              </w:rPr>
            </w:pPr>
          </w:p>
        </w:tc>
        <w:tc>
          <w:tcPr>
            <w:tcW w:w="1340" w:type="dxa"/>
            <w:vAlign w:val="bottom"/>
            <w:gridSpan w:val="12"/>
          </w:tcPr>
          <w:p>
            <w:pPr>
              <w:spacing w:after="0"/>
              <w:rPr>
                <w:sz w:val="20"/>
                <w:szCs w:val="20"/>
                <w:color w:val="auto"/>
              </w:rPr>
            </w:pPr>
          </w:p>
        </w:tc>
        <w:tc>
          <w:tcPr>
            <w:tcW w:w="2640" w:type="dxa"/>
            <w:vAlign w:val="bottom"/>
            <w:gridSpan w:val="22"/>
            <w:vMerge w:val="continue"/>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 w:type="dxa"/>
            <w:vAlign w:val="bottom"/>
            <w:vMerge w:val="continue"/>
          </w:tcPr>
          <w:p>
            <w:pPr>
              <w:spacing w:after="0"/>
              <w:rPr>
                <w:sz w:val="20"/>
                <w:szCs w:val="20"/>
                <w:color w:val="auto"/>
              </w:rPr>
            </w:pPr>
          </w:p>
        </w:tc>
        <w:tc>
          <w:tcPr>
            <w:tcW w:w="360" w:type="dxa"/>
            <w:vAlign w:val="bottom"/>
            <w:gridSpan w:val="4"/>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60" w:type="dxa"/>
            <w:vAlign w:val="bottom"/>
          </w:tcPr>
          <w:p>
            <w:pPr>
              <w:spacing w:after="0"/>
              <w:rPr>
                <w:sz w:val="24"/>
                <w:szCs w:val="24"/>
                <w:color w:val="auto"/>
              </w:rPr>
            </w:pPr>
          </w:p>
        </w:tc>
        <w:tc>
          <w:tcPr>
            <w:tcW w:w="4580" w:type="dxa"/>
            <w:vAlign w:val="bottom"/>
            <w:gridSpan w:val="41"/>
          </w:tcPr>
          <w:p>
            <w:pPr>
              <w:spacing w:after="0"/>
              <w:rPr>
                <w:sz w:val="20"/>
                <w:szCs w:val="20"/>
                <w:color w:val="auto"/>
              </w:rPr>
            </w:pPr>
            <w:r>
              <w:rPr>
                <w:rFonts w:ascii="Arial" w:cs="Arial" w:eastAsia="Arial" w:hAnsi="Arial"/>
                <w:sz w:val="13"/>
                <w:szCs w:val="13"/>
                <w:color w:val="auto"/>
              </w:rPr>
              <w:t>2023​ Proxy Statement</w:t>
            </w:r>
          </w:p>
        </w:tc>
        <w:tc>
          <w:tcPr>
            <w:tcW w:w="4420" w:type="dxa"/>
            <w:vAlign w:val="bottom"/>
            <w:gridSpan w:val="4"/>
          </w:tcPr>
          <w:p>
            <w:pPr>
              <w:spacing w:after="0"/>
              <w:rPr>
                <w:sz w:val="20"/>
                <w:szCs w:val="20"/>
                <w:color w:val="auto"/>
              </w:rPr>
            </w:pPr>
            <w:r>
              <w:rPr>
                <w:rFonts w:ascii="Arial" w:cs="Arial" w:eastAsia="Arial" w:hAnsi="Arial"/>
                <w:sz w:val="13"/>
                <w:szCs w:val="13"/>
                <w:color w:val="auto"/>
              </w:rPr>
              <w:t>​ ​</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A-iii</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-7705725</wp:posOffset>
            </wp:positionV>
            <wp:extent cx="571754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17540" cy="1714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331"/>
        </w:trPr>
        <w:tc>
          <w:tcPr>
            <w:tcW w:w="600" w:type="dxa"/>
            <w:vAlign w:val="bottom"/>
            <w:gridSpan w:val="4"/>
          </w:tcPr>
          <w:p>
            <w:pPr>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 w:type="dxa"/>
            <w:vAlign w:val="bottom"/>
            <w:gridSpan w:val="4"/>
          </w:tcPr>
          <w:p>
            <w:pPr>
              <w:spacing w:after="0"/>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Page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0000EE"/>
                <w:w w:val="91"/>
              </w:rPr>
              <w:t>(b)</w:t>
            </w:r>
          </w:p>
        </w:tc>
        <w:tc>
          <w:tcPr>
            <w:tcW w:w="2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320" w:type="dxa"/>
            <w:vAlign w:val="bottom"/>
            <w:tcBorders>
              <w:top w:val="single" w:sz="8" w:color="CCEEFF"/>
              <w:bottom w:val="single" w:sz="8" w:color="0000EE"/>
            </w:tcBorders>
            <w:gridSpan w:val="3"/>
            <w:shd w:val="clear" w:color="auto" w:fill="CCEEFF"/>
          </w:tcPr>
          <w:p>
            <w:pPr>
              <w:spacing w:after="0"/>
              <w:rPr>
                <w:sz w:val="20"/>
                <w:szCs w:val="20"/>
                <w:color w:val="auto"/>
              </w:rPr>
            </w:pPr>
            <w:r>
              <w:rPr>
                <w:rFonts w:ascii="Arial" w:cs="Arial" w:eastAsia="Arial" w:hAnsi="Arial"/>
                <w:sz w:val="16"/>
                <w:szCs w:val="16"/>
                <w:color w:val="0000EE"/>
                <w:w w:val="99"/>
              </w:rPr>
              <w:t>Share Withholding</w:t>
            </w:r>
          </w:p>
        </w:tc>
        <w:tc>
          <w:tcPr>
            <w:tcW w:w="1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56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0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32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194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2980" w:type="dxa"/>
            <w:vAlign w:val="bottom"/>
            <w:tcBorders>
              <w:top w:val="single" w:sz="8" w:color="CCEEFF"/>
              <w:bottom w:val="single" w:sz="8" w:color="CCEEFF"/>
            </w:tcBorders>
            <w:vMerge w:val="restart"/>
            <w:shd w:val="clear" w:color="auto" w:fill="CCEEFF"/>
          </w:tcPr>
          <w:p>
            <w:pPr>
              <w:spacing w:after="0"/>
              <w:rPr>
                <w:sz w:val="18"/>
                <w:szCs w:val="18"/>
                <w:color w:val="auto"/>
              </w:rPr>
            </w:pPr>
          </w:p>
        </w:tc>
        <w:tc>
          <w:tcPr>
            <w:tcW w:w="40" w:type="dxa"/>
            <w:vAlign w:val="bottom"/>
            <w:tcBorders>
              <w:top w:val="single" w:sz="8" w:color="auto"/>
              <w:bottom w:val="single" w:sz="8" w:color="auto"/>
            </w:tcBorders>
            <w:vMerge w:val="restart"/>
            <w:shd w:val="clear" w:color="auto" w:fill="CCEEFF"/>
          </w:tcPr>
          <w:p>
            <w:pPr>
              <w:spacing w:after="0" w:line="269"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1"/>
                <w:szCs w:val="31"/>
                <w:color w:val="auto"/>
                <w:vertAlign w:val="superscript"/>
              </w:rPr>
              <w:t>​</w:t>
            </w:r>
          </w:p>
        </w:tc>
        <w:tc>
          <w:tcPr>
            <w:tcW w:w="340" w:type="dxa"/>
            <w:vAlign w:val="bottom"/>
            <w:tcBorders>
              <w:top w:val="single" w:sz="8" w:color="auto"/>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94"/>
              </w:rPr>
              <w:t>A-14</w:t>
            </w:r>
          </w:p>
        </w:tc>
        <w:tc>
          <w:tcPr>
            <w:tcW w:w="20" w:type="dxa"/>
            <w:vAlign w:val="bottom"/>
            <w:tcBorders>
              <w:bottom w:val="single" w:sz="8" w:color="0000EE"/>
            </w:tcBorders>
          </w:tcPr>
          <w:p>
            <w:pPr>
              <w:spacing w:after="0"/>
              <w:rPr>
                <w:sz w:val="18"/>
                <w:szCs w:val="18"/>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16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40" w:type="dxa"/>
            <w:vAlign w:val="bottom"/>
            <w:tcBorders>
              <w:bottom w:val="single" w:sz="8" w:color="CCEEFF"/>
            </w:tcBorders>
            <w:vMerge w:val="continue"/>
            <w:shd w:val="clear" w:color="auto" w:fill="CCEEFF"/>
          </w:tcPr>
          <w:p>
            <w:pPr>
              <w:spacing w:after="0"/>
              <w:rPr>
                <w:sz w:val="2"/>
                <w:szCs w:val="2"/>
                <w:color w:val="auto"/>
              </w:rPr>
            </w:pPr>
          </w:p>
        </w:tc>
        <w:tc>
          <w:tcPr>
            <w:tcW w:w="96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 w:type="dxa"/>
            <w:vAlign w:val="bottom"/>
            <w:tcBorders>
              <w:bottom w:val="single" w:sz="8" w:color="CCEEFF"/>
            </w:tcBorders>
            <w:vMerge w:val="continue"/>
            <w:shd w:val="clear" w:color="auto" w:fill="CCEEFF"/>
          </w:tcPr>
          <w:p>
            <w:pPr>
              <w:spacing w:after="0"/>
              <w:rPr>
                <w:sz w:val="2"/>
                <w:szCs w:val="2"/>
                <w:color w:val="auto"/>
              </w:rPr>
            </w:pPr>
          </w:p>
        </w:tc>
        <w:tc>
          <w:tcPr>
            <w:tcW w:w="28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120" w:type="dxa"/>
            <w:vAlign w:val="bottom"/>
            <w:tcBorders>
              <w:bottom w:val="single" w:sz="8" w:color="CCEEFF"/>
            </w:tcBorders>
            <w:vMerge w:val="continue"/>
            <w:shd w:val="clear" w:color="auto" w:fill="CCEEFF"/>
          </w:tcPr>
          <w:p>
            <w:pPr>
              <w:spacing w:after="0"/>
              <w:rPr>
                <w:sz w:val="2"/>
                <w:szCs w:val="2"/>
                <w:color w:val="auto"/>
              </w:rPr>
            </w:pPr>
          </w:p>
        </w:tc>
        <w:tc>
          <w:tcPr>
            <w:tcW w:w="56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vMerge w:val="continue"/>
            <w:shd w:val="clear" w:color="auto" w:fill="CCEEFF"/>
          </w:tcPr>
          <w:p>
            <w:pPr>
              <w:spacing w:after="0"/>
              <w:rPr>
                <w:sz w:val="2"/>
                <w:szCs w:val="2"/>
                <w:color w:val="auto"/>
              </w:rPr>
            </w:pPr>
          </w:p>
        </w:tc>
        <w:tc>
          <w:tcPr>
            <w:tcW w:w="1940" w:type="dxa"/>
            <w:vAlign w:val="bottom"/>
            <w:tcBorders>
              <w:bottom w:val="single" w:sz="8" w:color="CCEEFF"/>
            </w:tcBorders>
            <w:vMerge w:val="continue"/>
            <w:shd w:val="clear" w:color="auto" w:fill="CCEEFF"/>
          </w:tcPr>
          <w:p>
            <w:pPr>
              <w:spacing w:after="0"/>
              <w:rPr>
                <w:sz w:val="2"/>
                <w:szCs w:val="2"/>
                <w:color w:val="auto"/>
              </w:rPr>
            </w:pPr>
          </w:p>
        </w:tc>
        <w:tc>
          <w:tcPr>
            <w:tcW w:w="2980" w:type="dxa"/>
            <w:vAlign w:val="bottom"/>
            <w:tcBorders>
              <w:bottom w:val="single" w:sz="8" w:color="CCEEFF"/>
            </w:tcBorders>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18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5"/>
              </w:rPr>
              <w:t>(c)</w:t>
            </w:r>
          </w:p>
        </w:tc>
        <w:tc>
          <w:tcPr>
            <w:tcW w:w="260" w:type="dxa"/>
            <w:vAlign w:val="bottom"/>
            <w:gridSpan w:val="2"/>
            <w:vMerge w:val="restart"/>
          </w:tcPr>
          <w:p>
            <w:pPr>
              <w:spacing w:after="0"/>
              <w:rPr>
                <w:sz w:val="18"/>
                <w:szCs w:val="18"/>
                <w:color w:val="auto"/>
              </w:rPr>
            </w:pPr>
          </w:p>
        </w:tc>
        <w:tc>
          <w:tcPr>
            <w:tcW w:w="9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8"/>
              </w:rPr>
              <w:t>Section 409A</w:t>
            </w:r>
          </w:p>
        </w:tc>
        <w:tc>
          <w:tcPr>
            <w:tcW w:w="220" w:type="dxa"/>
            <w:vAlign w:val="bottom"/>
            <w:vMerge w:val="restart"/>
          </w:tcPr>
          <w:p>
            <w:pPr>
              <w:spacing w:after="0"/>
              <w:rPr>
                <w:sz w:val="18"/>
                <w:szCs w:val="18"/>
                <w:color w:val="auto"/>
              </w:rPr>
            </w:pPr>
          </w:p>
        </w:tc>
        <w:tc>
          <w:tcPr>
            <w:tcW w:w="28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8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56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320" w:type="dxa"/>
            <w:vAlign w:val="bottom"/>
            <w:vMerge w:val="restart"/>
          </w:tcPr>
          <w:p>
            <w:pPr>
              <w:spacing w:after="0"/>
              <w:rPr>
                <w:sz w:val="18"/>
                <w:szCs w:val="18"/>
                <w:color w:val="auto"/>
              </w:rPr>
            </w:pPr>
          </w:p>
        </w:tc>
        <w:tc>
          <w:tcPr>
            <w:tcW w:w="1940" w:type="dxa"/>
            <w:vAlign w:val="bottom"/>
            <w:vMerge w:val="restart"/>
          </w:tcPr>
          <w:p>
            <w:pPr>
              <w:spacing w:after="0"/>
              <w:rPr>
                <w:sz w:val="18"/>
                <w:szCs w:val="18"/>
                <w:color w:val="auto"/>
              </w:rPr>
            </w:pPr>
          </w:p>
        </w:tc>
        <w:tc>
          <w:tcPr>
            <w:tcW w:w="2980" w:type="dxa"/>
            <w:vAlign w:val="bottom"/>
            <w:vMerge w:val="restart"/>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A-14</w:t>
            </w: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940" w:type="dxa"/>
            <w:vAlign w:val="bottom"/>
            <w:vMerge w:val="continue"/>
          </w:tcPr>
          <w:p>
            <w:pPr>
              <w:spacing w:after="0"/>
              <w:rPr>
                <w:sz w:val="2"/>
                <w:szCs w:val="2"/>
                <w:color w:val="auto"/>
              </w:rPr>
            </w:pPr>
          </w:p>
        </w:tc>
        <w:tc>
          <w:tcPr>
            <w:tcW w:w="29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640" w:type="dxa"/>
            <w:vAlign w:val="bottom"/>
            <w:tcBorders>
              <w:bottom w:val="single" w:sz="8" w:color="0000EE"/>
            </w:tcBorders>
            <w:gridSpan w:val="12"/>
            <w:shd w:val="clear" w:color="auto" w:fill="CCEEFF"/>
          </w:tcPr>
          <w:p>
            <w:pPr>
              <w:spacing w:after="0"/>
              <w:rPr>
                <w:sz w:val="20"/>
                <w:szCs w:val="20"/>
                <w:color w:val="auto"/>
              </w:rPr>
            </w:pPr>
            <w:r>
              <w:rPr>
                <w:rFonts w:ascii="Arial" w:cs="Arial" w:eastAsia="Arial" w:hAnsi="Arial"/>
                <w:sz w:val="16"/>
                <w:szCs w:val="16"/>
                <w:b w:val="1"/>
                <w:bCs w:val="1"/>
                <w:color w:val="0000EE"/>
              </w:rPr>
              <w:t>SECTION 19.  TRANSFERABILITY</w:t>
            </w:r>
          </w:p>
        </w:tc>
        <w:tc>
          <w:tcPr>
            <w:tcW w:w="560" w:type="dxa"/>
            <w:vAlign w:val="bottom"/>
            <w:tcBorders>
              <w:bottom w:val="single" w:sz="8" w:color="CCEEFF"/>
            </w:tcBorders>
            <w:vMerge w:val="restart"/>
            <w:shd w:val="clear" w:color="auto" w:fill="CCEEFF"/>
          </w:tcPr>
          <w:p>
            <w:pPr>
              <w:spacing w:after="0"/>
              <w:rPr>
                <w:sz w:val="19"/>
                <w:szCs w:val="19"/>
                <w:color w:val="auto"/>
              </w:rPr>
            </w:pPr>
          </w:p>
        </w:tc>
        <w:tc>
          <w:tcPr>
            <w:tcW w:w="220" w:type="dxa"/>
            <w:vAlign w:val="bottom"/>
            <w:tcBorders>
              <w:bottom w:val="single" w:sz="8" w:color="CCEEFF"/>
            </w:tcBorders>
            <w:vMerge w:val="restart"/>
            <w:shd w:val="clear" w:color="auto" w:fill="CCEEFF"/>
          </w:tcPr>
          <w:p>
            <w:pPr>
              <w:spacing w:after="0"/>
              <w:rPr>
                <w:sz w:val="19"/>
                <w:szCs w:val="19"/>
                <w:color w:val="auto"/>
              </w:rPr>
            </w:pPr>
          </w:p>
        </w:tc>
        <w:tc>
          <w:tcPr>
            <w:tcW w:w="140" w:type="dxa"/>
            <w:vAlign w:val="bottom"/>
            <w:tcBorders>
              <w:bottom w:val="single" w:sz="8" w:color="CCEEFF"/>
            </w:tcBorders>
            <w:vMerge w:val="restart"/>
            <w:shd w:val="clear" w:color="auto" w:fill="CCEEFF"/>
          </w:tcPr>
          <w:p>
            <w:pPr>
              <w:spacing w:after="0"/>
              <w:rPr>
                <w:sz w:val="19"/>
                <w:szCs w:val="19"/>
                <w:color w:val="auto"/>
              </w:rPr>
            </w:pPr>
          </w:p>
        </w:tc>
        <w:tc>
          <w:tcPr>
            <w:tcW w:w="200" w:type="dxa"/>
            <w:vAlign w:val="bottom"/>
            <w:tcBorders>
              <w:bottom w:val="single" w:sz="8" w:color="CCEEFF"/>
            </w:tcBorders>
            <w:vMerge w:val="restart"/>
            <w:shd w:val="clear" w:color="auto" w:fill="CCEEFF"/>
          </w:tcPr>
          <w:p>
            <w:pPr>
              <w:spacing w:after="0"/>
              <w:rPr>
                <w:sz w:val="19"/>
                <w:szCs w:val="19"/>
                <w:color w:val="auto"/>
              </w:rPr>
            </w:pPr>
          </w:p>
        </w:tc>
        <w:tc>
          <w:tcPr>
            <w:tcW w:w="320" w:type="dxa"/>
            <w:vAlign w:val="bottom"/>
            <w:tcBorders>
              <w:bottom w:val="single" w:sz="8" w:color="CCEEFF"/>
            </w:tcBorders>
            <w:vMerge w:val="restart"/>
            <w:shd w:val="clear" w:color="auto" w:fill="CCEEFF"/>
          </w:tcPr>
          <w:p>
            <w:pPr>
              <w:spacing w:after="0"/>
              <w:rPr>
                <w:sz w:val="19"/>
                <w:szCs w:val="19"/>
                <w:color w:val="auto"/>
              </w:rPr>
            </w:pPr>
          </w:p>
        </w:tc>
        <w:tc>
          <w:tcPr>
            <w:tcW w:w="1940" w:type="dxa"/>
            <w:vAlign w:val="bottom"/>
            <w:tcBorders>
              <w:bottom w:val="single" w:sz="8" w:color="CCEEFF"/>
            </w:tcBorders>
            <w:vMerge w:val="restart"/>
            <w:shd w:val="clear" w:color="auto" w:fill="CCEEFF"/>
          </w:tcPr>
          <w:p>
            <w:pPr>
              <w:spacing w:after="0"/>
              <w:rPr>
                <w:sz w:val="19"/>
                <w:szCs w:val="19"/>
                <w:color w:val="auto"/>
              </w:rPr>
            </w:pPr>
          </w:p>
        </w:tc>
        <w:tc>
          <w:tcPr>
            <w:tcW w:w="298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A-14</w:t>
            </w:r>
          </w:p>
        </w:tc>
        <w:tc>
          <w:tcPr>
            <w:tcW w:w="2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1780" w:type="dxa"/>
            <w:vAlign w:val="bottom"/>
            <w:tcBorders>
              <w:bottom w:val="single" w:sz="8" w:color="CCEEFF"/>
            </w:tcBorders>
            <w:gridSpan w:val="6"/>
            <w:shd w:val="clear" w:color="auto" w:fill="CCEEFF"/>
          </w:tcPr>
          <w:p>
            <w:pPr>
              <w:spacing w:after="0"/>
              <w:rPr>
                <w:sz w:val="2"/>
                <w:szCs w:val="2"/>
                <w:color w:val="auto"/>
              </w:rPr>
            </w:pPr>
          </w:p>
        </w:tc>
        <w:tc>
          <w:tcPr>
            <w:tcW w:w="2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12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vMerge w:val="continue"/>
            <w:shd w:val="clear" w:color="auto" w:fill="CCEEFF"/>
          </w:tcPr>
          <w:p>
            <w:pPr>
              <w:spacing w:after="0"/>
              <w:rPr>
                <w:sz w:val="2"/>
                <w:szCs w:val="2"/>
                <w:color w:val="auto"/>
              </w:rPr>
            </w:pPr>
          </w:p>
        </w:tc>
        <w:tc>
          <w:tcPr>
            <w:tcW w:w="220" w:type="dxa"/>
            <w:vAlign w:val="bottom"/>
            <w:tcBorders>
              <w:bottom w:val="single" w:sz="8" w:color="CCEEFF"/>
            </w:tcBorders>
            <w:vMerge w:val="continue"/>
            <w:shd w:val="clear" w:color="auto" w:fill="CCEEFF"/>
          </w:tcPr>
          <w:p>
            <w:pPr>
              <w:spacing w:after="0"/>
              <w:rPr>
                <w:sz w:val="2"/>
                <w:szCs w:val="2"/>
                <w:color w:val="auto"/>
              </w:rPr>
            </w:pPr>
          </w:p>
        </w:tc>
        <w:tc>
          <w:tcPr>
            <w:tcW w:w="140" w:type="dxa"/>
            <w:vAlign w:val="bottom"/>
            <w:tcBorders>
              <w:bottom w:val="single" w:sz="8" w:color="CCEEFF"/>
            </w:tcBorders>
            <w:vMerge w:val="continue"/>
            <w:shd w:val="clear" w:color="auto" w:fill="CCEEFF"/>
          </w:tcPr>
          <w:p>
            <w:pPr>
              <w:spacing w:after="0"/>
              <w:rPr>
                <w:sz w:val="2"/>
                <w:szCs w:val="2"/>
                <w:color w:val="auto"/>
              </w:rPr>
            </w:pPr>
          </w:p>
        </w:tc>
        <w:tc>
          <w:tcPr>
            <w:tcW w:w="200" w:type="dxa"/>
            <w:vAlign w:val="bottom"/>
            <w:tcBorders>
              <w:bottom w:val="single" w:sz="8" w:color="CCEEFF"/>
            </w:tcBorders>
            <w:vMerge w:val="continue"/>
            <w:shd w:val="clear" w:color="auto" w:fill="CCEEFF"/>
          </w:tcPr>
          <w:p>
            <w:pPr>
              <w:spacing w:after="0"/>
              <w:rPr>
                <w:sz w:val="2"/>
                <w:szCs w:val="2"/>
                <w:color w:val="auto"/>
              </w:rPr>
            </w:pPr>
          </w:p>
        </w:tc>
        <w:tc>
          <w:tcPr>
            <w:tcW w:w="320" w:type="dxa"/>
            <w:vAlign w:val="bottom"/>
            <w:tcBorders>
              <w:bottom w:val="single" w:sz="8" w:color="CCEEFF"/>
            </w:tcBorders>
            <w:vMerge w:val="continue"/>
            <w:shd w:val="clear" w:color="auto" w:fill="CCEEFF"/>
          </w:tcPr>
          <w:p>
            <w:pPr>
              <w:spacing w:after="0"/>
              <w:rPr>
                <w:sz w:val="2"/>
                <w:szCs w:val="2"/>
                <w:color w:val="auto"/>
              </w:rPr>
            </w:pPr>
          </w:p>
        </w:tc>
        <w:tc>
          <w:tcPr>
            <w:tcW w:w="1940" w:type="dxa"/>
            <w:vAlign w:val="bottom"/>
            <w:tcBorders>
              <w:bottom w:val="single" w:sz="8" w:color="CCEEFF"/>
            </w:tcBorders>
            <w:vMerge w:val="continue"/>
            <w:shd w:val="clear" w:color="auto" w:fill="CCEEFF"/>
          </w:tcPr>
          <w:p>
            <w:pPr>
              <w:spacing w:after="0"/>
              <w:rPr>
                <w:sz w:val="2"/>
                <w:szCs w:val="2"/>
                <w:color w:val="auto"/>
              </w:rPr>
            </w:pPr>
          </w:p>
        </w:tc>
        <w:tc>
          <w:tcPr>
            <w:tcW w:w="298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b w:val="1"/>
                <w:bCs w:val="1"/>
                <w:color w:val="0000EE"/>
              </w:rPr>
              <w:t>SECTION 20.  PERFORMANCE BASED AWARDS</w:t>
            </w:r>
          </w:p>
        </w:tc>
        <w:tc>
          <w:tcPr>
            <w:tcW w:w="320" w:type="dxa"/>
            <w:vAlign w:val="bottom"/>
            <w:vMerge w:val="restart"/>
          </w:tcPr>
          <w:p>
            <w:pPr>
              <w:spacing w:after="0"/>
              <w:rPr>
                <w:sz w:val="18"/>
                <w:szCs w:val="18"/>
                <w:color w:val="auto"/>
              </w:rPr>
            </w:pPr>
          </w:p>
        </w:tc>
        <w:tc>
          <w:tcPr>
            <w:tcW w:w="1940" w:type="dxa"/>
            <w:vAlign w:val="bottom"/>
            <w:vMerge w:val="restart"/>
          </w:tcPr>
          <w:p>
            <w:pPr>
              <w:spacing w:after="0"/>
              <w:rPr>
                <w:sz w:val="18"/>
                <w:szCs w:val="18"/>
                <w:color w:val="auto"/>
              </w:rPr>
            </w:pPr>
          </w:p>
        </w:tc>
        <w:tc>
          <w:tcPr>
            <w:tcW w:w="2980" w:type="dxa"/>
            <w:vAlign w:val="bottom"/>
            <w:vMerge w:val="restart"/>
          </w:tcPr>
          <w:p>
            <w:pPr>
              <w:spacing w:after="0"/>
              <w:rPr>
                <w:sz w:val="18"/>
                <w:szCs w:val="18"/>
                <w:color w:val="auto"/>
              </w:rPr>
            </w:pPr>
          </w:p>
        </w:tc>
        <w:tc>
          <w:tcPr>
            <w:tcW w:w="400" w:type="dxa"/>
            <w:vAlign w:val="bottom"/>
            <w:gridSpan w:val="3"/>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A-15</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1780" w:type="dxa"/>
            <w:vAlign w:val="bottom"/>
            <w:gridSpan w:val="6"/>
          </w:tcPr>
          <w:p>
            <w:pPr>
              <w:spacing w:after="0"/>
              <w:rPr>
                <w:sz w:val="2"/>
                <w:szCs w:val="2"/>
                <w:color w:val="auto"/>
              </w:rPr>
            </w:pPr>
          </w:p>
        </w:tc>
        <w:tc>
          <w:tcPr>
            <w:tcW w:w="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940" w:type="dxa"/>
            <w:vAlign w:val="bottom"/>
            <w:vMerge w:val="continue"/>
          </w:tcPr>
          <w:p>
            <w:pPr>
              <w:spacing w:after="0"/>
              <w:rPr>
                <w:sz w:val="2"/>
                <w:szCs w:val="2"/>
                <w:color w:val="auto"/>
              </w:rPr>
            </w:pPr>
          </w:p>
        </w:tc>
        <w:tc>
          <w:tcPr>
            <w:tcW w:w="2980" w:type="dxa"/>
            <w:vAlign w:val="bottom"/>
            <w:vMerge w:val="continue"/>
          </w:tcPr>
          <w:p>
            <w:pPr>
              <w:spacing w:after="0"/>
              <w:rPr>
                <w:sz w:val="2"/>
                <w:szCs w:val="2"/>
                <w:color w:val="auto"/>
              </w:rPr>
            </w:pPr>
          </w:p>
        </w:tc>
        <w:tc>
          <w:tcPr>
            <w:tcW w:w="400" w:type="dxa"/>
            <w:vAlign w:val="bottom"/>
            <w:gridSpan w:val="3"/>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20" w:type="dxa"/>
            <w:vAlign w:val="bottom"/>
            <w:tcBorders>
              <w:bottom w:val="single" w:sz="8" w:color="0000EE"/>
            </w:tcBorders>
            <w:gridSpan w:val="18"/>
            <w:shd w:val="clear" w:color="auto" w:fill="CCEEFF"/>
          </w:tcPr>
          <w:p>
            <w:pPr>
              <w:spacing w:after="0"/>
              <w:rPr>
                <w:sz w:val="20"/>
                <w:szCs w:val="20"/>
                <w:color w:val="auto"/>
              </w:rPr>
            </w:pPr>
            <w:r>
              <w:rPr>
                <w:rFonts w:ascii="Arial" w:cs="Arial" w:eastAsia="Arial" w:hAnsi="Arial"/>
                <w:sz w:val="16"/>
                <w:szCs w:val="16"/>
                <w:b w:val="1"/>
                <w:bCs w:val="1"/>
                <w:color w:val="0000EE"/>
              </w:rPr>
              <w:t>SECTION 21.  FORFEITURE, CANCELLATION OR RECOUPMENT OF AWARDS</w:t>
            </w:r>
          </w:p>
        </w:tc>
        <w:tc>
          <w:tcPr>
            <w:tcW w:w="2980" w:type="dxa"/>
            <w:vAlign w:val="bottom"/>
            <w:tcBorders>
              <w:bottom w:val="single" w:sz="8" w:color="CCEEFF"/>
            </w:tcBorders>
            <w:vMerge w:val="restart"/>
            <w:shd w:val="clear" w:color="auto" w:fill="CCEEFF"/>
          </w:tcPr>
          <w:p>
            <w:pPr>
              <w:spacing w:after="0"/>
              <w:rPr>
                <w:sz w:val="19"/>
                <w:szCs w:val="19"/>
                <w:color w:val="auto"/>
              </w:rPr>
            </w:pPr>
          </w:p>
        </w:tc>
        <w:tc>
          <w:tcPr>
            <w:tcW w:w="38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A-15</w:t>
            </w:r>
          </w:p>
        </w:tc>
        <w:tc>
          <w:tcPr>
            <w:tcW w:w="2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1780" w:type="dxa"/>
            <w:vAlign w:val="bottom"/>
            <w:tcBorders>
              <w:bottom w:val="single" w:sz="8" w:color="CCEEFF"/>
            </w:tcBorders>
            <w:gridSpan w:val="6"/>
            <w:shd w:val="clear" w:color="auto" w:fill="CCEEFF"/>
          </w:tcPr>
          <w:p>
            <w:pPr>
              <w:spacing w:after="0"/>
              <w:rPr>
                <w:sz w:val="2"/>
                <w:szCs w:val="2"/>
                <w:color w:val="auto"/>
              </w:rPr>
            </w:pPr>
          </w:p>
        </w:tc>
        <w:tc>
          <w:tcPr>
            <w:tcW w:w="2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68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520" w:type="dxa"/>
            <w:vAlign w:val="bottom"/>
            <w:tcBorders>
              <w:bottom w:val="single" w:sz="8" w:color="CCEEFF"/>
            </w:tcBorders>
            <w:gridSpan w:val="2"/>
            <w:shd w:val="clear" w:color="auto" w:fill="CCEEFF"/>
          </w:tcPr>
          <w:p>
            <w:pPr>
              <w:spacing w:after="0"/>
              <w:rPr>
                <w:sz w:val="2"/>
                <w:szCs w:val="2"/>
                <w:color w:val="auto"/>
              </w:rPr>
            </w:pPr>
          </w:p>
        </w:tc>
        <w:tc>
          <w:tcPr>
            <w:tcW w:w="1940" w:type="dxa"/>
            <w:vAlign w:val="bottom"/>
            <w:tcBorders>
              <w:bottom w:val="single" w:sz="8" w:color="CCEEFF"/>
            </w:tcBorders>
            <w:shd w:val="clear" w:color="auto" w:fill="CCEEFF"/>
          </w:tcPr>
          <w:p>
            <w:pPr>
              <w:spacing w:after="0"/>
              <w:rPr>
                <w:sz w:val="2"/>
                <w:szCs w:val="2"/>
                <w:color w:val="auto"/>
              </w:rPr>
            </w:pPr>
          </w:p>
        </w:tc>
        <w:tc>
          <w:tcPr>
            <w:tcW w:w="2980" w:type="dxa"/>
            <w:vAlign w:val="bottom"/>
            <w:tcBorders>
              <w:bottom w:val="single" w:sz="8" w:color="CCEEFF"/>
            </w:tcBorders>
            <w:vMerge w:val="continue"/>
            <w:shd w:val="clear" w:color="auto" w:fill="CCEEFF"/>
          </w:tcPr>
          <w:p>
            <w:pPr>
              <w:spacing w:after="0"/>
              <w:rPr>
                <w:sz w:val="2"/>
                <w:szCs w:val="2"/>
                <w:color w:val="auto"/>
              </w:rPr>
            </w:pPr>
          </w:p>
        </w:tc>
        <w:tc>
          <w:tcPr>
            <w:tcW w:w="38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b w:val="1"/>
                <w:bCs w:val="1"/>
                <w:color w:val="0000EE"/>
              </w:rPr>
              <w:t>SECTION 22.  NO EMPLOYMENT RIGHTS</w:t>
            </w:r>
          </w:p>
        </w:tc>
        <w:tc>
          <w:tcPr>
            <w:tcW w:w="22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520" w:type="dxa"/>
            <w:vAlign w:val="bottom"/>
            <w:gridSpan w:val="2"/>
            <w:vMerge w:val="restart"/>
          </w:tcPr>
          <w:p>
            <w:pPr>
              <w:spacing w:after="0"/>
              <w:rPr>
                <w:sz w:val="18"/>
                <w:szCs w:val="18"/>
                <w:color w:val="auto"/>
              </w:rPr>
            </w:pPr>
          </w:p>
        </w:tc>
        <w:tc>
          <w:tcPr>
            <w:tcW w:w="4920" w:type="dxa"/>
            <w:vAlign w:val="bottom"/>
            <w:gridSpan w:val="2"/>
            <w:vMerge w:val="restart"/>
          </w:tcPr>
          <w:p>
            <w:pPr>
              <w:spacing w:after="0"/>
              <w:rPr>
                <w:sz w:val="18"/>
                <w:szCs w:val="18"/>
                <w:color w:val="auto"/>
              </w:rPr>
            </w:pPr>
          </w:p>
        </w:tc>
        <w:tc>
          <w:tcPr>
            <w:tcW w:w="400" w:type="dxa"/>
            <w:vAlign w:val="bottom"/>
            <w:gridSpan w:val="3"/>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A-15</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1780" w:type="dxa"/>
            <w:vAlign w:val="bottom"/>
            <w:gridSpan w:val="6"/>
          </w:tcPr>
          <w:p>
            <w:pPr>
              <w:spacing w:after="0"/>
              <w:rPr>
                <w:sz w:val="2"/>
                <w:szCs w:val="2"/>
                <w:color w:val="auto"/>
              </w:rPr>
            </w:pPr>
          </w:p>
        </w:tc>
        <w:tc>
          <w:tcPr>
            <w:tcW w:w="2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2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4920" w:type="dxa"/>
            <w:vAlign w:val="bottom"/>
            <w:gridSpan w:val="2"/>
            <w:vMerge w:val="continue"/>
          </w:tcPr>
          <w:p>
            <w:pPr>
              <w:spacing w:after="0"/>
              <w:rPr>
                <w:sz w:val="2"/>
                <w:szCs w:val="2"/>
                <w:color w:val="auto"/>
              </w:rPr>
            </w:pPr>
          </w:p>
        </w:tc>
        <w:tc>
          <w:tcPr>
            <w:tcW w:w="400" w:type="dxa"/>
            <w:vAlign w:val="bottom"/>
            <w:gridSpan w:val="3"/>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tcBorders>
              <w:bottom w:val="single" w:sz="8" w:color="0000EE"/>
            </w:tcBorders>
            <w:gridSpan w:val="15"/>
            <w:shd w:val="clear" w:color="auto" w:fill="CCEEFF"/>
          </w:tcPr>
          <w:p>
            <w:pPr>
              <w:spacing w:after="0"/>
              <w:rPr>
                <w:sz w:val="20"/>
                <w:szCs w:val="20"/>
                <w:color w:val="auto"/>
              </w:rPr>
            </w:pPr>
            <w:r>
              <w:rPr>
                <w:rFonts w:ascii="Arial" w:cs="Arial" w:eastAsia="Arial" w:hAnsi="Arial"/>
                <w:sz w:val="16"/>
                <w:szCs w:val="16"/>
                <w:b w:val="1"/>
                <w:bCs w:val="1"/>
                <w:color w:val="0000EE"/>
              </w:rPr>
              <w:t>SECTION 23.  DURATION AND AMENDMENTS</w:t>
            </w:r>
          </w:p>
        </w:tc>
        <w:tc>
          <w:tcPr>
            <w:tcW w:w="520" w:type="dxa"/>
            <w:vAlign w:val="bottom"/>
            <w:tcBorders>
              <w:bottom w:val="single" w:sz="8" w:color="CCEEFF"/>
            </w:tcBorders>
            <w:gridSpan w:val="2"/>
            <w:vMerge w:val="restart"/>
            <w:shd w:val="clear" w:color="auto" w:fill="CCEEFF"/>
          </w:tcPr>
          <w:p>
            <w:pPr>
              <w:spacing w:after="0"/>
              <w:rPr>
                <w:sz w:val="19"/>
                <w:szCs w:val="19"/>
                <w:color w:val="auto"/>
              </w:rPr>
            </w:pPr>
          </w:p>
        </w:tc>
        <w:tc>
          <w:tcPr>
            <w:tcW w:w="4920" w:type="dxa"/>
            <w:vAlign w:val="bottom"/>
            <w:tcBorders>
              <w:bottom w:val="single" w:sz="8" w:color="CCEEFF"/>
            </w:tcBorders>
            <w:gridSpan w:val="2"/>
            <w:vMerge w:val="restart"/>
            <w:shd w:val="clear" w:color="auto" w:fill="CCEEFF"/>
          </w:tcPr>
          <w:p>
            <w:pPr>
              <w:spacing w:after="0"/>
              <w:rPr>
                <w:sz w:val="19"/>
                <w:szCs w:val="19"/>
                <w:color w:val="auto"/>
              </w:rPr>
            </w:pPr>
          </w:p>
        </w:tc>
        <w:tc>
          <w:tcPr>
            <w:tcW w:w="38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A-15</w:t>
            </w:r>
          </w:p>
        </w:tc>
        <w:tc>
          <w:tcPr>
            <w:tcW w:w="2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1780" w:type="dxa"/>
            <w:vAlign w:val="bottom"/>
            <w:tcBorders>
              <w:bottom w:val="single" w:sz="8" w:color="CCEEFF"/>
            </w:tcBorders>
            <w:gridSpan w:val="6"/>
            <w:shd w:val="clear" w:color="auto" w:fill="CCEEFF"/>
          </w:tcPr>
          <w:p>
            <w:pPr>
              <w:spacing w:after="0"/>
              <w:rPr>
                <w:sz w:val="2"/>
                <w:szCs w:val="2"/>
                <w:color w:val="auto"/>
              </w:rPr>
            </w:pPr>
          </w:p>
        </w:tc>
        <w:tc>
          <w:tcPr>
            <w:tcW w:w="280" w:type="dxa"/>
            <w:vAlign w:val="bottom"/>
            <w:tcBorders>
              <w:bottom w:val="single" w:sz="8" w:color="CCEEFF"/>
            </w:tcBorders>
            <w:gridSpan w:val="2"/>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900" w:type="dxa"/>
            <w:vAlign w:val="bottom"/>
            <w:tcBorders>
              <w:bottom w:val="single" w:sz="8" w:color="CCEEFF"/>
            </w:tcBorders>
            <w:gridSpan w:val="3"/>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520" w:type="dxa"/>
            <w:vAlign w:val="bottom"/>
            <w:tcBorders>
              <w:bottom w:val="single" w:sz="8" w:color="CCEEFF"/>
            </w:tcBorders>
            <w:gridSpan w:val="2"/>
            <w:vMerge w:val="continue"/>
            <w:shd w:val="clear" w:color="auto" w:fill="CCEEFF"/>
          </w:tcPr>
          <w:p>
            <w:pPr>
              <w:spacing w:after="0"/>
              <w:rPr>
                <w:sz w:val="2"/>
                <w:szCs w:val="2"/>
                <w:color w:val="auto"/>
              </w:rPr>
            </w:pPr>
          </w:p>
        </w:tc>
        <w:tc>
          <w:tcPr>
            <w:tcW w:w="4920" w:type="dxa"/>
            <w:vAlign w:val="bottom"/>
            <w:tcBorders>
              <w:bottom w:val="single" w:sz="8" w:color="CCEEFF"/>
            </w:tcBorders>
            <w:gridSpan w:val="2"/>
            <w:vMerge w:val="continue"/>
            <w:shd w:val="clear" w:color="auto" w:fill="CCEEFF"/>
          </w:tcPr>
          <w:p>
            <w:pPr>
              <w:spacing w:after="0"/>
              <w:rPr>
                <w:sz w:val="2"/>
                <w:szCs w:val="2"/>
                <w:color w:val="auto"/>
              </w:rPr>
            </w:pPr>
          </w:p>
        </w:tc>
        <w:tc>
          <w:tcPr>
            <w:tcW w:w="38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20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1"/>
              </w:rPr>
              <w:t>(a)</w:t>
            </w:r>
          </w:p>
        </w:tc>
        <w:tc>
          <w:tcPr>
            <w:tcW w:w="240" w:type="dxa"/>
            <w:vAlign w:val="bottom"/>
            <w:vMerge w:val="restart"/>
          </w:tcPr>
          <w:p>
            <w:pPr>
              <w:spacing w:after="0"/>
              <w:rPr>
                <w:sz w:val="18"/>
                <w:szCs w:val="18"/>
                <w:color w:val="auto"/>
              </w:rPr>
            </w:pPr>
          </w:p>
        </w:tc>
        <w:tc>
          <w:tcPr>
            <w:tcW w:w="118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8"/>
              </w:rPr>
              <w:t>Term of the Plan</w:t>
            </w:r>
          </w:p>
        </w:tc>
        <w:tc>
          <w:tcPr>
            <w:tcW w:w="28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8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900" w:type="dxa"/>
            <w:vAlign w:val="bottom"/>
            <w:gridSpan w:val="3"/>
            <w:vMerge w:val="restart"/>
          </w:tcPr>
          <w:p>
            <w:pPr>
              <w:spacing w:after="0"/>
              <w:rPr>
                <w:sz w:val="18"/>
                <w:szCs w:val="18"/>
                <w:color w:val="auto"/>
              </w:rPr>
            </w:pPr>
          </w:p>
        </w:tc>
        <w:tc>
          <w:tcPr>
            <w:tcW w:w="660" w:type="dxa"/>
            <w:vAlign w:val="bottom"/>
            <w:gridSpan w:val="3"/>
            <w:vMerge w:val="restart"/>
          </w:tcPr>
          <w:p>
            <w:pPr>
              <w:spacing w:after="0"/>
              <w:rPr>
                <w:sz w:val="18"/>
                <w:szCs w:val="18"/>
                <w:color w:val="auto"/>
              </w:rPr>
            </w:pPr>
          </w:p>
        </w:tc>
        <w:tc>
          <w:tcPr>
            <w:tcW w:w="4920" w:type="dxa"/>
            <w:vAlign w:val="bottom"/>
            <w:gridSpan w:val="2"/>
            <w:vMerge w:val="restart"/>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0"/>
                <w:szCs w:val="30"/>
                <w:color w:val="auto"/>
                <w:vertAlign w:val="superscript"/>
              </w:rPr>
              <w:t>​</w:t>
            </w:r>
          </w:p>
        </w:tc>
        <w:tc>
          <w:tcPr>
            <w:tcW w:w="3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A-15</w:t>
            </w: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40" w:type="dxa"/>
            <w:vAlign w:val="bottom"/>
            <w:vMerge w:val="continue"/>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80" w:type="dxa"/>
            <w:vAlign w:val="bottom"/>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492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16"/>
                <w:szCs w:val="16"/>
                <w:color w:val="0000EE"/>
                <w:w w:val="91"/>
              </w:rPr>
              <w:t>(b)</w:t>
            </w:r>
          </w:p>
        </w:tc>
        <w:tc>
          <w:tcPr>
            <w:tcW w:w="240" w:type="dxa"/>
            <w:vAlign w:val="bottom"/>
            <w:tcBorders>
              <w:bottom w:val="single" w:sz="8" w:color="CCEEFF"/>
            </w:tcBorders>
            <w:vMerge w:val="restart"/>
            <w:shd w:val="clear" w:color="auto" w:fill="CCEEFF"/>
          </w:tcPr>
          <w:p>
            <w:pPr>
              <w:spacing w:after="0"/>
              <w:rPr>
                <w:sz w:val="19"/>
                <w:szCs w:val="19"/>
                <w:color w:val="auto"/>
              </w:rPr>
            </w:pPr>
          </w:p>
        </w:tc>
        <w:tc>
          <w:tcPr>
            <w:tcW w:w="1760" w:type="dxa"/>
            <w:vAlign w:val="bottom"/>
            <w:tcBorders>
              <w:bottom w:val="single" w:sz="8" w:color="0000EE"/>
            </w:tcBorders>
            <w:gridSpan w:val="6"/>
            <w:shd w:val="clear" w:color="auto" w:fill="CCEEFF"/>
          </w:tcPr>
          <w:p>
            <w:pPr>
              <w:spacing w:after="0"/>
              <w:rPr>
                <w:sz w:val="20"/>
                <w:szCs w:val="20"/>
                <w:color w:val="auto"/>
              </w:rPr>
            </w:pPr>
            <w:r>
              <w:rPr>
                <w:rFonts w:ascii="Arial" w:cs="Arial" w:eastAsia="Arial" w:hAnsi="Arial"/>
                <w:sz w:val="16"/>
                <w:szCs w:val="16"/>
                <w:color w:val="0000EE"/>
              </w:rPr>
              <w:t>Right to Amend the Plan</w:t>
            </w:r>
          </w:p>
        </w:tc>
        <w:tc>
          <w:tcPr>
            <w:tcW w:w="160" w:type="dxa"/>
            <w:vAlign w:val="bottom"/>
            <w:tcBorders>
              <w:bottom w:val="single" w:sz="8" w:color="CCEEFF"/>
            </w:tcBorders>
            <w:vMerge w:val="restart"/>
            <w:shd w:val="clear" w:color="auto" w:fill="CCEEFF"/>
          </w:tcPr>
          <w:p>
            <w:pPr>
              <w:spacing w:after="0"/>
              <w:rPr>
                <w:sz w:val="19"/>
                <w:szCs w:val="19"/>
                <w:color w:val="auto"/>
              </w:rPr>
            </w:pPr>
          </w:p>
        </w:tc>
        <w:tc>
          <w:tcPr>
            <w:tcW w:w="900" w:type="dxa"/>
            <w:vAlign w:val="bottom"/>
            <w:tcBorders>
              <w:bottom w:val="single" w:sz="8" w:color="CCEEFF"/>
            </w:tcBorders>
            <w:gridSpan w:val="3"/>
            <w:vMerge w:val="restart"/>
            <w:shd w:val="clear" w:color="auto" w:fill="CCEEFF"/>
          </w:tcPr>
          <w:p>
            <w:pPr>
              <w:spacing w:after="0"/>
              <w:rPr>
                <w:sz w:val="19"/>
                <w:szCs w:val="19"/>
                <w:color w:val="auto"/>
              </w:rPr>
            </w:pPr>
          </w:p>
        </w:tc>
        <w:tc>
          <w:tcPr>
            <w:tcW w:w="660" w:type="dxa"/>
            <w:vAlign w:val="bottom"/>
            <w:tcBorders>
              <w:bottom w:val="single" w:sz="8" w:color="CCEEFF"/>
            </w:tcBorders>
            <w:gridSpan w:val="3"/>
            <w:vMerge w:val="restart"/>
            <w:shd w:val="clear" w:color="auto" w:fill="CCEEFF"/>
          </w:tcPr>
          <w:p>
            <w:pPr>
              <w:spacing w:after="0"/>
              <w:rPr>
                <w:sz w:val="19"/>
                <w:szCs w:val="19"/>
                <w:color w:val="auto"/>
              </w:rPr>
            </w:pPr>
          </w:p>
        </w:tc>
        <w:tc>
          <w:tcPr>
            <w:tcW w:w="4920" w:type="dxa"/>
            <w:vAlign w:val="bottom"/>
            <w:tcBorders>
              <w:bottom w:val="single" w:sz="8" w:color="CCEEFF"/>
            </w:tcBorders>
            <w:gridSpan w:val="2"/>
            <w:vMerge w:val="restart"/>
            <w:shd w:val="clear" w:color="auto" w:fill="CCEEFF"/>
          </w:tcPr>
          <w:p>
            <w:pPr>
              <w:spacing w:after="0"/>
              <w:rPr>
                <w:sz w:val="19"/>
                <w:szCs w:val="19"/>
                <w:color w:val="auto"/>
              </w:rPr>
            </w:pPr>
          </w:p>
        </w:tc>
        <w:tc>
          <w:tcPr>
            <w:tcW w:w="40" w:type="dxa"/>
            <w:vAlign w:val="bottom"/>
            <w:tcBorders>
              <w:bottom w:val="single" w:sz="8" w:color="CCEEFF"/>
            </w:tcBorders>
            <w:vMerge w:val="restart"/>
            <w:shd w:val="clear" w:color="auto" w:fill="CCEEFF"/>
          </w:tcPr>
          <w:p>
            <w:pPr>
              <w:spacing w:after="0" w:line="283"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32"/>
                <w:szCs w:val="32"/>
                <w:color w:val="auto"/>
                <w:vertAlign w:val="superscript"/>
              </w:rPr>
              <w:t>​</w:t>
            </w:r>
          </w:p>
        </w:tc>
        <w:tc>
          <w:tcPr>
            <w:tcW w:w="34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16"/>
                <w:szCs w:val="16"/>
                <w:color w:val="0000EE"/>
                <w:w w:val="94"/>
              </w:rPr>
              <w:t>A-15</w:t>
            </w:r>
          </w:p>
        </w:tc>
        <w:tc>
          <w:tcPr>
            <w:tcW w:w="20" w:type="dxa"/>
            <w:vAlign w:val="bottom"/>
            <w:tcBorders>
              <w:bottom w:val="single" w:sz="8" w:color="0000EE"/>
            </w:tcBorders>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16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40" w:type="dxa"/>
            <w:vAlign w:val="bottom"/>
            <w:tcBorders>
              <w:bottom w:val="single" w:sz="8" w:color="CCEEFF"/>
            </w:tcBorders>
            <w:vMerge w:val="continue"/>
            <w:shd w:val="clear" w:color="auto" w:fill="CCEEFF"/>
          </w:tcPr>
          <w:p>
            <w:pPr>
              <w:spacing w:after="0"/>
              <w:rPr>
                <w:sz w:val="2"/>
                <w:szCs w:val="2"/>
                <w:color w:val="auto"/>
              </w:rPr>
            </w:pPr>
          </w:p>
        </w:tc>
        <w:tc>
          <w:tcPr>
            <w:tcW w:w="1460" w:type="dxa"/>
            <w:vAlign w:val="bottom"/>
            <w:tcBorders>
              <w:bottom w:val="single" w:sz="8" w:color="CCEEFF"/>
            </w:tcBorders>
            <w:gridSpan w:val="4"/>
            <w:shd w:val="clear" w:color="auto" w:fill="CCEEFF"/>
          </w:tcPr>
          <w:p>
            <w:pPr>
              <w:spacing w:after="0"/>
              <w:rPr>
                <w:sz w:val="2"/>
                <w:szCs w:val="2"/>
                <w:color w:val="auto"/>
              </w:rPr>
            </w:pPr>
          </w:p>
        </w:tc>
        <w:tc>
          <w:tcPr>
            <w:tcW w:w="2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vMerge w:val="continue"/>
            <w:shd w:val="clear" w:color="auto" w:fill="CCEEFF"/>
          </w:tcPr>
          <w:p>
            <w:pPr>
              <w:spacing w:after="0"/>
              <w:rPr>
                <w:sz w:val="2"/>
                <w:szCs w:val="2"/>
                <w:color w:val="auto"/>
              </w:rPr>
            </w:pPr>
          </w:p>
        </w:tc>
        <w:tc>
          <w:tcPr>
            <w:tcW w:w="900" w:type="dxa"/>
            <w:vAlign w:val="bottom"/>
            <w:tcBorders>
              <w:bottom w:val="single" w:sz="8" w:color="CCEEFF"/>
            </w:tcBorders>
            <w:gridSpan w:val="3"/>
            <w:vMerge w:val="continue"/>
            <w:shd w:val="clear" w:color="auto" w:fill="CCEEFF"/>
          </w:tcPr>
          <w:p>
            <w:pPr>
              <w:spacing w:after="0"/>
              <w:rPr>
                <w:sz w:val="2"/>
                <w:szCs w:val="2"/>
                <w:color w:val="auto"/>
              </w:rPr>
            </w:pPr>
          </w:p>
        </w:tc>
        <w:tc>
          <w:tcPr>
            <w:tcW w:w="660" w:type="dxa"/>
            <w:vAlign w:val="bottom"/>
            <w:tcBorders>
              <w:bottom w:val="single" w:sz="8" w:color="CCEEFF"/>
            </w:tcBorders>
            <w:gridSpan w:val="3"/>
            <w:vMerge w:val="continue"/>
            <w:shd w:val="clear" w:color="auto" w:fill="CCEEFF"/>
          </w:tcPr>
          <w:p>
            <w:pPr>
              <w:spacing w:after="0"/>
              <w:rPr>
                <w:sz w:val="2"/>
                <w:szCs w:val="2"/>
                <w:color w:val="auto"/>
              </w:rPr>
            </w:pPr>
          </w:p>
        </w:tc>
        <w:tc>
          <w:tcPr>
            <w:tcW w:w="4920" w:type="dxa"/>
            <w:vAlign w:val="bottom"/>
            <w:tcBorders>
              <w:bottom w:val="single" w:sz="8" w:color="CCEEFF"/>
            </w:tcBorders>
            <w:gridSpan w:val="2"/>
            <w:vMerge w:val="continue"/>
            <w:shd w:val="clear" w:color="auto" w:fill="CCEEFF"/>
          </w:tcPr>
          <w:p>
            <w:pPr>
              <w:spacing w:after="0"/>
              <w:rPr>
                <w:sz w:val="2"/>
                <w:szCs w:val="2"/>
                <w:color w:val="auto"/>
              </w:rPr>
            </w:pPr>
          </w:p>
        </w:tc>
        <w:tc>
          <w:tcPr>
            <w:tcW w:w="40" w:type="dxa"/>
            <w:vAlign w:val="bottom"/>
            <w:tcBorders>
              <w:bottom w:val="single" w:sz="8" w:color="CCEEFF"/>
            </w:tcBorders>
            <w:vMerge w:val="continue"/>
            <w:shd w:val="clear" w:color="auto" w:fill="CCEEFF"/>
          </w:tcPr>
          <w:p>
            <w:pPr>
              <w:spacing w:after="0"/>
              <w:rPr>
                <w:sz w:val="2"/>
                <w:szCs w:val="2"/>
                <w:color w:val="auto"/>
              </w:rPr>
            </w:pPr>
          </w:p>
        </w:tc>
        <w:tc>
          <w:tcPr>
            <w:tcW w:w="340" w:type="dxa"/>
            <w:vAlign w:val="bottom"/>
            <w:tcBorders>
              <w:bottom w:val="single" w:sz="8" w:color="CCEEFF"/>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18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5"/>
              </w:rPr>
              <w:t>(c)</w:t>
            </w:r>
          </w:p>
        </w:tc>
        <w:tc>
          <w:tcPr>
            <w:tcW w:w="260" w:type="dxa"/>
            <w:vAlign w:val="bottom"/>
            <w:gridSpan w:val="2"/>
            <w:vMerge w:val="restart"/>
          </w:tcPr>
          <w:p>
            <w:pPr>
              <w:spacing w:after="0"/>
              <w:rPr>
                <w:sz w:val="18"/>
                <w:szCs w:val="18"/>
                <w:color w:val="auto"/>
              </w:rPr>
            </w:pPr>
          </w:p>
        </w:tc>
        <w:tc>
          <w:tcPr>
            <w:tcW w:w="148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8"/>
              </w:rPr>
              <w:t>Effect of Termination</w:t>
            </w:r>
          </w:p>
        </w:tc>
        <w:tc>
          <w:tcPr>
            <w:tcW w:w="440" w:type="dxa"/>
            <w:vAlign w:val="bottom"/>
            <w:gridSpan w:val="2"/>
            <w:vMerge w:val="restart"/>
          </w:tcPr>
          <w:p>
            <w:pPr>
              <w:spacing w:after="0"/>
              <w:rPr>
                <w:sz w:val="18"/>
                <w:szCs w:val="18"/>
                <w:color w:val="auto"/>
              </w:rPr>
            </w:pPr>
          </w:p>
        </w:tc>
        <w:tc>
          <w:tcPr>
            <w:tcW w:w="900" w:type="dxa"/>
            <w:vAlign w:val="bottom"/>
            <w:gridSpan w:val="3"/>
            <w:vMerge w:val="restart"/>
          </w:tcPr>
          <w:p>
            <w:pPr>
              <w:spacing w:after="0"/>
              <w:rPr>
                <w:sz w:val="18"/>
                <w:szCs w:val="18"/>
                <w:color w:val="auto"/>
              </w:rPr>
            </w:pPr>
          </w:p>
        </w:tc>
        <w:tc>
          <w:tcPr>
            <w:tcW w:w="660" w:type="dxa"/>
            <w:vAlign w:val="bottom"/>
            <w:gridSpan w:val="3"/>
            <w:vMerge w:val="restart"/>
          </w:tcPr>
          <w:p>
            <w:pPr>
              <w:spacing w:after="0"/>
              <w:rPr>
                <w:sz w:val="18"/>
                <w:szCs w:val="18"/>
                <w:color w:val="auto"/>
              </w:rPr>
            </w:pPr>
          </w:p>
        </w:tc>
        <w:tc>
          <w:tcPr>
            <w:tcW w:w="4920" w:type="dxa"/>
            <w:vAlign w:val="bottom"/>
            <w:gridSpan w:val="2"/>
            <w:vMerge w:val="restart"/>
          </w:tcPr>
          <w:p>
            <w:pPr>
              <w:spacing w:after="0"/>
              <w:rPr>
                <w:sz w:val="18"/>
                <w:szCs w:val="18"/>
                <w:color w:val="auto"/>
              </w:rPr>
            </w:pPr>
          </w:p>
        </w:tc>
        <w:tc>
          <w:tcPr>
            <w:tcW w:w="40" w:type="dxa"/>
            <w:vAlign w:val="bottom"/>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color w:val="auto"/>
              </w:rPr>
              <w:t>​</w:t>
            </w:r>
          </w:p>
        </w:tc>
        <w:tc>
          <w:tcPr>
            <w:tcW w:w="3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rPr>
              <w:t>A-15</w:t>
            </w: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146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gridSpan w:val="2"/>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492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36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tcBorders>
              <w:bottom w:val="single" w:sz="8" w:color="0000EE"/>
            </w:tcBorders>
            <w:gridSpan w:val="17"/>
            <w:shd w:val="clear" w:color="auto" w:fill="CCEEFF"/>
          </w:tcPr>
          <w:p>
            <w:pPr>
              <w:spacing w:after="0"/>
              <w:rPr>
                <w:sz w:val="20"/>
                <w:szCs w:val="20"/>
                <w:color w:val="auto"/>
              </w:rPr>
            </w:pPr>
            <w:r>
              <w:rPr>
                <w:rFonts w:ascii="Arial" w:cs="Arial" w:eastAsia="Arial" w:hAnsi="Arial"/>
                <w:sz w:val="16"/>
                <w:szCs w:val="16"/>
                <w:b w:val="1"/>
                <w:bCs w:val="1"/>
                <w:color w:val="0000EE"/>
              </w:rPr>
              <w:t>SECTION 24.  AWARDS TO NON-U.S. PARTICIPANTS</w:t>
            </w:r>
          </w:p>
        </w:tc>
        <w:tc>
          <w:tcPr>
            <w:tcW w:w="4920" w:type="dxa"/>
            <w:vAlign w:val="bottom"/>
            <w:tcBorders>
              <w:bottom w:val="single" w:sz="8" w:color="CCEEFF"/>
            </w:tcBorders>
            <w:gridSpan w:val="2"/>
            <w:vMerge w:val="restart"/>
            <w:shd w:val="clear" w:color="auto" w:fill="CCEEFF"/>
          </w:tcPr>
          <w:p>
            <w:pPr>
              <w:spacing w:after="0"/>
              <w:rPr>
                <w:sz w:val="19"/>
                <w:szCs w:val="19"/>
                <w:color w:val="auto"/>
              </w:rPr>
            </w:pPr>
          </w:p>
        </w:tc>
        <w:tc>
          <w:tcPr>
            <w:tcW w:w="38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A-15</w:t>
            </w:r>
          </w:p>
        </w:tc>
        <w:tc>
          <w:tcPr>
            <w:tcW w:w="2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2060" w:type="dxa"/>
            <w:vAlign w:val="bottom"/>
            <w:tcBorders>
              <w:bottom w:val="single" w:sz="8" w:color="CCEEFF"/>
            </w:tcBorders>
            <w:gridSpan w:val="8"/>
            <w:shd w:val="clear" w:color="auto" w:fill="CCEEFF"/>
          </w:tcPr>
          <w:p>
            <w:pPr>
              <w:spacing w:after="0"/>
              <w:rPr>
                <w:sz w:val="2"/>
                <w:szCs w:val="2"/>
                <w:color w:val="auto"/>
              </w:rPr>
            </w:pPr>
          </w:p>
        </w:tc>
        <w:tc>
          <w:tcPr>
            <w:tcW w:w="460" w:type="dxa"/>
            <w:vAlign w:val="bottom"/>
            <w:tcBorders>
              <w:bottom w:val="single" w:sz="8" w:color="CCEEFF"/>
            </w:tcBorders>
            <w:gridSpan w:val="3"/>
            <w:shd w:val="clear" w:color="auto" w:fill="CCEEFF"/>
          </w:tcPr>
          <w:p>
            <w:pPr>
              <w:spacing w:after="0"/>
              <w:rPr>
                <w:sz w:val="2"/>
                <w:szCs w:val="2"/>
                <w:color w:val="auto"/>
              </w:rPr>
            </w:pPr>
          </w:p>
        </w:tc>
        <w:tc>
          <w:tcPr>
            <w:tcW w:w="900" w:type="dxa"/>
            <w:vAlign w:val="bottom"/>
            <w:tcBorders>
              <w:bottom w:val="single" w:sz="8" w:color="CCEEFF"/>
            </w:tcBorders>
            <w:gridSpan w:val="3"/>
            <w:shd w:val="clear" w:color="auto" w:fill="CCEEFF"/>
          </w:tcPr>
          <w:p>
            <w:pPr>
              <w:spacing w:after="0"/>
              <w:rPr>
                <w:sz w:val="2"/>
                <w:szCs w:val="2"/>
                <w:color w:val="auto"/>
              </w:rPr>
            </w:pPr>
          </w:p>
        </w:tc>
        <w:tc>
          <w:tcPr>
            <w:tcW w:w="660" w:type="dxa"/>
            <w:vAlign w:val="bottom"/>
            <w:tcBorders>
              <w:bottom w:val="single" w:sz="8" w:color="CCEEFF"/>
            </w:tcBorders>
            <w:gridSpan w:val="3"/>
            <w:shd w:val="clear" w:color="auto" w:fill="CCEEFF"/>
          </w:tcPr>
          <w:p>
            <w:pPr>
              <w:spacing w:after="0"/>
              <w:rPr>
                <w:sz w:val="2"/>
                <w:szCs w:val="2"/>
                <w:color w:val="auto"/>
              </w:rPr>
            </w:pPr>
          </w:p>
        </w:tc>
        <w:tc>
          <w:tcPr>
            <w:tcW w:w="4920" w:type="dxa"/>
            <w:vAlign w:val="bottom"/>
            <w:tcBorders>
              <w:bottom w:val="single" w:sz="8" w:color="CCEEFF"/>
            </w:tcBorders>
            <w:gridSpan w:val="2"/>
            <w:vMerge w:val="continue"/>
            <w:shd w:val="clear" w:color="auto" w:fill="CCEEFF"/>
          </w:tcPr>
          <w:p>
            <w:pPr>
              <w:spacing w:after="0"/>
              <w:rPr>
                <w:sz w:val="2"/>
                <w:szCs w:val="2"/>
                <w:color w:val="auto"/>
              </w:rPr>
            </w:pPr>
          </w:p>
        </w:tc>
        <w:tc>
          <w:tcPr>
            <w:tcW w:w="38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b w:val="1"/>
                <w:bCs w:val="1"/>
                <w:color w:val="0000EE"/>
              </w:rPr>
              <w:t>SECTION 25.  GOVERNING LAW</w:t>
            </w:r>
          </w:p>
        </w:tc>
        <w:tc>
          <w:tcPr>
            <w:tcW w:w="900" w:type="dxa"/>
            <w:vAlign w:val="bottom"/>
            <w:gridSpan w:val="3"/>
            <w:vMerge w:val="restart"/>
          </w:tcPr>
          <w:p>
            <w:pPr>
              <w:spacing w:after="0"/>
              <w:rPr>
                <w:sz w:val="18"/>
                <w:szCs w:val="18"/>
                <w:color w:val="auto"/>
              </w:rPr>
            </w:pPr>
          </w:p>
        </w:tc>
        <w:tc>
          <w:tcPr>
            <w:tcW w:w="5580" w:type="dxa"/>
            <w:vAlign w:val="bottom"/>
            <w:gridSpan w:val="5"/>
            <w:vMerge w:val="restart"/>
          </w:tcPr>
          <w:p>
            <w:pPr>
              <w:spacing w:after="0"/>
              <w:rPr>
                <w:sz w:val="18"/>
                <w:szCs w:val="18"/>
                <w:color w:val="auto"/>
              </w:rPr>
            </w:pPr>
          </w:p>
        </w:tc>
        <w:tc>
          <w:tcPr>
            <w:tcW w:w="400" w:type="dxa"/>
            <w:vAlign w:val="bottom"/>
            <w:gridSpan w:val="3"/>
            <w:vMerge w:val="restart"/>
          </w:tcPr>
          <w:p>
            <w:pPr>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A-16</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2060" w:type="dxa"/>
            <w:vAlign w:val="bottom"/>
            <w:gridSpan w:val="8"/>
          </w:tcPr>
          <w:p>
            <w:pPr>
              <w:spacing w:after="0"/>
              <w:rPr>
                <w:sz w:val="2"/>
                <w:szCs w:val="2"/>
                <w:color w:val="auto"/>
              </w:rPr>
            </w:pPr>
          </w:p>
        </w:tc>
        <w:tc>
          <w:tcPr>
            <w:tcW w:w="460" w:type="dxa"/>
            <w:vAlign w:val="bottom"/>
            <w:gridSpan w:val="3"/>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5580" w:type="dxa"/>
            <w:vAlign w:val="bottom"/>
            <w:gridSpan w:val="5"/>
            <w:vMerge w:val="continue"/>
          </w:tcPr>
          <w:p>
            <w:pPr>
              <w:spacing w:after="0"/>
              <w:rPr>
                <w:sz w:val="2"/>
                <w:szCs w:val="2"/>
                <w:color w:val="auto"/>
              </w:rPr>
            </w:pPr>
          </w:p>
        </w:tc>
        <w:tc>
          <w:tcPr>
            <w:tcW w:w="400" w:type="dxa"/>
            <w:vAlign w:val="bottom"/>
            <w:gridSpan w:val="3"/>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tcBorders>
              <w:bottom w:val="single" w:sz="8" w:color="0000EE"/>
            </w:tcBorders>
            <w:gridSpan w:val="14"/>
            <w:shd w:val="clear" w:color="auto" w:fill="CCEEFF"/>
          </w:tcPr>
          <w:p>
            <w:pPr>
              <w:spacing w:after="0"/>
              <w:rPr>
                <w:sz w:val="20"/>
                <w:szCs w:val="20"/>
                <w:color w:val="auto"/>
              </w:rPr>
            </w:pPr>
            <w:r>
              <w:rPr>
                <w:rFonts w:ascii="Arial" w:cs="Arial" w:eastAsia="Arial" w:hAnsi="Arial"/>
                <w:sz w:val="16"/>
                <w:szCs w:val="16"/>
                <w:b w:val="1"/>
                <w:bCs w:val="1"/>
                <w:color w:val="0000EE"/>
              </w:rPr>
              <w:t>SECTION 26.  SUCCESSORS AND ASSIGNS</w:t>
            </w:r>
          </w:p>
        </w:tc>
        <w:tc>
          <w:tcPr>
            <w:tcW w:w="5580" w:type="dxa"/>
            <w:vAlign w:val="bottom"/>
            <w:tcBorders>
              <w:bottom w:val="single" w:sz="8" w:color="CCEEFF"/>
            </w:tcBorders>
            <w:gridSpan w:val="5"/>
            <w:vMerge w:val="restart"/>
            <w:shd w:val="clear" w:color="auto" w:fill="CCEEFF"/>
          </w:tcPr>
          <w:p>
            <w:pPr>
              <w:spacing w:after="0"/>
              <w:rPr>
                <w:sz w:val="19"/>
                <w:szCs w:val="19"/>
                <w:color w:val="auto"/>
              </w:rPr>
            </w:pPr>
          </w:p>
        </w:tc>
        <w:tc>
          <w:tcPr>
            <w:tcW w:w="380" w:type="dxa"/>
            <w:vAlign w:val="bottom"/>
            <w:tcBorders>
              <w:bottom w:val="single" w:sz="8" w:color="CCEEFF"/>
            </w:tcBorders>
            <w:gridSpan w:val="2"/>
            <w:vMerge w:val="restart"/>
            <w:shd w:val="clear" w:color="auto" w:fill="CCEEFF"/>
          </w:tcPr>
          <w:p>
            <w:pPr>
              <w:spacing w:after="0" w:line="283" w:lineRule="exact"/>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A-16</w:t>
            </w:r>
          </w:p>
        </w:tc>
        <w:tc>
          <w:tcPr>
            <w:tcW w:w="20" w:type="dxa"/>
            <w:vAlign w:val="bottom"/>
          </w:tcPr>
          <w:p>
            <w:pPr>
              <w:spacing w:after="0"/>
              <w:rPr>
                <w:sz w:val="19"/>
                <w:szCs w:val="19"/>
                <w:color w:val="auto"/>
              </w:rPr>
            </w:pP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
        </w:trPr>
        <w:tc>
          <w:tcPr>
            <w:tcW w:w="2060" w:type="dxa"/>
            <w:vAlign w:val="bottom"/>
            <w:tcBorders>
              <w:bottom w:val="single" w:sz="8" w:color="CCEEFF"/>
            </w:tcBorders>
            <w:gridSpan w:val="8"/>
            <w:shd w:val="clear" w:color="auto" w:fill="CCEEFF"/>
          </w:tcPr>
          <w:p>
            <w:pPr>
              <w:spacing w:after="0"/>
              <w:rPr>
                <w:sz w:val="2"/>
                <w:szCs w:val="2"/>
                <w:color w:val="auto"/>
              </w:rPr>
            </w:pPr>
          </w:p>
        </w:tc>
        <w:tc>
          <w:tcPr>
            <w:tcW w:w="1360" w:type="dxa"/>
            <w:vAlign w:val="bottom"/>
            <w:tcBorders>
              <w:bottom w:val="single" w:sz="8" w:color="CCEEFF"/>
            </w:tcBorders>
            <w:gridSpan w:val="6"/>
            <w:shd w:val="clear" w:color="auto" w:fill="CCEEFF"/>
          </w:tcPr>
          <w:p>
            <w:pPr>
              <w:spacing w:after="0"/>
              <w:rPr>
                <w:sz w:val="2"/>
                <w:szCs w:val="2"/>
                <w:color w:val="auto"/>
              </w:rPr>
            </w:pPr>
          </w:p>
        </w:tc>
        <w:tc>
          <w:tcPr>
            <w:tcW w:w="5580" w:type="dxa"/>
            <w:vAlign w:val="bottom"/>
            <w:tcBorders>
              <w:bottom w:val="single" w:sz="8" w:color="CCEEFF"/>
            </w:tcBorders>
            <w:gridSpan w:val="5"/>
            <w:vMerge w:val="continue"/>
            <w:shd w:val="clear" w:color="auto" w:fill="CCEEFF"/>
          </w:tcPr>
          <w:p>
            <w:pPr>
              <w:spacing w:after="0"/>
              <w:rPr>
                <w:sz w:val="2"/>
                <w:szCs w:val="2"/>
                <w:color w:val="auto"/>
              </w:rPr>
            </w:pPr>
          </w:p>
        </w:tc>
        <w:tc>
          <w:tcPr>
            <w:tcW w:w="380" w:type="dxa"/>
            <w:vAlign w:val="bottom"/>
            <w:tcBorders>
              <w:bottom w:val="single" w:sz="8" w:color="CCEEFF"/>
            </w:tcBorders>
            <w:gridSpan w:val="2"/>
            <w:vMerge w:val="continue"/>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b w:val="1"/>
                <w:bCs w:val="1"/>
                <w:color w:val="0000EE"/>
              </w:rPr>
              <w:t>SECTION 27.  EXECUTION</w:t>
            </w:r>
          </w:p>
        </w:tc>
        <w:tc>
          <w:tcPr>
            <w:tcW w:w="6940" w:type="dxa"/>
            <w:vAlign w:val="bottom"/>
            <w:gridSpan w:val="11"/>
            <w:vMerge w:val="restart"/>
          </w:tcPr>
          <w:p>
            <w:pPr>
              <w:spacing w:after="0"/>
              <w:rPr>
                <w:sz w:val="18"/>
                <w:szCs w:val="18"/>
                <w:color w:val="auto"/>
              </w:rPr>
            </w:pPr>
          </w:p>
        </w:tc>
        <w:tc>
          <w:tcPr>
            <w:tcW w:w="400" w:type="dxa"/>
            <w:vAlign w:val="bottom"/>
            <w:gridSpan w:val="3"/>
            <w:vMerge w:val="restart"/>
          </w:tcPr>
          <w:p>
            <w:pPr>
              <w:spacing w:after="0"/>
              <w:rPr>
                <w:sz w:val="20"/>
                <w:szCs w:val="20"/>
                <w:color w:val="auto"/>
              </w:rPr>
            </w:pP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0000EE"/>
              </w:rPr>
              <w:t>A-16</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3"/>
        </w:trPr>
        <w:tc>
          <w:tcPr>
            <w:tcW w:w="2060" w:type="dxa"/>
            <w:vAlign w:val="bottom"/>
            <w:gridSpan w:val="8"/>
          </w:tcPr>
          <w:p>
            <w:pPr>
              <w:spacing w:after="0"/>
              <w:rPr>
                <w:sz w:val="16"/>
                <w:szCs w:val="16"/>
                <w:color w:val="auto"/>
              </w:rPr>
            </w:pPr>
          </w:p>
        </w:tc>
        <w:tc>
          <w:tcPr>
            <w:tcW w:w="6940" w:type="dxa"/>
            <w:vAlign w:val="bottom"/>
            <w:gridSpan w:val="11"/>
            <w:vMerge w:val="continue"/>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-2629535</wp:posOffset>
            </wp:positionV>
            <wp:extent cx="571754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17540" cy="171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​A-iv</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Lucid Group, Inc.</w:t>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36"/>
          <w:szCs w:val="36"/>
          <w:b w:val="1"/>
          <w:bCs w:val="1"/>
          <w:color w:val="auto"/>
        </w:rPr>
        <w:t>Second Amended and Restated 2021 Stock Incentive Plan</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  ESTABLISHMENT AND PURPOSE.</w:t>
      </w:r>
    </w:p>
    <w:p>
      <w:pPr>
        <w:spacing w:after="0" w:line="172" w:lineRule="exact"/>
        <w:rPr>
          <w:sz w:val="20"/>
          <w:szCs w:val="20"/>
          <w:color w:val="auto"/>
        </w:rPr>
      </w:pPr>
    </w:p>
    <w:p>
      <w:pPr>
        <w:ind w:left="660" w:right="280"/>
        <w:spacing w:after="0" w:line="278" w:lineRule="auto"/>
        <w:rPr>
          <w:sz w:val="20"/>
          <w:szCs w:val="20"/>
          <w:color w:val="auto"/>
        </w:rPr>
      </w:pPr>
      <w:r>
        <w:rPr>
          <w:rFonts w:ascii="Arial" w:cs="Arial" w:eastAsia="Arial" w:hAnsi="Arial"/>
          <w:sz w:val="16"/>
          <w:szCs w:val="16"/>
          <w:color w:val="auto"/>
        </w:rPr>
        <w:t>The Plan was initially adopted by the Board on February 22, 2021. The Plan was amended on June 21, 2021, amended and restated on April 27, 2022, and amended and restated on March 2, 2023. Unless otherwise specifically provided in the Plan, the Plan shall be effective as of the Effective Date. The Plan’s purpose is to enhance the Company’s ability to attract, retain, incent, reward, and motivate persons who make (or are expected to make) important contributions to the Company and its Subsidiaries and Affiliates by providing these individuals with equity ownership and other incentive opportunities.</w:t>
      </w:r>
    </w:p>
    <w:p>
      <w:pPr>
        <w:spacing w:after="0" w:line="190" w:lineRule="exact"/>
        <w:rPr>
          <w:sz w:val="20"/>
          <w:szCs w:val="20"/>
          <w:color w:val="auto"/>
        </w:rPr>
      </w:pPr>
    </w:p>
    <w:p>
      <w:pPr>
        <w:ind w:left="660" w:right="40"/>
        <w:spacing w:after="0" w:line="273" w:lineRule="auto"/>
        <w:rPr>
          <w:sz w:val="20"/>
          <w:szCs w:val="20"/>
          <w:color w:val="auto"/>
        </w:rPr>
      </w:pPr>
      <w:r>
        <w:rPr>
          <w:rFonts w:ascii="Arial" w:cs="Arial" w:eastAsia="Arial" w:hAnsi="Arial"/>
          <w:sz w:val="16"/>
          <w:szCs w:val="16"/>
          <w:color w:val="auto"/>
        </w:rPr>
        <w:t xml:space="preserve">The Plan is intended as the successor to and continuation of the 2021 Plan. Following the Effective Date, no additional stock awards may be granted under the 2021 Plan, 2014 Plan or 2009 Plan. From and after the Effective Date, all outstanding stock awards granted under the 2021 Plan, 2014 Plan and 2009 Plan will remain subject to the terms of the 2021 Plan, 2014 Plan or 2009 Plan, as applicable;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Shares subject to stock awards granted under the 2021 Plan, 2014 Plan or 2009 Plan outstanding as of the Effective Date that (i) expire or terminate for any reason prior to exercise or settlement; (ii) are forfeited, cancelled or otherwise returned to the Company because of the failure to meet a contingency or condition required to vest such shares; or (iii) are reacquired or withheld (or not issued) to satisfy a tax withholding obligation in connection with an award or to satisfy the purchase price or exercise price of a stock award (the “</w:t>
      </w:r>
      <w:r>
        <w:rPr>
          <w:rFonts w:ascii="Arial" w:cs="Arial" w:eastAsia="Arial" w:hAnsi="Arial"/>
          <w:sz w:val="16"/>
          <w:szCs w:val="16"/>
          <w:b w:val="1"/>
          <w:bCs w:val="1"/>
          <w:color w:val="auto"/>
        </w:rPr>
        <w:t>Returning Shares</w:t>
      </w:r>
      <w:r>
        <w:rPr>
          <w:rFonts w:ascii="Arial" w:cs="Arial" w:eastAsia="Arial" w:hAnsi="Arial"/>
          <w:sz w:val="16"/>
          <w:szCs w:val="16"/>
          <w:color w:val="auto"/>
        </w:rPr>
        <w:t>”) will immediately be added to the Shares available for issuance under this Plan (as further described in Section 5(a) below) as and when such shares become Returning Shares, and become available for issuance pursuant to Awards granted hereunder. All Awards granted on or after the Effective Date will be subject to the terms of this Plan.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  DEFINITIONS.</w:t>
      </w:r>
    </w:p>
    <w:p>
      <w:pPr>
        <w:spacing w:after="0" w:line="185" w:lineRule="exact"/>
        <w:rPr>
          <w:sz w:val="20"/>
          <w:szCs w:val="20"/>
          <w:color w:val="auto"/>
        </w:rPr>
      </w:pPr>
    </w:p>
    <w:p>
      <w:pPr>
        <w:ind w:left="980" w:hanging="326"/>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“2009 Plan” means the 2009 Share Plan of Atieva, Inc., as amended.</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“2014 Plan” means the 2014 Share Plan of Atieva, Inc., as amended.</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“2021 Plan” means the Atieva, Inc. 2021 Stock Incentive Plan, as amended.</w:t>
      </w:r>
    </w:p>
    <w:p>
      <w:pPr>
        <w:spacing w:after="0" w:line="234" w:lineRule="exact"/>
        <w:rPr>
          <w:rFonts w:ascii="Arial" w:cs="Arial" w:eastAsia="Arial" w:hAnsi="Arial"/>
          <w:sz w:val="16"/>
          <w:szCs w:val="16"/>
          <w:color w:val="auto"/>
        </w:rPr>
      </w:pPr>
    </w:p>
    <w:p>
      <w:pPr>
        <w:ind w:left="660" w:right="100" w:hanging="6"/>
        <w:spacing w:after="0" w:line="304" w:lineRule="auto"/>
        <w:tabs>
          <w:tab w:leader="none" w:pos="993" w:val="left"/>
        </w:tabs>
        <w:numPr>
          <w:ilvl w:val="0"/>
          <w:numId w:val="56"/>
        </w:numPr>
        <w:rPr>
          <w:rFonts w:ascii="Arial" w:cs="Arial" w:eastAsia="Arial" w:hAnsi="Arial"/>
          <w:sz w:val="16"/>
          <w:szCs w:val="16"/>
          <w:color w:val="auto"/>
        </w:rPr>
      </w:pPr>
      <w:r>
        <w:rPr>
          <w:rFonts w:ascii="Arial" w:cs="Arial" w:eastAsia="Arial" w:hAnsi="Arial"/>
          <w:sz w:val="16"/>
          <w:szCs w:val="16"/>
          <w:color w:val="auto"/>
        </w:rPr>
        <w:t>“Affiliate” means any entity other than a Subsidiary, if the Company and/or one or more Subsidiaries own not less than 50% of such entity.</w:t>
      </w:r>
    </w:p>
    <w:p>
      <w:pPr>
        <w:spacing w:after="0" w:line="168" w:lineRule="exact"/>
        <w:rPr>
          <w:rFonts w:ascii="Arial" w:cs="Arial" w:eastAsia="Arial" w:hAnsi="Arial"/>
          <w:sz w:val="16"/>
          <w:szCs w:val="16"/>
          <w:color w:val="auto"/>
        </w:rPr>
      </w:pPr>
    </w:p>
    <w:p>
      <w:pPr>
        <w:ind w:left="660" w:right="160" w:hanging="6"/>
        <w:spacing w:after="0" w:line="304" w:lineRule="auto"/>
        <w:tabs>
          <w:tab w:leader="none" w:pos="993" w:val="left"/>
        </w:tabs>
        <w:numPr>
          <w:ilvl w:val="0"/>
          <w:numId w:val="56"/>
        </w:numPr>
        <w:rPr>
          <w:rFonts w:ascii="Arial" w:cs="Arial" w:eastAsia="Arial" w:hAnsi="Arial"/>
          <w:sz w:val="16"/>
          <w:szCs w:val="16"/>
          <w:color w:val="auto"/>
        </w:rPr>
      </w:pPr>
      <w:r>
        <w:rPr>
          <w:rFonts w:ascii="Arial" w:cs="Arial" w:eastAsia="Arial" w:hAnsi="Arial"/>
          <w:sz w:val="16"/>
          <w:szCs w:val="16"/>
          <w:color w:val="auto"/>
        </w:rPr>
        <w:t>“Award” means any award of an Option, a SAR, a Restricted Share, a Restricted Stock Unit, a Cash-Based Award or a Stock Purchase Right under the Plan.</w:t>
      </w:r>
    </w:p>
    <w:p>
      <w:pPr>
        <w:spacing w:after="0" w:line="154" w:lineRule="exact"/>
        <w:rPr>
          <w:rFonts w:ascii="Arial" w:cs="Arial" w:eastAsia="Arial" w:hAnsi="Arial"/>
          <w:sz w:val="16"/>
          <w:szCs w:val="16"/>
          <w:color w:val="auto"/>
        </w:rPr>
      </w:pPr>
    </w:p>
    <w:p>
      <w:pPr>
        <w:ind w:left="660" w:right="420" w:hanging="6"/>
        <w:spacing w:after="0" w:line="321" w:lineRule="auto"/>
        <w:tabs>
          <w:tab w:leader="none" w:pos="948" w:val="left"/>
        </w:tabs>
        <w:numPr>
          <w:ilvl w:val="0"/>
          <w:numId w:val="56"/>
        </w:numPr>
        <w:rPr>
          <w:rFonts w:ascii="Arial" w:cs="Arial" w:eastAsia="Arial" w:hAnsi="Arial"/>
          <w:sz w:val="16"/>
          <w:szCs w:val="16"/>
          <w:color w:val="auto"/>
        </w:rPr>
      </w:pPr>
      <w:r>
        <w:rPr>
          <w:rFonts w:ascii="Arial" w:cs="Arial" w:eastAsia="Arial" w:hAnsi="Arial"/>
          <w:sz w:val="16"/>
          <w:szCs w:val="16"/>
          <w:color w:val="auto"/>
        </w:rPr>
        <w:t>“Award Agreement” means the agreement between the Company and the recipient of an Award which contains the terms, conditions and restrictions pertaining to such Award.</w:t>
      </w:r>
    </w:p>
    <w:p>
      <w:pPr>
        <w:spacing w:after="0" w:line="155" w:lineRule="exact"/>
        <w:rPr>
          <w:rFonts w:ascii="Arial" w:cs="Arial" w:eastAsia="Arial" w:hAnsi="Arial"/>
          <w:sz w:val="16"/>
          <w:szCs w:val="16"/>
          <w:color w:val="auto"/>
        </w:rPr>
      </w:pPr>
    </w:p>
    <w:p>
      <w:pPr>
        <w:ind w:left="980" w:hanging="326"/>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“Board of Directors” or “Board” means the Board of Directors of the Company, as constituted from time to time.</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“Cash-Based Award” means an Award that entitles the Participant to receive a cash-denominated payment.</w:t>
      </w:r>
    </w:p>
    <w:p>
      <w:pPr>
        <w:spacing w:after="0" w:line="234" w:lineRule="exact"/>
        <w:rPr>
          <w:rFonts w:ascii="Arial" w:cs="Arial" w:eastAsia="Arial" w:hAnsi="Arial"/>
          <w:sz w:val="16"/>
          <w:szCs w:val="16"/>
          <w:color w:val="auto"/>
        </w:rPr>
      </w:pPr>
    </w:p>
    <w:p>
      <w:pPr>
        <w:jc w:val="both"/>
        <w:ind w:left="660" w:right="320" w:hanging="6"/>
        <w:spacing w:after="0" w:line="270" w:lineRule="auto"/>
        <w:tabs>
          <w:tab w:leader="none" w:pos="939" w:val="left"/>
        </w:tabs>
        <w:numPr>
          <w:ilvl w:val="0"/>
          <w:numId w:val="56"/>
        </w:numPr>
        <w:rPr>
          <w:rFonts w:ascii="Arial" w:cs="Arial" w:eastAsia="Arial" w:hAnsi="Arial"/>
          <w:sz w:val="16"/>
          <w:szCs w:val="16"/>
          <w:color w:val="auto"/>
        </w:rPr>
      </w:pPr>
      <w:r>
        <w:rPr>
          <w:rFonts w:ascii="Arial" w:cs="Arial" w:eastAsia="Arial" w:hAnsi="Arial"/>
          <w:sz w:val="16"/>
          <w:szCs w:val="16"/>
          <w:color w:val="auto"/>
        </w:rPr>
        <w:t>“Cause” means, unless such term or an equivalent term is otherwise defined by the applicable Award Agreement or other written agreement between a Participant and the Company applicable to an Award, any of the following: (i) Participant’s willful failure substantially to perform his or her duties and responsibilities to the Company or deliberate violation of a Company policy;</w:t>
      </w:r>
    </w:p>
    <w:p>
      <w:pPr>
        <w:ind w:left="660" w:right="140" w:hanging="6"/>
        <w:spacing w:after="0" w:line="274" w:lineRule="auto"/>
        <w:tabs>
          <w:tab w:leader="none" w:pos="8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Participant’s commission of any act of fraud, embezzlement, dishonesty or any other willful misconduct that has caused or is reasonably expected to result in material injury to the Company; (iii) Participant’s conviction of a felony, any crime involving moral turpitude or a misdemeanor where imprisonment is imposed, (iv) Participant’s gross incompetence in performing his or her duties to the Company or any of its Subsidiaries or Affiliates, (v) Participant’s material failure to comply with applicable laws or governmental regulations related to or in the course of Participant’s employment with or providing services to the Company or any of its Subsidiaries or Affiliates, (vi) unauthorized use or disclosure by Participant of any proprietary information or trade secrets of the Company or any other party to whom the Participant owes an obligation of nondisclosure as a result of his or her relationship with the Company; or (vii) Participant’s willful breach of any of his or her obligations under any written agreement or covenant</w:t>
      </w:r>
    </w:p>
    <w:p>
      <w:pPr>
        <w:spacing w:after="0" w:line="381"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100"/>
        <w:spacing w:after="0" w:line="283" w:lineRule="auto"/>
        <w:rPr>
          <w:sz w:val="20"/>
          <w:szCs w:val="20"/>
          <w:color w:val="auto"/>
        </w:rPr>
      </w:pPr>
      <w:r>
        <w:rPr>
          <w:rFonts w:ascii="Arial" w:cs="Arial" w:eastAsia="Arial" w:hAnsi="Arial"/>
          <w:sz w:val="16"/>
          <w:szCs w:val="16"/>
          <w:color w:val="auto"/>
        </w:rPr>
        <w:t>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5(d) below, and the term “Company” will be interpreted to include any Subsidiary, Parent or Affiliate, as appropriate.</w:t>
      </w:r>
    </w:p>
    <w:p>
      <w:pPr>
        <w:spacing w:after="0" w:line="185" w:lineRule="exact"/>
        <w:rPr>
          <w:sz w:val="20"/>
          <w:szCs w:val="20"/>
          <w:color w:val="auto"/>
        </w:rPr>
      </w:pPr>
    </w:p>
    <w:p>
      <w:pPr>
        <w:ind w:left="940" w:hanging="286"/>
        <w:spacing w:after="0"/>
        <w:tabs>
          <w:tab w:leader="none" w:pos="9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“Change in Control” means the occurrence of any of the following events:</w:t>
      </w:r>
    </w:p>
    <w:p>
      <w:pPr>
        <w:spacing w:after="0" w:line="248" w:lineRule="exact"/>
        <w:rPr>
          <w:rFonts w:ascii="Arial" w:cs="Arial" w:eastAsia="Arial" w:hAnsi="Arial"/>
          <w:sz w:val="16"/>
          <w:szCs w:val="16"/>
          <w:color w:val="auto"/>
        </w:rPr>
      </w:pPr>
    </w:p>
    <w:p>
      <w:pPr>
        <w:ind w:left="1280" w:right="220" w:hanging="356"/>
        <w:spacing w:after="0" w:line="321" w:lineRule="auto"/>
        <w:tabs>
          <w:tab w:leader="none" w:pos="12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 change in the composition of the Board occurs, as a result of which fewer than one-half of the incumbent directors are directors who either:</w:t>
      </w:r>
    </w:p>
    <w:p>
      <w:pPr>
        <w:spacing w:after="0" w:line="142" w:lineRule="exact"/>
        <w:rPr>
          <w:rFonts w:ascii="Arial" w:cs="Arial" w:eastAsia="Arial" w:hAnsi="Arial"/>
          <w:sz w:val="16"/>
          <w:szCs w:val="16"/>
          <w:color w:val="auto"/>
        </w:rPr>
      </w:pPr>
    </w:p>
    <w:p>
      <w:pPr>
        <w:ind w:left="1640" w:hanging="356"/>
        <w:spacing w:after="0"/>
        <w:tabs>
          <w:tab w:leader="none" w:pos="1640" w:val="left"/>
        </w:tabs>
        <w:numPr>
          <w:ilvl w:val="2"/>
          <w:numId w:val="58"/>
        </w:numPr>
        <w:rPr>
          <w:rFonts w:ascii="Arial" w:cs="Arial" w:eastAsia="Arial" w:hAnsi="Arial"/>
          <w:sz w:val="16"/>
          <w:szCs w:val="16"/>
          <w:color w:val="auto"/>
        </w:rPr>
      </w:pPr>
      <w:r>
        <w:rPr>
          <w:rFonts w:ascii="Arial" w:cs="Arial" w:eastAsia="Arial" w:hAnsi="Arial"/>
          <w:sz w:val="16"/>
          <w:szCs w:val="16"/>
          <w:color w:val="auto"/>
        </w:rPr>
        <w:t>Had been directors of the Company on the “look-back date” ​(as defined below) (the “original directors”); or</w:t>
      </w:r>
    </w:p>
    <w:p>
      <w:pPr>
        <w:spacing w:after="0" w:line="248" w:lineRule="exact"/>
        <w:rPr>
          <w:rFonts w:ascii="Arial" w:cs="Arial" w:eastAsia="Arial" w:hAnsi="Arial"/>
          <w:sz w:val="16"/>
          <w:szCs w:val="16"/>
          <w:color w:val="auto"/>
        </w:rPr>
      </w:pPr>
    </w:p>
    <w:p>
      <w:pPr>
        <w:ind w:left="1640" w:right="100" w:hanging="356"/>
        <w:spacing w:after="0" w:line="301" w:lineRule="auto"/>
        <w:tabs>
          <w:tab w:leader="none" w:pos="1640" w:val="left"/>
        </w:tabs>
        <w:numPr>
          <w:ilvl w:val="2"/>
          <w:numId w:val="58"/>
        </w:numPr>
        <w:rPr>
          <w:rFonts w:ascii="Arial" w:cs="Arial" w:eastAsia="Arial" w:hAnsi="Arial"/>
          <w:sz w:val="16"/>
          <w:szCs w:val="16"/>
          <w:color w:val="auto"/>
        </w:rPr>
      </w:pPr>
      <w:r>
        <w:rPr>
          <w:rFonts w:ascii="Arial" w:cs="Arial" w:eastAsia="Arial" w:hAnsi="Arial"/>
          <w:sz w:val="16"/>
          <w:szCs w:val="16"/>
          <w:color w:val="auto"/>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“continuing directors”);</w:t>
      </w:r>
    </w:p>
    <w:p>
      <w:pPr>
        <w:spacing w:after="0" w:line="158" w:lineRule="exact"/>
        <w:rPr>
          <w:sz w:val="20"/>
          <w:szCs w:val="20"/>
          <w:color w:val="auto"/>
        </w:rPr>
      </w:pPr>
    </w:p>
    <w:p>
      <w:pPr>
        <w:ind w:left="1280" w:right="40"/>
        <w:spacing w:after="0" w:line="283" w:lineRule="auto"/>
        <w:rPr>
          <w:sz w:val="20"/>
          <w:szCs w:val="20"/>
          <w:color w:val="auto"/>
        </w:rPr>
      </w:pPr>
      <w:r>
        <w:rPr>
          <w:rFonts w:ascii="Arial" w:cs="Arial" w:eastAsia="Arial" w:hAnsi="Arial"/>
          <w:sz w:val="16"/>
          <w:szCs w:val="16"/>
          <w:color w:val="auto"/>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185" w:lineRule="exact"/>
        <w:rPr>
          <w:sz w:val="20"/>
          <w:szCs w:val="20"/>
          <w:color w:val="auto"/>
        </w:rPr>
      </w:pPr>
    </w:p>
    <w:p>
      <w:pPr>
        <w:ind w:left="1280" w:right="40" w:hanging="356"/>
        <w:spacing w:after="0" w:line="287" w:lineRule="auto"/>
        <w:tabs>
          <w:tab w:leader="none" w:pos="12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“person” ​(as defined below) who by the acquisition or aggregation of securities, is or becomes the “beneficial owner” ​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83" w:lineRule="exact"/>
        <w:rPr>
          <w:rFonts w:ascii="Arial" w:cs="Arial" w:eastAsia="Arial" w:hAnsi="Arial"/>
          <w:sz w:val="16"/>
          <w:szCs w:val="16"/>
          <w:color w:val="auto"/>
        </w:rPr>
      </w:pPr>
    </w:p>
    <w:p>
      <w:pPr>
        <w:ind w:left="1280" w:right="300" w:hanging="356"/>
        <w:spacing w:after="0" w:line="291" w:lineRule="auto"/>
        <w:tabs>
          <w:tab w:leader="none" w:pos="12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p>
      <w:pPr>
        <w:spacing w:after="0" w:line="167" w:lineRule="exact"/>
        <w:rPr>
          <w:rFonts w:ascii="Arial" w:cs="Arial" w:eastAsia="Arial" w:hAnsi="Arial"/>
          <w:sz w:val="16"/>
          <w:szCs w:val="16"/>
          <w:color w:val="auto"/>
        </w:rPr>
      </w:pPr>
    </w:p>
    <w:p>
      <w:pPr>
        <w:ind w:left="1280" w:hanging="356"/>
        <w:spacing w:after="0"/>
        <w:tabs>
          <w:tab w:leader="none" w:pos="12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Company’s assets.</w:t>
      </w:r>
    </w:p>
    <w:p>
      <w:pPr>
        <w:spacing w:after="0" w:line="235" w:lineRule="exact"/>
        <w:rPr>
          <w:sz w:val="20"/>
          <w:szCs w:val="20"/>
          <w:color w:val="auto"/>
        </w:rPr>
      </w:pPr>
    </w:p>
    <w:p>
      <w:pPr>
        <w:ind w:left="660" w:right="160"/>
        <w:spacing w:after="0" w:line="321" w:lineRule="auto"/>
        <w:rPr>
          <w:sz w:val="20"/>
          <w:szCs w:val="20"/>
          <w:color w:val="auto"/>
        </w:rPr>
      </w:pPr>
      <w:r>
        <w:rPr>
          <w:rFonts w:ascii="Arial" w:cs="Arial" w:eastAsia="Arial" w:hAnsi="Arial"/>
          <w:sz w:val="16"/>
          <w:szCs w:val="16"/>
          <w:color w:val="auto"/>
        </w:rPr>
        <w:t>For purposes of subsection (j)(i) above, the term “look-back” date means the later of  (1) the Effective Date and (2) the date that is 24 months prior to the date of the event that may constitute a Change in Control.</w:t>
      </w:r>
    </w:p>
    <w:p>
      <w:pPr>
        <w:spacing w:after="0" w:line="142" w:lineRule="exact"/>
        <w:rPr>
          <w:sz w:val="20"/>
          <w:szCs w:val="20"/>
          <w:color w:val="auto"/>
        </w:rPr>
      </w:pPr>
    </w:p>
    <w:p>
      <w:pPr>
        <w:jc w:val="both"/>
        <w:ind w:left="660" w:right="60"/>
        <w:spacing w:after="0" w:line="283" w:lineRule="auto"/>
        <w:rPr>
          <w:sz w:val="20"/>
          <w:szCs w:val="20"/>
          <w:color w:val="auto"/>
        </w:rPr>
      </w:pPr>
      <w:r>
        <w:rPr>
          <w:rFonts w:ascii="Arial" w:cs="Arial" w:eastAsia="Arial" w:hAnsi="Arial"/>
          <w:sz w:val="16"/>
          <w:szCs w:val="16"/>
          <w:color w:val="auto"/>
        </w:rPr>
        <w:t>For purposes of subsection (j)(ii)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72" w:lineRule="exact"/>
        <w:rPr>
          <w:sz w:val="20"/>
          <w:szCs w:val="20"/>
          <w:color w:val="auto"/>
        </w:rPr>
      </w:pPr>
    </w:p>
    <w:p>
      <w:pPr>
        <w:ind w:left="660" w:right="100"/>
        <w:spacing w:after="0" w:line="282" w:lineRule="auto"/>
        <w:rPr>
          <w:sz w:val="20"/>
          <w:szCs w:val="20"/>
          <w:color w:val="auto"/>
        </w:rPr>
      </w:pPr>
      <w:r>
        <w:rPr>
          <w:rFonts w:ascii="Arial" w:cs="Arial" w:eastAsia="Arial" w:hAnsi="Arial"/>
          <w:sz w:val="16"/>
          <w:szCs w:val="16"/>
          <w:color w:val="auto"/>
        </w:rPr>
        <w:t>Any other provision of this Section 2(j)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p>
    <w:p>
      <w:pPr>
        <w:spacing w:after="0" w:line="175" w:lineRule="exact"/>
        <w:rPr>
          <w:sz w:val="20"/>
          <w:szCs w:val="20"/>
          <w:color w:val="auto"/>
        </w:rPr>
      </w:pPr>
    </w:p>
    <w:p>
      <w:pPr>
        <w:ind w:left="660" w:right="380" w:hanging="6"/>
        <w:spacing w:after="0" w:line="304" w:lineRule="auto"/>
        <w:tabs>
          <w:tab w:leader="none" w:pos="984"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“Code” means the United States Internal Revenue Code of 1986, as amended, and the rules and regulations promulgated thereunder.</w:t>
      </w:r>
    </w:p>
    <w:p>
      <w:pPr>
        <w:spacing w:after="0" w:line="168" w:lineRule="exact"/>
        <w:rPr>
          <w:rFonts w:ascii="Arial" w:cs="Arial" w:eastAsia="Arial" w:hAnsi="Arial"/>
          <w:sz w:val="16"/>
          <w:szCs w:val="16"/>
          <w:color w:val="auto"/>
        </w:rPr>
      </w:pPr>
    </w:p>
    <w:p>
      <w:pPr>
        <w:ind w:left="660" w:right="180" w:hanging="6"/>
        <w:spacing w:after="0" w:line="304" w:lineRule="auto"/>
        <w:tabs>
          <w:tab w:leader="none" w:pos="939"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“Committee” means the Compensation Committee as designated by the Board, which is authorized to administer the Plan, as described in Section 3 hereof.</w:t>
      </w:r>
    </w:p>
    <w:p>
      <w:pPr>
        <w:sectPr>
          <w:pgSz w:w="11900" w:h="16838" w:orient="portrait"/>
          <w:cols w:equalWidth="0" w:num="1">
            <w:col w:w="10080"/>
          </w:cols>
          <w:pgMar w:left="580" w:top="97" w:right="1239" w:bottom="1440" w:gutter="0" w:footer="0" w:header="0"/>
        </w:sectPr>
      </w:pPr>
    </w:p>
    <w:p>
      <w:pPr>
        <w:spacing w:after="0" w:line="35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40" w:hanging="386"/>
        <w:spacing w:after="0"/>
        <w:tabs>
          <w:tab w:leader="none" w:pos="10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“Company” means Lucid Group, Inc., a Delaware corporation, or any successor thereto.</w:t>
      </w:r>
    </w:p>
    <w:p>
      <w:pPr>
        <w:spacing w:after="0" w:line="234" w:lineRule="exact"/>
        <w:rPr>
          <w:rFonts w:ascii="Arial" w:cs="Arial" w:eastAsia="Arial" w:hAnsi="Arial"/>
          <w:sz w:val="16"/>
          <w:szCs w:val="16"/>
          <w:color w:val="auto"/>
        </w:rPr>
      </w:pPr>
    </w:p>
    <w:p>
      <w:pPr>
        <w:ind w:left="660" w:right="120" w:hanging="6"/>
        <w:spacing w:after="0" w:line="284" w:lineRule="auto"/>
        <w:tabs>
          <w:tab w:leader="none" w:pos="993"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“Consultant” means an individual who is a consultant or advisor and who provides bona fide services to the Company, a Parent, a Subsidiary, or an Affiliate as an independent contractor (not including service as a member of the Board) or a member of the Board of a Parent or a Subsidiary, in each case who is not an Employee.</w:t>
      </w:r>
    </w:p>
    <w:p>
      <w:pPr>
        <w:spacing w:after="0" w:line="197" w:lineRule="exact"/>
        <w:rPr>
          <w:rFonts w:ascii="Arial" w:cs="Arial" w:eastAsia="Arial" w:hAnsi="Arial"/>
          <w:sz w:val="16"/>
          <w:szCs w:val="16"/>
          <w:color w:val="auto"/>
        </w:rPr>
      </w:pPr>
    </w:p>
    <w:p>
      <w:pPr>
        <w:ind w:left="980" w:hanging="326"/>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“Disability” ​(i) means any permanent and total disability as defined by Section 22(e)(3) of the Code.</w:t>
      </w:r>
    </w:p>
    <w:p>
      <w:pPr>
        <w:spacing w:after="0" w:line="234" w:lineRule="exact"/>
        <w:rPr>
          <w:rFonts w:ascii="Arial" w:cs="Arial" w:eastAsia="Arial" w:hAnsi="Arial"/>
          <w:sz w:val="16"/>
          <w:szCs w:val="16"/>
          <w:color w:val="auto"/>
        </w:rPr>
      </w:pPr>
    </w:p>
    <w:p>
      <w:pPr>
        <w:ind w:left="660" w:right="140" w:hanging="6"/>
        <w:spacing w:after="0" w:line="283" w:lineRule="auto"/>
        <w:tabs>
          <w:tab w:leader="none" w:pos="993" w:val="left"/>
        </w:tabs>
        <w:numPr>
          <w:ilvl w:val="0"/>
          <w:numId w:val="61"/>
        </w:numPr>
        <w:rPr>
          <w:rFonts w:ascii="Arial" w:cs="Arial" w:eastAsia="Arial" w:hAnsi="Arial"/>
          <w:sz w:val="16"/>
          <w:szCs w:val="16"/>
          <w:color w:val="auto"/>
        </w:rPr>
      </w:pPr>
      <w:r>
        <w:rPr>
          <w:rFonts w:ascii="Arial" w:cs="Arial" w:eastAsia="Arial" w:hAnsi="Arial"/>
          <w:sz w:val="16"/>
          <w:szCs w:val="16"/>
          <w:color w:val="auto"/>
        </w:rPr>
        <w:t>“Effective Date” means the original effective date of this Plan, which was July 23, 2021, the date of the closing of the transactions contemplated by the Agreement and Plan of Merger by and among Churchill Capital Corp IV, a Delaware corporation (the “SPAC”), a new wholly-owned subsidiary of the SPAC and the Company, dated as of February 22, 2021 (the “Merger Agreement”).</w:t>
      </w:r>
    </w:p>
    <w:p>
      <w:pPr>
        <w:spacing w:after="0" w:line="185" w:lineRule="exact"/>
        <w:rPr>
          <w:rFonts w:ascii="Arial" w:cs="Arial" w:eastAsia="Arial" w:hAnsi="Arial"/>
          <w:sz w:val="16"/>
          <w:szCs w:val="16"/>
          <w:color w:val="auto"/>
        </w:rPr>
      </w:pPr>
    </w:p>
    <w:p>
      <w:pPr>
        <w:ind w:left="980" w:hanging="326"/>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“Employee” means any individual who is a common-law employee of the Company, a Parent, a Subsidiary, or an Affiliate.</w:t>
      </w:r>
    </w:p>
    <w:p>
      <w:pPr>
        <w:spacing w:after="0" w:line="248" w:lineRule="exact"/>
        <w:rPr>
          <w:rFonts w:ascii="Arial" w:cs="Arial" w:eastAsia="Arial" w:hAnsi="Arial"/>
          <w:sz w:val="16"/>
          <w:szCs w:val="16"/>
          <w:color w:val="auto"/>
        </w:rPr>
      </w:pPr>
    </w:p>
    <w:p>
      <w:pPr>
        <w:ind w:left="960" w:hanging="306"/>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“ESPP Addendum” means the Lucid Group, Inc. 2021 Employee Stock Purchase Plan attached to this Plan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234" w:lineRule="exact"/>
        <w:rPr>
          <w:rFonts w:ascii="Arial" w:cs="Arial" w:eastAsia="Arial" w:hAnsi="Arial"/>
          <w:sz w:val="16"/>
          <w:szCs w:val="16"/>
          <w:color w:val="auto"/>
        </w:rPr>
      </w:pPr>
    </w:p>
    <w:p>
      <w:pPr>
        <w:ind w:left="660" w:right="620" w:hanging="6"/>
        <w:spacing w:after="0" w:line="304" w:lineRule="auto"/>
        <w:tabs>
          <w:tab w:leader="none" w:pos="984"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“Exchange Act” means the United States Securities Exchange Act of 1934, as amended, and the rules and regulations promulgated thereunder.</w:t>
      </w:r>
    </w:p>
    <w:p>
      <w:pPr>
        <w:spacing w:after="0" w:line="168" w:lineRule="exact"/>
        <w:rPr>
          <w:rFonts w:ascii="Arial" w:cs="Arial" w:eastAsia="Arial" w:hAnsi="Arial"/>
          <w:sz w:val="16"/>
          <w:szCs w:val="16"/>
          <w:color w:val="auto"/>
        </w:rPr>
      </w:pPr>
    </w:p>
    <w:p>
      <w:pPr>
        <w:ind w:left="660" w:right="140" w:hanging="6"/>
        <w:spacing w:after="0" w:line="283" w:lineRule="auto"/>
        <w:tabs>
          <w:tab w:leader="none" w:pos="948" w:val="left"/>
        </w:tabs>
        <w:numPr>
          <w:ilvl w:val="0"/>
          <w:numId w:val="61"/>
        </w:numPr>
        <w:rPr>
          <w:rFonts w:ascii="Arial" w:cs="Arial" w:eastAsia="Arial" w:hAnsi="Arial"/>
          <w:sz w:val="16"/>
          <w:szCs w:val="16"/>
          <w:color w:val="auto"/>
        </w:rPr>
      </w:pPr>
      <w:r>
        <w:rPr>
          <w:rFonts w:ascii="Arial" w:cs="Arial" w:eastAsia="Arial" w:hAnsi="Arial"/>
          <w:sz w:val="16"/>
          <w:szCs w:val="16"/>
          <w:color w:val="auto"/>
        </w:rPr>
        <w:t>“Exercise Price” 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p>
    <w:p>
      <w:pPr>
        <w:spacing w:after="0" w:line="185" w:lineRule="exact"/>
        <w:rPr>
          <w:rFonts w:ascii="Arial" w:cs="Arial" w:eastAsia="Arial" w:hAnsi="Arial"/>
          <w:sz w:val="16"/>
          <w:szCs w:val="16"/>
          <w:color w:val="auto"/>
        </w:rPr>
      </w:pPr>
    </w:p>
    <w:p>
      <w:pPr>
        <w:ind w:left="980" w:hanging="326"/>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“Fair Market Value” with respect to a Share, means the market price of one Share, determined by the Committee as follows:</w:t>
      </w:r>
    </w:p>
    <w:p>
      <w:pPr>
        <w:spacing w:after="0" w:line="248" w:lineRule="exact"/>
        <w:rPr>
          <w:rFonts w:ascii="Arial" w:cs="Arial" w:eastAsia="Arial" w:hAnsi="Arial"/>
          <w:sz w:val="16"/>
          <w:szCs w:val="16"/>
          <w:color w:val="auto"/>
        </w:rPr>
      </w:pPr>
    </w:p>
    <w:p>
      <w:pPr>
        <w:ind w:left="1280" w:right="140" w:hanging="356"/>
        <w:spacing w:after="0" w:line="291" w:lineRule="auto"/>
        <w:tabs>
          <w:tab w:leader="none" w:pos="12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p>
    <w:p>
      <w:pPr>
        <w:spacing w:after="0" w:line="167" w:lineRule="exact"/>
        <w:rPr>
          <w:rFonts w:ascii="Arial" w:cs="Arial" w:eastAsia="Arial" w:hAnsi="Arial"/>
          <w:sz w:val="16"/>
          <w:szCs w:val="16"/>
          <w:color w:val="auto"/>
        </w:rPr>
      </w:pPr>
    </w:p>
    <w:p>
      <w:pPr>
        <w:ind w:left="1280" w:right="220" w:hanging="356"/>
        <w:spacing w:after="0" w:line="301" w:lineRule="auto"/>
        <w:tabs>
          <w:tab w:leader="none" w:pos="12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p>
    <w:p>
      <w:pPr>
        <w:spacing w:after="0" w:line="171" w:lineRule="exact"/>
        <w:rPr>
          <w:rFonts w:ascii="Arial" w:cs="Arial" w:eastAsia="Arial" w:hAnsi="Arial"/>
          <w:sz w:val="16"/>
          <w:szCs w:val="16"/>
          <w:color w:val="auto"/>
        </w:rPr>
      </w:pPr>
    </w:p>
    <w:p>
      <w:pPr>
        <w:ind w:left="1280" w:right="80" w:hanging="356"/>
        <w:spacing w:after="0" w:line="321" w:lineRule="auto"/>
        <w:tabs>
          <w:tab w:leader="none" w:pos="12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If none of the foregoing provisions is applicable, then the Fair Market Value shall be determined by the Committee in good faith on such basis as it deems appropriate.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all cases, the determination of Fair Market Value by the Committee shall be conclusive and binding on all persons.</w:t>
      </w:r>
    </w:p>
    <w:p>
      <w:pPr>
        <w:spacing w:after="0" w:line="248" w:lineRule="exact"/>
        <w:rPr>
          <w:sz w:val="20"/>
          <w:szCs w:val="20"/>
          <w:color w:val="auto"/>
        </w:rPr>
      </w:pPr>
    </w:p>
    <w:p>
      <w:pPr>
        <w:ind w:left="980" w:hanging="326"/>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“ISO” means an employee incentive stock option described in Section 422 of the Code.</w:t>
      </w:r>
    </w:p>
    <w:p>
      <w:pPr>
        <w:spacing w:after="0" w:line="248" w:lineRule="exact"/>
        <w:rPr>
          <w:rFonts w:ascii="Arial" w:cs="Arial" w:eastAsia="Arial" w:hAnsi="Arial"/>
          <w:sz w:val="16"/>
          <w:szCs w:val="16"/>
          <w:color w:val="auto"/>
        </w:rPr>
      </w:pPr>
    </w:p>
    <w:p>
      <w:pPr>
        <w:ind w:left="1020" w:hanging="366"/>
        <w:spacing w:after="0"/>
        <w:tabs>
          <w:tab w:leader="none" w:pos="10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“Nonstatutory Option” or “NSO” means an employee stock option that is not an ISO or a Stock Purchase Right.</w:t>
      </w:r>
    </w:p>
    <w:p>
      <w:pPr>
        <w:spacing w:after="0" w:line="248" w:lineRule="exact"/>
        <w:rPr>
          <w:rFonts w:ascii="Arial" w:cs="Arial" w:eastAsia="Arial" w:hAnsi="Arial"/>
          <w:sz w:val="16"/>
          <w:szCs w:val="16"/>
          <w:color w:val="auto"/>
        </w:rPr>
      </w:pPr>
    </w:p>
    <w:p>
      <w:pPr>
        <w:ind w:left="980" w:hanging="326"/>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“Option” means an ISO or NSO granted under the Plan and entitling the holder to purchase Shares.</w:t>
      </w:r>
    </w:p>
    <w:p>
      <w:pPr>
        <w:spacing w:after="0" w:line="234" w:lineRule="exact"/>
        <w:rPr>
          <w:rFonts w:ascii="Arial" w:cs="Arial" w:eastAsia="Arial" w:hAnsi="Arial"/>
          <w:sz w:val="16"/>
          <w:szCs w:val="16"/>
          <w:color w:val="auto"/>
        </w:rPr>
      </w:pPr>
    </w:p>
    <w:p>
      <w:pPr>
        <w:ind w:left="660" w:right="160" w:hanging="6"/>
        <w:spacing w:after="0" w:line="304" w:lineRule="auto"/>
        <w:tabs>
          <w:tab w:leader="none" w:pos="984"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“Outside Director” means a member of the Board who is not a common-law employee of, or paid consultant to, the Company, a Parent or a Subsidiary.</w:t>
      </w:r>
    </w:p>
    <w:p>
      <w:pPr>
        <w:spacing w:after="0" w:line="154" w:lineRule="exact"/>
        <w:rPr>
          <w:rFonts w:ascii="Arial" w:cs="Arial" w:eastAsia="Arial" w:hAnsi="Arial"/>
          <w:sz w:val="16"/>
          <w:szCs w:val="16"/>
          <w:color w:val="auto"/>
        </w:rPr>
      </w:pPr>
    </w:p>
    <w:p>
      <w:pPr>
        <w:ind w:left="660" w:right="160" w:hanging="6"/>
        <w:spacing w:after="0" w:line="283" w:lineRule="auto"/>
        <w:tabs>
          <w:tab w:leader="none" w:pos="984" w:val="left"/>
        </w:tabs>
        <w:numPr>
          <w:ilvl w:val="0"/>
          <w:numId w:val="62"/>
        </w:numPr>
        <w:rPr>
          <w:rFonts w:ascii="Arial" w:cs="Arial" w:eastAsia="Arial" w:hAnsi="Arial"/>
          <w:sz w:val="16"/>
          <w:szCs w:val="16"/>
          <w:color w:val="auto"/>
        </w:rPr>
      </w:pPr>
      <w:r>
        <w:rPr>
          <w:rFonts w:ascii="Arial" w:cs="Arial" w:eastAsia="Arial" w:hAnsi="Arial"/>
          <w:sz w:val="16"/>
          <w:szCs w:val="16"/>
          <w:color w:val="auto"/>
        </w:rPr>
        <w:t>“Parent”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19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6"/>
          <w:szCs w:val="16"/>
          <w:color w:val="auto"/>
        </w:rPr>
        <w:t>(aa)</w:t>
        <w:tab/>
        <w:t>“Participant” means a person who holds an Award.</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80" w:hanging="426"/>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“Plan” means this Second Amended and Restated 2021 Stock Incentive Plan of Lucid Group, Inc., as amended from time to</w:t>
      </w:r>
    </w:p>
    <w:p>
      <w:pPr>
        <w:spacing w:after="0" w:line="3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time.</w:t>
      </w:r>
    </w:p>
    <w:p>
      <w:pPr>
        <w:spacing w:after="0" w:line="222" w:lineRule="exact"/>
        <w:rPr>
          <w:rFonts w:ascii="Arial" w:cs="Arial" w:eastAsia="Arial" w:hAnsi="Arial"/>
          <w:sz w:val="16"/>
          <w:szCs w:val="16"/>
          <w:color w:val="auto"/>
        </w:rPr>
      </w:pPr>
    </w:p>
    <w:p>
      <w:pPr>
        <w:ind w:left="660" w:right="160" w:hanging="6"/>
        <w:spacing w:after="0" w:line="321" w:lineRule="auto"/>
        <w:tabs>
          <w:tab w:leader="none" w:pos="1065" w:val="left"/>
        </w:tabs>
        <w:numPr>
          <w:ilvl w:val="0"/>
          <w:numId w:val="63"/>
        </w:numPr>
        <w:rPr>
          <w:rFonts w:ascii="Arial" w:cs="Arial" w:eastAsia="Arial" w:hAnsi="Arial"/>
          <w:sz w:val="16"/>
          <w:szCs w:val="16"/>
          <w:color w:val="auto"/>
        </w:rPr>
      </w:pPr>
      <w:r>
        <w:rPr>
          <w:rFonts w:ascii="Arial" w:cs="Arial" w:eastAsia="Arial" w:hAnsi="Arial"/>
          <w:sz w:val="16"/>
          <w:szCs w:val="16"/>
          <w:color w:val="auto"/>
        </w:rPr>
        <w:t>“Purchase Price”means the consideration for which one Share may be acquired under the Plan (other than upon (i) exercise of an Option or (ii) exercise of any Stock Purchase Right under the ESPP Addendum), as specified by the Committee.</w:t>
      </w:r>
    </w:p>
    <w:p>
      <w:pPr>
        <w:spacing w:after="0" w:line="142" w:lineRule="exact"/>
        <w:rPr>
          <w:rFonts w:ascii="Arial" w:cs="Arial" w:eastAsia="Arial" w:hAnsi="Arial"/>
          <w:sz w:val="16"/>
          <w:szCs w:val="16"/>
          <w:color w:val="auto"/>
        </w:rPr>
      </w:pPr>
    </w:p>
    <w:p>
      <w:pPr>
        <w:ind w:left="660" w:right="420" w:hanging="6"/>
        <w:spacing w:after="0" w:line="304" w:lineRule="auto"/>
        <w:tabs>
          <w:tab w:leader="none" w:pos="10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“Restatement Date” means the date of the Company’s 2022 Annual Meeting of Stockholders, and “Second Restatement Date” means the date of the Company’s 2023 Annual Meeting of Stockholders.”</w:t>
      </w:r>
    </w:p>
    <w:p>
      <w:pPr>
        <w:spacing w:after="0" w:line="181" w:lineRule="exact"/>
        <w:rPr>
          <w:rFonts w:ascii="Arial" w:cs="Arial" w:eastAsia="Arial" w:hAnsi="Arial"/>
          <w:sz w:val="16"/>
          <w:szCs w:val="16"/>
          <w:color w:val="auto"/>
        </w:rPr>
      </w:pPr>
    </w:p>
    <w:p>
      <w:pPr>
        <w:ind w:left="1080" w:hanging="426"/>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“Restricted Share” means a Share awarded under the Plan.</w:t>
      </w:r>
    </w:p>
    <w:p>
      <w:pPr>
        <w:spacing w:after="0" w:line="234" w:lineRule="exact"/>
        <w:rPr>
          <w:rFonts w:ascii="Arial" w:cs="Arial" w:eastAsia="Arial" w:hAnsi="Arial"/>
          <w:sz w:val="16"/>
          <w:szCs w:val="16"/>
          <w:color w:val="auto"/>
        </w:rPr>
      </w:pPr>
    </w:p>
    <w:p>
      <w:pPr>
        <w:ind w:left="660" w:right="200" w:hanging="6"/>
        <w:spacing w:after="0" w:line="304" w:lineRule="auto"/>
        <w:tabs>
          <w:tab w:leader="none" w:pos="99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“Restricted Stock Unit” means a bookkeeping entry representing the Company’s obligation to deliver one Share (or distribute cash) on a future date in accordance with the provisions of a Restricted Stock Unit Award Agreement.</w:t>
      </w:r>
    </w:p>
    <w:p>
      <w:pPr>
        <w:spacing w:after="0" w:line="168" w:lineRule="exact"/>
        <w:rPr>
          <w:rFonts w:ascii="Arial" w:cs="Arial" w:eastAsia="Arial" w:hAnsi="Arial"/>
          <w:sz w:val="16"/>
          <w:szCs w:val="16"/>
          <w:color w:val="auto"/>
        </w:rPr>
      </w:pPr>
    </w:p>
    <w:p>
      <w:pPr>
        <w:ind w:left="1080" w:hanging="426"/>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“SAR” means a stock appreciation right granted under the Plan.</w:t>
      </w:r>
    </w:p>
    <w:p>
      <w:pPr>
        <w:spacing w:after="0" w:line="248" w:lineRule="exact"/>
        <w:rPr>
          <w:rFonts w:ascii="Arial" w:cs="Arial" w:eastAsia="Arial" w:hAnsi="Arial"/>
          <w:sz w:val="16"/>
          <w:szCs w:val="16"/>
          <w:color w:val="auto"/>
        </w:rPr>
      </w:pPr>
    </w:p>
    <w:p>
      <w:pPr>
        <w:ind w:left="1080" w:hanging="426"/>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“Section 409A” means Section 409A of the Code.</w:t>
      </w:r>
    </w:p>
    <w:p>
      <w:pPr>
        <w:spacing w:after="0" w:line="234" w:lineRule="exact"/>
        <w:rPr>
          <w:rFonts w:ascii="Arial" w:cs="Arial" w:eastAsia="Arial" w:hAnsi="Arial"/>
          <w:sz w:val="16"/>
          <w:szCs w:val="16"/>
          <w:color w:val="auto"/>
        </w:rPr>
      </w:pPr>
    </w:p>
    <w:p>
      <w:pPr>
        <w:ind w:left="660" w:right="780" w:hanging="6"/>
        <w:spacing w:after="0" w:line="321" w:lineRule="auto"/>
        <w:tabs>
          <w:tab w:leader="none" w:pos="975"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“Securities Act” means the United States Securities Act of 1933, as amended, the rules and regulations promulgated thereunder.</w:t>
      </w:r>
    </w:p>
    <w:p>
      <w:pPr>
        <w:spacing w:after="0" w:line="142" w:lineRule="exact"/>
        <w:rPr>
          <w:rFonts w:ascii="Arial" w:cs="Arial" w:eastAsia="Arial" w:hAnsi="Arial"/>
          <w:sz w:val="16"/>
          <w:szCs w:val="16"/>
          <w:color w:val="auto"/>
        </w:rPr>
      </w:pPr>
    </w:p>
    <w:p>
      <w:pPr>
        <w:ind w:left="660" w:right="40" w:hanging="6"/>
        <w:spacing w:after="0" w:line="274" w:lineRule="auto"/>
        <w:tabs>
          <w:tab w:leader="none" w:pos="975"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209" w:lineRule="exact"/>
        <w:rPr>
          <w:rFonts w:ascii="Arial" w:cs="Arial" w:eastAsia="Arial" w:hAnsi="Arial"/>
          <w:sz w:val="16"/>
          <w:szCs w:val="16"/>
          <w:color w:val="auto"/>
        </w:rPr>
      </w:pPr>
    </w:p>
    <w:p>
      <w:pPr>
        <w:ind w:left="1060" w:hanging="406"/>
        <w:spacing w:after="0"/>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“Share” means one Share of Stock, as adjusted in accordance with Section 13 (if applicable).</w:t>
      </w:r>
    </w:p>
    <w:p>
      <w:pPr>
        <w:spacing w:after="0" w:line="248" w:lineRule="exact"/>
        <w:rPr>
          <w:rFonts w:ascii="Arial" w:cs="Arial" w:eastAsia="Arial" w:hAnsi="Arial"/>
          <w:sz w:val="16"/>
          <w:szCs w:val="16"/>
          <w:color w:val="auto"/>
        </w:rPr>
      </w:pPr>
    </w:p>
    <w:p>
      <w:pPr>
        <w:ind w:left="960" w:hanging="306"/>
        <w:spacing w:after="0"/>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“Stock” means the Common Stock of the Company.</w:t>
      </w:r>
    </w:p>
    <w:p>
      <w:pPr>
        <w:spacing w:after="0" w:line="248" w:lineRule="exact"/>
        <w:rPr>
          <w:rFonts w:ascii="Arial" w:cs="Arial" w:eastAsia="Arial" w:hAnsi="Arial"/>
          <w:sz w:val="16"/>
          <w:szCs w:val="16"/>
          <w:color w:val="auto"/>
        </w:rPr>
      </w:pPr>
    </w:p>
    <w:p>
      <w:pPr>
        <w:ind w:left="1160" w:hanging="506"/>
        <w:spacing w:after="0"/>
        <w:tabs>
          <w:tab w:leader="none" w:pos="11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“Stock Purchase Right” means an option to purchase Shares granted pursuant to the ESPP Addendum.</w:t>
      </w:r>
    </w:p>
    <w:p>
      <w:pPr>
        <w:spacing w:after="0" w:line="234" w:lineRule="exact"/>
        <w:rPr>
          <w:rFonts w:ascii="Arial" w:cs="Arial" w:eastAsia="Arial" w:hAnsi="Arial"/>
          <w:sz w:val="16"/>
          <w:szCs w:val="16"/>
          <w:color w:val="auto"/>
        </w:rPr>
      </w:pPr>
    </w:p>
    <w:p>
      <w:pPr>
        <w:ind w:left="660" w:right="220" w:hanging="6"/>
        <w:spacing w:after="0" w:line="283" w:lineRule="auto"/>
        <w:tabs>
          <w:tab w:leader="none" w:pos="1083"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“Subsidiary” means any corporation, if the Company owns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3. ADMINISTRATION.</w:t>
      </w:r>
    </w:p>
    <w:p>
      <w:pPr>
        <w:spacing w:after="0" w:line="185" w:lineRule="exact"/>
        <w:rPr>
          <w:sz w:val="20"/>
          <w:szCs w:val="20"/>
          <w:color w:val="auto"/>
        </w:rPr>
      </w:pPr>
    </w:p>
    <w:p>
      <w:pPr>
        <w:ind w:left="660" w:right="60" w:hanging="6"/>
        <w:spacing w:after="0" w:line="278" w:lineRule="auto"/>
        <w:tabs>
          <w:tab w:leader="none" w:pos="993"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Committee Composition</w:t>
      </w:r>
      <w:r>
        <w:rPr>
          <w:rFonts w:ascii="Arial" w:cs="Arial" w:eastAsia="Arial" w:hAnsi="Arial"/>
          <w:sz w:val="16"/>
          <w:szCs w:val="16"/>
          <w:color w:val="auto"/>
        </w:rPr>
        <w:t>. The Plan shall be administered by a Committee appointed by the Board, or by the Board acting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The Committee shall consist of two or more directors of the Company. In addition, to the extent required by the Board, the composition of the Committee shall satisfy such requirements of the New York Stock Exchange (“</w:t>
      </w:r>
      <w:r>
        <w:rPr>
          <w:rFonts w:ascii="Arial" w:cs="Arial" w:eastAsia="Arial" w:hAnsi="Arial"/>
          <w:sz w:val="16"/>
          <w:szCs w:val="16"/>
          <w:b w:val="1"/>
          <w:bCs w:val="1"/>
          <w:color w:val="auto"/>
        </w:rPr>
        <w:t>NYSE</w:t>
      </w:r>
      <w:r>
        <w:rPr>
          <w:rFonts w:ascii="Arial" w:cs="Arial" w:eastAsia="Arial" w:hAnsi="Arial"/>
          <w:sz w:val="16"/>
          <w:szCs w:val="16"/>
          <w:color w:val="auto"/>
        </w:rPr>
        <w:t>”) or the Nasdaq Stock Market (“</w:t>
      </w:r>
      <w:r>
        <w:rPr>
          <w:rFonts w:ascii="Arial" w:cs="Arial" w:eastAsia="Arial" w:hAnsi="Arial"/>
          <w:sz w:val="16"/>
          <w:szCs w:val="16"/>
          <w:b w:val="1"/>
          <w:bCs w:val="1"/>
          <w:color w:val="auto"/>
        </w:rPr>
        <w:t>Nasdaq</w:t>
      </w:r>
      <w:r>
        <w:rPr>
          <w:rFonts w:ascii="Arial" w:cs="Arial" w:eastAsia="Arial" w:hAnsi="Arial"/>
          <w:sz w:val="16"/>
          <w:szCs w:val="16"/>
          <w:color w:val="auto"/>
        </w:rPr>
        <w:t>”), as applicable, and as the Securities and Exchange Commission may establish for administrators acting under plans intended to qualify for exemption under Rule 16b-3 (or its successor) under the Exchange Act.</w:t>
      </w:r>
    </w:p>
    <w:p>
      <w:pPr>
        <w:spacing w:after="0" w:line="176" w:lineRule="exact"/>
        <w:rPr>
          <w:rFonts w:ascii="Arial" w:cs="Arial" w:eastAsia="Arial" w:hAnsi="Arial"/>
          <w:sz w:val="16"/>
          <w:szCs w:val="16"/>
          <w:color w:val="auto"/>
        </w:rPr>
      </w:pPr>
    </w:p>
    <w:p>
      <w:pPr>
        <w:ind w:left="660" w:right="140" w:hanging="6"/>
        <w:spacing w:after="0" w:line="274" w:lineRule="auto"/>
        <w:tabs>
          <w:tab w:leader="none" w:pos="993"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Committee Appointment</w:t>
      </w:r>
      <w:r>
        <w:rPr>
          <w:rFonts w:ascii="Arial" w:cs="Arial" w:eastAsia="Arial" w:hAnsi="Arial"/>
          <w:sz w:val="16"/>
          <w:szCs w:val="16"/>
          <w:color w:val="auto"/>
        </w:rPr>
        <w:t>. The Board may also appoint one or more separate committees of the Board, each composed of</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directors of the Company who need not satisfy the requirements of Section 3(a), who may administer the Plan, grant Awards under the Plan and determine all terms of such grants, in each case with respect to all Employees, Consultants and Outside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Committee may also authorize one or more officers of the Company to designate Employees, other than officers under Section 16</w:t>
      </w:r>
    </w:p>
    <w:p>
      <w:pPr>
        <w:sectPr>
          <w:pgSz w:w="11900" w:h="16838" w:orient="portrait"/>
          <w:cols w:equalWidth="0" w:num="1">
            <w:col w:w="10080"/>
          </w:cols>
          <w:pgMar w:left="580" w:top="97" w:right="1239" w:bottom="1440" w:gutter="0" w:footer="0" w:header="0"/>
        </w:sectPr>
      </w:pPr>
    </w:p>
    <w:p>
      <w:pPr>
        <w:spacing w:after="0" w:line="395"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100"/>
        <w:spacing w:after="0" w:line="321" w:lineRule="auto"/>
        <w:rPr>
          <w:sz w:val="20"/>
          <w:szCs w:val="20"/>
          <w:color w:val="auto"/>
        </w:rPr>
      </w:pPr>
      <w:r>
        <w:rPr>
          <w:rFonts w:ascii="Arial" w:cs="Arial" w:eastAsia="Arial" w:hAnsi="Arial"/>
          <w:sz w:val="16"/>
          <w:szCs w:val="16"/>
          <w:color w:val="auto"/>
        </w:rPr>
        <w:t>of the Exchange Act, to receive Awards and/or to determine the number of such Awards to be received by such persons; provided, however, that the Board or Committee shall specify the total number of Awards that such officers may so award.</w:t>
      </w:r>
    </w:p>
    <w:p>
      <w:pPr>
        <w:spacing w:after="0" w:line="156" w:lineRule="exact"/>
        <w:rPr>
          <w:sz w:val="20"/>
          <w:szCs w:val="20"/>
          <w:color w:val="auto"/>
        </w:rPr>
      </w:pPr>
    </w:p>
    <w:p>
      <w:pPr>
        <w:ind w:left="660" w:right="320" w:hanging="6"/>
        <w:spacing w:after="0" w:line="321" w:lineRule="auto"/>
        <w:tabs>
          <w:tab w:leader="none" w:pos="984"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Committee Responsibilities</w:t>
      </w:r>
      <w:r>
        <w:rPr>
          <w:rFonts w:ascii="Arial" w:cs="Arial" w:eastAsia="Arial" w:hAnsi="Arial"/>
          <w:sz w:val="16"/>
          <w:szCs w:val="16"/>
          <w:color w:val="auto"/>
        </w:rPr>
        <w:t>. Subject to the provisions of the Plan, the Committee shall have full authority and discretion to</w:t>
      </w:r>
      <w:r>
        <w:rPr>
          <w:rFonts w:ascii="Arial" w:cs="Arial" w:eastAsia="Arial" w:hAnsi="Arial"/>
          <w:sz w:val="16"/>
          <w:szCs w:val="16"/>
          <w:i w:val="1"/>
          <w:iCs w:val="1"/>
          <w:color w:val="auto"/>
        </w:rPr>
        <w:t xml:space="preserve"> </w:t>
      </w:r>
      <w:r>
        <w:rPr>
          <w:rFonts w:ascii="Arial" w:cs="Arial" w:eastAsia="Arial" w:hAnsi="Arial"/>
          <w:sz w:val="16"/>
          <w:szCs w:val="16"/>
          <w:color w:val="auto"/>
        </w:rPr>
        <w:t>take the following actions:</w:t>
      </w:r>
    </w:p>
    <w:p>
      <w:pPr>
        <w:spacing w:after="0" w:line="155" w:lineRule="exact"/>
        <w:rPr>
          <w:rFonts w:ascii="Arial" w:cs="Arial" w:eastAsia="Arial" w:hAnsi="Arial"/>
          <w:sz w:val="16"/>
          <w:szCs w:val="16"/>
          <w:color w:val="auto"/>
        </w:rPr>
      </w:pPr>
    </w:p>
    <w:p>
      <w:pPr>
        <w:ind w:left="1460" w:hanging="446"/>
        <w:spacing w:after="0"/>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interpret the Plan and to apply its provisions;</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adopt, amend, or rescind rules, procedures, and forms relating to the Plan;</w:t>
      </w:r>
    </w:p>
    <w:p>
      <w:pPr>
        <w:spacing w:after="0" w:line="248" w:lineRule="exact"/>
        <w:rPr>
          <w:rFonts w:ascii="Arial" w:cs="Arial" w:eastAsia="Arial" w:hAnsi="Arial"/>
          <w:sz w:val="16"/>
          <w:szCs w:val="16"/>
          <w:color w:val="auto"/>
        </w:rPr>
      </w:pPr>
    </w:p>
    <w:p>
      <w:pPr>
        <w:ind w:left="1460" w:right="80" w:hanging="446"/>
        <w:spacing w:after="0" w:line="321" w:lineRule="auto"/>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adopt, amend, or terminate (A) the ESPP Addendum and (B) any sub-plans established for the purpose of satisfying applicable foreign laws including qualifying for preferred tax treatment under applicable foreign tax laws;</w:t>
      </w:r>
    </w:p>
    <w:p>
      <w:pPr>
        <w:spacing w:after="0" w:line="155" w:lineRule="exact"/>
        <w:rPr>
          <w:rFonts w:ascii="Arial" w:cs="Arial" w:eastAsia="Arial" w:hAnsi="Arial"/>
          <w:sz w:val="16"/>
          <w:szCs w:val="16"/>
          <w:color w:val="auto"/>
        </w:rPr>
      </w:pPr>
    </w:p>
    <w:p>
      <w:pPr>
        <w:ind w:left="1460" w:right="80" w:hanging="446"/>
        <w:spacing w:after="0" w:line="321" w:lineRule="auto"/>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carry out the purposes of the Plan;</w:t>
      </w:r>
    </w:p>
    <w:p>
      <w:pPr>
        <w:spacing w:after="0" w:line="155" w:lineRule="exact"/>
        <w:rPr>
          <w:rFonts w:ascii="Arial" w:cs="Arial" w:eastAsia="Arial" w:hAnsi="Arial"/>
          <w:sz w:val="16"/>
          <w:szCs w:val="16"/>
          <w:color w:val="auto"/>
        </w:rPr>
      </w:pPr>
    </w:p>
    <w:p>
      <w:pPr>
        <w:ind w:left="1460" w:hanging="446"/>
        <w:spacing w:after="0"/>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determine when Awards are to be granted under the Plan;</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select the Participants to whom Awards are to be granted;</w:t>
      </w:r>
    </w:p>
    <w:p>
      <w:pPr>
        <w:spacing w:after="0" w:line="261" w:lineRule="exact"/>
        <w:rPr>
          <w:rFonts w:ascii="Arial" w:cs="Arial" w:eastAsia="Arial" w:hAnsi="Arial"/>
          <w:sz w:val="16"/>
          <w:szCs w:val="16"/>
          <w:color w:val="auto"/>
        </w:rPr>
      </w:pPr>
    </w:p>
    <w:p>
      <w:pPr>
        <w:ind w:left="1460" w:hanging="446"/>
        <w:spacing w:after="0"/>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determine the type of Award and number of Shares or amount of cash to be made subject to each Award;</w:t>
      </w:r>
    </w:p>
    <w:p>
      <w:pPr>
        <w:spacing w:after="0" w:line="248" w:lineRule="exact"/>
        <w:rPr>
          <w:rFonts w:ascii="Arial" w:cs="Arial" w:eastAsia="Arial" w:hAnsi="Arial"/>
          <w:sz w:val="16"/>
          <w:szCs w:val="16"/>
          <w:color w:val="auto"/>
        </w:rPr>
      </w:pPr>
    </w:p>
    <w:p>
      <w:pPr>
        <w:ind w:left="1460" w:right="100" w:hanging="446"/>
        <w:spacing w:after="0" w:line="291" w:lineRule="auto"/>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prescribe the terms and conditions of each Award, including (without limitation) the Exercise Price and Purchase Price of any Award, and the vesting or duration of the Award (including accelerating the vesting of Awards, either at the time of the Award or thereafter, without the consent of the Participant), to determine whether an Option is to be classified as an ISO or as an NSO, to specify the provisions of the agreement relating to such Award and to determine and establish the terms and conditions of any Stock Purchase Right granted pursuant to the ESPP Addendum;</w:t>
      </w:r>
    </w:p>
    <w:p>
      <w:pPr>
        <w:spacing w:after="0" w:line="180" w:lineRule="exact"/>
        <w:rPr>
          <w:rFonts w:ascii="Arial" w:cs="Arial" w:eastAsia="Arial" w:hAnsi="Arial"/>
          <w:sz w:val="16"/>
          <w:szCs w:val="16"/>
          <w:color w:val="auto"/>
        </w:rPr>
      </w:pPr>
    </w:p>
    <w:p>
      <w:pPr>
        <w:ind w:left="1460" w:right="780" w:hanging="446"/>
        <w:spacing w:after="0" w:line="321" w:lineRule="auto"/>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amend any outstanding Award Agreement, subject to applicable legal restrictions and to the consent of the Participant if the Participant’s rights or obligations would be materially impaired;</w:t>
      </w:r>
    </w:p>
    <w:p>
      <w:pPr>
        <w:spacing w:after="0" w:line="155" w:lineRule="exact"/>
        <w:rPr>
          <w:rFonts w:ascii="Arial" w:cs="Arial" w:eastAsia="Arial" w:hAnsi="Arial"/>
          <w:sz w:val="16"/>
          <w:szCs w:val="16"/>
          <w:color w:val="auto"/>
        </w:rPr>
      </w:pPr>
    </w:p>
    <w:p>
      <w:pPr>
        <w:ind w:left="1460" w:right="60" w:hanging="446"/>
        <w:spacing w:after="0" w:line="321" w:lineRule="auto"/>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prescribe the consideration for the grant of each Award or other right under the Plan and to determine the sufficiency of such consideration;</w:t>
      </w:r>
    </w:p>
    <w:p>
      <w:pPr>
        <w:spacing w:after="0" w:line="155" w:lineRule="exact"/>
        <w:rPr>
          <w:rFonts w:ascii="Arial" w:cs="Arial" w:eastAsia="Arial" w:hAnsi="Arial"/>
          <w:sz w:val="16"/>
          <w:szCs w:val="16"/>
          <w:color w:val="auto"/>
        </w:rPr>
      </w:pPr>
    </w:p>
    <w:p>
      <w:pPr>
        <w:ind w:left="1460" w:right="580" w:hanging="446"/>
        <w:spacing w:after="0" w:line="321" w:lineRule="auto"/>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determine the disposition of each Award or other right under the Plan in the event of a Participant’s divorce or dissolution of marriage;</w:t>
      </w:r>
    </w:p>
    <w:p>
      <w:pPr>
        <w:spacing w:after="0" w:line="155" w:lineRule="exact"/>
        <w:rPr>
          <w:rFonts w:ascii="Arial" w:cs="Arial" w:eastAsia="Arial" w:hAnsi="Arial"/>
          <w:sz w:val="16"/>
          <w:szCs w:val="16"/>
          <w:color w:val="auto"/>
        </w:rPr>
      </w:pPr>
    </w:p>
    <w:p>
      <w:pPr>
        <w:ind w:left="1460" w:right="120" w:hanging="446"/>
        <w:spacing w:after="0" w:line="321" w:lineRule="auto"/>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determine whether Awards under the Plan will be granted in replacement of other grants under an incentive or other compensation plan of an acquired business;</w:t>
      </w:r>
    </w:p>
    <w:p>
      <w:pPr>
        <w:spacing w:after="0" w:line="155" w:lineRule="exact"/>
        <w:rPr>
          <w:rFonts w:ascii="Arial" w:cs="Arial" w:eastAsia="Arial" w:hAnsi="Arial"/>
          <w:sz w:val="16"/>
          <w:szCs w:val="16"/>
          <w:color w:val="auto"/>
        </w:rPr>
      </w:pPr>
    </w:p>
    <w:p>
      <w:pPr>
        <w:ind w:left="1460" w:hanging="446"/>
        <w:spacing w:after="0"/>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correct any defect, supply any omission, or reconcile any inconsistency in the Plan or any Award Agreement;</w:t>
      </w:r>
    </w:p>
    <w:p>
      <w:pPr>
        <w:spacing w:after="0" w:line="248" w:lineRule="exact"/>
        <w:rPr>
          <w:rFonts w:ascii="Arial" w:cs="Arial" w:eastAsia="Arial" w:hAnsi="Arial"/>
          <w:sz w:val="16"/>
          <w:szCs w:val="16"/>
          <w:color w:val="auto"/>
        </w:rPr>
      </w:pPr>
    </w:p>
    <w:p>
      <w:pPr>
        <w:ind w:left="1460" w:right="420" w:hanging="446"/>
        <w:spacing w:after="0" w:line="321" w:lineRule="auto"/>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establish or verify the extent of satisfaction of any performance goals or other conditions applicable to the grant, issuance, exercisability, vesting, and/or ability to retain any Award;</w:t>
      </w:r>
    </w:p>
    <w:p>
      <w:pPr>
        <w:spacing w:after="0" w:line="155" w:lineRule="exact"/>
        <w:rPr>
          <w:rFonts w:ascii="Arial" w:cs="Arial" w:eastAsia="Arial" w:hAnsi="Arial"/>
          <w:sz w:val="16"/>
          <w:szCs w:val="16"/>
          <w:color w:val="auto"/>
        </w:rPr>
      </w:pPr>
    </w:p>
    <w:p>
      <w:pPr>
        <w:ind w:left="1460" w:right="720" w:hanging="446"/>
        <w:spacing w:after="0" w:line="321" w:lineRule="auto"/>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administer the ESPP Addendum and exercise such authority and take such actions as set forth in the ESPP Addendum; and</w:t>
      </w:r>
    </w:p>
    <w:p>
      <w:pPr>
        <w:spacing w:after="0" w:line="155" w:lineRule="exact"/>
        <w:rPr>
          <w:rFonts w:ascii="Arial" w:cs="Arial" w:eastAsia="Arial" w:hAnsi="Arial"/>
          <w:sz w:val="16"/>
          <w:szCs w:val="16"/>
          <w:color w:val="auto"/>
        </w:rPr>
      </w:pPr>
    </w:p>
    <w:p>
      <w:pPr>
        <w:ind w:left="1460" w:hanging="446"/>
        <w:spacing w:after="0"/>
        <w:tabs>
          <w:tab w:leader="none" w:pos="14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To take any other actions deemed necessary or advisable for the administration of the Plan.</w:t>
      </w:r>
    </w:p>
    <w:p>
      <w:pPr>
        <w:spacing w:after="0" w:line="248"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ectPr>
          <w:pgSz w:w="11900" w:h="16838" w:orient="portrait"/>
          <w:cols w:equalWidth="0" w:num="1">
            <w:col w:w="10080"/>
          </w:cols>
          <w:pgMar w:left="580" w:top="97" w:right="1239" w:bottom="1440" w:gutter="0" w:footer="0" w:header="0"/>
        </w:sectPr>
      </w:pPr>
    </w:p>
    <w:p>
      <w:pPr>
        <w:spacing w:after="0" w:line="368"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4.  ELIGIBILITY.</w:t>
      </w:r>
    </w:p>
    <w:p>
      <w:pPr>
        <w:spacing w:after="0" w:line="172" w:lineRule="exact"/>
        <w:rPr>
          <w:sz w:val="20"/>
          <w:szCs w:val="20"/>
          <w:color w:val="auto"/>
        </w:rPr>
      </w:pPr>
    </w:p>
    <w:p>
      <w:pPr>
        <w:ind w:left="660" w:right="240" w:hanging="6"/>
        <w:spacing w:after="0" w:line="304" w:lineRule="auto"/>
        <w:tabs>
          <w:tab w:leader="none" w:pos="993"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General Rule</w:t>
      </w:r>
      <w:r>
        <w:rPr>
          <w:rFonts w:ascii="Arial" w:cs="Arial" w:eastAsia="Arial" w:hAnsi="Arial"/>
          <w:sz w:val="16"/>
          <w:szCs w:val="16"/>
          <w:color w:val="auto"/>
        </w:rPr>
        <w:t>. Only Employees, Consultants and Outside Directors shall be eligible for the grant of Awards. Only common-law employees of the Company, a Parent, or a Subsidiary shall be eligible for the grant of ISOs and Stock Purchase Rights.</w:t>
      </w:r>
    </w:p>
    <w:p>
      <w:pPr>
        <w:spacing w:after="0" w:line="168" w:lineRule="exact"/>
        <w:rPr>
          <w:rFonts w:ascii="Arial" w:cs="Arial" w:eastAsia="Arial" w:hAnsi="Arial"/>
          <w:sz w:val="16"/>
          <w:szCs w:val="16"/>
          <w:color w:val="auto"/>
        </w:rPr>
      </w:pPr>
    </w:p>
    <w:p>
      <w:pPr>
        <w:ind w:left="660" w:right="280" w:hanging="6"/>
        <w:spacing w:after="0" w:line="284" w:lineRule="auto"/>
        <w:tabs>
          <w:tab w:leader="none" w:pos="993"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Ten-Percent Stockholders</w:t>
      </w:r>
      <w:r>
        <w:rPr>
          <w:rFonts w:ascii="Arial" w:cs="Arial" w:eastAsia="Arial" w:hAnsi="Arial"/>
          <w:sz w:val="16"/>
          <w:szCs w:val="16"/>
          <w:color w:val="auto"/>
        </w:rPr>
        <w:t>. An Employee who owns more than 10% of the total combined voting power of all classes of</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stock of the Company, a Parent or Subsidiary shall not be eligible for the grant of an ISO unless such grant satisfies the requirements of Section 422(c)(5) of the Code.</w:t>
      </w:r>
    </w:p>
    <w:p>
      <w:pPr>
        <w:spacing w:after="0" w:line="183" w:lineRule="exact"/>
        <w:rPr>
          <w:rFonts w:ascii="Arial" w:cs="Arial" w:eastAsia="Arial" w:hAnsi="Arial"/>
          <w:sz w:val="16"/>
          <w:szCs w:val="16"/>
          <w:color w:val="auto"/>
        </w:rPr>
      </w:pPr>
    </w:p>
    <w:p>
      <w:pPr>
        <w:ind w:left="660" w:right="60" w:hanging="6"/>
        <w:spacing w:after="0" w:line="283" w:lineRule="auto"/>
        <w:tabs>
          <w:tab w:leader="none" w:pos="978"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Attribution Rules</w:t>
      </w:r>
      <w:r>
        <w:rPr>
          <w:rFonts w:ascii="Arial" w:cs="Arial" w:eastAsia="Arial" w:hAnsi="Arial"/>
          <w:sz w:val="16"/>
          <w:szCs w:val="16"/>
          <w:color w:val="auto"/>
        </w:rPr>
        <w:t>. For purposes of Section 4(b) above, in determining stock ownership, an Employee shall be deemed to own</w:t>
      </w:r>
      <w:r>
        <w:rPr>
          <w:rFonts w:ascii="Arial" w:cs="Arial" w:eastAsia="Arial" w:hAnsi="Arial"/>
          <w:sz w:val="16"/>
          <w:szCs w:val="16"/>
          <w:i w:val="1"/>
          <w:iCs w:val="1"/>
          <w:color w:val="auto"/>
        </w:rPr>
        <w:t xml:space="preserve"> </w:t>
      </w:r>
      <w:r>
        <w:rPr>
          <w:rFonts w:ascii="Arial" w:cs="Arial" w:eastAsia="Arial" w:hAnsi="Arial"/>
          <w:sz w:val="16"/>
          <w:szCs w:val="16"/>
          <w:color w:val="auto"/>
        </w:rPr>
        <w:t>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185" w:lineRule="exact"/>
        <w:rPr>
          <w:rFonts w:ascii="Arial" w:cs="Arial" w:eastAsia="Arial" w:hAnsi="Arial"/>
          <w:sz w:val="16"/>
          <w:szCs w:val="16"/>
          <w:color w:val="auto"/>
        </w:rPr>
      </w:pPr>
    </w:p>
    <w:p>
      <w:pPr>
        <w:ind w:left="660" w:right="300" w:hanging="6"/>
        <w:spacing w:after="0" w:line="301" w:lineRule="auto"/>
        <w:tabs>
          <w:tab w:leader="none" w:pos="993"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Outstanding Stock</w:t>
      </w:r>
      <w:r>
        <w:rPr>
          <w:rFonts w:ascii="Arial" w:cs="Arial" w:eastAsia="Arial" w:hAnsi="Arial"/>
          <w:sz w:val="16"/>
          <w:szCs w:val="16"/>
          <w:color w:val="auto"/>
        </w:rPr>
        <w:t>. For purposes of Section 4(b) above, “outstanding stock” shall include all stock actually issued and</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immediately after the grant. “Outstanding stock” shall not include Shares authorized for issuance under outstanding options held by the Employee or by any other person.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5.  STOCK SUBJECT TO PLAN; DIRECTOR COMPENSATION LIMIT.</w:t>
      </w:r>
    </w:p>
    <w:p>
      <w:pPr>
        <w:spacing w:after="0" w:line="199" w:lineRule="exact"/>
        <w:rPr>
          <w:sz w:val="20"/>
          <w:szCs w:val="20"/>
          <w:color w:val="auto"/>
        </w:rPr>
      </w:pPr>
    </w:p>
    <w:p>
      <w:pPr>
        <w:ind w:left="660" w:right="80" w:hanging="6"/>
        <w:spacing w:after="0" w:line="284" w:lineRule="auto"/>
        <w:tabs>
          <w:tab w:leader="none" w:pos="993"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Basic Limitation</w:t>
      </w:r>
      <w:r>
        <w:rPr>
          <w:rFonts w:ascii="Arial" w:cs="Arial" w:eastAsia="Arial" w:hAnsi="Arial"/>
          <w:sz w:val="16"/>
          <w:szCs w:val="16"/>
          <w:color w:val="auto"/>
        </w:rPr>
        <w:t>. Shares offered under the Plan shall be authorized but unissued Shares or treasury Shares.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Restatement Date, the maximum aggregate number of Shares authorized for issuance as Awards under the Plan on or after the Effective Date shall not exceed the sum of  (x) 75,669,244 Shares (consisting of  (i) 39,166,575 Shares approved by the Board on March 2, 2023, (ii) 15,000,000 Shares approved by the Board on April 27, 2022, (iii) 12,500,000 Shares initially authorized for issuance under the Plan as of the Effective Date and (iv) an additional 9,002,669 Shares initially authorized under the Plan as of the Effective Date which represents the number of Shares equal to the number of unallocated shares of stock of Atieva, Inc. remaining available for issuance under the 2021 Plan, 2014 Plan and 2009 Plan as of the Effective Date (as adjusted by the conversion ratio pursuant to the terms of the Merger Agreement in connection with the consummation of the transactions contemplated by the Merger Agreement)), plus (y) the Returning Shares, if any, which become available for grant under this Plan from time to time on or after the Effective Date. Notwithstanding the foregoing, the number of Shares that may be delivered in the aggregate pursuant to the exercise of ISOs granted under the Plan on or after the Effective Date shall not exceed 75,669,244 Shares plus, to the extent allowable under Section 422 of the Code, any Shares that become available for issuance under the Plan pursuant to Section 5(c). In addition, notwithstanding the foregoing, the number of Shares that may be delivered in the aggregate pursuant to the exercise of Stock Purchase Rights granted under the Plan and the ESPP Addendum on or after the Effective Date shall not exceed 75,669,244 Shares. The limitations of this Section 5(a) shall be subject to adjustment pursuant to Section 13.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85" w:lineRule="exact"/>
        <w:rPr>
          <w:rFonts w:ascii="Arial" w:cs="Arial" w:eastAsia="Arial" w:hAnsi="Arial"/>
          <w:sz w:val="16"/>
          <w:szCs w:val="16"/>
          <w:color w:val="auto"/>
        </w:rPr>
      </w:pPr>
    </w:p>
    <w:p>
      <w:pPr>
        <w:ind w:left="660" w:right="60" w:hanging="6"/>
        <w:spacing w:after="0" w:line="286" w:lineRule="auto"/>
        <w:tabs>
          <w:tab w:leader="none" w:pos="987"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Additional Shares</w:t>
      </w:r>
      <w:r>
        <w:rPr>
          <w:rFonts w:ascii="Arial" w:cs="Arial" w:eastAsia="Arial" w:hAnsi="Arial"/>
          <w:sz w:val="16"/>
          <w:szCs w:val="16"/>
          <w:color w:val="auto"/>
        </w:rPr>
        <w:t>. If Restricted Shares or Shares issued upon the exercise of options are forfeited, then such Shares shall</w:t>
      </w:r>
      <w:r>
        <w:rPr>
          <w:rFonts w:ascii="Arial" w:cs="Arial" w:eastAsia="Arial" w:hAnsi="Arial"/>
          <w:sz w:val="16"/>
          <w:szCs w:val="16"/>
          <w:i w:val="1"/>
          <w:iCs w:val="1"/>
          <w:color w:val="auto"/>
        </w:rPr>
        <w:t xml:space="preserve"> </w:t>
      </w:r>
      <w:r>
        <w:rPr>
          <w:rFonts w:ascii="Arial" w:cs="Arial" w:eastAsia="Arial" w:hAnsi="Arial"/>
          <w:sz w:val="16"/>
          <w:szCs w:val="16"/>
          <w:color w:val="auto"/>
        </w:rPr>
        <w:t>again become available for Awards under the Plan. If Restricted Stock Units, Options, SARs or Stock Purchase Rights are forfeited or terminate for any reason before being exercised or settled, or an Award is settled in cash without the delivery of Shares to the holder, then the corresponding Shares shall again become available for Awards under the Plan. If Restricted Stock Units or SARs are settled, then only the number of Shares (if any) actually issued in settlement of such Restricted Stock Units or SARs shall reduce the number available in Section 5(a) and the balance (including any Shares withheld to satisfy tax withholding obligations) shall again become available for Awards under the Plan. Any Shares withheld to satisfy the Exercise Price or tax withholding obligation pursuant to any Award of Options or SARs shall be added back to the Shares available for Awards under the Plan. Notwithstanding the foregoing provisions of this Section 5(b), Shares that have actually been issued shall not again become available for Awards under the Plan, except for Shares that are forfeited and do not become vested.</w:t>
      </w:r>
    </w:p>
    <w:p>
      <w:pPr>
        <w:spacing w:after="0" w:line="183" w:lineRule="exact"/>
        <w:rPr>
          <w:rFonts w:ascii="Arial" w:cs="Arial" w:eastAsia="Arial" w:hAnsi="Arial"/>
          <w:sz w:val="16"/>
          <w:szCs w:val="16"/>
          <w:color w:val="auto"/>
        </w:rPr>
      </w:pPr>
    </w:p>
    <w:p>
      <w:pPr>
        <w:ind w:left="660" w:right="80" w:hanging="6"/>
        <w:spacing w:after="0" w:line="288" w:lineRule="auto"/>
        <w:tabs>
          <w:tab w:leader="none" w:pos="984"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Substitution and Assumption of Awards</w:t>
      </w:r>
      <w:r>
        <w:rPr>
          <w:rFonts w:ascii="Arial" w:cs="Arial" w:eastAsia="Arial" w:hAnsi="Arial"/>
          <w:sz w:val="16"/>
          <w:szCs w:val="16"/>
          <w:color w:val="auto"/>
        </w:rPr>
        <w:t>. The Committee may make Awards under the Plan by assumption, substitution,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of stock options, stock appreciation rights, restricted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w:t>
      </w:r>
    </w:p>
    <w:p>
      <w:pPr>
        <w:sectPr>
          <w:pgSz w:w="11900" w:h="16838" w:orient="portrait"/>
          <w:cols w:equalWidth="0" w:num="1">
            <w:col w:w="10080"/>
          </w:cols>
          <w:pgMar w:left="580" w:top="97" w:right="1239" w:bottom="1440" w:gutter="0" w:footer="0" w:header="0"/>
        </w:sectPr>
      </w:pPr>
    </w:p>
    <w:p>
      <w:pPr>
        <w:spacing w:after="0" w:line="368"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660" w:right="200"/>
        <w:spacing w:after="0" w:line="284" w:lineRule="auto"/>
        <w:rPr>
          <w:sz w:val="20"/>
          <w:szCs w:val="20"/>
          <w:color w:val="auto"/>
        </w:rPr>
      </w:pPr>
      <w:r>
        <w:rPr>
          <w:rFonts w:ascii="Arial" w:cs="Arial" w:eastAsia="Arial" w:hAnsi="Arial"/>
          <w:sz w:val="16"/>
          <w:szCs w:val="16"/>
          <w:color w:val="auto"/>
        </w:rPr>
        <w:t>to the Shares available for Awards under the Plan as provided in Section 5(b) above), except that Shares acquired by exercise of substitute ISOs will count against the maximum number of Shares that may be issued pursuant to the exercise of ISOs under the Plan.</w:t>
      </w:r>
    </w:p>
    <w:p>
      <w:pPr>
        <w:spacing w:after="0" w:line="184" w:lineRule="exact"/>
        <w:rPr>
          <w:sz w:val="20"/>
          <w:szCs w:val="20"/>
          <w:color w:val="auto"/>
        </w:rPr>
      </w:pPr>
    </w:p>
    <w:p>
      <w:pPr>
        <w:ind w:left="660" w:right="60" w:hanging="6"/>
        <w:spacing w:after="0" w:line="275" w:lineRule="auto"/>
        <w:tabs>
          <w:tab w:leader="none" w:pos="993"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Outside Director Compensation Limit</w:t>
      </w:r>
      <w:r>
        <w:rPr>
          <w:rFonts w:ascii="Arial" w:cs="Arial" w:eastAsia="Arial" w:hAnsi="Arial"/>
          <w:sz w:val="16"/>
          <w:szCs w:val="16"/>
          <w:color w:val="auto"/>
        </w:rPr>
        <w:t>. The maximum number of Shares subject to Awards granted under the Plan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during any one calendar year to any Outside Director, taken together with any cash fees paid by the Company to such Outside Director during such calendar year for service on the Board (excluding any arrangements entered into prior to the Effective Date), will not exceed seven-hundred and fifty thousand dollars ($750,000) in total value (calculating the value of any such Awards based on the grant date fair value of such Awards for financial reporting purposes, or, with respect to the calendar year in which an Outside Director is first appointed or elected to the Board, one-million dollars ($1,000,000)).</w:t>
      </w:r>
    </w:p>
    <w:p>
      <w:pPr>
        <w:spacing w:after="0" w:line="193" w:lineRule="exact"/>
        <w:rPr>
          <w:rFonts w:ascii="Arial" w:cs="Arial" w:eastAsia="Arial" w:hAnsi="Arial"/>
          <w:sz w:val="16"/>
          <w:szCs w:val="16"/>
          <w:color w:val="auto"/>
        </w:rPr>
      </w:pPr>
    </w:p>
    <w:p>
      <w:pPr>
        <w:ind w:left="660" w:right="40" w:hanging="6"/>
        <w:spacing w:after="0" w:line="273" w:lineRule="auto"/>
        <w:tabs>
          <w:tab w:leader="none" w:pos="993"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No Repricing</w:t>
      </w:r>
      <w:r>
        <w:rPr>
          <w:rFonts w:ascii="Arial" w:cs="Arial" w:eastAsia="Arial" w:hAnsi="Arial"/>
          <w:sz w:val="16"/>
          <w:szCs w:val="16"/>
          <w:color w:val="auto"/>
        </w:rPr>
        <w:t>. Notwithstanding any other provision of the Plan to the contrary, except in connection with a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involving the Company (including, without limitation, a Change in Control and any transaction or event described in Section 13), the Committee may not, without stockholder approval, (X) effect any repricing or buyout of any “underwater” Option or SAR, including by: (i) amending or modifying the terms of the Option or SAR to lower the exercise price; (ii) cancelling the underwater Option or SAR and granting in exchange therefor either (A) replacement Options or SARs having a lower exercise price or (B) Restricted Shares or Restricted Stock Units; or (iii) cancelling or repurchasing the underwater Options or SARs for cash or other securities or (Y) take any other action with respect to an Option or SAR that would be treated as a repricing under the rules and regulations of the principal securities market on which Stock is traded. Any amendment or repeal of this Section 5(e) shall require the approval of the stockholders of the Company.</w:t>
      </w:r>
    </w:p>
    <w:p>
      <w:pPr>
        <w:spacing w:after="0" w:line="195" w:lineRule="exact"/>
        <w:rPr>
          <w:rFonts w:ascii="Arial" w:cs="Arial" w:eastAsia="Arial" w:hAnsi="Arial"/>
          <w:sz w:val="16"/>
          <w:szCs w:val="16"/>
          <w:color w:val="auto"/>
        </w:rPr>
      </w:pPr>
    </w:p>
    <w:p>
      <w:pPr>
        <w:ind w:left="660" w:right="180" w:hanging="6"/>
        <w:spacing w:after="0" w:line="278" w:lineRule="auto"/>
        <w:tabs>
          <w:tab w:leader="none" w:pos="948"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Prohibition on Dividends on Unvested Awards. </w:t>
      </w:r>
      <w:r>
        <w:rPr>
          <w:rFonts w:ascii="Arial" w:cs="Arial" w:eastAsia="Arial" w:hAnsi="Arial"/>
          <w:sz w:val="16"/>
          <w:szCs w:val="16"/>
          <w:color w:val="auto"/>
        </w:rPr>
        <w:t>Dividends or dividend equivalents may be credited on behalf of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unvested portion of an Award, in accordance with the other terms of the Plan (and applicable Award Agreement). However, for the avoidance of doubt, in no event shall any dividends or dividend equivalents credited with respect to the unvested portion of an Award be distributed to the Participant unless or until such unvested portion of the Award has been earned (if applicable) and has vested.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6.  RESTRICTED SHARES.</w:t>
      </w:r>
    </w:p>
    <w:p>
      <w:pPr>
        <w:spacing w:after="0" w:line="172" w:lineRule="exact"/>
        <w:rPr>
          <w:sz w:val="20"/>
          <w:szCs w:val="20"/>
          <w:color w:val="auto"/>
        </w:rPr>
      </w:pPr>
    </w:p>
    <w:p>
      <w:pPr>
        <w:ind w:left="660" w:right="40" w:hanging="6"/>
        <w:spacing w:after="0" w:line="283" w:lineRule="auto"/>
        <w:tabs>
          <w:tab w:leader="none" w:pos="993"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Restricted Share Award Agreement</w:t>
      </w:r>
      <w:r>
        <w:rPr>
          <w:rFonts w:ascii="Arial" w:cs="Arial" w:eastAsia="Arial" w:hAnsi="Arial"/>
          <w:sz w:val="16"/>
          <w:szCs w:val="16"/>
          <w:color w:val="auto"/>
        </w:rPr>
        <w:t>. Each grant of Restricted Shares under the Plan shall be evidenced by a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71" w:lineRule="exact"/>
        <w:rPr>
          <w:rFonts w:ascii="Arial" w:cs="Arial" w:eastAsia="Arial" w:hAnsi="Arial"/>
          <w:sz w:val="16"/>
          <w:szCs w:val="16"/>
          <w:color w:val="auto"/>
        </w:rPr>
      </w:pPr>
    </w:p>
    <w:p>
      <w:pPr>
        <w:ind w:left="660" w:right="360" w:hanging="6"/>
        <w:spacing w:after="0" w:line="292" w:lineRule="auto"/>
        <w:tabs>
          <w:tab w:leader="none" w:pos="993"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Payment for Awards</w:t>
      </w:r>
      <w:r>
        <w:rPr>
          <w:rFonts w:ascii="Arial" w:cs="Arial" w:eastAsia="Arial" w:hAnsi="Arial"/>
          <w:sz w:val="16"/>
          <w:szCs w:val="16"/>
          <w:color w:val="auto"/>
        </w:rPr>
        <w:t>. Restricted Shares may be sold or awarded under the Plan for such consideration as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may determine, including (without limitation) cash, cash equivalents, full-recourse promissory notes, past services, and future services.</w:t>
      </w:r>
    </w:p>
    <w:p>
      <w:pPr>
        <w:spacing w:after="0" w:line="165" w:lineRule="exact"/>
        <w:rPr>
          <w:rFonts w:ascii="Arial" w:cs="Arial" w:eastAsia="Arial" w:hAnsi="Arial"/>
          <w:sz w:val="16"/>
          <w:szCs w:val="16"/>
          <w:color w:val="auto"/>
        </w:rPr>
      </w:pPr>
    </w:p>
    <w:p>
      <w:pPr>
        <w:jc w:val="both"/>
        <w:ind w:left="660" w:right="120" w:hanging="6"/>
        <w:spacing w:after="0" w:line="292" w:lineRule="auto"/>
        <w:tabs>
          <w:tab w:leader="none" w:pos="984"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Vesting</w:t>
      </w:r>
      <w:r>
        <w:rPr>
          <w:rFonts w:ascii="Arial" w:cs="Arial" w:eastAsia="Arial" w:hAnsi="Arial"/>
          <w:sz w:val="16"/>
          <w:szCs w:val="16"/>
          <w:color w:val="auto"/>
        </w:rPr>
        <w:t>. Each Award of Restricted Shares may or may not be subject to vesting. Vesting shall occur, in full or in installments,</w:t>
      </w:r>
      <w:r>
        <w:rPr>
          <w:rFonts w:ascii="Arial" w:cs="Arial" w:eastAsia="Arial" w:hAnsi="Arial"/>
          <w:sz w:val="16"/>
          <w:szCs w:val="16"/>
          <w:i w:val="1"/>
          <w:iCs w:val="1"/>
          <w:color w:val="auto"/>
        </w:rPr>
        <w:t xml:space="preserve"> </w:t>
      </w:r>
      <w:r>
        <w:rPr>
          <w:rFonts w:ascii="Arial" w:cs="Arial" w:eastAsia="Arial" w:hAnsi="Arial"/>
          <w:sz w:val="16"/>
          <w:szCs w:val="16"/>
          <w:color w:val="auto"/>
        </w:rPr>
        <w:t>upon satisfaction of the conditions specified in the Restricted Share Award Agreement. A Restricted Share Award Agreement may provide for accelerated vesting in the event of the Participant’s death, Disability or retirement or other events.</w:t>
      </w:r>
    </w:p>
    <w:p>
      <w:pPr>
        <w:spacing w:after="0" w:line="165" w:lineRule="exact"/>
        <w:rPr>
          <w:rFonts w:ascii="Arial" w:cs="Arial" w:eastAsia="Arial" w:hAnsi="Arial"/>
          <w:sz w:val="16"/>
          <w:szCs w:val="16"/>
          <w:color w:val="auto"/>
        </w:rPr>
      </w:pPr>
    </w:p>
    <w:p>
      <w:pPr>
        <w:ind w:left="660" w:right="80" w:hanging="6"/>
        <w:spacing w:after="0" w:line="274" w:lineRule="auto"/>
        <w:tabs>
          <w:tab w:leader="none" w:pos="993"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Voting and Dividend Rights</w:t>
      </w:r>
      <w:r>
        <w:rPr>
          <w:rFonts w:ascii="Arial" w:cs="Arial" w:eastAsia="Arial" w:hAnsi="Arial"/>
          <w:sz w:val="16"/>
          <w:szCs w:val="16"/>
          <w:color w:val="auto"/>
        </w:rPr>
        <w:t>. A holder of Restricted Shares awarded under the Plan shall have the same voting, dividend,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rights as the Company’s other stockholders, except that in the case of any unvested Restricted Shares, the holder shall not be entitled to any dividends or other distributions paid or distributed by the Company in respect of outstanding Shares. Notwithstanding the foregoing, at the Committee’s discretion, the holder of unvested Restricted Shares may be credited with such dividends and other distributions, provided that such dividends and other distributions shall be paid or distributed to the holder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which the dividend was paid. For the avoidance of doubt, other than with respect to the right to receive dividends and other distributions, the holders of unvested Restricted Shares shall have the same voting rights and other rights as the Company’s other stockholders in respect of such unvested Restricted Shares.</w:t>
      </w:r>
    </w:p>
    <w:p>
      <w:pPr>
        <w:spacing w:after="0" w:line="179" w:lineRule="exact"/>
        <w:rPr>
          <w:rFonts w:ascii="Arial" w:cs="Arial" w:eastAsia="Arial" w:hAnsi="Arial"/>
          <w:sz w:val="16"/>
          <w:szCs w:val="16"/>
          <w:color w:val="auto"/>
        </w:rPr>
      </w:pPr>
    </w:p>
    <w:p>
      <w:pPr>
        <w:ind w:left="660" w:right="240" w:hanging="6"/>
        <w:spacing w:after="0" w:line="292" w:lineRule="auto"/>
        <w:tabs>
          <w:tab w:leader="none" w:pos="993"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Restrictions on Transfer of Shares</w:t>
      </w:r>
      <w:r>
        <w:rPr>
          <w:rFonts w:ascii="Arial" w:cs="Arial" w:eastAsia="Arial" w:hAnsi="Arial"/>
          <w:sz w:val="16"/>
          <w:szCs w:val="16"/>
          <w:color w:val="auto"/>
        </w:rPr>
        <w:t>. Restricted Shares shall be subject to such rights of repurchase, rights of first refusal,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restrictions as the Committee may determine. Such restrictions shall be set forth in the applicable Restricted Share Award Agreement and shall apply in addition to any general restrictions that may apply to all holders of Shares.</w:t>
      </w:r>
    </w:p>
    <w:p>
      <w:pPr>
        <w:sectPr>
          <w:pgSz w:w="11900" w:h="16838" w:orient="portrait"/>
          <w:cols w:equalWidth="0" w:num="1">
            <w:col w:w="10080"/>
          </w:cols>
          <w:pgMar w:left="580" w:top="97" w:right="1239" w:bottom="1440" w:gutter="0" w:footer="0" w:header="0"/>
        </w:sectPr>
      </w:pPr>
    </w:p>
    <w:p>
      <w:pPr>
        <w:spacing w:after="0" w:line="364"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7.  TERMS AND CONDITIONS OF OPTIONS.</w:t>
      </w:r>
    </w:p>
    <w:p>
      <w:pPr>
        <w:spacing w:after="0" w:line="185" w:lineRule="exact"/>
        <w:rPr>
          <w:sz w:val="20"/>
          <w:szCs w:val="20"/>
          <w:color w:val="auto"/>
        </w:rPr>
      </w:pPr>
    </w:p>
    <w:p>
      <w:pPr>
        <w:ind w:left="660" w:right="100" w:hanging="6"/>
        <w:spacing w:after="0" w:line="291" w:lineRule="auto"/>
        <w:tabs>
          <w:tab w:leader="none" w:pos="993"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Option Award Agreement</w:t>
      </w:r>
      <w:r>
        <w:rPr>
          <w:rFonts w:ascii="Arial" w:cs="Arial" w:eastAsia="Arial" w:hAnsi="Arial"/>
          <w:sz w:val="16"/>
          <w:szCs w:val="16"/>
          <w:color w:val="auto"/>
        </w:rPr>
        <w:t>. Each grant of an Option under the Plan shall be evidenced by an Option Award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Participant and the Company. Such Option shall be subject to all applicable terms and conditions of the Plan and may be subject to any other terms and conditions which are not inconsistent with the Plan and which the Committee deems appropriate for inclusion in an Option Award Agreement. The Option Award Agreement shall specify whether the Option is an ISO or an NSO. The provisions of the various Option Award Agreements entered into under the Plan need not be identical.</w:t>
      </w:r>
    </w:p>
    <w:p>
      <w:pPr>
        <w:spacing w:after="0" w:line="180" w:lineRule="exact"/>
        <w:rPr>
          <w:rFonts w:ascii="Arial" w:cs="Arial" w:eastAsia="Arial" w:hAnsi="Arial"/>
          <w:sz w:val="16"/>
          <w:szCs w:val="16"/>
          <w:color w:val="auto"/>
        </w:rPr>
      </w:pPr>
    </w:p>
    <w:p>
      <w:pPr>
        <w:ind w:left="660" w:right="400" w:hanging="6"/>
        <w:spacing w:after="0" w:line="321" w:lineRule="auto"/>
        <w:tabs>
          <w:tab w:leader="none" w:pos="993"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Number of Shares</w:t>
      </w:r>
      <w:r>
        <w:rPr>
          <w:rFonts w:ascii="Arial" w:cs="Arial" w:eastAsia="Arial" w:hAnsi="Arial"/>
          <w:sz w:val="16"/>
          <w:szCs w:val="16"/>
          <w:color w:val="auto"/>
        </w:rPr>
        <w:t>. Each Option Award Agreement shall specify the number of Shares that are subject to the Option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shall provide for the adjustment of such number in accordance with Section 13.</w:t>
      </w:r>
    </w:p>
    <w:p>
      <w:pPr>
        <w:spacing w:after="0" w:line="155" w:lineRule="exact"/>
        <w:rPr>
          <w:rFonts w:ascii="Arial" w:cs="Arial" w:eastAsia="Arial" w:hAnsi="Arial"/>
          <w:sz w:val="16"/>
          <w:szCs w:val="16"/>
          <w:color w:val="auto"/>
        </w:rPr>
      </w:pPr>
    </w:p>
    <w:p>
      <w:pPr>
        <w:ind w:left="660" w:right="80" w:hanging="6"/>
        <w:spacing w:after="0" w:line="288" w:lineRule="auto"/>
        <w:tabs>
          <w:tab w:leader="none" w:pos="984"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Option Award Agreement shall specify the Exercise Price. The Exercise Price of an ISO shall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100% of the Fair Market Value of a Share on the date of grant, and the Exercise Price of an NSO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spacing w:after="0" w:line="182" w:lineRule="exact"/>
        <w:rPr>
          <w:rFonts w:ascii="Arial" w:cs="Arial" w:eastAsia="Arial" w:hAnsi="Arial"/>
          <w:sz w:val="16"/>
          <w:szCs w:val="16"/>
          <w:color w:val="auto"/>
        </w:rPr>
      </w:pPr>
    </w:p>
    <w:p>
      <w:pPr>
        <w:ind w:left="660" w:right="400" w:hanging="6"/>
        <w:spacing w:after="0" w:line="291" w:lineRule="auto"/>
        <w:tabs>
          <w:tab w:leader="none" w:pos="993"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Withholding Taxes</w:t>
      </w:r>
      <w:r>
        <w:rPr>
          <w:rFonts w:ascii="Arial" w:cs="Arial" w:eastAsia="Arial" w:hAnsi="Arial"/>
          <w:sz w:val="16"/>
          <w:szCs w:val="16"/>
          <w:color w:val="auto"/>
        </w:rPr>
        <w:t>. As a condition to the exercise of an Option, the Participant shall make such arrangements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may 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180" w:lineRule="exact"/>
        <w:rPr>
          <w:rFonts w:ascii="Arial" w:cs="Arial" w:eastAsia="Arial" w:hAnsi="Arial"/>
          <w:sz w:val="16"/>
          <w:szCs w:val="16"/>
          <w:color w:val="auto"/>
        </w:rPr>
      </w:pPr>
    </w:p>
    <w:p>
      <w:pPr>
        <w:ind w:left="660" w:right="40" w:hanging="6"/>
        <w:spacing w:after="0" w:line="287" w:lineRule="auto"/>
        <w:tabs>
          <w:tab w:leader="none" w:pos="993"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Exercisability and Term</w:t>
      </w:r>
      <w:r>
        <w:rPr>
          <w:rFonts w:ascii="Arial" w:cs="Arial" w:eastAsia="Arial" w:hAnsi="Arial"/>
          <w:sz w:val="16"/>
          <w:szCs w:val="16"/>
          <w:color w:val="auto"/>
        </w:rPr>
        <w:t>. Each Option Award Agreement shall specify the date when all or any installment of the Option is to</w:t>
      </w:r>
      <w:r>
        <w:rPr>
          <w:rFonts w:ascii="Arial" w:cs="Arial" w:eastAsia="Arial" w:hAnsi="Arial"/>
          <w:sz w:val="16"/>
          <w:szCs w:val="16"/>
          <w:i w:val="1"/>
          <w:iCs w:val="1"/>
          <w:color w:val="auto"/>
        </w:rPr>
        <w:t xml:space="preserve"> </w:t>
      </w:r>
      <w:r>
        <w:rPr>
          <w:rFonts w:ascii="Arial" w:cs="Arial" w:eastAsia="Arial" w:hAnsi="Arial"/>
          <w:sz w:val="16"/>
          <w:szCs w:val="16"/>
          <w:color w:val="auto"/>
        </w:rPr>
        <w:t>become exercisable. The Option Award Agreement shall also specify the term of the Option; provided that the term of an ISO shall in no event exceed 10 years from the date of grant (five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spacing w:after="0" w:line="183" w:lineRule="exact"/>
        <w:rPr>
          <w:rFonts w:ascii="Arial" w:cs="Arial" w:eastAsia="Arial" w:hAnsi="Arial"/>
          <w:sz w:val="16"/>
          <w:szCs w:val="16"/>
          <w:color w:val="auto"/>
        </w:rPr>
      </w:pPr>
    </w:p>
    <w:p>
      <w:pPr>
        <w:ind w:left="660" w:right="60" w:hanging="6"/>
        <w:spacing w:after="0" w:line="289" w:lineRule="auto"/>
        <w:tabs>
          <w:tab w:leader="none" w:pos="948"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Exercise of Options</w:t>
      </w:r>
      <w:r>
        <w:rPr>
          <w:rFonts w:ascii="Arial" w:cs="Arial" w:eastAsia="Arial" w:hAnsi="Arial"/>
          <w:sz w:val="16"/>
          <w:szCs w:val="16"/>
          <w:color w:val="auto"/>
        </w:rPr>
        <w:t>. Each Option Award Agreement shall set forth the extent to which the Participant shall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82" w:lineRule="exact"/>
        <w:rPr>
          <w:rFonts w:ascii="Arial" w:cs="Arial" w:eastAsia="Arial" w:hAnsi="Arial"/>
          <w:sz w:val="16"/>
          <w:szCs w:val="16"/>
          <w:color w:val="auto"/>
        </w:rPr>
      </w:pPr>
    </w:p>
    <w:p>
      <w:pPr>
        <w:ind w:left="660" w:right="260" w:hanging="6"/>
        <w:spacing w:after="0" w:line="301" w:lineRule="auto"/>
        <w:tabs>
          <w:tab w:leader="none" w:pos="993"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No Rights as a Stockholder</w:t>
      </w:r>
      <w:r>
        <w:rPr>
          <w:rFonts w:ascii="Arial" w:cs="Arial" w:eastAsia="Arial" w:hAnsi="Arial"/>
          <w:sz w:val="16"/>
          <w:szCs w:val="16"/>
          <w:color w:val="auto"/>
        </w:rPr>
        <w:t>. A Participant shall have no rights as a stockholder with respect to any Shares covered by his</w:t>
      </w:r>
      <w:r>
        <w:rPr>
          <w:rFonts w:ascii="Arial" w:cs="Arial" w:eastAsia="Arial" w:hAnsi="Arial"/>
          <w:sz w:val="16"/>
          <w:szCs w:val="16"/>
          <w:i w:val="1"/>
          <w:iCs w:val="1"/>
          <w:color w:val="auto"/>
        </w:rPr>
        <w:t xml:space="preserve"> </w:t>
      </w:r>
      <w:r>
        <w:rPr>
          <w:rFonts w:ascii="Arial" w:cs="Arial" w:eastAsia="Arial" w:hAnsi="Arial"/>
          <w:sz w:val="16"/>
          <w:szCs w:val="16"/>
          <w:color w:val="auto"/>
        </w:rPr>
        <w:t>Option until the date of the issuance of a share certificate for such Shares. No adjustments shall be made, except as provided in Section 13.</w:t>
      </w:r>
    </w:p>
    <w:p>
      <w:pPr>
        <w:spacing w:after="0" w:line="171" w:lineRule="exact"/>
        <w:rPr>
          <w:rFonts w:ascii="Arial" w:cs="Arial" w:eastAsia="Arial" w:hAnsi="Arial"/>
          <w:sz w:val="16"/>
          <w:szCs w:val="16"/>
          <w:color w:val="auto"/>
        </w:rPr>
      </w:pPr>
    </w:p>
    <w:p>
      <w:pPr>
        <w:ind w:left="660" w:right="180" w:hanging="6"/>
        <w:spacing w:after="0" w:line="287" w:lineRule="auto"/>
        <w:tabs>
          <w:tab w:leader="none" w:pos="993"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Modification, Extension and Renewal of Options</w:t>
      </w:r>
      <w:r>
        <w:rPr>
          <w:rFonts w:ascii="Arial" w:cs="Arial" w:eastAsia="Arial" w:hAnsi="Arial"/>
          <w:sz w:val="16"/>
          <w:szCs w:val="16"/>
          <w:color w:val="auto"/>
        </w:rPr>
        <w:t>. Subject to Section 5(e), within the limitations of the Plan,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The foregoing notwithstanding, no modification of an Option shall, without the consent of the Participant, materially impair his or her rights or obligations under such Option; provided, however, that an amendment or modification that may cause an ISO to become a NSO, and any amendment or modification that is required to comply with the rules applicable to ISOs, shall not be treated as materially impairing the rights or obligations of the Participant.</w:t>
      </w:r>
    </w:p>
    <w:p>
      <w:pPr>
        <w:spacing w:after="0" w:line="183" w:lineRule="exact"/>
        <w:rPr>
          <w:rFonts w:ascii="Arial" w:cs="Arial" w:eastAsia="Arial" w:hAnsi="Arial"/>
          <w:sz w:val="16"/>
          <w:szCs w:val="16"/>
          <w:color w:val="auto"/>
        </w:rPr>
      </w:pPr>
    </w:p>
    <w:p>
      <w:pPr>
        <w:ind w:left="660" w:right="240" w:hanging="6"/>
        <w:spacing w:after="0" w:line="321" w:lineRule="auto"/>
        <w:tabs>
          <w:tab w:leader="none" w:pos="939"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Restrictions on Transfer of Shares</w:t>
      </w:r>
      <w:r>
        <w:rPr>
          <w:rFonts w:ascii="Arial" w:cs="Arial" w:eastAsia="Arial" w:hAnsi="Arial"/>
          <w:sz w:val="16"/>
          <w:szCs w:val="16"/>
          <w:color w:val="auto"/>
        </w:rPr>
        <w:t>. Any Shares issued upon exercise of an Option shall be subject to such special forfeiture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rights of repurchase, rights of first refusal, and other transfer restrictions as the Committee may determine. Such</w:t>
      </w:r>
    </w:p>
    <w:p>
      <w:pPr>
        <w:sectPr>
          <w:pgSz w:w="11900" w:h="16838" w:orient="portrait"/>
          <w:cols w:equalWidth="0" w:num="1">
            <w:col w:w="10080"/>
          </w:cols>
          <w:pgMar w:left="580" w:top="97" w:right="1239" w:bottom="1440" w:gutter="0" w:footer="0" w:header="0"/>
        </w:sectPr>
      </w:pPr>
    </w:p>
    <w:p>
      <w:pPr>
        <w:spacing w:after="0" w:line="341"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200"/>
        <w:spacing w:after="0" w:line="321" w:lineRule="auto"/>
        <w:rPr>
          <w:sz w:val="20"/>
          <w:szCs w:val="20"/>
          <w:color w:val="auto"/>
        </w:rPr>
      </w:pPr>
      <w:r>
        <w:rPr>
          <w:rFonts w:ascii="Arial" w:cs="Arial" w:eastAsia="Arial" w:hAnsi="Arial"/>
          <w:sz w:val="16"/>
          <w:szCs w:val="16"/>
          <w:color w:val="auto"/>
        </w:rPr>
        <w:t>restrictions shall be set forth in the applicable Option Award Agreement and shall apply in addition to any general restrictions that may apply to all holders of Shares.</w:t>
      </w:r>
    </w:p>
    <w:p>
      <w:pPr>
        <w:spacing w:after="0" w:line="156" w:lineRule="exact"/>
        <w:rPr>
          <w:sz w:val="20"/>
          <w:szCs w:val="20"/>
          <w:color w:val="auto"/>
        </w:rPr>
      </w:pPr>
    </w:p>
    <w:p>
      <w:pPr>
        <w:jc w:val="both"/>
        <w:ind w:left="660" w:right="220" w:hanging="6"/>
        <w:spacing w:after="0" w:line="301" w:lineRule="auto"/>
        <w:tabs>
          <w:tab w:leader="none" w:pos="939"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Buyout Provisions</w:t>
      </w:r>
      <w:r>
        <w:rPr>
          <w:rFonts w:ascii="Arial" w:cs="Arial" w:eastAsia="Arial" w:hAnsi="Arial"/>
          <w:sz w:val="16"/>
          <w:szCs w:val="16"/>
          <w:color w:val="auto"/>
        </w:rPr>
        <w:t>. Subject to Section 5(e), the Committee may at any time (i) offer to buy out for a payment in cash or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an Option previously granted or (ii) authorize a Participant to elect to cash out an Option previously granted, in either case at such time and based upon such terms and conditions as the Committee shall establish.</w:t>
      </w:r>
    </w:p>
    <w:p>
      <w:pPr>
        <w:spacing w:after="0" w:line="171" w:lineRule="exact"/>
        <w:rPr>
          <w:rFonts w:ascii="Arial" w:cs="Arial" w:eastAsia="Arial" w:hAnsi="Arial"/>
          <w:sz w:val="16"/>
          <w:szCs w:val="16"/>
          <w:color w:val="auto"/>
        </w:rPr>
      </w:pPr>
    </w:p>
    <w:p>
      <w:pPr>
        <w:ind w:left="660" w:right="40" w:hanging="6"/>
        <w:spacing w:after="0" w:line="301" w:lineRule="auto"/>
        <w:tabs>
          <w:tab w:leader="none" w:pos="984"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No Dividend Equivalents on Options. </w:t>
      </w:r>
      <w:r>
        <w:rPr>
          <w:rFonts w:ascii="Arial" w:cs="Arial" w:eastAsia="Arial" w:hAnsi="Arial"/>
          <w:sz w:val="16"/>
          <w:szCs w:val="16"/>
          <w:color w:val="auto"/>
        </w:rPr>
        <w:t>No grant of Options may be accompanied by a tandem award of dividend equivalents or</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dividends, dividend equivalents or other distributions to be paid on such Options (except pursuant to an adjustment or other action contemplated by Section 13).</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8.  PAYMENT FOR SHARES.</w:t>
      </w:r>
    </w:p>
    <w:p>
      <w:pPr>
        <w:spacing w:after="0" w:line="185" w:lineRule="exact"/>
        <w:rPr>
          <w:sz w:val="20"/>
          <w:szCs w:val="20"/>
          <w:color w:val="auto"/>
        </w:rPr>
      </w:pPr>
    </w:p>
    <w:p>
      <w:pPr>
        <w:ind w:left="660" w:right="100" w:hanging="6"/>
        <w:spacing w:after="0" w:line="291"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General Rule</w:t>
      </w:r>
      <w:r>
        <w:rPr>
          <w:rFonts w:ascii="Arial" w:cs="Arial" w:eastAsia="Arial" w:hAnsi="Arial"/>
          <w:sz w:val="16"/>
          <w:szCs w:val="16"/>
          <w:color w:val="auto"/>
        </w:rPr>
        <w:t>. The entire Exercise Price or Purchase Price of Shares issued under the Plan (other than Shares issued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ESPP Addendum which shall be governed by the terms of the ESPP Addendum) shall be payable in lawful money of the United States of America at the time when such Shares are purchased, except as provided in Section 8(b) through Section 8(h) below. The payment for Shares issuable pursuant to the ESPP Addendum shall be subject to the terms and conditions as set forth in the ESPP Addendum.</w:t>
      </w:r>
    </w:p>
    <w:p>
      <w:pPr>
        <w:spacing w:after="0" w:line="180" w:lineRule="exact"/>
        <w:rPr>
          <w:rFonts w:ascii="Arial" w:cs="Arial" w:eastAsia="Arial" w:hAnsi="Arial"/>
          <w:sz w:val="16"/>
          <w:szCs w:val="16"/>
          <w:color w:val="auto"/>
        </w:rPr>
      </w:pPr>
    </w:p>
    <w:p>
      <w:pPr>
        <w:ind w:left="660" w:right="40" w:hanging="6"/>
        <w:spacing w:after="0" w:line="289"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Surrender of Stock</w:t>
      </w:r>
      <w:r>
        <w:rPr>
          <w:rFonts w:ascii="Arial" w:cs="Arial" w:eastAsia="Arial" w:hAnsi="Arial"/>
          <w:sz w:val="16"/>
          <w:szCs w:val="16"/>
          <w:color w:val="auto"/>
        </w:rPr>
        <w:t>. To the extent that an Option Award Agreement so provides, payment may be made all or in part by</w:t>
      </w:r>
      <w:r>
        <w:rPr>
          <w:rFonts w:ascii="Arial" w:cs="Arial" w:eastAsia="Arial" w:hAnsi="Arial"/>
          <w:sz w:val="16"/>
          <w:szCs w:val="16"/>
          <w:i w:val="1"/>
          <w:iCs w:val="1"/>
          <w:color w:val="auto"/>
        </w:rPr>
        <w:t xml:space="preserve"> </w:t>
      </w:r>
      <w:r>
        <w:rPr>
          <w:rFonts w:ascii="Arial" w:cs="Arial" w:eastAsia="Arial" w:hAnsi="Arial"/>
          <w:sz w:val="16"/>
          <w:szCs w:val="16"/>
          <w:color w:val="auto"/>
        </w:rPr>
        <w:t>surrendering, or attesting to the ownership of, Shares which have already been owned by the Participant or his or her representative. Such Shares shall be valued at their Fair Market Value on the date when the new Shares are purchased under the Plan. The Participant shall not surrender, or attest to the ownership of, Shares in payment of the Exercise Price of an Option if such action would cause the Company to recognize compensation expense (or additional compensation expense) with respect to the Option for financial reporting purposes.</w:t>
      </w:r>
    </w:p>
    <w:p>
      <w:pPr>
        <w:spacing w:after="0" w:line="182" w:lineRule="exact"/>
        <w:rPr>
          <w:rFonts w:ascii="Arial" w:cs="Arial" w:eastAsia="Arial" w:hAnsi="Arial"/>
          <w:sz w:val="16"/>
          <w:szCs w:val="16"/>
          <w:color w:val="auto"/>
        </w:rPr>
      </w:pPr>
    </w:p>
    <w:p>
      <w:pPr>
        <w:jc w:val="both"/>
        <w:ind w:left="660" w:right="100" w:hanging="6"/>
        <w:spacing w:after="0" w:line="295" w:lineRule="auto"/>
        <w:tabs>
          <w:tab w:leader="none" w:pos="984"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Services Rendered</w:t>
      </w:r>
      <w:r>
        <w:rPr>
          <w:rFonts w:ascii="Arial" w:cs="Arial" w:eastAsia="Arial" w:hAnsi="Arial"/>
          <w:sz w:val="16"/>
          <w:szCs w:val="16"/>
          <w:color w:val="auto"/>
        </w:rPr>
        <w:t>. At the discretion of the Committee, Shares may be awarded under the Plan in consideration of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spacing w:after="0" w:line="175" w:lineRule="exact"/>
        <w:rPr>
          <w:rFonts w:ascii="Arial" w:cs="Arial" w:eastAsia="Arial" w:hAnsi="Arial"/>
          <w:sz w:val="16"/>
          <w:szCs w:val="16"/>
          <w:color w:val="auto"/>
        </w:rPr>
      </w:pPr>
    </w:p>
    <w:p>
      <w:pPr>
        <w:jc w:val="both"/>
        <w:ind w:left="660" w:right="500" w:hanging="6"/>
        <w:spacing w:after="0" w:line="295"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Cashless Exercise</w:t>
      </w:r>
      <w:r>
        <w:rPr>
          <w:rFonts w:ascii="Arial" w:cs="Arial" w:eastAsia="Arial" w:hAnsi="Arial"/>
          <w:sz w:val="16"/>
          <w:szCs w:val="16"/>
          <w:color w:val="auto"/>
        </w:rPr>
        <w:t>. To the extent that an Option Award Agreement so provides, if the Stock is traded on an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market, payment may be made all or in part by delivery (on a form prescribed by the Committee) of an irrevocable direction to a securities broker to sell Shares and to deliver all or part of the sale proceeds to the Company in payment of the aggregate Exercise Price.</w:t>
      </w:r>
    </w:p>
    <w:p>
      <w:pPr>
        <w:spacing w:after="0" w:line="175" w:lineRule="exact"/>
        <w:rPr>
          <w:rFonts w:ascii="Arial" w:cs="Arial" w:eastAsia="Arial" w:hAnsi="Arial"/>
          <w:sz w:val="16"/>
          <w:szCs w:val="16"/>
          <w:color w:val="auto"/>
        </w:rPr>
      </w:pPr>
    </w:p>
    <w:p>
      <w:pPr>
        <w:ind w:left="660" w:right="100" w:hanging="6"/>
        <w:spacing w:after="0" w:line="301"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Exercise/Pledge</w:t>
      </w:r>
      <w:r>
        <w:rPr>
          <w:rFonts w:ascii="Arial" w:cs="Arial" w:eastAsia="Arial" w:hAnsi="Arial"/>
          <w:sz w:val="16"/>
          <w:szCs w:val="16"/>
          <w:color w:val="auto"/>
        </w:rPr>
        <w:t>. To the extent that an Option Award Agreement so provides, payment may be made all or in part by delivery</w:t>
      </w:r>
      <w:r>
        <w:rPr>
          <w:rFonts w:ascii="Arial" w:cs="Arial" w:eastAsia="Arial" w:hAnsi="Arial"/>
          <w:sz w:val="16"/>
          <w:szCs w:val="16"/>
          <w:i w:val="1"/>
          <w:iCs w:val="1"/>
          <w:color w:val="auto"/>
        </w:rPr>
        <w:t xml:space="preserve"> </w:t>
      </w:r>
      <w:r>
        <w:rPr>
          <w:rFonts w:ascii="Arial" w:cs="Arial" w:eastAsia="Arial" w:hAnsi="Arial"/>
          <w:sz w:val="16"/>
          <w:szCs w:val="16"/>
          <w:color w:val="auto"/>
        </w:rPr>
        <w:t>(on a form prescribed by the Committee) of an irrevocable direction to a securities broker or lender to pledge Shares, as security for a loan, and to deliver all or part of the loan proceeds to the Company in payment of the aggregate Exercise Price.</w:t>
      </w:r>
    </w:p>
    <w:p>
      <w:pPr>
        <w:spacing w:after="0" w:line="171" w:lineRule="exact"/>
        <w:rPr>
          <w:rFonts w:ascii="Arial" w:cs="Arial" w:eastAsia="Arial" w:hAnsi="Arial"/>
          <w:sz w:val="16"/>
          <w:szCs w:val="16"/>
          <w:color w:val="auto"/>
        </w:rPr>
      </w:pPr>
    </w:p>
    <w:p>
      <w:pPr>
        <w:ind w:left="660" w:right="140" w:hanging="6"/>
        <w:spacing w:after="0" w:line="289" w:lineRule="auto"/>
        <w:tabs>
          <w:tab w:leader="none" w:pos="948"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Net Exercise</w:t>
      </w:r>
      <w:r>
        <w:rPr>
          <w:rFonts w:ascii="Arial" w:cs="Arial" w:eastAsia="Arial" w:hAnsi="Arial"/>
          <w:sz w:val="16"/>
          <w:szCs w:val="16"/>
          <w:color w:val="auto"/>
        </w:rPr>
        <w:t>. To the extent that an Option Award Agreement so provides, by a “net exercise” arrangement pursuant to which</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Option Award Agreement.</w:t>
      </w:r>
    </w:p>
    <w:p>
      <w:pPr>
        <w:spacing w:after="0" w:line="182" w:lineRule="exact"/>
        <w:rPr>
          <w:rFonts w:ascii="Arial" w:cs="Arial" w:eastAsia="Arial" w:hAnsi="Arial"/>
          <w:sz w:val="16"/>
          <w:szCs w:val="16"/>
          <w:color w:val="auto"/>
        </w:rPr>
      </w:pPr>
    </w:p>
    <w:p>
      <w:pPr>
        <w:ind w:left="660" w:right="700" w:hanging="6"/>
        <w:spacing w:after="0" w:line="321"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Promissory Note</w:t>
      </w:r>
      <w:r>
        <w:rPr>
          <w:rFonts w:ascii="Arial" w:cs="Arial" w:eastAsia="Arial" w:hAnsi="Arial"/>
          <w:sz w:val="16"/>
          <w:szCs w:val="16"/>
          <w:color w:val="auto"/>
        </w:rPr>
        <w:t>. To the extent that an Option Award Agreement or Restricted Share Award Agreement so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may be made all or in part by delivering (on a form prescribed by the Company) a full-recourse promissory note.</w:t>
      </w:r>
    </w:p>
    <w:p>
      <w:pPr>
        <w:spacing w:after="0" w:line="155" w:lineRule="exact"/>
        <w:rPr>
          <w:rFonts w:ascii="Arial" w:cs="Arial" w:eastAsia="Arial" w:hAnsi="Arial"/>
          <w:sz w:val="16"/>
          <w:szCs w:val="16"/>
          <w:color w:val="auto"/>
        </w:rPr>
      </w:pPr>
    </w:p>
    <w:p>
      <w:pPr>
        <w:ind w:left="660" w:right="120" w:hanging="6"/>
        <w:spacing w:after="0" w:line="321" w:lineRule="auto"/>
        <w:tabs>
          <w:tab w:leader="none" w:pos="993"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Other Forms of Payment</w:t>
      </w:r>
      <w:r>
        <w:rPr>
          <w:rFonts w:ascii="Arial" w:cs="Arial" w:eastAsia="Arial" w:hAnsi="Arial"/>
          <w:sz w:val="16"/>
          <w:szCs w:val="16"/>
          <w:color w:val="auto"/>
        </w:rPr>
        <w:t>. To the extent that an Option Award Agreement or Restricted Share Award Agreement so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may be made in any other form that is consistent with applicable laws, regulations, and rules.</w:t>
      </w:r>
    </w:p>
    <w:p>
      <w:pPr>
        <w:spacing w:after="0" w:line="155" w:lineRule="exact"/>
        <w:rPr>
          <w:rFonts w:ascii="Arial" w:cs="Arial" w:eastAsia="Arial" w:hAnsi="Arial"/>
          <w:sz w:val="16"/>
          <w:szCs w:val="16"/>
          <w:color w:val="auto"/>
        </w:rPr>
      </w:pPr>
    </w:p>
    <w:p>
      <w:pPr>
        <w:ind w:left="660" w:right="280" w:hanging="6"/>
        <w:spacing w:after="0" w:line="301" w:lineRule="auto"/>
        <w:tabs>
          <w:tab w:leader="none" w:pos="939"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Limitations under Applicable Law</w:t>
      </w:r>
      <w:r>
        <w:rPr>
          <w:rFonts w:ascii="Arial" w:cs="Arial" w:eastAsia="Arial" w:hAnsi="Arial"/>
          <w:sz w:val="16"/>
          <w:szCs w:val="16"/>
          <w:color w:val="auto"/>
        </w:rPr>
        <w:t>. Notwithstanding anything herein or in an Option Award Agreement or Restricted Share</w:t>
      </w:r>
      <w:r>
        <w:rPr>
          <w:rFonts w:ascii="Arial" w:cs="Arial" w:eastAsia="Arial" w:hAnsi="Arial"/>
          <w:sz w:val="16"/>
          <w:szCs w:val="16"/>
          <w:i w:val="1"/>
          <w:iCs w:val="1"/>
          <w:color w:val="auto"/>
        </w:rPr>
        <w:t xml:space="preserve"> </w:t>
      </w:r>
      <w:r>
        <w:rPr>
          <w:rFonts w:ascii="Arial" w:cs="Arial" w:eastAsia="Arial" w:hAnsi="Arial"/>
          <w:sz w:val="16"/>
          <w:szCs w:val="16"/>
          <w:color w:val="auto"/>
        </w:rPr>
        <w:t>Award Agreement to the contrary, payment may not be made in any form that is unlawful, as determined by the Committee in its sole discretion.</w:t>
      </w:r>
    </w:p>
    <w:p>
      <w:pPr>
        <w:sectPr>
          <w:pgSz w:w="11900" w:h="16838" w:orient="portrait"/>
          <w:cols w:equalWidth="0" w:num="1">
            <w:col w:w="10080"/>
          </w:cols>
          <w:pgMar w:left="580" w:top="97" w:right="1239" w:bottom="1440" w:gutter="0" w:footer="0" w:header="0"/>
        </w:sectPr>
      </w:pPr>
    </w:p>
    <w:p>
      <w:pPr>
        <w:spacing w:after="0" w:line="357"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A-9</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9.  STOCK APPRECIATION RIGHTS.</w:t>
      </w:r>
    </w:p>
    <w:p>
      <w:pPr>
        <w:spacing w:after="0" w:line="172" w:lineRule="exact"/>
        <w:rPr>
          <w:sz w:val="20"/>
          <w:szCs w:val="20"/>
          <w:color w:val="auto"/>
        </w:rPr>
      </w:pPr>
    </w:p>
    <w:p>
      <w:pPr>
        <w:ind w:left="660" w:right="100" w:hanging="6"/>
        <w:spacing w:after="0" w:line="271" w:lineRule="auto"/>
        <w:tabs>
          <w:tab w:leader="none" w:pos="993"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SAR Award Agreement</w:t>
      </w:r>
      <w:r>
        <w:rPr>
          <w:rFonts w:ascii="Arial" w:cs="Arial" w:eastAsia="Arial" w:hAnsi="Arial"/>
          <w:sz w:val="16"/>
          <w:szCs w:val="16"/>
          <w:color w:val="auto"/>
        </w:rPr>
        <w:t>. Each grant of a SAR under the Plan shall be evidenced by a SAR Award Agreement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81" w:lineRule="exact"/>
        <w:rPr>
          <w:rFonts w:ascii="Arial" w:cs="Arial" w:eastAsia="Arial" w:hAnsi="Arial"/>
          <w:sz w:val="16"/>
          <w:szCs w:val="16"/>
          <w:color w:val="auto"/>
        </w:rPr>
      </w:pPr>
    </w:p>
    <w:p>
      <w:pPr>
        <w:ind w:left="660" w:right="380" w:hanging="6"/>
        <w:spacing w:after="0" w:line="286" w:lineRule="auto"/>
        <w:tabs>
          <w:tab w:leader="none" w:pos="993"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Number of Shares</w:t>
      </w:r>
      <w:r>
        <w:rPr>
          <w:rFonts w:ascii="Arial" w:cs="Arial" w:eastAsia="Arial" w:hAnsi="Arial"/>
          <w:sz w:val="16"/>
          <w:szCs w:val="16"/>
          <w:color w:val="auto"/>
        </w:rPr>
        <w:t>. Each SAR Award Agreement shall specify the number of Shares to which the SAR pertains and shall</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the adjustment of such number in accordance with Section 13.</w:t>
      </w:r>
    </w:p>
    <w:p>
      <w:pPr>
        <w:spacing w:after="0" w:line="169" w:lineRule="exact"/>
        <w:rPr>
          <w:rFonts w:ascii="Arial" w:cs="Arial" w:eastAsia="Arial" w:hAnsi="Arial"/>
          <w:sz w:val="16"/>
          <w:szCs w:val="16"/>
          <w:color w:val="auto"/>
        </w:rPr>
      </w:pPr>
    </w:p>
    <w:p>
      <w:pPr>
        <w:ind w:left="660" w:right="80" w:hanging="6"/>
        <w:spacing w:after="0" w:line="269" w:lineRule="auto"/>
        <w:tabs>
          <w:tab w:leader="none" w:pos="984"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SAR Award Agreement shall specify the Exercise Price. The Exercise Price of a SAR shall not be less</w:t>
      </w:r>
      <w:r>
        <w:rPr>
          <w:rFonts w:ascii="Arial" w:cs="Arial" w:eastAsia="Arial" w:hAnsi="Arial"/>
          <w:sz w:val="16"/>
          <w:szCs w:val="16"/>
          <w:i w:val="1"/>
          <w:iCs w:val="1"/>
          <w:color w:val="auto"/>
        </w:rPr>
        <w:t xml:space="preserve"> </w:t>
      </w:r>
      <w:r>
        <w:rPr>
          <w:rFonts w:ascii="Arial" w:cs="Arial" w:eastAsia="Arial" w:hAnsi="Arial"/>
          <w:sz w:val="16"/>
          <w:szCs w:val="16"/>
          <w:color w:val="auto"/>
        </w:rPr>
        <w:t>than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170" w:lineRule="exact"/>
        <w:rPr>
          <w:rFonts w:ascii="Arial" w:cs="Arial" w:eastAsia="Arial" w:hAnsi="Arial"/>
          <w:sz w:val="16"/>
          <w:szCs w:val="16"/>
          <w:color w:val="auto"/>
        </w:rPr>
      </w:pPr>
    </w:p>
    <w:p>
      <w:pPr>
        <w:ind w:left="660" w:right="80" w:hanging="6"/>
        <w:spacing w:after="0" w:line="264" w:lineRule="auto"/>
        <w:tabs>
          <w:tab w:leader="none" w:pos="993"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Exercisability and Term</w:t>
      </w:r>
      <w:r>
        <w:rPr>
          <w:rFonts w:ascii="Arial" w:cs="Arial" w:eastAsia="Arial" w:hAnsi="Arial"/>
          <w:sz w:val="16"/>
          <w:szCs w:val="16"/>
          <w:color w:val="auto"/>
        </w:rPr>
        <w:t>. Each SAR Award Agreement shall specify the date when all or any installment of the SAR is to</w:t>
      </w:r>
      <w:r>
        <w:rPr>
          <w:rFonts w:ascii="Arial" w:cs="Arial" w:eastAsia="Arial" w:hAnsi="Arial"/>
          <w:sz w:val="16"/>
          <w:szCs w:val="16"/>
          <w:i w:val="1"/>
          <w:iCs w:val="1"/>
          <w:color w:val="auto"/>
        </w:rPr>
        <w:t xml:space="preserve"> </w:t>
      </w:r>
      <w:r>
        <w:rPr>
          <w:rFonts w:ascii="Arial" w:cs="Arial" w:eastAsia="Arial" w:hAnsi="Arial"/>
          <w:sz w:val="16"/>
          <w:szCs w:val="16"/>
          <w:color w:val="auto"/>
        </w:rPr>
        <w:t>become exercisable. The SAR Award Agreement shall also specify the term of the SAR. A SAR Award Agreement may provide for accelerated exercisability in the event of the Participant’s death, Disability,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189" w:lineRule="exact"/>
        <w:rPr>
          <w:rFonts w:ascii="Arial" w:cs="Arial" w:eastAsia="Arial" w:hAnsi="Arial"/>
          <w:sz w:val="16"/>
          <w:szCs w:val="16"/>
          <w:color w:val="auto"/>
        </w:rPr>
      </w:pPr>
    </w:p>
    <w:p>
      <w:pPr>
        <w:ind w:left="660" w:right="100" w:hanging="6"/>
        <w:spacing w:after="0" w:line="265" w:lineRule="auto"/>
        <w:tabs>
          <w:tab w:leader="none" w:pos="993"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Exercise of SARs</w:t>
      </w:r>
      <w:r>
        <w:rPr>
          <w:rFonts w:ascii="Arial" w:cs="Arial" w:eastAsia="Arial" w:hAnsi="Arial"/>
          <w:sz w:val="16"/>
          <w:szCs w:val="16"/>
          <w:color w:val="auto"/>
        </w:rPr>
        <w:t>. Upon exercise of a SAR, the Participant (or any person having the right to exercise the SAR after his or</w:t>
      </w:r>
      <w:r>
        <w:rPr>
          <w:rFonts w:ascii="Arial" w:cs="Arial" w:eastAsia="Arial" w:hAnsi="Arial"/>
          <w:sz w:val="16"/>
          <w:szCs w:val="16"/>
          <w:i w:val="1"/>
          <w:iCs w:val="1"/>
          <w:color w:val="auto"/>
        </w:rPr>
        <w:t xml:space="preserve"> </w:t>
      </w:r>
      <w:r>
        <w:rPr>
          <w:rFonts w:ascii="Arial" w:cs="Arial" w:eastAsia="Arial" w:hAnsi="Arial"/>
          <w:sz w:val="16"/>
          <w:szCs w:val="16"/>
          <w:color w:val="auto"/>
        </w:rPr>
        <w:t>her death) 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85" w:lineRule="exact"/>
        <w:rPr>
          <w:rFonts w:ascii="Arial" w:cs="Arial" w:eastAsia="Arial" w:hAnsi="Arial"/>
          <w:sz w:val="16"/>
          <w:szCs w:val="16"/>
          <w:color w:val="auto"/>
        </w:rPr>
      </w:pPr>
    </w:p>
    <w:p>
      <w:pPr>
        <w:ind w:left="660" w:right="40" w:hanging="6"/>
        <w:spacing w:after="0" w:line="265" w:lineRule="auto"/>
        <w:tabs>
          <w:tab w:leader="none" w:pos="948"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Modification, Extension or Assumption of SARs</w:t>
      </w:r>
      <w:r>
        <w:rPr>
          <w:rFonts w:ascii="Arial" w:cs="Arial" w:eastAsia="Arial" w:hAnsi="Arial"/>
          <w:sz w:val="16"/>
          <w:szCs w:val="16"/>
          <w:color w:val="auto"/>
        </w:rPr>
        <w:t>. Subject to Section 5(e), within the limitations of the Plan, the Committee may</w:t>
      </w:r>
      <w:r>
        <w:rPr>
          <w:rFonts w:ascii="Arial" w:cs="Arial" w:eastAsia="Arial" w:hAnsi="Arial"/>
          <w:sz w:val="16"/>
          <w:szCs w:val="16"/>
          <w:i w:val="1"/>
          <w:iCs w:val="1"/>
          <w:color w:val="auto"/>
        </w:rPr>
        <w:t xml:space="preserve"> </w:t>
      </w:r>
      <w:r>
        <w:rPr>
          <w:rFonts w:ascii="Arial" w:cs="Arial" w:eastAsia="Arial" w:hAnsi="Arial"/>
          <w:sz w:val="16"/>
          <w:szCs w:val="16"/>
          <w:color w:val="auto"/>
        </w:rPr>
        <w:t>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The foregoing notwithstanding, no modification of a SAR shall, without the consent of the holder, materially impair his or her rights or obligations under such SAR.</w:t>
      </w:r>
    </w:p>
    <w:p>
      <w:pPr>
        <w:spacing w:after="0" w:line="185" w:lineRule="exact"/>
        <w:rPr>
          <w:rFonts w:ascii="Arial" w:cs="Arial" w:eastAsia="Arial" w:hAnsi="Arial"/>
          <w:sz w:val="16"/>
          <w:szCs w:val="16"/>
          <w:color w:val="auto"/>
        </w:rPr>
      </w:pPr>
    </w:p>
    <w:p>
      <w:pPr>
        <w:ind w:left="660" w:right="80" w:hanging="6"/>
        <w:spacing w:after="0" w:line="275" w:lineRule="auto"/>
        <w:tabs>
          <w:tab w:leader="none" w:pos="993"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Buyout Provisions</w:t>
      </w:r>
      <w:r>
        <w:rPr>
          <w:rFonts w:ascii="Arial" w:cs="Arial" w:eastAsia="Arial" w:hAnsi="Arial"/>
          <w:sz w:val="16"/>
          <w:szCs w:val="16"/>
          <w:color w:val="auto"/>
        </w:rPr>
        <w:t>. Subject to Section 5(e), the Committee may at any time (i) offer to buy out for a payment in cash or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a SAR previously granted, or (ii) authorize a Participant to elect to cash out a SAR previously granted, in either case at such time and based upon such terms and conditions as the Committee shall establish.</w:t>
      </w:r>
    </w:p>
    <w:p>
      <w:pPr>
        <w:spacing w:after="0" w:line="177" w:lineRule="exact"/>
        <w:rPr>
          <w:rFonts w:ascii="Arial" w:cs="Arial" w:eastAsia="Arial" w:hAnsi="Arial"/>
          <w:sz w:val="16"/>
          <w:szCs w:val="16"/>
          <w:color w:val="auto"/>
        </w:rPr>
      </w:pPr>
    </w:p>
    <w:p>
      <w:pPr>
        <w:jc w:val="both"/>
        <w:ind w:left="660" w:right="320" w:hanging="6"/>
        <w:spacing w:after="0" w:line="292" w:lineRule="auto"/>
        <w:tabs>
          <w:tab w:leader="none" w:pos="993"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No Dividend Equivalents on SARs. </w:t>
      </w:r>
      <w:r>
        <w:rPr>
          <w:rFonts w:ascii="Arial" w:cs="Arial" w:eastAsia="Arial" w:hAnsi="Arial"/>
          <w:sz w:val="16"/>
          <w:szCs w:val="16"/>
          <w:color w:val="auto"/>
        </w:rPr>
        <w:t>No grant of SARs may be accompanied by a tandem award of dividend equivalents or</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dividends, dividend equivalents or other distributions to be paid on such SARs (except pursuant to an adjustment or other action contemplated by Section 13).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10.  RESTRICTED STOCK UNITS.</w:t>
      </w:r>
    </w:p>
    <w:p>
      <w:pPr>
        <w:spacing w:after="0" w:line="185" w:lineRule="exact"/>
        <w:rPr>
          <w:sz w:val="20"/>
          <w:szCs w:val="20"/>
          <w:color w:val="auto"/>
        </w:rPr>
      </w:pPr>
    </w:p>
    <w:p>
      <w:pPr>
        <w:ind w:left="660" w:right="80" w:hanging="6"/>
        <w:spacing w:after="0" w:line="283" w:lineRule="auto"/>
        <w:tabs>
          <w:tab w:leader="none" w:pos="993"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Restricted Stock Unit Award Agreement</w:t>
      </w:r>
      <w:r>
        <w:rPr>
          <w:rFonts w:ascii="Arial" w:cs="Arial" w:eastAsia="Arial" w:hAnsi="Arial"/>
          <w:sz w:val="16"/>
          <w:szCs w:val="16"/>
          <w:color w:val="auto"/>
        </w:rPr>
        <w:t>. Each grant of Restricted Stock Units under the Plan shall be evidenced by a</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w:t>
      </w:r>
    </w:p>
    <w:p>
      <w:pPr>
        <w:spacing w:after="0" w:line="171" w:lineRule="exact"/>
        <w:rPr>
          <w:rFonts w:ascii="Arial" w:cs="Arial" w:eastAsia="Arial" w:hAnsi="Arial"/>
          <w:sz w:val="16"/>
          <w:szCs w:val="16"/>
          <w:color w:val="auto"/>
        </w:rPr>
      </w:pPr>
    </w:p>
    <w:p>
      <w:pPr>
        <w:ind w:left="660" w:right="60" w:hanging="6"/>
        <w:spacing w:after="0" w:line="304" w:lineRule="auto"/>
        <w:tabs>
          <w:tab w:leader="none" w:pos="993"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Payment for Awards</w:t>
      </w:r>
      <w:r>
        <w:rPr>
          <w:rFonts w:ascii="Arial" w:cs="Arial" w:eastAsia="Arial" w:hAnsi="Arial"/>
          <w:sz w:val="16"/>
          <w:szCs w:val="16"/>
          <w:color w:val="auto"/>
        </w:rPr>
        <w:t>. To the extent that an Award is granted in the form of Restricted Stock Units, no cash consideration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required of the Award recipients.</w:t>
      </w:r>
    </w:p>
    <w:p>
      <w:pPr>
        <w:spacing w:after="0" w:line="168" w:lineRule="exact"/>
        <w:rPr>
          <w:rFonts w:ascii="Arial" w:cs="Arial" w:eastAsia="Arial" w:hAnsi="Arial"/>
          <w:sz w:val="16"/>
          <w:szCs w:val="16"/>
          <w:color w:val="auto"/>
        </w:rPr>
      </w:pPr>
    </w:p>
    <w:p>
      <w:pPr>
        <w:jc w:val="both"/>
        <w:ind w:left="660" w:right="60" w:hanging="6"/>
        <w:spacing w:after="0" w:line="284" w:lineRule="auto"/>
        <w:tabs>
          <w:tab w:leader="none" w:pos="984"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Vesting Conditions</w:t>
      </w:r>
      <w:r>
        <w:rPr>
          <w:rFonts w:ascii="Arial" w:cs="Arial" w:eastAsia="Arial" w:hAnsi="Arial"/>
          <w:sz w:val="16"/>
          <w:szCs w:val="16"/>
          <w:color w:val="auto"/>
        </w:rPr>
        <w:t>. Each Award of Restricted Stock Units may or may not be subject to vesting. Vesting shall occur, in full or</w:t>
      </w:r>
      <w:r>
        <w:rPr>
          <w:rFonts w:ascii="Arial" w:cs="Arial" w:eastAsia="Arial" w:hAnsi="Arial"/>
          <w:sz w:val="16"/>
          <w:szCs w:val="16"/>
          <w:i w:val="1"/>
          <w:iCs w:val="1"/>
          <w:color w:val="auto"/>
        </w:rPr>
        <w:t xml:space="preserve"> </w:t>
      </w:r>
      <w:r>
        <w:rPr>
          <w:rFonts w:ascii="Arial" w:cs="Arial" w:eastAsia="Arial" w:hAnsi="Arial"/>
          <w:sz w:val="16"/>
          <w:szCs w:val="16"/>
          <w:color w:val="auto"/>
        </w:rPr>
        <w:t>in installments, upon satisfaction of the conditions specified in the Restricted Stock Unit Award Agreement. A Restricted Stock Unit Award Agreement may provide for accelerated vesting in the event of the Participant’s death, Disability, retirement, or other events.</w:t>
      </w:r>
    </w:p>
    <w:p>
      <w:pPr>
        <w:spacing w:after="0" w:line="382"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A​-10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60" w:hanging="6"/>
        <w:spacing w:after="0" w:line="273" w:lineRule="auto"/>
        <w:tabs>
          <w:tab w:leader="none" w:pos="993"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Voting and Dividend Rights</w:t>
      </w:r>
      <w:r>
        <w:rPr>
          <w:rFonts w:ascii="Arial" w:cs="Arial" w:eastAsia="Arial" w:hAnsi="Arial"/>
          <w:sz w:val="16"/>
          <w:szCs w:val="16"/>
          <w:color w:val="auto"/>
        </w:rPr>
        <w:t>. The holders of Restricted Stock Units shall have no voting rights. Prior to settlement or forfeiture,</w:t>
      </w:r>
      <w:r>
        <w:rPr>
          <w:rFonts w:ascii="Arial" w:cs="Arial" w:eastAsia="Arial" w:hAnsi="Arial"/>
          <w:sz w:val="16"/>
          <w:szCs w:val="16"/>
          <w:i w:val="1"/>
          <w:iCs w:val="1"/>
          <w:color w:val="auto"/>
        </w:rPr>
        <w:t xml:space="preserve"> </w:t>
      </w:r>
      <w:r>
        <w:rPr>
          <w:rFonts w:ascii="Arial" w:cs="Arial" w:eastAsia="Arial" w:hAnsi="Arial"/>
          <w:sz w:val="16"/>
          <w:szCs w:val="16"/>
          <w:color w:val="auto"/>
        </w:rPr>
        <w:t>any Restricted Stock Unit awarded under the Plan may, at the Committee’s discretion, carry with it a right to dividend equivalents. Such right, if awarded, entitles the holder to be credited with an amount equal to all cash dividends paid on one Share while the Restricted Stock Unit is outstanding. Settlement of dividend equivalents may be made in the form of cash, in the form of Shares, or in a combination of both. Dividend equivalents may also be converted into additional Restricted Stock Units at the Committee’s discretion. Dividend equivalents shall not be distributed prior to settlement of the Restricted Stock Unit to which the dividend 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w:t>
      </w:r>
    </w:p>
    <w:p>
      <w:pPr>
        <w:spacing w:after="0" w:line="195" w:lineRule="exact"/>
        <w:rPr>
          <w:rFonts w:ascii="Arial" w:cs="Arial" w:eastAsia="Arial" w:hAnsi="Arial"/>
          <w:sz w:val="16"/>
          <w:szCs w:val="16"/>
          <w:color w:val="auto"/>
        </w:rPr>
      </w:pPr>
    </w:p>
    <w:p>
      <w:pPr>
        <w:ind w:left="660" w:right="40" w:hanging="6"/>
        <w:spacing w:after="0" w:line="274" w:lineRule="auto"/>
        <w:tabs>
          <w:tab w:leader="none" w:pos="993"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Form and Time of Settlement of Restricted Stock Units</w:t>
      </w:r>
      <w:r>
        <w:rPr>
          <w:rFonts w:ascii="Arial" w:cs="Arial" w:eastAsia="Arial" w:hAnsi="Arial"/>
          <w:sz w:val="16"/>
          <w:szCs w:val="16"/>
          <w:color w:val="auto"/>
        </w:rPr>
        <w:t>. Settlement of vested Restricted Stock Units may be made in the form</w:t>
      </w:r>
      <w:r>
        <w:rPr>
          <w:rFonts w:ascii="Arial" w:cs="Arial" w:eastAsia="Arial" w:hAnsi="Arial"/>
          <w:sz w:val="16"/>
          <w:szCs w:val="16"/>
          <w:i w:val="1"/>
          <w:iCs w:val="1"/>
          <w:color w:val="auto"/>
        </w:rPr>
        <w:t xml:space="preserve"> </w:t>
      </w:r>
      <w:r>
        <w:rPr>
          <w:rFonts w:ascii="Arial" w:cs="Arial" w:eastAsia="Arial" w:hAnsi="Arial"/>
          <w:sz w:val="16"/>
          <w:szCs w:val="16"/>
          <w:color w:val="auto"/>
        </w:rPr>
        <w:t>of  (i) cash, (ii) Shares or (iii) any combination of both, as determined by the Committee.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Fair Market Value of Shares over a series of trading days. A Restricted Stock Unit Award Agreement may provide that vested Restricted Stock Units may be settled in a lump sum or in installments. A Restricted Stock Unit Award Agreement may provide that the distribution may occur or commence when all vesting conditions applicable to the Restricted Stock Units have been satisfied or have lapsed, or it may be deferred to any later date, subject to compliance with Section 409A. The amount of a deferred distribution may be increased by an interest factor or by dividend equivalents. Until an Award of Restricted Stock Units is settled, the number of such Restricted Stock Units shall be subject to adjustment pursuant to Section 13.</w:t>
      </w:r>
    </w:p>
    <w:p>
      <w:pPr>
        <w:spacing w:after="0" w:line="194" w:lineRule="exact"/>
        <w:rPr>
          <w:rFonts w:ascii="Arial" w:cs="Arial" w:eastAsia="Arial" w:hAnsi="Arial"/>
          <w:sz w:val="16"/>
          <w:szCs w:val="16"/>
          <w:color w:val="auto"/>
        </w:rPr>
      </w:pPr>
    </w:p>
    <w:p>
      <w:pPr>
        <w:ind w:left="660" w:right="40" w:hanging="6"/>
        <w:spacing w:after="0" w:line="289" w:lineRule="auto"/>
        <w:tabs>
          <w:tab w:leader="none" w:pos="948"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Death of Participant</w:t>
      </w:r>
      <w:r>
        <w:rPr>
          <w:rFonts w:ascii="Arial" w:cs="Arial" w:eastAsia="Arial" w:hAnsi="Arial"/>
          <w:sz w:val="16"/>
          <w:szCs w:val="16"/>
          <w:color w:val="auto"/>
        </w:rPr>
        <w:t>. Any Restricted Stock Unit Award that becomes payable after the Participant’s death shall be distributed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Participant’s beneficiary or beneficiaries. Each recipient of a Restricted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Restricted Stock Units Award that becomes payable after the Participant’s death shall be distributed to the Participant’s estate.</w:t>
      </w:r>
    </w:p>
    <w:p>
      <w:pPr>
        <w:spacing w:after="0" w:line="182" w:lineRule="exact"/>
        <w:rPr>
          <w:rFonts w:ascii="Arial" w:cs="Arial" w:eastAsia="Arial" w:hAnsi="Arial"/>
          <w:sz w:val="16"/>
          <w:szCs w:val="16"/>
          <w:color w:val="auto"/>
        </w:rPr>
      </w:pPr>
    </w:p>
    <w:p>
      <w:pPr>
        <w:ind w:left="660" w:right="540" w:hanging="6"/>
        <w:spacing w:after="0" w:line="301" w:lineRule="auto"/>
        <w:tabs>
          <w:tab w:leader="none" w:pos="993"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Creditors’ Rights</w:t>
      </w:r>
      <w:r>
        <w:rPr>
          <w:rFonts w:ascii="Arial" w:cs="Arial" w:eastAsia="Arial" w:hAnsi="Arial"/>
          <w:sz w:val="16"/>
          <w:szCs w:val="16"/>
          <w:color w:val="auto"/>
        </w:rPr>
        <w:t>. A holder of Restricted Stock Units shall have no rights other than those of a general creditor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Restricted Stock Units represent an unfunded and unsecured obligation of the Company, subject to the terms and conditions of the applicable Restricted Stock Unit Award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11.  CASH-BASED AWARDS</w:t>
      </w:r>
    </w:p>
    <w:p>
      <w:pPr>
        <w:spacing w:after="0" w:line="199" w:lineRule="exact"/>
        <w:rPr>
          <w:sz w:val="20"/>
          <w:szCs w:val="20"/>
          <w:color w:val="auto"/>
        </w:rPr>
      </w:pPr>
    </w:p>
    <w:p>
      <w:pPr>
        <w:ind w:left="660" w:right="120"/>
        <w:spacing w:after="0" w:line="288" w:lineRule="auto"/>
        <w:rPr>
          <w:sz w:val="20"/>
          <w:szCs w:val="20"/>
          <w:color w:val="auto"/>
        </w:rPr>
      </w:pPr>
      <w:r>
        <w:rPr>
          <w:rFonts w:ascii="Arial" w:cs="Arial" w:eastAsia="Arial" w:hAnsi="Arial"/>
          <w:sz w:val="16"/>
          <w:szCs w:val="16"/>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12.  STOCK PURCHASE RIGHTS</w:t>
      </w:r>
    </w:p>
    <w:p>
      <w:pPr>
        <w:spacing w:after="0" w:line="185" w:lineRule="exact"/>
        <w:rPr>
          <w:sz w:val="20"/>
          <w:szCs w:val="20"/>
          <w:color w:val="auto"/>
        </w:rPr>
      </w:pPr>
    </w:p>
    <w:p>
      <w:pPr>
        <w:ind w:left="660" w:right="80"/>
        <w:spacing w:after="0" w:line="285" w:lineRule="auto"/>
        <w:rPr>
          <w:sz w:val="20"/>
          <w:szCs w:val="20"/>
          <w:color w:val="auto"/>
        </w:rPr>
      </w:pPr>
      <w:r>
        <w:rPr>
          <w:rFonts w:ascii="Arial" w:cs="Arial" w:eastAsia="Arial" w:hAnsi="Arial"/>
          <w:sz w:val="16"/>
          <w:szCs w:val="16"/>
          <w:color w:val="auto"/>
        </w:rPr>
        <w:t xml:space="preserve">The Committee may, in its sole discretion, grant Stock Purchase Rights under the Plan to any Participant that is an Employee in such number or amount and upon such terms, and subject to such conditions, as set forth in the ESPP Addendum. To the extent any term of the ESPP Addendum conflicts with this Plan, the terms of the ESPP Addendum shall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notwithstanding the foregoing, the issuance of Stock Purchase Rights pursuant to the ESPP Addendum and the purchase of Shares thereunder shall be subject to the terms, conditions and limitations set forth in Section 5 of the Plan, including but not limited to the maximum number of Shares that may be issued pursuant to the ESPP Addendum. The ESPP Addendum is intended to comply with the requirements of Section 423 of the Code to the maximum extent permitted by law as further set forth in the ESPP Addendum. The Committee may adopt such additional documents referenced in the ESPP Addendum, and may adopt such rules and conditions related to the ESPP Addendum, as the Committee deems necessary and advisable to administer the ESPP Addendum in accordance with its terms. The Committee may further take such actions and adopt such documents with respect to the ESPP Addendum as required for the ESPP Addendum to satisfy the requirements of Section 423 of the Code to the extent</w:t>
      </w:r>
    </w:p>
    <w:p>
      <w:pPr>
        <w:spacing w:after="0" w:line="374" w:lineRule="exact"/>
        <w:rPr>
          <w:sz w:val="20"/>
          <w:szCs w:val="20"/>
          <w:color w:val="auto"/>
        </w:rPr>
      </w:pPr>
    </w:p>
    <w:p>
      <w:pPr>
        <w:ind w:left="660"/>
        <w:spacing w:after="0"/>
        <w:tabs>
          <w:tab w:leader="none" w:pos="5220" w:val="left"/>
          <w:tab w:leader="none" w:pos="976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A-11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660" w:right="60"/>
        <w:spacing w:after="0" w:line="284" w:lineRule="auto"/>
        <w:rPr>
          <w:sz w:val="20"/>
          <w:szCs w:val="20"/>
          <w:color w:val="auto"/>
        </w:rPr>
      </w:pPr>
      <w:r>
        <w:rPr>
          <w:rFonts w:ascii="Arial" w:cs="Arial" w:eastAsia="Arial" w:hAnsi="Arial"/>
          <w:sz w:val="16"/>
          <w:szCs w:val="16"/>
          <w:color w:val="auto"/>
        </w:rPr>
        <w:t>required by appliable law and as set forth in the ESPP Addendum. Payment with respect to a Stock Purchase Right shall be made in accordance with the terms of the ESPP Addendum and any other documents governing such Stock Purchase Rights adopted by the Committee. Shares issued under the ESPP Addendum shall reduce the number of Shares available under Section 5.</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13.  ADJUSTMENT OF SHARES.</w:t>
      </w:r>
    </w:p>
    <w:p>
      <w:pPr>
        <w:spacing w:after="0" w:line="172" w:lineRule="exact"/>
        <w:rPr>
          <w:sz w:val="20"/>
          <w:szCs w:val="20"/>
          <w:color w:val="auto"/>
        </w:rPr>
      </w:pPr>
    </w:p>
    <w:p>
      <w:pPr>
        <w:ind w:left="660" w:right="440" w:hanging="6"/>
        <w:spacing w:after="0" w:line="283" w:lineRule="auto"/>
        <w:tabs>
          <w:tab w:leader="none" w:pos="987" w:val="left"/>
        </w:tabs>
        <w:numPr>
          <w:ilvl w:val="0"/>
          <w:numId w:val="76"/>
        </w:numPr>
        <w:rPr>
          <w:rFonts w:ascii="Arial" w:cs="Arial" w:eastAsia="Arial" w:hAnsi="Arial"/>
          <w:sz w:val="16"/>
          <w:szCs w:val="16"/>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In the event of a subdivision of the outstanding Stock, a declaration of a dividend payable in Shares, a</w:t>
      </w:r>
      <w:r>
        <w:rPr>
          <w:rFonts w:ascii="Arial" w:cs="Arial" w:eastAsia="Arial" w:hAnsi="Arial"/>
          <w:sz w:val="16"/>
          <w:szCs w:val="16"/>
          <w:i w:val="1"/>
          <w:iCs w:val="1"/>
          <w:color w:val="auto"/>
        </w:rPr>
        <w:t xml:space="preserve"> </w:t>
      </w:r>
      <w:r>
        <w:rPr>
          <w:rFonts w:ascii="Arial" w:cs="Arial" w:eastAsia="Arial" w:hAnsi="Arial"/>
          <w:sz w:val="16"/>
          <w:szCs w:val="16"/>
          <w:color w:val="auto"/>
        </w:rPr>
        <w:t>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185" w:lineRule="exact"/>
        <w:rPr>
          <w:rFonts w:ascii="Arial" w:cs="Arial" w:eastAsia="Arial" w:hAnsi="Arial"/>
          <w:sz w:val="16"/>
          <w:szCs w:val="16"/>
          <w:color w:val="auto"/>
        </w:rPr>
      </w:pPr>
    </w:p>
    <w:p>
      <w:pPr>
        <w:ind w:left="1460" w:hanging="446"/>
        <w:spacing w:after="0"/>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class(es) and number of securities available for future Awards and the limitations set forth under Section 5;</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class(es) and number of securities covered by each outstanding Award;</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Exercise Price under each outstanding Option and SAR; and</w:t>
      </w:r>
    </w:p>
    <w:p>
      <w:pPr>
        <w:spacing w:after="0" w:line="234" w:lineRule="exact"/>
        <w:rPr>
          <w:rFonts w:ascii="Arial" w:cs="Arial" w:eastAsia="Arial" w:hAnsi="Arial"/>
          <w:sz w:val="16"/>
          <w:szCs w:val="16"/>
          <w:color w:val="auto"/>
        </w:rPr>
      </w:pPr>
    </w:p>
    <w:p>
      <w:pPr>
        <w:ind w:left="1460" w:hanging="446"/>
        <w:spacing w:after="0"/>
        <w:tabs>
          <w:tab w:leader="none" w:pos="14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Stock Purchase Rights to the extent set forth in the ESPP Addendum.</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Committee will make such adjustments, and its determination will be final, binding and conclusive.</w:t>
      </w:r>
    </w:p>
    <w:p>
      <w:pPr>
        <w:spacing w:after="0" w:line="235" w:lineRule="exact"/>
        <w:rPr>
          <w:sz w:val="20"/>
          <w:szCs w:val="20"/>
          <w:color w:val="auto"/>
        </w:rPr>
      </w:pPr>
    </w:p>
    <w:p>
      <w:pPr>
        <w:ind w:left="660" w:right="160" w:hanging="6"/>
        <w:spacing w:after="0" w:line="292" w:lineRule="auto"/>
        <w:tabs>
          <w:tab w:leader="none" w:pos="993"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Dissolution or Liquidation</w:t>
      </w:r>
      <w:r>
        <w:rPr>
          <w:rFonts w:ascii="Arial" w:cs="Arial" w:eastAsia="Arial" w:hAnsi="Arial"/>
          <w:sz w:val="16"/>
          <w:szCs w:val="16"/>
          <w:color w:val="auto"/>
        </w:rPr>
        <w:t>. To the extent not previously exercised or settled, Options, SARs, and Restricted Stock Units shall</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immediately prior to the dissolution or liquidation of the Company and Stock Purchase Rights shall be subject to such treatment as set forth in the ESPP Addendum.</w:t>
      </w:r>
    </w:p>
    <w:p>
      <w:pPr>
        <w:spacing w:after="0" w:line="165" w:lineRule="exact"/>
        <w:rPr>
          <w:rFonts w:ascii="Arial" w:cs="Arial" w:eastAsia="Arial" w:hAnsi="Arial"/>
          <w:sz w:val="16"/>
          <w:szCs w:val="16"/>
          <w:color w:val="auto"/>
        </w:rPr>
      </w:pPr>
    </w:p>
    <w:p>
      <w:pPr>
        <w:ind w:left="660" w:right="160" w:hanging="6"/>
        <w:spacing w:after="0" w:line="292" w:lineRule="auto"/>
        <w:tabs>
          <w:tab w:leader="none" w:pos="984"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Merger or Reorganization</w:t>
      </w:r>
      <w:r>
        <w:rPr>
          <w:rFonts w:ascii="Arial" w:cs="Arial" w:eastAsia="Arial" w:hAnsi="Arial"/>
          <w:sz w:val="16"/>
          <w:szCs w:val="16"/>
          <w:color w:val="auto"/>
        </w:rPr>
        <w:t>. In the event that the Company is a party to a merger or other reorganization, outstanding Awards</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subject to the agreement of merger or reorganization. Subject to compliance with Section 409A, such agreement may provide for one or more of the following with respect to Awards other than Stock Purchase Rights, without limitation:</w:t>
      </w:r>
    </w:p>
    <w:p>
      <w:pPr>
        <w:spacing w:after="0" w:line="178" w:lineRule="exact"/>
        <w:rPr>
          <w:rFonts w:ascii="Arial" w:cs="Arial" w:eastAsia="Arial" w:hAnsi="Arial"/>
          <w:sz w:val="16"/>
          <w:szCs w:val="16"/>
          <w:color w:val="auto"/>
        </w:rPr>
      </w:pPr>
    </w:p>
    <w:p>
      <w:pPr>
        <w:ind w:left="1460" w:hanging="446"/>
        <w:spacing w:after="0"/>
        <w:tabs>
          <w:tab w:leader="none" w:pos="14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continuation of the outstanding Awards by the Company, if the Company is a surviving corporation;</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assumption of the outstanding Awards by the surviving corporation or its parent or subsidiary;</w:t>
      </w:r>
    </w:p>
    <w:p>
      <w:pPr>
        <w:spacing w:after="0" w:line="248" w:lineRule="exact"/>
        <w:rPr>
          <w:rFonts w:ascii="Arial" w:cs="Arial" w:eastAsia="Arial" w:hAnsi="Arial"/>
          <w:sz w:val="16"/>
          <w:szCs w:val="16"/>
          <w:color w:val="auto"/>
        </w:rPr>
      </w:pPr>
    </w:p>
    <w:p>
      <w:pPr>
        <w:ind w:left="1460" w:hanging="446"/>
        <w:spacing w:after="0"/>
        <w:tabs>
          <w:tab w:leader="none" w:pos="14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substitution by the surviving corporation or its parent or subsidiary of its own awards for the outstanding Awards;</w:t>
      </w:r>
    </w:p>
    <w:p>
      <w:pPr>
        <w:spacing w:after="0" w:line="234" w:lineRule="exact"/>
        <w:rPr>
          <w:rFonts w:ascii="Arial" w:cs="Arial" w:eastAsia="Arial" w:hAnsi="Arial"/>
          <w:sz w:val="16"/>
          <w:szCs w:val="16"/>
          <w:color w:val="auto"/>
        </w:rPr>
      </w:pPr>
    </w:p>
    <w:p>
      <w:pPr>
        <w:ind w:left="1460" w:right="40" w:hanging="446"/>
        <w:spacing w:after="0" w:line="321" w:lineRule="auto"/>
        <w:tabs>
          <w:tab w:leader="none" w:pos="14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Immediate vesting, exercisability, or settlement of outstanding Awards followed by the cancellation of such Awards upon or immediately prior to the effectiveness of such transaction;</w:t>
      </w:r>
    </w:p>
    <w:p>
      <w:pPr>
        <w:spacing w:after="0" w:line="155" w:lineRule="exact"/>
        <w:rPr>
          <w:rFonts w:ascii="Arial" w:cs="Arial" w:eastAsia="Arial" w:hAnsi="Arial"/>
          <w:sz w:val="16"/>
          <w:szCs w:val="16"/>
          <w:color w:val="auto"/>
        </w:rPr>
      </w:pPr>
    </w:p>
    <w:p>
      <w:pPr>
        <w:ind w:left="1460" w:right="180" w:hanging="446"/>
        <w:spacing w:after="0" w:line="301" w:lineRule="auto"/>
        <w:tabs>
          <w:tab w:leader="none" w:pos="14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Cancellation of the Award, to the extent not vested or not exercised prior to the effective time of the merger or reorganization, in exchange for such cash or equity consideration (including no consideration) as the Committee, in its sole discretion, may consider appropriate; or</w:t>
      </w:r>
    </w:p>
    <w:p>
      <w:pPr>
        <w:spacing w:after="0" w:line="171" w:lineRule="exact"/>
        <w:rPr>
          <w:rFonts w:ascii="Arial" w:cs="Arial" w:eastAsia="Arial" w:hAnsi="Arial"/>
          <w:sz w:val="16"/>
          <w:szCs w:val="16"/>
          <w:color w:val="auto"/>
        </w:rPr>
      </w:pPr>
    </w:p>
    <w:p>
      <w:pPr>
        <w:ind w:left="1460" w:right="60" w:hanging="446"/>
        <w:spacing w:after="0" w:line="287" w:lineRule="auto"/>
        <w:tabs>
          <w:tab w:leader="none" w:pos="14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provided that any such amount may be delayed to the same extent that payment of consideration to the holders of Stock in connection with the merger or reorganization is delayed as a result of escrows, earnouts, holdbacks or other contingencies;</w:t>
      </w:r>
    </w:p>
    <w:p>
      <w:pPr>
        <w:spacing w:after="0" w:line="170" w:lineRule="exact"/>
        <w:rPr>
          <w:sz w:val="20"/>
          <w:szCs w:val="20"/>
          <w:color w:val="auto"/>
        </w:rPr>
      </w:pPr>
    </w:p>
    <w:p>
      <w:pPr>
        <w:ind w:left="660" w:right="300"/>
        <w:spacing w:after="0" w:line="283" w:lineRule="auto"/>
        <w:rPr>
          <w:sz w:val="20"/>
          <w:szCs w:val="20"/>
          <w:color w:val="auto"/>
        </w:rPr>
      </w:pPr>
      <w:r>
        <w:rPr>
          <w:rFonts w:ascii="Arial" w:cs="Arial" w:eastAsia="Arial" w:hAnsi="Arial"/>
          <w:sz w:val="16"/>
          <w:szCs w:val="16"/>
          <w:color w:val="auto"/>
        </w:rPr>
        <w:t>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 In addition, in the event that the Company is a party to a merger or other reorganization, outstanding Stock Purchase Rights shall be subject to the terms of the ESPP Addendum.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will have no obligation to treat all Awards, all Awards held by a Participant, or all Awards of the same type, similarly.</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​A-12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100" w:hanging="6"/>
        <w:spacing w:after="0" w:line="272" w:lineRule="auto"/>
        <w:tabs>
          <w:tab w:leader="none" w:pos="993"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addition to (and without limiting) the actions that may be taken under Section 12(c), in the event of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Control in which the surviving corporation or acquiring corporation (or the surviving or acquiring corporation’s parent company) does not continue, assume or settle (subject to vesting) outstanding Awards (other than Stock Purchase Rights), or substitute similar stock awards for outstanding Awards (other than Stock Purchase Rights), then with respect to any such Awards that have not been continued, assumed, settled or substituted, the Committee may determine, at the time of granting an Award or thereafter, that the vesting (and exercisability, if applicable) of any such Awards (or portion thereof) will be accelerated in full (and with respect to any such Awards subject to performance-based vesting, that vesting shall be deemed satisfied at the target level or based on actual performance measured in accordance with the applicable performance goals as of the date of the Change in Control, or the greater thereof) to a date prior to the effective time of the Change in Control (contingent upon the closing or completion of the Change in Control) as the Committee will determine (or, if the Committee does not determine such a date, to the date that is five days prior to the effective time of the Change in Control), and any reacquisition or repurchase rights held by the Company with respect to such vested Awards will lapse (contingent upon the closing or completion of the Change in Control). In addition, the Committee may determine, at the time of granting an Award (other than Stock Purchase Rights) or thereafter, that such Award shall become exercisable or vested as to all or part of the Shares subject to such Award in the event that a Change in Control occurs with respect to the Company. The Committee will have no obligation to treat all Awards, all Awards held by a Participant, or all Awards of the same type, similarly. Notwithstanding the foregoing, upon a Change in Control Stock Purchase Rights shall be subject to the terms of the ESPP Addendum.</w:t>
      </w:r>
    </w:p>
    <w:p>
      <w:pPr>
        <w:spacing w:after="0" w:line="181" w:lineRule="exact"/>
        <w:rPr>
          <w:rFonts w:ascii="Arial" w:cs="Arial" w:eastAsia="Arial" w:hAnsi="Arial"/>
          <w:sz w:val="16"/>
          <w:szCs w:val="16"/>
          <w:color w:val="auto"/>
        </w:rPr>
      </w:pPr>
    </w:p>
    <w:p>
      <w:pPr>
        <w:ind w:left="660" w:right="60" w:hanging="6"/>
        <w:spacing w:after="0" w:line="274" w:lineRule="auto"/>
        <w:tabs>
          <w:tab w:leader="none" w:pos="993"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Reservation of Rights</w:t>
      </w:r>
      <w:r>
        <w:rPr>
          <w:rFonts w:ascii="Arial" w:cs="Arial" w:eastAsia="Arial" w:hAnsi="Arial"/>
          <w:sz w:val="16"/>
          <w:szCs w:val="16"/>
          <w:color w:val="auto"/>
        </w:rPr>
        <w:t>. Except as provided in this Section 13, a Participant shall have no rights by reason of any subdivision</w:t>
      </w:r>
      <w:r>
        <w:rPr>
          <w:rFonts w:ascii="Arial" w:cs="Arial" w:eastAsia="Arial" w:hAnsi="Arial"/>
          <w:sz w:val="16"/>
          <w:szCs w:val="16"/>
          <w:i w:val="1"/>
          <w:iCs w:val="1"/>
          <w:color w:val="auto"/>
        </w:rPr>
        <w:t xml:space="preserve"> </w:t>
      </w:r>
      <w:r>
        <w:rPr>
          <w:rFonts w:ascii="Arial" w:cs="Arial" w:eastAsia="Arial" w:hAnsi="Arial"/>
          <w:sz w:val="16"/>
          <w:szCs w:val="16"/>
          <w:color w:val="auto"/>
        </w:rPr>
        <w:t>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(or purchase price with respect to any Stock Purchase Right)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(or purchase price with respect to any Stock Purchase Right) of Shares subject to an Award, including a merger or other reorganization, for reasons of administrative convenience, the Company in its sole discretion may refuse to permit the exercise of any Award during a period of up to 30 days prior to the occurrence of such event. Notwithstanding the foregoing, Stock Purchase Rights shall be subject to the terms of the ESPP Addendum.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14.  DEFERRAL OF AWARDS.</w:t>
      </w:r>
    </w:p>
    <w:p>
      <w:pPr>
        <w:spacing w:after="0" w:line="172" w:lineRule="exact"/>
        <w:rPr>
          <w:sz w:val="20"/>
          <w:szCs w:val="20"/>
          <w:color w:val="auto"/>
        </w:rPr>
      </w:pPr>
    </w:p>
    <w:p>
      <w:pPr>
        <w:ind w:left="660" w:right="180" w:hanging="6"/>
        <w:spacing w:after="0" w:line="304" w:lineRule="auto"/>
        <w:tabs>
          <w:tab w:leader="none" w:pos="993"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Committee Powers</w:t>
      </w:r>
      <w:r>
        <w:rPr>
          <w:rFonts w:ascii="Arial" w:cs="Arial" w:eastAsia="Arial" w:hAnsi="Arial"/>
          <w:sz w:val="16"/>
          <w:szCs w:val="16"/>
          <w:color w:val="auto"/>
        </w:rPr>
        <w:t>. Subject to compliance with Section 409A, the Committee (in its sole discretion) may permit or require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to:</w:t>
      </w:r>
    </w:p>
    <w:p>
      <w:pPr>
        <w:spacing w:after="0" w:line="168" w:lineRule="exact"/>
        <w:rPr>
          <w:rFonts w:ascii="Arial" w:cs="Arial" w:eastAsia="Arial" w:hAnsi="Arial"/>
          <w:sz w:val="16"/>
          <w:szCs w:val="16"/>
          <w:color w:val="auto"/>
        </w:rPr>
      </w:pPr>
    </w:p>
    <w:p>
      <w:pPr>
        <w:ind w:left="1460" w:right="160" w:hanging="446"/>
        <w:spacing w:after="0" w:line="301" w:lineRule="auto"/>
        <w:tabs>
          <w:tab w:leader="none" w:pos="14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Have cash that otherwise would be paid to such Participant as a result of the exercise of a SAR or the settlement of Restricted Stock Units credited to a deferred compensation account established for such Participant by the Committee as an entry on the Company’s books;</w:t>
      </w:r>
    </w:p>
    <w:p>
      <w:pPr>
        <w:spacing w:after="0" w:line="171" w:lineRule="exact"/>
        <w:rPr>
          <w:rFonts w:ascii="Arial" w:cs="Arial" w:eastAsia="Arial" w:hAnsi="Arial"/>
          <w:sz w:val="16"/>
          <w:szCs w:val="16"/>
          <w:color w:val="auto"/>
        </w:rPr>
      </w:pPr>
    </w:p>
    <w:p>
      <w:pPr>
        <w:ind w:left="1460" w:right="460" w:hanging="446"/>
        <w:spacing w:after="0" w:line="321" w:lineRule="auto"/>
        <w:tabs>
          <w:tab w:leader="none" w:pos="14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Have Shares that otherwise would be delivered to such Participant as a result of the exercise of an Option or SAR converted into an equal number of Restricted Stock Units; or</w:t>
      </w:r>
    </w:p>
    <w:p>
      <w:pPr>
        <w:spacing w:after="0" w:line="155" w:lineRule="exact"/>
        <w:rPr>
          <w:rFonts w:ascii="Arial" w:cs="Arial" w:eastAsia="Arial" w:hAnsi="Arial"/>
          <w:sz w:val="16"/>
          <w:szCs w:val="16"/>
          <w:color w:val="auto"/>
        </w:rPr>
      </w:pPr>
    </w:p>
    <w:p>
      <w:pPr>
        <w:ind w:left="1460" w:right="280" w:hanging="446"/>
        <w:spacing w:after="0" w:line="301" w:lineRule="auto"/>
        <w:tabs>
          <w:tab w:leader="none" w:pos="1460" w:val="left"/>
        </w:tabs>
        <w:numPr>
          <w:ilvl w:val="1"/>
          <w:numId w:val="79"/>
        </w:numPr>
        <w:rPr>
          <w:rFonts w:ascii="Arial" w:cs="Arial" w:eastAsia="Arial" w:hAnsi="Arial"/>
          <w:sz w:val="16"/>
          <w:szCs w:val="16"/>
          <w:color w:val="auto"/>
        </w:rPr>
      </w:pPr>
      <w:r>
        <w:rPr>
          <w:rFonts w:ascii="Arial" w:cs="Arial" w:eastAsia="Arial" w:hAnsi="Arial"/>
          <w:sz w:val="16"/>
          <w:szCs w:val="16"/>
          <w:color w:val="auto"/>
        </w:rPr>
        <w:t>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w:t>
      </w:r>
    </w:p>
    <w:p>
      <w:pPr>
        <w:spacing w:after="0" w:line="158" w:lineRule="exact"/>
        <w:rPr>
          <w:sz w:val="20"/>
          <w:szCs w:val="20"/>
          <w:color w:val="auto"/>
        </w:rPr>
      </w:pPr>
    </w:p>
    <w:p>
      <w:pPr>
        <w:ind w:left="660" w:right="80"/>
        <w:spacing w:after="0" w:line="304" w:lineRule="auto"/>
        <w:rPr>
          <w:sz w:val="20"/>
          <w:szCs w:val="20"/>
          <w:color w:val="auto"/>
        </w:rPr>
      </w:pPr>
      <w:r>
        <w:rPr>
          <w:rFonts w:ascii="Arial" w:cs="Arial" w:eastAsia="Arial" w:hAnsi="Arial"/>
          <w:sz w:val="16"/>
          <w:szCs w:val="16"/>
          <w:color w:val="auto"/>
        </w:rPr>
        <w:t>Such amounts shall be determined by reference to the Fair Market Value of such Shares as of the date when they otherwise would have been delivered to such Participant.</w:t>
      </w:r>
    </w:p>
    <w:p>
      <w:pPr>
        <w:spacing w:after="0" w:line="168" w:lineRule="exact"/>
        <w:rPr>
          <w:sz w:val="20"/>
          <w:szCs w:val="20"/>
          <w:color w:val="auto"/>
        </w:rPr>
      </w:pPr>
    </w:p>
    <w:p>
      <w:pPr>
        <w:ind w:left="660" w:right="140" w:hanging="6"/>
        <w:spacing w:after="0" w:line="276" w:lineRule="auto"/>
        <w:tabs>
          <w:tab w:leader="none" w:pos="993"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General Rules</w:t>
      </w:r>
      <w:r>
        <w:rPr>
          <w:rFonts w:ascii="Arial" w:cs="Arial" w:eastAsia="Arial" w:hAnsi="Arial"/>
          <w:sz w:val="16"/>
          <w:szCs w:val="16"/>
          <w:color w:val="auto"/>
        </w:rPr>
        <w:t>. A deferred compensation account established under this Section 14 may be credited with interest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14.</w:t>
      </w:r>
    </w:p>
    <w:p>
      <w:pPr>
        <w:spacing w:after="0" w:line="378"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A-13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15.  AWARDS UNDER OTHER PLANS.</w:t>
      </w:r>
    </w:p>
    <w:p>
      <w:pPr>
        <w:spacing w:after="0" w:line="172" w:lineRule="exact"/>
        <w:rPr>
          <w:sz w:val="20"/>
          <w:szCs w:val="20"/>
          <w:color w:val="auto"/>
        </w:rPr>
      </w:pPr>
    </w:p>
    <w:p>
      <w:pPr>
        <w:jc w:val="both"/>
        <w:ind w:left="660" w:right="200"/>
        <w:spacing w:after="0" w:line="292" w:lineRule="auto"/>
        <w:rPr>
          <w:sz w:val="20"/>
          <w:szCs w:val="20"/>
          <w:color w:val="auto"/>
        </w:rPr>
      </w:pPr>
      <w:r>
        <w:rPr>
          <w:rFonts w:ascii="Arial" w:cs="Arial" w:eastAsia="Arial" w:hAnsi="Arial"/>
          <w:sz w:val="16"/>
          <w:szCs w:val="16"/>
          <w:color w:val="auto"/>
        </w:rPr>
        <w:t>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16.  PAYMENT OF DIRECTOR’S FEES IN SECURITIES.</w:t>
      </w:r>
    </w:p>
    <w:p>
      <w:pPr>
        <w:spacing w:after="0" w:line="185" w:lineRule="exact"/>
        <w:rPr>
          <w:sz w:val="20"/>
          <w:szCs w:val="20"/>
          <w:color w:val="auto"/>
        </w:rPr>
      </w:pPr>
    </w:p>
    <w:p>
      <w:pPr>
        <w:ind w:left="660" w:right="420" w:hanging="6"/>
        <w:spacing w:after="0" w:line="304" w:lineRule="auto"/>
        <w:tabs>
          <w:tab w:leader="none" w:pos="993"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Effective Date</w:t>
      </w:r>
      <w:r>
        <w:rPr>
          <w:rFonts w:ascii="Arial" w:cs="Arial" w:eastAsia="Arial" w:hAnsi="Arial"/>
          <w:sz w:val="16"/>
          <w:szCs w:val="16"/>
          <w:color w:val="auto"/>
        </w:rPr>
        <w:t>. No provision of this Section 16 shall be effective unless and until the Board has determined to implement</w:t>
      </w:r>
      <w:r>
        <w:rPr>
          <w:rFonts w:ascii="Arial" w:cs="Arial" w:eastAsia="Arial" w:hAnsi="Arial"/>
          <w:sz w:val="16"/>
          <w:szCs w:val="16"/>
          <w:i w:val="1"/>
          <w:iCs w:val="1"/>
          <w:color w:val="auto"/>
        </w:rPr>
        <w:t xml:space="preserve"> </w:t>
      </w:r>
      <w:r>
        <w:rPr>
          <w:rFonts w:ascii="Arial" w:cs="Arial" w:eastAsia="Arial" w:hAnsi="Arial"/>
          <w:sz w:val="16"/>
          <w:szCs w:val="16"/>
          <w:color w:val="auto"/>
        </w:rPr>
        <w:t>such provision.</w:t>
      </w:r>
    </w:p>
    <w:p>
      <w:pPr>
        <w:spacing w:after="0" w:line="154" w:lineRule="exact"/>
        <w:rPr>
          <w:rFonts w:ascii="Arial" w:cs="Arial" w:eastAsia="Arial" w:hAnsi="Arial"/>
          <w:sz w:val="16"/>
          <w:szCs w:val="16"/>
          <w:color w:val="auto"/>
        </w:rPr>
      </w:pPr>
    </w:p>
    <w:p>
      <w:pPr>
        <w:ind w:left="660" w:right="40" w:hanging="6"/>
        <w:spacing w:after="0" w:line="282" w:lineRule="auto"/>
        <w:tabs>
          <w:tab w:leader="none" w:pos="993"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Elections to Receive NSOs, SARs, Restricted Shares, or Restricted Stock Units</w:t>
      </w:r>
      <w:r>
        <w:rPr>
          <w:rFonts w:ascii="Arial" w:cs="Arial" w:eastAsia="Arial" w:hAnsi="Arial"/>
          <w:sz w:val="16"/>
          <w:szCs w:val="16"/>
          <w:color w:val="auto"/>
        </w:rPr>
        <w:t>. An Outside Director may elect to receive his</w:t>
      </w:r>
      <w:r>
        <w:rPr>
          <w:rFonts w:ascii="Arial" w:cs="Arial" w:eastAsia="Arial" w:hAnsi="Arial"/>
          <w:sz w:val="16"/>
          <w:szCs w:val="16"/>
          <w:i w:val="1"/>
          <w:iCs w:val="1"/>
          <w:color w:val="auto"/>
        </w:rPr>
        <w:t xml:space="preserve"> </w:t>
      </w:r>
      <w:r>
        <w:rPr>
          <w:rFonts w:ascii="Arial" w:cs="Arial" w:eastAsia="Arial" w:hAnsi="Arial"/>
          <w:sz w:val="16"/>
          <w:szCs w:val="16"/>
          <w:color w:val="auto"/>
        </w:rPr>
        <w:t>or her annual retainer payments and/or meeting fees from the Company in the form of cash, NSOs, SARs, Restricted Shares, Restricted Stock Units, or a combination thereof, as determined by the Board. Alternatively, the Board may mandate payment in any of such alternative forms. Such NSOs, SARs, Restricted Shares, and Restricted Stock Units shall be issued under the Plan. An election under this Section 16 shall be filed with the Company on the prescribed form.</w:t>
      </w:r>
    </w:p>
    <w:p>
      <w:pPr>
        <w:spacing w:after="0" w:line="174" w:lineRule="exact"/>
        <w:rPr>
          <w:rFonts w:ascii="Arial" w:cs="Arial" w:eastAsia="Arial" w:hAnsi="Arial"/>
          <w:sz w:val="16"/>
          <w:szCs w:val="16"/>
          <w:color w:val="auto"/>
        </w:rPr>
      </w:pPr>
    </w:p>
    <w:p>
      <w:pPr>
        <w:ind w:left="660" w:right="320" w:hanging="6"/>
        <w:spacing w:after="0" w:line="283" w:lineRule="auto"/>
        <w:tabs>
          <w:tab w:leader="none" w:pos="984"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Number and Terms of NSOs, SARs, Restricted Shares or Restricted Stock Units</w:t>
      </w:r>
      <w:r>
        <w:rPr>
          <w:rFonts w:ascii="Arial" w:cs="Arial" w:eastAsia="Arial" w:hAnsi="Arial"/>
          <w:sz w:val="16"/>
          <w:szCs w:val="16"/>
          <w:color w:val="auto"/>
        </w:rPr>
        <w:t>. The number of NSOs, SARs,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Restricted Stock Units to be granted to Outside Directors in lieu of annual retainers and meeting fees that would otherwise be paid in cash shall be calculated in a manner determined by the Board. The terms of such NSOs, SARs, Restricted Shares, or Restricted Stock Units shall also be determined by the Board.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17.  LEGAL AND REGULATORY REQUIREMENTS.</w:t>
      </w:r>
    </w:p>
    <w:p>
      <w:pPr>
        <w:spacing w:after="0" w:line="172" w:lineRule="exact"/>
        <w:rPr>
          <w:sz w:val="20"/>
          <w:szCs w:val="20"/>
          <w:color w:val="auto"/>
        </w:rPr>
      </w:pPr>
    </w:p>
    <w:p>
      <w:pPr>
        <w:ind w:left="660" w:right="80"/>
        <w:spacing w:after="0" w:line="274" w:lineRule="auto"/>
        <w:rPr>
          <w:sz w:val="20"/>
          <w:szCs w:val="20"/>
          <w:color w:val="auto"/>
        </w:rPr>
      </w:pPr>
      <w:r>
        <w:rPr>
          <w:rFonts w:ascii="Arial" w:cs="Arial" w:eastAsia="Arial" w:hAnsi="Arial"/>
          <w:sz w:val="16"/>
          <w:szCs w:val="16"/>
          <w:color w:val="auto"/>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18.  TAXES.</w:t>
      </w:r>
    </w:p>
    <w:p>
      <w:pPr>
        <w:spacing w:after="0" w:line="172" w:lineRule="exact"/>
        <w:rPr>
          <w:sz w:val="20"/>
          <w:szCs w:val="20"/>
          <w:color w:val="auto"/>
        </w:rPr>
      </w:pPr>
    </w:p>
    <w:p>
      <w:pPr>
        <w:ind w:left="660" w:right="120" w:hanging="6"/>
        <w:spacing w:after="0" w:line="283" w:lineRule="auto"/>
        <w:tabs>
          <w:tab w:leader="none" w:pos="993"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Withholding Taxes</w:t>
      </w:r>
      <w:r>
        <w:rPr>
          <w:rFonts w:ascii="Arial" w:cs="Arial" w:eastAsia="Arial" w:hAnsi="Arial"/>
          <w:sz w:val="16"/>
          <w:szCs w:val="16"/>
          <w:color w:val="auto"/>
        </w:rPr>
        <w:t>. To the extent required by applicable federal, state, local, or foreign law, a Participant or his or her</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shall 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171" w:lineRule="exact"/>
        <w:rPr>
          <w:rFonts w:ascii="Arial" w:cs="Arial" w:eastAsia="Arial" w:hAnsi="Arial"/>
          <w:sz w:val="16"/>
          <w:szCs w:val="16"/>
          <w:color w:val="auto"/>
        </w:rPr>
      </w:pPr>
    </w:p>
    <w:p>
      <w:pPr>
        <w:ind w:left="660" w:right="100" w:hanging="6"/>
        <w:spacing w:after="0" w:line="282" w:lineRule="auto"/>
        <w:tabs>
          <w:tab w:leader="none" w:pos="993"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Share Withholding</w:t>
      </w:r>
      <w:r>
        <w:rPr>
          <w:rFonts w:ascii="Arial" w:cs="Arial" w:eastAsia="Arial" w:hAnsi="Arial"/>
          <w:sz w:val="16"/>
          <w:szCs w:val="16"/>
          <w:color w:val="auto"/>
        </w:rPr>
        <w:t>. The Committee may permit a Participant to satisfy all or part of his or her withholding or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by 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174" w:lineRule="exact"/>
        <w:rPr>
          <w:rFonts w:ascii="Arial" w:cs="Arial" w:eastAsia="Arial" w:hAnsi="Arial"/>
          <w:sz w:val="16"/>
          <w:szCs w:val="16"/>
          <w:color w:val="auto"/>
        </w:rPr>
      </w:pPr>
    </w:p>
    <w:p>
      <w:pPr>
        <w:ind w:left="660" w:right="200" w:hanging="6"/>
        <w:spacing w:after="0" w:line="275" w:lineRule="auto"/>
        <w:tabs>
          <w:tab w:leader="none" w:pos="984"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Each Award that provides for “nonqualified deferred compensation” within the meaning of Section 409A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subject to such additional rules and requirements as specified by the Committee from time to time in order to comply with Section 409A. If any amount under such an Award is payable upon a “separation from service” ​(within the meaning of</w:t>
      </w:r>
    </w:p>
    <w:p>
      <w:pPr>
        <w:ind w:left="660" w:right="80"/>
        <w:spacing w:after="0" w:line="274" w:lineRule="auto"/>
        <w:rPr>
          <w:rFonts w:ascii="Arial" w:cs="Arial" w:eastAsia="Arial" w:hAnsi="Arial"/>
          <w:sz w:val="16"/>
          <w:szCs w:val="16"/>
          <w:color w:val="auto"/>
        </w:rPr>
      </w:pPr>
      <w:r>
        <w:rPr>
          <w:rFonts w:ascii="Arial" w:cs="Arial" w:eastAsia="Arial" w:hAnsi="Arial"/>
          <w:sz w:val="16"/>
          <w:szCs w:val="16"/>
          <w:color w:val="auto"/>
        </w:rPr>
        <w:t>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19.  TRANSFERABILITY.</w:t>
      </w:r>
    </w:p>
    <w:p>
      <w:pPr>
        <w:spacing w:after="0" w:line="172" w:lineRule="exact"/>
        <w:rPr>
          <w:sz w:val="20"/>
          <w:szCs w:val="20"/>
          <w:color w:val="auto"/>
        </w:rPr>
      </w:pPr>
    </w:p>
    <w:p>
      <w:pPr>
        <w:jc w:val="both"/>
        <w:ind w:left="660" w:right="40"/>
        <w:spacing w:after="0" w:line="321" w:lineRule="auto"/>
        <w:rPr>
          <w:sz w:val="20"/>
          <w:szCs w:val="20"/>
          <w:color w:val="auto"/>
        </w:rPr>
      </w:pPr>
      <w:r>
        <w:rPr>
          <w:rFonts w:ascii="Arial" w:cs="Arial" w:eastAsia="Arial" w:hAnsi="Arial"/>
          <w:sz w:val="16"/>
          <w:szCs w:val="16"/>
          <w:color w:val="auto"/>
        </w:rPr>
        <w:t>Unless the agreement evidencing an Award (or an amendment thereto authorized by the Committee) expressly provides otherwise, no Award granted under the Plan, nor any interest in such Award, may be sold, assigned, conveyed, gifted, pledged, hypothecated,</w:t>
      </w:r>
    </w:p>
    <w:p>
      <w:pPr>
        <w:sectPr>
          <w:pgSz w:w="11900" w:h="16838" w:orient="portrait"/>
          <w:cols w:equalWidth="0" w:num="1">
            <w:col w:w="10080"/>
          </w:cols>
          <w:pgMar w:left="580" w:top="97" w:right="1239" w:bottom="1440" w:gutter="0" w:footer="0" w:header="0"/>
        </w:sectPr>
      </w:pPr>
    </w:p>
    <w:p>
      <w:pPr>
        <w:spacing w:after="0" w:line="341"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​A-14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140"/>
        <w:spacing w:after="0" w:line="283" w:lineRule="auto"/>
        <w:rPr>
          <w:sz w:val="20"/>
          <w:szCs w:val="20"/>
          <w:color w:val="auto"/>
        </w:rPr>
      </w:pPr>
      <w:r>
        <w:rPr>
          <w:rFonts w:ascii="Arial" w:cs="Arial" w:eastAsia="Arial" w:hAnsi="Arial"/>
          <w:sz w:val="16"/>
          <w:szCs w:val="16"/>
          <w:color w:val="auto"/>
        </w:rPr>
        <w:t>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19 shall be void and unenforceable against the Company.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20.  PERFORMANCE BASED AWARDS.</w:t>
      </w:r>
    </w:p>
    <w:p>
      <w:pPr>
        <w:spacing w:after="0" w:line="185" w:lineRule="exact"/>
        <w:rPr>
          <w:sz w:val="20"/>
          <w:szCs w:val="20"/>
          <w:color w:val="auto"/>
        </w:rPr>
      </w:pPr>
    </w:p>
    <w:p>
      <w:pPr>
        <w:ind w:left="660" w:right="480"/>
        <w:spacing w:after="0" w:line="284" w:lineRule="auto"/>
        <w:rPr>
          <w:sz w:val="20"/>
          <w:szCs w:val="20"/>
          <w:color w:val="auto"/>
        </w:rPr>
      </w:pPr>
      <w:r>
        <w:rPr>
          <w:rFonts w:ascii="Arial" w:cs="Arial" w:eastAsia="Arial" w:hAnsi="Arial"/>
          <w:sz w:val="16"/>
          <w:szCs w:val="16"/>
          <w:color w:val="auto"/>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21.  FORFEITURE, CANCELLATION OR RECOUPMENT OF AWARDS.</w:t>
      </w:r>
    </w:p>
    <w:p>
      <w:pPr>
        <w:spacing w:after="0" w:line="172" w:lineRule="exact"/>
        <w:rPr>
          <w:sz w:val="20"/>
          <w:szCs w:val="20"/>
          <w:color w:val="auto"/>
        </w:rPr>
      </w:pPr>
    </w:p>
    <w:p>
      <w:pPr>
        <w:ind w:left="660" w:right="40"/>
        <w:spacing w:after="0" w:line="277" w:lineRule="auto"/>
        <w:rPr>
          <w:sz w:val="20"/>
          <w:szCs w:val="20"/>
          <w:color w:val="auto"/>
        </w:rPr>
      </w:pPr>
      <w:r>
        <w:rPr>
          <w:rFonts w:ascii="Arial" w:cs="Arial" w:eastAsia="Arial" w:hAnsi="Arial"/>
          <w:sz w:val="16"/>
          <w:szCs w:val="16"/>
          <w:color w:val="auto"/>
        </w:rPr>
        <w:t>The Committee shall have the authority, to the extent permitted by applicable law, to specify in an Award Agreement, exercise notice or share purchase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in each case to the extent permitted by applicable law, termination of Service for Cause or any act by a Participant, whether before or after termination of Service, that would constitute Cause for termination of Service, a Participant’s noncompliance with applicable restrictive covenants and conditions, and any other events set forth in a clawback, recoupment or similar policy adopted by the Company. Notwithstanding the foregoing, Stock Purchase Rights shall be subject to the terms of the ESPP Addendum.</w:t>
      </w:r>
    </w:p>
    <w:p>
      <w:pPr>
        <w:spacing w:after="0" w:line="178" w:lineRule="exact"/>
        <w:rPr>
          <w:sz w:val="20"/>
          <w:szCs w:val="20"/>
          <w:color w:val="auto"/>
        </w:rPr>
      </w:pPr>
    </w:p>
    <w:p>
      <w:pPr>
        <w:ind w:left="660" w:right="100"/>
        <w:spacing w:after="0" w:line="273" w:lineRule="auto"/>
        <w:rPr>
          <w:sz w:val="20"/>
          <w:szCs w:val="20"/>
          <w:color w:val="auto"/>
        </w:rPr>
      </w:pPr>
      <w:r>
        <w:rPr>
          <w:rFonts w:ascii="Arial" w:cs="Arial" w:eastAsia="Arial" w:hAnsi="Arial"/>
          <w:sz w:val="16"/>
          <w:szCs w:val="16"/>
          <w:color w:val="auto"/>
        </w:rPr>
        <w:t>In the event that the Company is required to prepare restated financial results owing to an executive officer’s intentional misconduct or grossly negligent conduct, the Committee shall have the authority, to the extent permitted by applicable law, to require reimbursement or forfeiture to the Company of the amount of bonus or incentive compensation (whether cash-based or equity-based) such executive officer received during the three fiscal years preceding the year the restatement is determined to be required, to the extent that such bonus or incentive compensation exceeds what the officer would have received based on an applicable restated performance measure or target. The Company will recoup incentive-based compensation from executive officers to the extent required under the Dodd-Frank Wall Street Reform and Consumer Protection Act and any rules, regulations and listing standards that may be issued under that act. Any right of recoupment under this provision will be in addition to, and not in lieu of, any other rights of recoupment that may be available to the Company. No recovery of compensation under any clawback policy or this Section 21 will be an event giving rise to a right to resign for “good reason” or “constructive termination” (or similar term) under any agreement with the Company or any of its Subsidiaries or Affiliates.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22.  NO EMPLOYMENT RIGHTS.</w:t>
      </w:r>
    </w:p>
    <w:p>
      <w:pPr>
        <w:spacing w:after="0" w:line="172" w:lineRule="exact"/>
        <w:rPr>
          <w:sz w:val="20"/>
          <w:szCs w:val="20"/>
          <w:color w:val="auto"/>
        </w:rPr>
      </w:pPr>
    </w:p>
    <w:p>
      <w:pPr>
        <w:ind w:left="660" w:right="180"/>
        <w:spacing w:after="0" w:line="292" w:lineRule="auto"/>
        <w:rPr>
          <w:sz w:val="20"/>
          <w:szCs w:val="20"/>
          <w:color w:val="auto"/>
        </w:rPr>
      </w:pPr>
      <w:r>
        <w:rPr>
          <w:rFonts w:ascii="Arial" w:cs="Arial" w:eastAsia="Arial" w:hAnsi="Arial"/>
          <w:sz w:val="16"/>
          <w:szCs w:val="16"/>
          <w:color w:val="auto"/>
        </w:rPr>
        <w:t>No provision of the Plan, nor any Award granted under the Plan, shall be construed to give any person any right to become, to be treated as, or to remain an Employee, Outside Director or Consultant. The Company and its Subsidiaries reserve the right to terminate any person’s Service at any time and for any reason, with or without notice.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23.  DURATION AND AMENDMENTS.</w:t>
      </w:r>
    </w:p>
    <w:p>
      <w:pPr>
        <w:spacing w:after="0" w:line="185" w:lineRule="exact"/>
        <w:rPr>
          <w:sz w:val="20"/>
          <w:szCs w:val="20"/>
          <w:color w:val="auto"/>
        </w:rPr>
      </w:pPr>
    </w:p>
    <w:p>
      <w:pPr>
        <w:ind w:left="660" w:right="160" w:hanging="6"/>
        <w:spacing w:after="0" w:line="248" w:lineRule="auto"/>
        <w:tabs>
          <w:tab w:leader="none" w:pos="993"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Term of the Plan</w:t>
      </w:r>
      <w:r>
        <w:rPr>
          <w:rFonts w:ascii="Arial" w:cs="Arial" w:eastAsia="Arial" w:hAnsi="Arial"/>
          <w:sz w:val="16"/>
          <w:szCs w:val="16"/>
          <w:color w:val="auto"/>
        </w:rPr>
        <w:t>. The Plan, as set forth herein, shall come into existence on the date of its adoption by the Board;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that no Award may be granted hereunder prior to the Effective Date. The Board may suspend or terminate the Plan at any time. No ISOs may be granted after the tenth (10</w:t>
      </w:r>
      <w:r>
        <w:rPr>
          <w:rFonts w:ascii="Arial" w:cs="Arial" w:eastAsia="Arial" w:hAnsi="Arial"/>
          <w:sz w:val="25"/>
          <w:szCs w:val="25"/>
          <w:color w:val="auto"/>
          <w:vertAlign w:val="superscript"/>
        </w:rPr>
        <w:t>th</w:t>
      </w:r>
      <w:r>
        <w:rPr>
          <w:rFonts w:ascii="Arial" w:cs="Arial" w:eastAsia="Arial" w:hAnsi="Arial"/>
          <w:sz w:val="16"/>
          <w:szCs w:val="16"/>
          <w:color w:val="auto"/>
        </w:rPr>
        <w:t>) anniversary of the earlier of  (i) the date the Plan is adopted by the Board, or (ii) the date the Plan is approved by the stockholders of the Company. The grant of Stock Purchase Rights shall be subject to such further restrictions as set forth in the ESPP Addendum.</w:t>
      </w:r>
    </w:p>
    <w:p>
      <w:pPr>
        <w:spacing w:after="0" w:line="197" w:lineRule="exact"/>
        <w:rPr>
          <w:rFonts w:ascii="Arial" w:cs="Arial" w:eastAsia="Arial" w:hAnsi="Arial"/>
          <w:sz w:val="16"/>
          <w:szCs w:val="16"/>
          <w:color w:val="auto"/>
        </w:rPr>
      </w:pPr>
    </w:p>
    <w:p>
      <w:pPr>
        <w:ind w:left="660" w:right="180" w:hanging="6"/>
        <w:spacing w:after="0" w:line="283" w:lineRule="auto"/>
        <w:tabs>
          <w:tab w:leader="none" w:pos="993"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Right to Amend the Plan</w:t>
      </w:r>
      <w:r>
        <w:rPr>
          <w:rFonts w:ascii="Arial" w:cs="Arial" w:eastAsia="Arial" w:hAnsi="Arial"/>
          <w:sz w:val="16"/>
          <w:szCs w:val="16"/>
          <w:color w:val="auto"/>
        </w:rPr>
        <w:t>. Subject to Section 5(e), the Board may amend the Plan or the ESPP Addendum at any time and</w:t>
      </w:r>
      <w:r>
        <w:rPr>
          <w:rFonts w:ascii="Arial" w:cs="Arial" w:eastAsia="Arial" w:hAnsi="Arial"/>
          <w:sz w:val="16"/>
          <w:szCs w:val="16"/>
          <w:i w:val="1"/>
          <w:iCs w:val="1"/>
          <w:color w:val="auto"/>
        </w:rPr>
        <w:t xml:space="preserve"> </w:t>
      </w:r>
      <w:r>
        <w:rPr>
          <w:rFonts w:ascii="Arial" w:cs="Arial" w:eastAsia="Arial" w:hAnsi="Arial"/>
          <w:sz w:val="16"/>
          <w:szCs w:val="16"/>
          <w:color w:val="auto"/>
        </w:rPr>
        <w:t>from time to time. Rights and obligations under any Award granted before amendment of the Plan shall not be materially impaired by such amendment, except with consent of the Participant. An amendment of the Plan (and the ESPP Addendum) shall be subject to the approval of the Company’s stockholders only to the extent required by applicable laws, regulations or rules.</w:t>
      </w:r>
    </w:p>
    <w:p>
      <w:pPr>
        <w:spacing w:after="0" w:line="185" w:lineRule="exact"/>
        <w:rPr>
          <w:rFonts w:ascii="Arial" w:cs="Arial" w:eastAsia="Arial" w:hAnsi="Arial"/>
          <w:sz w:val="16"/>
          <w:szCs w:val="16"/>
          <w:color w:val="auto"/>
        </w:rPr>
      </w:pPr>
    </w:p>
    <w:p>
      <w:pPr>
        <w:ind w:left="660" w:right="280" w:hanging="6"/>
        <w:spacing w:after="0" w:line="304" w:lineRule="auto"/>
        <w:tabs>
          <w:tab w:leader="none" w:pos="984"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Effect of Termination</w:t>
      </w:r>
      <w:r>
        <w:rPr>
          <w:rFonts w:ascii="Arial" w:cs="Arial" w:eastAsia="Arial" w:hAnsi="Arial"/>
          <w:sz w:val="16"/>
          <w:szCs w:val="16"/>
          <w:color w:val="auto"/>
        </w:rPr>
        <w:t>. No Awards shall be granted under the Plan after the termination thereof. The termination of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affect Awards previously granted under the Plan.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24.  AWARDS TO NON-U.S. PARTICIPANTS.</w:t>
      </w:r>
    </w:p>
    <w:p>
      <w:pPr>
        <w:spacing w:after="0" w:line="172" w:lineRule="exact"/>
        <w:rPr>
          <w:sz w:val="20"/>
          <w:szCs w:val="20"/>
          <w:color w:val="auto"/>
        </w:rPr>
      </w:pPr>
    </w:p>
    <w:p>
      <w:pPr>
        <w:ind w:left="660" w:right="180"/>
        <w:spacing w:after="0" w:line="304" w:lineRule="auto"/>
        <w:rPr>
          <w:sz w:val="20"/>
          <w:szCs w:val="20"/>
          <w:color w:val="auto"/>
        </w:rPr>
      </w:pPr>
      <w:r>
        <w:rPr>
          <w:rFonts w:ascii="Arial" w:cs="Arial" w:eastAsia="Arial" w:hAnsi="Arial"/>
          <w:sz w:val="16"/>
          <w:szCs w:val="16"/>
          <w:color w:val="auto"/>
        </w:rPr>
        <w:t>Awards may be granted to Participants who are non-United States nationals or employed or providing services outside the United States, or both, on such terms and conditions different from those applicable to Awards to Participants who are employed or</w:t>
      </w:r>
    </w:p>
    <w:p>
      <w:pPr>
        <w:sectPr>
          <w:pgSz w:w="11900" w:h="16838" w:orient="portrait"/>
          <w:cols w:equalWidth="0" w:num="1">
            <w:col w:w="10080"/>
          </w:cols>
          <w:pgMar w:left="580" w:top="97" w:right="1239" w:bottom="1440" w:gutter="0" w:footer="0" w:header="0"/>
        </w:sectPr>
      </w:pPr>
    </w:p>
    <w:p>
      <w:pPr>
        <w:spacing w:after="0" w:line="367"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A-15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60"/>
        <w:spacing w:after="0" w:line="295" w:lineRule="auto"/>
        <w:rPr>
          <w:sz w:val="20"/>
          <w:szCs w:val="20"/>
          <w:color w:val="auto"/>
        </w:rPr>
      </w:pPr>
      <w:r>
        <w:rPr>
          <w:rFonts w:ascii="Arial" w:cs="Arial" w:eastAsia="Arial" w:hAnsi="Arial"/>
          <w:sz w:val="16"/>
          <w:szCs w:val="16"/>
          <w:color w:val="auto"/>
        </w:rPr>
        <w:t>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25.  GOVERNING LAW.</w:t>
      </w:r>
    </w:p>
    <w:p>
      <w:pPr>
        <w:spacing w:after="0" w:line="185" w:lineRule="exact"/>
        <w:rPr>
          <w:sz w:val="20"/>
          <w:szCs w:val="20"/>
          <w:color w:val="auto"/>
        </w:rPr>
      </w:pPr>
    </w:p>
    <w:p>
      <w:pPr>
        <w:ind w:left="660" w:right="560"/>
        <w:spacing w:after="0" w:line="321" w:lineRule="auto"/>
        <w:rPr>
          <w:sz w:val="20"/>
          <w:szCs w:val="20"/>
          <w:color w:val="auto"/>
        </w:rPr>
      </w:pPr>
      <w:r>
        <w:rPr>
          <w:rFonts w:ascii="Arial" w:cs="Arial" w:eastAsia="Arial" w:hAnsi="Arial"/>
          <w:sz w:val="16"/>
          <w:szCs w:val="16"/>
          <w:color w:val="auto"/>
        </w:rPr>
        <w:t>The Plan, the ESPP Addendum and each Award Agreement shall be governed by the laws of the state of Delaware, without application of the conflicts of law principles thereof.</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26.  SUCCESSORS AND ASSIGNS.</w:t>
      </w:r>
    </w:p>
    <w:p>
      <w:pPr>
        <w:spacing w:after="0" w:line="185" w:lineRule="exact"/>
        <w:rPr>
          <w:sz w:val="20"/>
          <w:szCs w:val="20"/>
          <w:color w:val="auto"/>
        </w:rPr>
      </w:pPr>
    </w:p>
    <w:p>
      <w:pPr>
        <w:ind w:left="660" w:right="560"/>
        <w:spacing w:after="0" w:line="321" w:lineRule="auto"/>
        <w:rPr>
          <w:sz w:val="20"/>
          <w:szCs w:val="20"/>
          <w:color w:val="auto"/>
        </w:rPr>
      </w:pPr>
      <w:r>
        <w:rPr>
          <w:rFonts w:ascii="Arial" w:cs="Arial" w:eastAsia="Arial" w:hAnsi="Arial"/>
          <w:sz w:val="16"/>
          <w:szCs w:val="16"/>
          <w:color w:val="auto"/>
        </w:rPr>
        <w:t>The terms of the Plan shall be binding upon and inure to the benefit of the Company and any successor entity, including any successor entity contemplated by Section 13(c).</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SECTION 27.  EXECUTION.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record the adoption of the Plan by the Board, the Company has caused its authorized officer to execute the same.</w:t>
      </w:r>
    </w:p>
    <w:p>
      <w:pPr>
        <w:spacing w:after="0" w:line="248"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LUCID GROUP, INC.</w:t>
      </w:r>
    </w:p>
    <w:p>
      <w:pPr>
        <w:spacing w:after="0" w:line="24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3860165</wp:posOffset>
            </wp:positionH>
            <wp:positionV relativeFrom="paragraph">
              <wp:posOffset>63500</wp:posOffset>
            </wp:positionV>
            <wp:extent cx="25203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4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Name : Jonathan Butler</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Senior Vice President, General Counsel</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​A-16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Exhibit A</w:t>
      </w:r>
    </w:p>
    <w:p>
      <w:pPr>
        <w:spacing w:after="0" w:line="140" w:lineRule="exact"/>
        <w:rPr>
          <w:sz w:val="20"/>
          <w:szCs w:val="20"/>
          <w:color w:val="auto"/>
        </w:rPr>
      </w:pPr>
    </w:p>
    <w:p>
      <w:pPr>
        <w:jc w:val="center"/>
        <w:ind w:right="-639"/>
        <w:spacing w:after="0"/>
        <w:rPr>
          <w:sz w:val="20"/>
          <w:szCs w:val="20"/>
          <w:color w:val="auto"/>
        </w:rPr>
      </w:pPr>
      <w:r>
        <w:rPr>
          <w:rFonts w:ascii="Arial" w:cs="Arial" w:eastAsia="Arial" w:hAnsi="Arial"/>
          <w:sz w:val="16"/>
          <w:szCs w:val="16"/>
          <w:b w:val="1"/>
          <w:bCs w:val="1"/>
          <w:color w:val="auto"/>
        </w:rPr>
        <w:t>ESPP Addendum</w:t>
      </w:r>
    </w:p>
    <w:p>
      <w:pPr>
        <w:spacing w:after="0" w:line="140" w:lineRule="exact"/>
        <w:rPr>
          <w:sz w:val="20"/>
          <w:szCs w:val="20"/>
          <w:color w:val="auto"/>
        </w:rPr>
      </w:pPr>
    </w:p>
    <w:p>
      <w:pPr>
        <w:jc w:val="center"/>
        <w:ind w:right="-639"/>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A-17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ADDENDUM TO</w:t>
      </w:r>
    </w:p>
    <w:p>
      <w:pPr>
        <w:spacing w:after="0" w:line="14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LUCID GROUP, INC. 2021 STOCK INCENTIVE PLAN</w:t>
      </w:r>
    </w:p>
    <w:p>
      <w:pPr>
        <w:spacing w:after="0" w:line="14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2021 EMPLOYEE STOCK PURCHASE PLAN</w:t>
      </w:r>
    </w:p>
    <w:p>
      <w:pPr>
        <w:spacing w:after="0" w:line="140"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(Adopted by the Board of Directors on February 22, 2021)</w:t>
      </w:r>
    </w:p>
    <w:p>
      <w:pPr>
        <w:spacing w:after="0" w:line="140"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(Approved by the Stockholders on July 22, 2021)</w:t>
      </w:r>
    </w:p>
    <w:p>
      <w:pPr>
        <w:spacing w:after="0" w:line="140"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(Effective on July 23, 2021)</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​A-18</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2740"/>
        <w:spacing w:after="0"/>
        <w:rPr>
          <w:sz w:val="20"/>
          <w:szCs w:val="20"/>
          <w:color w:val="auto"/>
        </w:rPr>
      </w:pPr>
      <w:r>
        <w:rPr>
          <w:rFonts w:ascii="Arial" w:cs="Arial" w:eastAsia="Arial" w:hAnsi="Arial"/>
          <w:sz w:val="16"/>
          <w:szCs w:val="16"/>
          <w:u w:val="single" w:color="auto"/>
          <w:color w:val="auto"/>
        </w:rPr>
        <w:t>Table of Contents</w:t>
      </w:r>
    </w:p>
    <w:p>
      <w:pPr>
        <w:spacing w:after="0" w:line="325" w:lineRule="exact"/>
        <w:rPr>
          <w:sz w:val="20"/>
          <w:szCs w:val="20"/>
          <w:color w:val="auto"/>
        </w:rPr>
      </w:pPr>
    </w:p>
    <w:p>
      <w:pPr>
        <w:ind w:left="660"/>
        <w:spacing w:after="0"/>
        <w:tabs>
          <w:tab w:leader="none" w:pos="1640" w:val="left"/>
          <w:tab w:leader="none" w:pos="558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1905</wp:posOffset>
            </wp:positionV>
            <wp:extent cx="596646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740"/>
        <w:spacing w:after="0" w:line="203" w:lineRule="auto"/>
        <w:rPr>
          <w:sz w:val="20"/>
          <w:szCs w:val="20"/>
          <w:color w:val="auto"/>
        </w:rPr>
      </w:pPr>
      <w:r>
        <w:rPr>
          <w:rFonts w:ascii="Arial" w:cs="Arial" w:eastAsia="Arial" w:hAnsi="Arial"/>
          <w:sz w:val="16"/>
          <w:szCs w:val="16"/>
          <w:u w:val="single" w:color="auto"/>
          <w:color w:val="0000EE"/>
        </w:rPr>
        <w:t>SECTION 1</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Purpose of the Plan.</w:t>
      </w:r>
    </w:p>
    <w:p>
      <w:pPr>
        <w:ind w:left="740"/>
        <w:spacing w:after="0" w:line="185" w:lineRule="auto"/>
        <w:rPr>
          <w:sz w:val="20"/>
          <w:szCs w:val="20"/>
          <w:color w:val="auto"/>
        </w:rPr>
      </w:pPr>
      <w:r>
        <w:rPr>
          <w:rFonts w:ascii="Arial" w:cs="Arial" w:eastAsia="Arial" w:hAnsi="Arial"/>
          <w:sz w:val="16"/>
          <w:szCs w:val="16"/>
          <w:u w:val="single" w:color="auto"/>
          <w:color w:val="0000EE"/>
        </w:rPr>
        <w:t>SECTION 2</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-14605</wp:posOffset>
            </wp:positionV>
            <wp:extent cx="596646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1660" w:hanging="254"/>
        <w:spacing w:after="0" w:line="185"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“Committee”</w:t>
      </w:r>
    </w:p>
    <w:p>
      <w:pPr>
        <w:ind w:left="1660" w:hanging="254"/>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“Compensation”</w:t>
      </w:r>
    </w:p>
    <w:p>
      <w:pPr>
        <w:spacing w:after="0" w:line="1" w:lineRule="exact"/>
        <w:rPr>
          <w:rFonts w:ascii="Arial" w:cs="Arial" w:eastAsia="Arial" w:hAnsi="Arial"/>
          <w:sz w:val="16"/>
          <w:szCs w:val="16"/>
          <w:u w:val="single" w:color="auto"/>
          <w:color w:val="0000EE"/>
        </w:rPr>
      </w:pPr>
    </w:p>
    <w:p>
      <w:pPr>
        <w:ind w:left="1660" w:hanging="245"/>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“Corporate Reorganization”</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“Effective Date”</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“Eligible Employee”</w:t>
      </w:r>
    </w:p>
    <w:p>
      <w:pPr>
        <w:spacing w:after="0" w:line="1" w:lineRule="exact"/>
        <w:rPr>
          <w:rFonts w:ascii="Arial" w:cs="Arial" w:eastAsia="Arial" w:hAnsi="Arial"/>
          <w:sz w:val="16"/>
          <w:szCs w:val="16"/>
          <w:u w:val="single" w:color="auto"/>
          <w:color w:val="0000EE"/>
        </w:rPr>
      </w:pPr>
    </w:p>
    <w:p>
      <w:pPr>
        <w:ind w:left="1660" w:hanging="209"/>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“Fair Market Value”</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“Offering”</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“Offering Date”</w:t>
      </w:r>
    </w:p>
    <w:p>
      <w:pPr>
        <w:spacing w:after="0" w:line="1" w:lineRule="exact"/>
        <w:rPr>
          <w:rFonts w:ascii="Arial" w:cs="Arial" w:eastAsia="Arial" w:hAnsi="Arial"/>
          <w:sz w:val="16"/>
          <w:szCs w:val="16"/>
          <w:u w:val="single" w:color="auto"/>
          <w:color w:val="0000EE"/>
        </w:rPr>
      </w:pPr>
    </w:p>
    <w:p>
      <w:pPr>
        <w:ind w:left="1660" w:hanging="200"/>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“Offering Period”</w:t>
      </w:r>
    </w:p>
    <w:p>
      <w:pPr>
        <w:spacing w:after="0" w:line="1" w:lineRule="exact"/>
        <w:rPr>
          <w:rFonts w:ascii="Arial" w:cs="Arial" w:eastAsia="Arial" w:hAnsi="Arial"/>
          <w:sz w:val="16"/>
          <w:szCs w:val="16"/>
          <w:u w:val="single" w:color="auto"/>
          <w:color w:val="0000EE"/>
        </w:rPr>
      </w:pPr>
    </w:p>
    <w:p>
      <w:pPr>
        <w:ind w:left="1660" w:hanging="200"/>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“Participant”</w:t>
      </w:r>
    </w:p>
    <w:p>
      <w:pPr>
        <w:spacing w:after="0" w:line="1" w:lineRule="exact"/>
        <w:rPr>
          <w:rFonts w:ascii="Arial" w:cs="Arial" w:eastAsia="Arial" w:hAnsi="Arial"/>
          <w:sz w:val="16"/>
          <w:szCs w:val="16"/>
          <w:u w:val="single" w:color="auto"/>
          <w:color w:val="0000EE"/>
        </w:rPr>
      </w:pPr>
    </w:p>
    <w:p>
      <w:pPr>
        <w:ind w:left="1660" w:hanging="245"/>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“Participating Company”</w:t>
      </w:r>
    </w:p>
    <w:p>
      <w:pPr>
        <w:spacing w:after="0" w:line="1" w:lineRule="exact"/>
        <w:rPr>
          <w:rFonts w:ascii="Arial" w:cs="Arial" w:eastAsia="Arial" w:hAnsi="Arial"/>
          <w:sz w:val="16"/>
          <w:szCs w:val="16"/>
          <w:u w:val="single" w:color="auto"/>
          <w:color w:val="0000EE"/>
        </w:rPr>
      </w:pPr>
    </w:p>
    <w:p>
      <w:pPr>
        <w:ind w:left="1660" w:hanging="200"/>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“Plan”</w:t>
      </w:r>
    </w:p>
    <w:p>
      <w:pPr>
        <w:spacing w:after="0" w:line="1" w:lineRule="exact"/>
        <w:rPr>
          <w:rFonts w:ascii="Arial" w:cs="Arial" w:eastAsia="Arial" w:hAnsi="Arial"/>
          <w:sz w:val="16"/>
          <w:szCs w:val="16"/>
          <w:u w:val="single" w:color="auto"/>
          <w:color w:val="0000EE"/>
        </w:rPr>
      </w:pPr>
    </w:p>
    <w:p>
      <w:pPr>
        <w:ind w:left="1660" w:hanging="299"/>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“Plan Account”</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“Purchase Date”</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“Purchase Period”</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“Purchase Price”</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“Subsidiary”</w:t>
      </w:r>
    </w:p>
    <w:p>
      <w:pPr>
        <w:spacing w:after="0" w:line="1" w:lineRule="exact"/>
        <w:rPr>
          <w:rFonts w:ascii="Arial" w:cs="Arial" w:eastAsia="Arial" w:hAnsi="Arial"/>
          <w:sz w:val="16"/>
          <w:szCs w:val="16"/>
          <w:u w:val="single" w:color="auto"/>
          <w:color w:val="0000EE"/>
        </w:rPr>
      </w:pPr>
    </w:p>
    <w:p>
      <w:pPr>
        <w:ind w:left="1660" w:hanging="218"/>
        <w:spacing w:after="0" w:line="184" w:lineRule="auto"/>
        <w:tabs>
          <w:tab w:leader="none" w:pos="1660" w:val="left"/>
        </w:tabs>
        <w:numPr>
          <w:ilvl w:val="0"/>
          <w:numId w:val="84"/>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-2894965</wp:posOffset>
            </wp:positionV>
            <wp:extent cx="5966460" cy="1797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-2534920</wp:posOffset>
            </wp:positionV>
            <wp:extent cx="5966460" cy="1803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66460" cy="18034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-2174875</wp:posOffset>
            </wp:positionV>
            <wp:extent cx="596646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-1814830</wp:posOffset>
            </wp:positionV>
            <wp:extent cx="596646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-1454785</wp:posOffset>
            </wp:positionV>
            <wp:extent cx="5966460" cy="180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66460" cy="18034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-1094740</wp:posOffset>
            </wp:positionV>
            <wp:extent cx="596646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-734695</wp:posOffset>
            </wp:positionV>
            <wp:extent cx="596646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-374650</wp:posOffset>
            </wp:positionV>
            <wp:extent cx="596646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-14605</wp:posOffset>
            </wp:positionV>
            <wp:extent cx="5966460" cy="1797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740"/>
        <w:spacing w:after="0" w:line="185" w:lineRule="auto"/>
        <w:rPr>
          <w:sz w:val="20"/>
          <w:szCs w:val="20"/>
          <w:color w:val="auto"/>
        </w:rPr>
      </w:pPr>
      <w:r>
        <w:rPr>
          <w:rFonts w:ascii="Arial" w:cs="Arial" w:eastAsia="Arial" w:hAnsi="Arial"/>
          <w:sz w:val="16"/>
          <w:szCs w:val="16"/>
          <w:u w:val="single" w:color="auto"/>
          <w:color w:val="0000EE"/>
        </w:rPr>
        <w:t>SECTION 3</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Administration of the Plan.</w:t>
      </w:r>
    </w:p>
    <w:p>
      <w:pPr>
        <w:ind w:left="1660" w:hanging="254"/>
        <w:spacing w:after="0" w:line="185" w:lineRule="auto"/>
        <w:tabs>
          <w:tab w:leader="none" w:pos="1660" w:val="left"/>
        </w:tabs>
        <w:numPr>
          <w:ilvl w:val="0"/>
          <w:numId w:val="85"/>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Administrative Powers and Responsibilities</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5"/>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International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-194310</wp:posOffset>
            </wp:positionV>
            <wp:extent cx="5966460" cy="1803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6460" cy="180340"/>
                    </a:xfrm>
                    <a:prstGeom prst="rect">
                      <a:avLst/>
                    </a:prstGeom>
                    <a:noFill/>
                  </pic:spPr>
                </pic:pic>
              </a:graphicData>
            </a:graphic>
          </wp:anchor>
        </w:drawing>
      </w:r>
    </w:p>
    <w:p>
      <w:pPr>
        <w:ind w:left="740"/>
        <w:spacing w:after="0" w:line="185" w:lineRule="auto"/>
        <w:rPr>
          <w:sz w:val="20"/>
          <w:szCs w:val="20"/>
          <w:color w:val="auto"/>
        </w:rPr>
      </w:pPr>
      <w:r>
        <w:rPr>
          <w:rFonts w:ascii="Arial" w:cs="Arial" w:eastAsia="Arial" w:hAnsi="Arial"/>
          <w:sz w:val="16"/>
          <w:szCs w:val="16"/>
          <w:u w:val="single" w:color="auto"/>
          <w:color w:val="0000EE"/>
        </w:rPr>
        <w:t>SECTION 4</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Enrollment and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-14605</wp:posOffset>
            </wp:positionV>
            <wp:extent cx="596646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1660" w:hanging="254"/>
        <w:spacing w:after="0" w:line="185" w:lineRule="auto"/>
        <w:tabs>
          <w:tab w:leader="none" w:pos="1660" w:val="left"/>
        </w:tabs>
        <w:numPr>
          <w:ilvl w:val="0"/>
          <w:numId w:val="86"/>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Offering Periods</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6"/>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Enrollment</w:t>
      </w:r>
    </w:p>
    <w:p>
      <w:pPr>
        <w:spacing w:after="0" w:line="1" w:lineRule="exact"/>
        <w:rPr>
          <w:rFonts w:ascii="Arial" w:cs="Arial" w:eastAsia="Arial" w:hAnsi="Arial"/>
          <w:sz w:val="16"/>
          <w:szCs w:val="16"/>
          <w:u w:val="single" w:color="auto"/>
          <w:color w:val="0000EE"/>
        </w:rPr>
      </w:pPr>
    </w:p>
    <w:p>
      <w:pPr>
        <w:jc w:val="both"/>
        <w:ind w:left="740" w:right="5120" w:firstLine="675"/>
        <w:spacing w:after="0" w:line="184" w:lineRule="auto"/>
        <w:tabs>
          <w:tab w:leader="none" w:pos="1658" w:val="left"/>
        </w:tabs>
        <w:numPr>
          <w:ilvl w:val="0"/>
          <w:numId w:val="86"/>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Duration of Participation</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5</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Employee Contributions.</w:t>
      </w:r>
    </w:p>
    <w:p>
      <w:pPr>
        <w:spacing w:after="0" w:line="2"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7"/>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Frequency of Payroll Deductions</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87"/>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Amount of Payroll Deductions</w:t>
      </w:r>
    </w:p>
    <w:p>
      <w:pPr>
        <w:spacing w:after="0" w:line="1" w:lineRule="exact"/>
        <w:rPr>
          <w:rFonts w:ascii="Arial" w:cs="Arial" w:eastAsia="Arial" w:hAnsi="Arial"/>
          <w:sz w:val="16"/>
          <w:szCs w:val="16"/>
          <w:u w:val="single" w:color="auto"/>
          <w:color w:val="0000EE"/>
        </w:rPr>
      </w:pPr>
    </w:p>
    <w:p>
      <w:pPr>
        <w:ind w:left="1660" w:hanging="245"/>
        <w:spacing w:after="0" w:line="193" w:lineRule="auto"/>
        <w:tabs>
          <w:tab w:leader="none" w:pos="1660" w:val="left"/>
        </w:tabs>
        <w:numPr>
          <w:ilvl w:val="0"/>
          <w:numId w:val="87"/>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Changing Withholding Rate</w:t>
      </w:r>
    </w:p>
    <w:p>
      <w:pPr>
        <w:spacing w:after="0" w:line="1" w:lineRule="exact"/>
        <w:rPr>
          <w:rFonts w:ascii="Arial" w:cs="Arial" w:eastAsia="Arial" w:hAnsi="Arial"/>
          <w:sz w:val="16"/>
          <w:szCs w:val="16"/>
          <w:u w:val="single" w:color="auto"/>
          <w:color w:val="0000EE"/>
        </w:rPr>
      </w:pPr>
    </w:p>
    <w:p>
      <w:pPr>
        <w:ind w:left="740" w:right="4520" w:firstLine="666"/>
        <w:spacing w:after="0" w:line="193" w:lineRule="auto"/>
        <w:tabs>
          <w:tab w:leader="none" w:pos="1658" w:val="left"/>
        </w:tabs>
        <w:numPr>
          <w:ilvl w:val="0"/>
          <w:numId w:val="87"/>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Discontinuing Payroll Deductions</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6</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Withdrawal from the Plan.</w:t>
      </w:r>
    </w:p>
    <w:p>
      <w:pPr>
        <w:spacing w:after="0" w:line="2" w:lineRule="exact"/>
        <w:rPr>
          <w:rFonts w:ascii="Arial" w:cs="Arial" w:eastAsia="Arial" w:hAnsi="Arial"/>
          <w:sz w:val="16"/>
          <w:szCs w:val="16"/>
          <w:u w:val="single" w:color="auto"/>
          <w:color w:val="0000EE"/>
        </w:rPr>
      </w:pPr>
    </w:p>
    <w:p>
      <w:pPr>
        <w:ind w:left="1660" w:hanging="254"/>
        <w:spacing w:after="0" w:line="193" w:lineRule="auto"/>
        <w:tabs>
          <w:tab w:leader="none" w:pos="1660" w:val="left"/>
        </w:tabs>
        <w:numPr>
          <w:ilvl w:val="0"/>
          <w:numId w:val="88"/>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Withdrawal</w:t>
      </w:r>
    </w:p>
    <w:p>
      <w:pPr>
        <w:spacing w:after="0" w:line="1" w:lineRule="exact"/>
        <w:rPr>
          <w:rFonts w:ascii="Arial" w:cs="Arial" w:eastAsia="Arial" w:hAnsi="Arial"/>
          <w:sz w:val="16"/>
          <w:szCs w:val="16"/>
          <w:u w:val="single" w:color="auto"/>
          <w:color w:val="0000EE"/>
        </w:rPr>
      </w:pPr>
    </w:p>
    <w:p>
      <w:pPr>
        <w:jc w:val="both"/>
        <w:ind w:left="740" w:right="4640" w:firstLine="666"/>
        <w:spacing w:after="0" w:line="193" w:lineRule="auto"/>
        <w:tabs>
          <w:tab w:leader="none" w:pos="1658" w:val="left"/>
        </w:tabs>
        <w:numPr>
          <w:ilvl w:val="0"/>
          <w:numId w:val="88"/>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Re-enrollment After Withdrawal</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7</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Change in Employment Status.</w:t>
      </w:r>
    </w:p>
    <w:p>
      <w:pPr>
        <w:spacing w:after="0" w:line="2" w:lineRule="exact"/>
        <w:rPr>
          <w:rFonts w:ascii="Arial" w:cs="Arial" w:eastAsia="Arial" w:hAnsi="Arial"/>
          <w:sz w:val="16"/>
          <w:szCs w:val="16"/>
          <w:u w:val="single" w:color="auto"/>
          <w:color w:val="0000EE"/>
        </w:rPr>
      </w:pPr>
    </w:p>
    <w:p>
      <w:pPr>
        <w:ind w:left="1660" w:hanging="254"/>
        <w:spacing w:after="0" w:line="193" w:lineRule="auto"/>
        <w:tabs>
          <w:tab w:leader="none" w:pos="1660" w:val="left"/>
        </w:tabs>
        <w:numPr>
          <w:ilvl w:val="0"/>
          <w:numId w:val="89"/>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Termination of Employment</w:t>
      </w:r>
    </w:p>
    <w:p>
      <w:pPr>
        <w:spacing w:after="0" w:line="1" w:lineRule="exact"/>
        <w:rPr>
          <w:rFonts w:ascii="Arial" w:cs="Arial" w:eastAsia="Arial" w:hAnsi="Arial"/>
          <w:sz w:val="16"/>
          <w:szCs w:val="16"/>
          <w:u w:val="single" w:color="auto"/>
          <w:color w:val="0000EE"/>
        </w:rPr>
      </w:pPr>
    </w:p>
    <w:p>
      <w:pPr>
        <w:ind w:left="1660" w:hanging="254"/>
        <w:spacing w:after="0" w:line="193" w:lineRule="auto"/>
        <w:tabs>
          <w:tab w:leader="none" w:pos="1660" w:val="left"/>
        </w:tabs>
        <w:numPr>
          <w:ilvl w:val="0"/>
          <w:numId w:val="89"/>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Leave of Absence</w:t>
      </w:r>
    </w:p>
    <w:p>
      <w:pPr>
        <w:spacing w:after="0" w:line="1" w:lineRule="exact"/>
        <w:rPr>
          <w:rFonts w:ascii="Arial" w:cs="Arial" w:eastAsia="Arial" w:hAnsi="Arial"/>
          <w:sz w:val="16"/>
          <w:szCs w:val="16"/>
          <w:u w:val="single" w:color="auto"/>
          <w:color w:val="0000EE"/>
        </w:rPr>
      </w:pPr>
    </w:p>
    <w:p>
      <w:pPr>
        <w:ind w:left="1660" w:hanging="245"/>
        <w:spacing w:after="0" w:line="193" w:lineRule="auto"/>
        <w:tabs>
          <w:tab w:leader="none" w:pos="1660" w:val="left"/>
        </w:tabs>
        <w:numPr>
          <w:ilvl w:val="0"/>
          <w:numId w:val="89"/>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-2432050</wp:posOffset>
            </wp:positionV>
            <wp:extent cx="5966460"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-2072005</wp:posOffset>
            </wp:positionV>
            <wp:extent cx="5966460" cy="1803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6460" cy="18034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-1711960</wp:posOffset>
            </wp:positionV>
            <wp:extent cx="596646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6460" cy="1885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-1334770</wp:posOffset>
            </wp:positionV>
            <wp:extent cx="596646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6460" cy="1885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-957580</wp:posOffset>
            </wp:positionV>
            <wp:extent cx="596646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6460" cy="1885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-580390</wp:posOffset>
            </wp:positionV>
            <wp:extent cx="5966460"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6460" cy="1885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-203200</wp:posOffset>
            </wp:positionV>
            <wp:extent cx="596646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6460" cy="188595"/>
                    </a:xfrm>
                    <a:prstGeom prst="rect">
                      <a:avLst/>
                    </a:prstGeom>
                    <a:noFill/>
                  </pic:spPr>
                </pic:pic>
              </a:graphicData>
            </a:graphic>
          </wp:anchor>
        </w:drawing>
      </w:r>
    </w:p>
    <w:p>
      <w:pPr>
        <w:spacing w:after="0" w:line="357" w:lineRule="exact"/>
        <w:rPr>
          <w:sz w:val="20"/>
          <w:szCs w:val="20"/>
          <w:color w:val="auto"/>
        </w:rPr>
      </w:pPr>
    </w:p>
    <w:p>
      <w:pPr>
        <w:ind w:left="660"/>
        <w:spacing w:after="0"/>
        <w:tabs>
          <w:tab w:leader="none" w:pos="52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Page </w:t>
      </w:r>
      <w:r>
        <w:rPr>
          <w:rFonts w:ascii="Arial" w:cs="Arial" w:eastAsia="Arial" w:hAnsi="Arial"/>
          <w:sz w:val="25"/>
          <w:szCs w:val="25"/>
          <w:b w:val="1"/>
          <w:bCs w:val="1"/>
          <w:color w:val="auto"/>
          <w:vertAlign w:val="subscript"/>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A-21</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A-21</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A-21</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185"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A-21</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21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A-21</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A-21</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A-21</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A-21</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185"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A-22</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213"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A-22</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185"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A-22</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21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4"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A-22</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185"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A-22</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21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A-22</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A-23</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A-23</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21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A-23</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A-23</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4"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A-23</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21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A-23</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5"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A-23</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185"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A-23</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194"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A-24</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193"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A-24</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194"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A-24</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194"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A-24</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193"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A-24</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232"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A-24</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9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A-24</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184"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A-24</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A-24</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A-19</w:t>
      </w:r>
      <w:r>
        <w:rPr>
          <w:rFonts w:ascii="Arial" w:cs="Arial" w:eastAsia="Arial" w:hAnsi="Arial"/>
          <w:sz w:val="13"/>
          <w:szCs w:val="13"/>
          <w:color w:val="auto"/>
        </w:rPr>
        <w:t>​</w:t>
      </w:r>
    </w:p>
    <w:p>
      <w:pPr>
        <w:sectPr>
          <w:pgSz w:w="11900" w:h="16838" w:orient="portrait"/>
          <w:cols w:equalWidth="0" w:num="2">
            <w:col w:w="8720" w:space="720"/>
            <w:col w:w="660"/>
          </w:cols>
          <w:pgMar w:left="580" w:top="97" w:right="1219"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660"/>
        <w:spacing w:after="0"/>
        <w:tabs>
          <w:tab w:leader="none" w:pos="1640" w:val="left"/>
          <w:tab w:leader="none" w:pos="558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1905</wp:posOffset>
            </wp:positionV>
            <wp:extent cx="596646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6460" cy="179705"/>
                    </a:xfrm>
                    <a:prstGeom prst="rect">
                      <a:avLst/>
                    </a:prstGeom>
                    <a:noFill/>
                  </pic:spPr>
                </pic:pic>
              </a:graphicData>
            </a:graphic>
          </wp:anchor>
        </w:drawing>
      </w:r>
    </w:p>
    <w:p>
      <w:pPr>
        <w:ind w:left="660"/>
        <w:spacing w:after="0" w:line="203" w:lineRule="auto"/>
        <w:rPr>
          <w:sz w:val="20"/>
          <w:szCs w:val="20"/>
          <w:color w:val="auto"/>
        </w:rPr>
      </w:pPr>
      <w:r>
        <w:rPr>
          <w:rFonts w:ascii="Arial" w:cs="Arial" w:eastAsia="Arial" w:hAnsi="Arial"/>
          <w:sz w:val="16"/>
          <w:szCs w:val="16"/>
          <w:u w:val="single" w:color="auto"/>
          <w:color w:val="0000EE"/>
        </w:rPr>
        <w:t>SECTION 8</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Plan Accounts and Purchase of Shares.</w:t>
      </w:r>
    </w:p>
    <w:p>
      <w:pPr>
        <w:ind w:left="1660" w:hanging="254"/>
        <w:spacing w:after="0" w:line="185" w:lineRule="auto"/>
        <w:tabs>
          <w:tab w:leader="none" w:pos="1660" w:val="left"/>
        </w:tabs>
        <w:numPr>
          <w:ilvl w:val="0"/>
          <w:numId w:val="90"/>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Plan Accounts</w:t>
      </w:r>
    </w:p>
    <w:p>
      <w:pPr>
        <w:ind w:left="1660" w:hanging="254"/>
        <w:spacing w:after="0" w:line="184" w:lineRule="auto"/>
        <w:tabs>
          <w:tab w:leader="none" w:pos="1660" w:val="left"/>
        </w:tabs>
        <w:numPr>
          <w:ilvl w:val="0"/>
          <w:numId w:val="90"/>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Purchase Price</w:t>
      </w:r>
    </w:p>
    <w:p>
      <w:pPr>
        <w:spacing w:after="0" w:line="1" w:lineRule="exact"/>
        <w:rPr>
          <w:rFonts w:ascii="Arial" w:cs="Arial" w:eastAsia="Arial" w:hAnsi="Arial"/>
          <w:sz w:val="16"/>
          <w:szCs w:val="16"/>
          <w:u w:val="single" w:color="auto"/>
          <w:color w:val="0000EE"/>
        </w:rPr>
      </w:pPr>
    </w:p>
    <w:p>
      <w:pPr>
        <w:ind w:left="1660" w:hanging="245"/>
        <w:spacing w:after="0" w:line="184" w:lineRule="auto"/>
        <w:tabs>
          <w:tab w:leader="none" w:pos="1660" w:val="left"/>
        </w:tabs>
        <w:numPr>
          <w:ilvl w:val="0"/>
          <w:numId w:val="90"/>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Number of Shares Purchased</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90"/>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Available Shares Insufficient</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90"/>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Issuance of Stock</w:t>
      </w:r>
    </w:p>
    <w:p>
      <w:pPr>
        <w:spacing w:after="0" w:line="1" w:lineRule="exact"/>
        <w:rPr>
          <w:rFonts w:ascii="Arial" w:cs="Arial" w:eastAsia="Arial" w:hAnsi="Arial"/>
          <w:sz w:val="16"/>
          <w:szCs w:val="16"/>
          <w:u w:val="single" w:color="auto"/>
          <w:color w:val="0000EE"/>
        </w:rPr>
      </w:pPr>
    </w:p>
    <w:p>
      <w:pPr>
        <w:ind w:left="1660" w:hanging="209"/>
        <w:spacing w:after="0" w:line="184" w:lineRule="auto"/>
        <w:tabs>
          <w:tab w:leader="none" w:pos="1660" w:val="left"/>
        </w:tabs>
        <w:numPr>
          <w:ilvl w:val="0"/>
          <w:numId w:val="90"/>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Unused Cash Balances</w:t>
      </w:r>
    </w:p>
    <w:p>
      <w:pPr>
        <w:spacing w:after="0" w:line="1" w:lineRule="exact"/>
        <w:rPr>
          <w:rFonts w:ascii="Arial" w:cs="Arial" w:eastAsia="Arial" w:hAnsi="Arial"/>
          <w:sz w:val="16"/>
          <w:szCs w:val="16"/>
          <w:u w:val="single" w:color="auto"/>
          <w:color w:val="0000EE"/>
        </w:rPr>
      </w:pPr>
    </w:p>
    <w:p>
      <w:pPr>
        <w:ind w:left="660" w:right="4520" w:firstLine="746"/>
        <w:spacing w:after="0" w:line="184" w:lineRule="auto"/>
        <w:tabs>
          <w:tab w:leader="none" w:pos="1672" w:val="left"/>
        </w:tabs>
        <w:numPr>
          <w:ilvl w:val="0"/>
          <w:numId w:val="90"/>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Stockholder Approval</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9</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Limitations on Stock Ownership.</w:t>
      </w:r>
    </w:p>
    <w:p>
      <w:pPr>
        <w:spacing w:after="0" w:line="2"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91"/>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Five Percent Limit</w:t>
      </w:r>
    </w:p>
    <w:p>
      <w:pPr>
        <w:spacing w:after="0" w:line="1" w:lineRule="exact"/>
        <w:rPr>
          <w:rFonts w:ascii="Arial" w:cs="Arial" w:eastAsia="Arial" w:hAnsi="Arial"/>
          <w:sz w:val="16"/>
          <w:szCs w:val="16"/>
          <w:u w:val="single" w:color="auto"/>
          <w:color w:val="0000EE"/>
        </w:rPr>
      </w:pPr>
    </w:p>
    <w:p>
      <w:pPr>
        <w:ind w:left="660" w:right="4680" w:firstLine="746"/>
        <w:spacing w:after="0" w:line="184" w:lineRule="auto"/>
        <w:tabs>
          <w:tab w:leader="none" w:pos="1668" w:val="left"/>
        </w:tabs>
        <w:numPr>
          <w:ilvl w:val="0"/>
          <w:numId w:val="91"/>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Dollar Limit</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10</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Rights Not Transferable.</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11</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No Rights as An Employee.</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12</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No Rights as A Stockholder.</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13</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Securities Law Requirements.</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14</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Stock Offered Under the Plan.</w:t>
      </w:r>
    </w:p>
    <w:p>
      <w:pPr>
        <w:spacing w:after="0" w:line="8"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92"/>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Authorized Shares</w:t>
      </w:r>
    </w:p>
    <w:p>
      <w:pPr>
        <w:spacing w:after="0" w:line="1" w:lineRule="exact"/>
        <w:rPr>
          <w:rFonts w:ascii="Arial" w:cs="Arial" w:eastAsia="Arial" w:hAnsi="Arial"/>
          <w:sz w:val="16"/>
          <w:szCs w:val="16"/>
          <w:u w:val="single" w:color="auto"/>
          <w:color w:val="0000EE"/>
        </w:rPr>
      </w:pPr>
    </w:p>
    <w:p>
      <w:pPr>
        <w:ind w:left="1660" w:hanging="254"/>
        <w:spacing w:after="0" w:line="184" w:lineRule="auto"/>
        <w:tabs>
          <w:tab w:leader="none" w:pos="1660" w:val="left"/>
        </w:tabs>
        <w:numPr>
          <w:ilvl w:val="0"/>
          <w:numId w:val="92"/>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Antidilution Adjustments</w:t>
      </w:r>
    </w:p>
    <w:p>
      <w:pPr>
        <w:spacing w:after="0" w:line="1" w:lineRule="exact"/>
        <w:rPr>
          <w:rFonts w:ascii="Arial" w:cs="Arial" w:eastAsia="Arial" w:hAnsi="Arial"/>
          <w:sz w:val="16"/>
          <w:szCs w:val="16"/>
          <w:u w:val="single" w:color="auto"/>
          <w:color w:val="0000EE"/>
        </w:rPr>
      </w:pPr>
    </w:p>
    <w:p>
      <w:pPr>
        <w:ind w:left="1660" w:hanging="245"/>
        <w:spacing w:after="0" w:line="193" w:lineRule="auto"/>
        <w:tabs>
          <w:tab w:leader="none" w:pos="1660" w:val="left"/>
        </w:tabs>
        <w:numPr>
          <w:ilvl w:val="0"/>
          <w:numId w:val="92"/>
        </w:numPr>
        <w:rPr>
          <w:rFonts w:ascii="Arial" w:cs="Arial" w:eastAsia="Arial" w:hAnsi="Arial"/>
          <w:sz w:val="16"/>
          <w:szCs w:val="16"/>
          <w:u w:val="single" w:color="auto"/>
          <w:color w:val="0000EE"/>
        </w:rPr>
      </w:pP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Reorganizations</w:t>
      </w:r>
    </w:p>
    <w:p>
      <w:pPr>
        <w:spacing w:after="0" w:line="1" w:lineRule="exact"/>
        <w:rPr>
          <w:rFonts w:ascii="Arial" w:cs="Arial" w:eastAsia="Arial" w:hAnsi="Arial"/>
          <w:sz w:val="16"/>
          <w:szCs w:val="16"/>
          <w:u w:val="single" w:color="auto"/>
          <w:color w:val="0000EE"/>
        </w:rPr>
      </w:pPr>
    </w:p>
    <w:p>
      <w:pPr>
        <w:ind w:left="660" w:right="4580"/>
        <w:spacing w:after="0" w:line="193" w:lineRule="auto"/>
        <w:rPr>
          <w:rFonts w:ascii="Arial" w:cs="Arial" w:eastAsia="Arial" w:hAnsi="Arial"/>
          <w:sz w:val="16"/>
          <w:szCs w:val="16"/>
          <w:u w:val="single" w:color="auto"/>
          <w:color w:val="0000EE"/>
        </w:rPr>
      </w:pPr>
      <w:r>
        <w:rPr>
          <w:rFonts w:ascii="Arial" w:cs="Arial" w:eastAsia="Arial" w:hAnsi="Arial"/>
          <w:sz w:val="16"/>
          <w:szCs w:val="16"/>
          <w:u w:val="single" w:color="auto"/>
          <w:color w:val="0000EE"/>
        </w:rPr>
        <w:t>SECTION 15</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Amendment or Discontinuance.</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SECTION 16</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 ​</w:t>
      </w:r>
      <w:r>
        <w:rPr>
          <w:rFonts w:ascii="Arial" w:cs="Arial" w:eastAsia="Arial" w:hAnsi="Arial"/>
          <w:sz w:val="16"/>
          <w:szCs w:val="16"/>
          <w:u w:val="single" w:color="auto"/>
          <w:color w:val="0000EE"/>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-3460115</wp:posOffset>
            </wp:positionV>
            <wp:extent cx="596646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-3100070</wp:posOffset>
            </wp:positionV>
            <wp:extent cx="596646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-2740025</wp:posOffset>
            </wp:positionV>
            <wp:extent cx="596646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-2379980</wp:posOffset>
            </wp:positionV>
            <wp:extent cx="596646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-2019935</wp:posOffset>
            </wp:positionV>
            <wp:extent cx="596646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-1659890</wp:posOffset>
            </wp:positionV>
            <wp:extent cx="596646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-1299845</wp:posOffset>
            </wp:positionV>
            <wp:extent cx="596646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-939800</wp:posOffset>
            </wp:positionV>
            <wp:extent cx="596646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6460" cy="17970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-579755</wp:posOffset>
            </wp:positionV>
            <wp:extent cx="596646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6460" cy="18859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-202565</wp:posOffset>
            </wp:positionV>
            <wp:extent cx="596646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646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Page </w:t>
      </w:r>
      <w:r>
        <w:rPr>
          <w:rFonts w:ascii="Arial" w:cs="Arial" w:eastAsia="Arial" w:hAnsi="Arial"/>
          <w:sz w:val="25"/>
          <w:szCs w:val="25"/>
          <w:b w:val="1"/>
          <w:bCs w:val="1"/>
          <w:color w:val="auto"/>
          <w:vertAlign w:val="subscript"/>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A-24</w:t>
      </w:r>
      <w:r>
        <w:rPr>
          <w:rFonts w:ascii="Arial" w:cs="Arial" w:eastAsia="Arial" w:hAnsi="Arial"/>
          <w:sz w:val="16"/>
          <w:szCs w:val="16"/>
          <w:color w:val="auto"/>
        </w:rPr>
        <w:t xml:space="preserve"> ​</w:t>
      </w:r>
    </w:p>
    <w:p>
      <w:pPr>
        <w:ind w:left="60"/>
        <w:spacing w:after="0" w:line="18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A-24</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A-24</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ind w:left="60"/>
        <w:spacing w:after="0" w:line="185"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A-25</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ind w:left="60"/>
        <w:spacing w:after="0" w:line="21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A-25</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spacing w:after="0" w:line="21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A-25</w:t>
      </w:r>
      <w:r>
        <w:rPr>
          <w:rFonts w:ascii="Arial" w:cs="Arial" w:eastAsia="Arial" w:hAnsi="Arial"/>
          <w:sz w:val="16"/>
          <w:szCs w:val="16"/>
          <w:color w:val="auto"/>
        </w:rPr>
        <w:t xml:space="preserve"> ​</w:t>
      </w:r>
    </w:p>
    <w:p>
      <w:pPr>
        <w:ind w:left="60"/>
        <w:spacing w:after="0" w:line="18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A-25</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A-26</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A-26</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ind w:left="60"/>
        <w:spacing w:after="0" w:line="214"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A-26</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A-26</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A-26</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A-26</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A-26</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ind w:left="60"/>
        <w:spacing w:after="0" w:line="231" w:lineRule="auto"/>
        <w:rPr>
          <w:sz w:val="20"/>
          <w:szCs w:val="20"/>
          <w:color w:val="auto"/>
        </w:rPr>
      </w:pPr>
      <w:r>
        <w:rPr>
          <w:rFonts w:ascii="Arial" w:cs="Arial" w:eastAsia="Arial" w:hAnsi="Arial"/>
          <w:sz w:val="16"/>
          <w:szCs w:val="16"/>
          <w:color w:val="auto"/>
        </w:rPr>
        <w:t>​ ​ ​</w:t>
      </w:r>
      <w:r>
        <w:rPr>
          <w:rFonts w:ascii="Arial" w:cs="Arial" w:eastAsia="Arial" w:hAnsi="Arial"/>
          <w:sz w:val="32"/>
          <w:szCs w:val="32"/>
          <w:u w:val="single" w:color="auto"/>
          <w:color w:val="0000EE"/>
          <w:vertAlign w:val="superscript"/>
        </w:rPr>
        <w:t>A-26</w:t>
      </w:r>
      <w:r>
        <w:rPr>
          <w:rFonts w:ascii="Arial" w:cs="Arial" w:eastAsia="Arial" w:hAnsi="Arial"/>
          <w:sz w:val="16"/>
          <w:szCs w:val="16"/>
          <w:color w:val="auto"/>
        </w:rPr>
        <w:t xml:space="preserve"> </w:t>
      </w:r>
      <w:r>
        <w:rPr>
          <w:rFonts w:ascii="Arial" w:cs="Arial" w:eastAsia="Arial" w:hAnsi="Arial"/>
          <w:sz w:val="16"/>
          <w:szCs w:val="16"/>
          <w:b w:val="1"/>
          <w:bCs w:val="1"/>
          <w:color w:val="auto"/>
        </w:rPr>
        <w:t>​</w:t>
      </w:r>
    </w:p>
    <w:p>
      <w:pPr>
        <w:ind w:left="60"/>
        <w:spacing w:after="0" w:line="185" w:lineRule="auto"/>
        <w:rPr>
          <w:sz w:val="20"/>
          <w:szCs w:val="20"/>
          <w:color w:val="auto"/>
        </w:rPr>
      </w:pPr>
      <w:r>
        <w:rPr>
          <w:rFonts w:ascii="Arial" w:cs="Arial" w:eastAsia="Arial" w:hAnsi="Arial"/>
          <w:sz w:val="27"/>
          <w:szCs w:val="27"/>
          <w:color w:val="000000"/>
          <w:vertAlign w:val="subscript"/>
        </w:rPr>
        <w:t>​ ​</w:t>
      </w:r>
      <w:r>
        <w:rPr>
          <w:rFonts w:ascii="Arial" w:cs="Arial" w:eastAsia="Arial" w:hAnsi="Arial"/>
          <w:sz w:val="14"/>
          <w:szCs w:val="14"/>
          <w:color w:val="0000EE"/>
        </w:rPr>
        <w:t xml:space="preserve"> </w:t>
      </w:r>
      <w:r>
        <w:rPr>
          <w:rFonts w:ascii="Arial" w:cs="Arial" w:eastAsia="Arial" w:hAnsi="Arial"/>
          <w:sz w:val="27"/>
          <w:szCs w:val="27"/>
          <w:color w:val="000000"/>
          <w:vertAlign w:val="subscript"/>
        </w:rPr>
        <w:t>​</w:t>
      </w:r>
      <w:r>
        <w:rPr>
          <w:rFonts w:ascii="Arial" w:cs="Arial" w:eastAsia="Arial" w:hAnsi="Arial"/>
          <w:sz w:val="14"/>
          <w:szCs w:val="14"/>
          <w:u w:val="single" w:color="auto"/>
          <w:color w:val="0000EE"/>
        </w:rPr>
        <w:t>A-27</w:t>
      </w:r>
      <w:r>
        <w:rPr>
          <w:rFonts w:ascii="Arial" w:cs="Arial" w:eastAsia="Arial" w:hAnsi="Arial"/>
          <w:sz w:val="14"/>
          <w:szCs w:val="14"/>
          <w:color w:val="0000EE"/>
        </w:rPr>
        <w:t xml:space="preserve"> </w:t>
      </w:r>
      <w:r>
        <w:rPr>
          <w:rFonts w:ascii="Arial" w:cs="Arial" w:eastAsia="Arial" w:hAnsi="Arial"/>
          <w:sz w:val="27"/>
          <w:szCs w:val="27"/>
          <w:b w:val="1"/>
          <w:bCs w:val="1"/>
          <w:color w:val="000000"/>
          <w:vertAlign w:val="subscript"/>
        </w:rPr>
        <w:t>​</w:t>
      </w:r>
    </w:p>
    <w:p>
      <w:pPr>
        <w:ind w:left="60"/>
        <w:spacing w:after="0" w:line="194" w:lineRule="auto"/>
        <w:rPr>
          <w:sz w:val="20"/>
          <w:szCs w:val="20"/>
          <w:color w:val="auto"/>
        </w:rPr>
      </w:pPr>
      <w:r>
        <w:rPr>
          <w:rFonts w:ascii="Arial" w:cs="Arial" w:eastAsia="Arial" w:hAnsi="Arial"/>
          <w:sz w:val="32"/>
          <w:szCs w:val="32"/>
          <w:color w:val="000000"/>
          <w:vertAlign w:val="subscript"/>
        </w:rPr>
        <w:t>​ ​</w:t>
      </w:r>
      <w:r>
        <w:rPr>
          <w:rFonts w:ascii="Arial" w:cs="Arial" w:eastAsia="Arial" w:hAnsi="Arial"/>
          <w:sz w:val="16"/>
          <w:szCs w:val="16"/>
          <w:color w:val="0000EE"/>
        </w:rPr>
        <w:t xml:space="preserve"> </w:t>
      </w:r>
      <w:r>
        <w:rPr>
          <w:rFonts w:ascii="Arial" w:cs="Arial" w:eastAsia="Arial" w:hAnsi="Arial"/>
          <w:sz w:val="32"/>
          <w:szCs w:val="32"/>
          <w:color w:val="000000"/>
          <w:vertAlign w:val="subscript"/>
        </w:rPr>
        <w:t>​</w:t>
      </w:r>
      <w:r>
        <w:rPr>
          <w:rFonts w:ascii="Arial" w:cs="Arial" w:eastAsia="Arial" w:hAnsi="Arial"/>
          <w:sz w:val="16"/>
          <w:szCs w:val="16"/>
          <w:u w:val="single" w:color="auto"/>
          <w:color w:val="0000EE"/>
        </w:rPr>
        <w:t>A-27</w:t>
      </w:r>
      <w:r>
        <w:rPr>
          <w:rFonts w:ascii="Arial" w:cs="Arial" w:eastAsia="Arial" w:hAnsi="Arial"/>
          <w:sz w:val="16"/>
          <w:szCs w:val="16"/>
          <w:color w:val="0000EE"/>
        </w:rPr>
        <w:t xml:space="preserve"> </w:t>
      </w:r>
      <w:r>
        <w:rPr>
          <w:rFonts w:ascii="Arial" w:cs="Arial" w:eastAsia="Arial" w:hAnsi="Arial"/>
          <w:sz w:val="32"/>
          <w:szCs w:val="32"/>
          <w:b w:val="1"/>
          <w:bCs w:val="1"/>
          <w:color w:val="000000"/>
          <w:vertAlign w:val="subscript"/>
        </w:rPr>
        <w:t>​</w:t>
      </w:r>
    </w:p>
    <w:p>
      <w:pPr>
        <w:spacing w:after="0" w:line="200" w:lineRule="exact"/>
        <w:rPr>
          <w:sz w:val="20"/>
          <w:szCs w:val="20"/>
          <w:color w:val="auto"/>
        </w:rPr>
      </w:pPr>
    </w:p>
    <w:p>
      <w:pPr>
        <w:sectPr>
          <w:pgSz w:w="11900" w:h="16838" w:orient="portrait"/>
          <w:cols w:equalWidth="0" w:num="2">
            <w:col w:w="8660" w:space="720"/>
            <w:col w:w="72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​A-20</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LUCID GROUP, INC.</w:t>
      </w:r>
    </w:p>
    <w:p>
      <w:pPr>
        <w:spacing w:after="0" w:line="140"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2021 EMPLOYEE STOCK PURCHASE PLAN</w:t>
      </w:r>
    </w:p>
    <w:p>
      <w:pPr>
        <w:spacing w:after="0" w:line="24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1</w:t>
        <w:tab/>
        <w:t>Purpose of the Plan.</w:t>
      </w:r>
    </w:p>
    <w:p>
      <w:pPr>
        <w:spacing w:after="0" w:line="248"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This Plan is an addendum to and subject to the terms of the 2021 Stock Incentive Plan of Lucid Group, Inc., as amended from time to time (the “</w:t>
      </w:r>
      <w:r>
        <w:rPr>
          <w:rFonts w:ascii="Arial" w:cs="Arial" w:eastAsia="Arial" w:hAnsi="Arial"/>
          <w:sz w:val="16"/>
          <w:szCs w:val="16"/>
          <w:b w:val="1"/>
          <w:bCs w:val="1"/>
          <w:color w:val="auto"/>
        </w:rPr>
        <w:t>2021 SIP</w:t>
      </w:r>
      <w:r>
        <w:rPr>
          <w:rFonts w:ascii="Arial" w:cs="Arial" w:eastAsia="Arial" w:hAnsi="Arial"/>
          <w:sz w:val="16"/>
          <w:szCs w:val="16"/>
          <w:color w:val="auto"/>
        </w:rPr>
        <w:t>”). The Plan was adopted by the Board on February 22, 2021 and is effective on the Effective Date. The purpose of the Plan is to provide a broad-based employee benefit to attract the services of new employees, to retain the services of existing employees, and to provide incentives for such individuals to exert maximum efforts toward our success by purchasing Stock from the Company on favorable terms and to pay for such purchases through payroll deductions. The Plan is intended to qualify under Section 423 of the Code.</w:t>
      </w:r>
    </w:p>
    <w:p>
      <w:pPr>
        <w:spacing w:after="0" w:line="183"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2</w:t>
        <w:tab/>
        <w:t>Definitions.</w:t>
      </w:r>
    </w:p>
    <w:p>
      <w:pPr>
        <w:spacing w:after="0" w:line="248" w:lineRule="exact"/>
        <w:rPr>
          <w:sz w:val="20"/>
          <w:szCs w:val="20"/>
          <w:color w:val="auto"/>
        </w:rPr>
      </w:pPr>
    </w:p>
    <w:p>
      <w:pPr>
        <w:ind w:left="660" w:right="80"/>
        <w:spacing w:after="0" w:line="321" w:lineRule="auto"/>
        <w:rPr>
          <w:sz w:val="20"/>
          <w:szCs w:val="20"/>
          <w:color w:val="auto"/>
        </w:rPr>
      </w:pPr>
      <w:r>
        <w:rPr>
          <w:rFonts w:ascii="Arial" w:cs="Arial" w:eastAsia="Arial" w:hAnsi="Arial"/>
          <w:sz w:val="16"/>
          <w:szCs w:val="16"/>
          <w:color w:val="auto"/>
        </w:rPr>
        <w:t>Capitalized terms used but not defined in this Plan shall have the meaning set forth in the 2021 SIP. In addition, the following terms used in this Plan have the following meanings.</w:t>
      </w:r>
    </w:p>
    <w:p>
      <w:pPr>
        <w:spacing w:after="0" w:line="156" w:lineRule="exact"/>
        <w:rPr>
          <w:sz w:val="20"/>
          <w:szCs w:val="20"/>
          <w:color w:val="auto"/>
        </w:rPr>
      </w:pPr>
    </w:p>
    <w:p>
      <w:pPr>
        <w:ind w:left="820" w:right="260" w:hanging="4"/>
        <w:spacing w:after="0" w:line="321" w:lineRule="auto"/>
        <w:tabs>
          <w:tab w:leader="none" w:pos="1153"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or such other committee, comprised exclusively of one or more directors of the Company, as may be appointed by the Board from time to time to administer the Plan.</w:t>
      </w:r>
    </w:p>
    <w:p>
      <w:pPr>
        <w:spacing w:after="0" w:line="155" w:lineRule="exact"/>
        <w:rPr>
          <w:rFonts w:ascii="Arial" w:cs="Arial" w:eastAsia="Arial" w:hAnsi="Arial"/>
          <w:sz w:val="16"/>
          <w:szCs w:val="16"/>
          <w:color w:val="auto"/>
        </w:rPr>
      </w:pPr>
    </w:p>
    <w:p>
      <w:pPr>
        <w:ind w:left="820" w:right="40" w:hanging="4"/>
        <w:spacing w:after="0" w:line="287" w:lineRule="auto"/>
        <w:tabs>
          <w:tab w:leader="none" w:pos="1153"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means, unless provided otherwise by the Committee in the terms and conditions of an Offering, base salary and wages paid in cash to a Participant by a Participating Company, without reduction for any pre-tax contributions made by the Participant under Sections 401(k) or 125 of the Code. “Compensation” shall, unless provided otherwise by the Committee in the terms and conditions of an Offering, exclude variable compensation (including commissions, bonuses, incentive compensation, overtime pay and shift premiums),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or other equity awards, and similar items. The Committee shall determine whether a particular item is included in Compensation.</w:t>
      </w:r>
    </w:p>
    <w:p>
      <w:pPr>
        <w:spacing w:after="0" w:line="183" w:lineRule="exact"/>
        <w:rPr>
          <w:rFonts w:ascii="Arial" w:cs="Arial" w:eastAsia="Arial" w:hAnsi="Arial"/>
          <w:sz w:val="16"/>
          <w:szCs w:val="16"/>
          <w:color w:val="auto"/>
        </w:rPr>
      </w:pPr>
    </w:p>
    <w:p>
      <w:pPr>
        <w:ind w:left="1140" w:hanging="324"/>
        <w:spacing w:after="0"/>
        <w:tabs>
          <w:tab w:leader="none" w:pos="11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Reorganization</w:t>
      </w:r>
      <w:r>
        <w:rPr>
          <w:rFonts w:ascii="Arial" w:cs="Arial" w:eastAsia="Arial" w:hAnsi="Arial"/>
          <w:sz w:val="16"/>
          <w:szCs w:val="16"/>
          <w:color w:val="auto"/>
        </w:rPr>
        <w:t>” means:</w:t>
      </w:r>
    </w:p>
    <w:p>
      <w:pPr>
        <w:spacing w:after="0" w:line="248" w:lineRule="exact"/>
        <w:rPr>
          <w:rFonts w:ascii="Arial" w:cs="Arial" w:eastAsia="Arial" w:hAnsi="Arial"/>
          <w:sz w:val="16"/>
          <w:szCs w:val="16"/>
          <w:color w:val="auto"/>
        </w:rPr>
      </w:pPr>
    </w:p>
    <w:p>
      <w:pPr>
        <w:ind w:left="980" w:right="740" w:hanging="2"/>
        <w:spacing w:after="0" w:line="321" w:lineRule="auto"/>
        <w:tabs>
          <w:tab w:leader="none" w:pos="1259"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 reorganization; or</w:t>
      </w:r>
    </w:p>
    <w:p>
      <w:pPr>
        <w:spacing w:after="0" w:line="155" w:lineRule="exact"/>
        <w:rPr>
          <w:rFonts w:ascii="Arial" w:cs="Arial" w:eastAsia="Arial" w:hAnsi="Arial"/>
          <w:sz w:val="16"/>
          <w:szCs w:val="16"/>
          <w:color w:val="auto"/>
        </w:rPr>
      </w:pPr>
    </w:p>
    <w:p>
      <w:pPr>
        <w:ind w:left="980" w:right="500" w:hanging="2"/>
        <w:spacing w:after="0" w:line="321" w:lineRule="auto"/>
        <w:tabs>
          <w:tab w:leader="none" w:pos="1295"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sale, transfer or other disposition of all or substantially all of the Company’s assets or the complete liquidation or dissolution of the Company.</w:t>
      </w:r>
    </w:p>
    <w:p>
      <w:pPr>
        <w:spacing w:after="0" w:line="155" w:lineRule="exact"/>
        <w:rPr>
          <w:rFonts w:ascii="Arial" w:cs="Arial" w:eastAsia="Arial" w:hAnsi="Arial"/>
          <w:sz w:val="16"/>
          <w:szCs w:val="16"/>
          <w:color w:val="auto"/>
        </w:rPr>
      </w:pPr>
    </w:p>
    <w:p>
      <w:pPr>
        <w:ind w:left="820" w:right="100" w:hanging="4"/>
        <w:spacing w:after="0" w:line="295" w:lineRule="auto"/>
        <w:tabs>
          <w:tab w:leader="none" w:pos="1153"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effective date of this Plan, which is the date of the closing of the transactions contemplated by the Agreement and Plan of Merger by and among Churchill Capital Corp IV, a Delaware corporation (the “SPAC”), a new wholly-owned subsidiary of the SPAC and the Company, dated as of February 22, 2021, provided that this Plan is approved by the Company’s stockholders on or prior to such closing date..</w:t>
      </w:r>
    </w:p>
    <w:p>
      <w:pPr>
        <w:spacing w:after="0" w:line="175" w:lineRule="exact"/>
        <w:rPr>
          <w:rFonts w:ascii="Arial" w:cs="Arial" w:eastAsia="Arial" w:hAnsi="Arial"/>
          <w:sz w:val="16"/>
          <w:szCs w:val="16"/>
          <w:color w:val="auto"/>
        </w:rPr>
      </w:pPr>
    </w:p>
    <w:p>
      <w:pPr>
        <w:ind w:left="1140" w:hanging="324"/>
        <w:spacing w:after="0"/>
        <w:tabs>
          <w:tab w:leader="none" w:pos="11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any employee of a Participating Company whose customary employment is for more than</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five (5) months per calendar year and for more than twenty (20) hours per week.</w:t>
      </w:r>
    </w:p>
    <w:p>
      <w:pPr>
        <w:spacing w:after="0" w:line="248" w:lineRule="exact"/>
        <w:rPr>
          <w:sz w:val="20"/>
          <w:szCs w:val="20"/>
          <w:color w:val="auto"/>
        </w:rPr>
      </w:pPr>
    </w:p>
    <w:p>
      <w:pPr>
        <w:ind w:left="660" w:right="260"/>
        <w:spacing w:after="0" w:line="321" w:lineRule="auto"/>
        <w:rPr>
          <w:sz w:val="20"/>
          <w:szCs w:val="20"/>
          <w:color w:val="auto"/>
        </w:rPr>
      </w:pPr>
      <w:r>
        <w:rPr>
          <w:rFonts w:ascii="Arial" w:cs="Arial" w:eastAsia="Arial" w:hAnsi="Arial"/>
          <w:sz w:val="16"/>
          <w:szCs w:val="16"/>
          <w:color w:val="auto"/>
        </w:rPr>
        <w:t>The foregoing notwithstanding, an individual shall not be considered an Eligible Employee if his or her participation in the Plan is prohibited by the law of any country which has jurisdiction over him or her.</w:t>
      </w:r>
    </w:p>
    <w:p>
      <w:pPr>
        <w:spacing w:after="0" w:line="156" w:lineRule="exact"/>
        <w:rPr>
          <w:sz w:val="20"/>
          <w:szCs w:val="20"/>
          <w:color w:val="auto"/>
        </w:rPr>
      </w:pPr>
    </w:p>
    <w:p>
      <w:pPr>
        <w:ind w:left="1100" w:hanging="284"/>
        <w:spacing w:after="0"/>
        <w:tabs>
          <w:tab w:leader="none" w:pos="11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the fair market value of a share of Stock, determined as follows:</w:t>
      </w:r>
    </w:p>
    <w:p>
      <w:pPr>
        <w:spacing w:after="0" w:line="248" w:lineRule="exact"/>
        <w:rPr>
          <w:rFonts w:ascii="Arial" w:cs="Arial" w:eastAsia="Arial" w:hAnsi="Arial"/>
          <w:sz w:val="16"/>
          <w:szCs w:val="16"/>
          <w:color w:val="auto"/>
        </w:rPr>
      </w:pPr>
    </w:p>
    <w:p>
      <w:pPr>
        <w:ind w:left="980" w:right="80" w:hanging="2"/>
        <w:spacing w:after="0" w:line="295" w:lineRule="auto"/>
        <w:tabs>
          <w:tab w:leader="none" w:pos="1259"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as reported in the </w:t>
      </w:r>
      <w:r>
        <w:rPr>
          <w:rFonts w:ascii="Arial" w:cs="Arial" w:eastAsia="Arial" w:hAnsi="Arial"/>
          <w:sz w:val="16"/>
          <w:szCs w:val="16"/>
          <w:u w:val="single" w:color="auto"/>
          <w:color w:val="auto"/>
        </w:rPr>
        <w:t>Wall Street</w:t>
      </w:r>
      <w:r>
        <w:rPr>
          <w:rFonts w:ascii="Arial" w:cs="Arial" w:eastAsia="Arial" w:hAnsi="Arial"/>
          <w:sz w:val="16"/>
          <w:szCs w:val="16"/>
          <w:color w:val="auto"/>
        </w:rPr>
        <w:t xml:space="preserve"> </w:t>
      </w:r>
      <w:r>
        <w:rPr>
          <w:rFonts w:ascii="Arial" w:cs="Arial" w:eastAsia="Arial" w:hAnsi="Arial"/>
          <w:sz w:val="16"/>
          <w:szCs w:val="16"/>
          <w:u w:val="single" w:color="auto"/>
          <w:color w:val="auto"/>
        </w:rPr>
        <w:t>Journal</w:t>
      </w:r>
      <w:r>
        <w:rPr>
          <w:rFonts w:ascii="Arial" w:cs="Arial" w:eastAsia="Arial" w:hAnsi="Arial"/>
          <w:sz w:val="16"/>
          <w:szCs w:val="16"/>
          <w:color w:val="auto"/>
        </w:rPr>
        <w:t xml:space="preserve"> or such other source as the Committee deems reliable; or</w:t>
      </w:r>
    </w:p>
    <w:p>
      <w:pPr>
        <w:spacing w:after="0" w:line="361"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A-21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80" w:right="120" w:hanging="2"/>
        <w:spacing w:after="0" w:line="304" w:lineRule="auto"/>
        <w:tabs>
          <w:tab w:leader="none" w:pos="1295"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the foregoing provision is not applicable, then the Fair Market Value shall be determined by the Committee in good faith on such basis as it deems appropriate.</w:t>
      </w:r>
    </w:p>
    <w:p>
      <w:pPr>
        <w:spacing w:after="0" w:line="155" w:lineRule="exact"/>
        <w:rPr>
          <w:sz w:val="20"/>
          <w:szCs w:val="20"/>
          <w:color w:val="auto"/>
        </w:rPr>
      </w:pPr>
    </w:p>
    <w:p>
      <w:pPr>
        <w:jc w:val="both"/>
        <w:ind w:left="660" w:right="340"/>
        <w:spacing w:after="0" w:line="292" w:lineRule="auto"/>
        <w:rPr>
          <w:sz w:val="20"/>
          <w:szCs w:val="20"/>
          <w:color w:val="auto"/>
        </w:rPr>
      </w:pPr>
      <w:r>
        <w:rPr>
          <w:rFonts w:ascii="Arial" w:cs="Arial" w:eastAsia="Arial" w:hAnsi="Arial"/>
          <w:sz w:val="16"/>
          <w:szCs w:val="16"/>
          <w:color w:val="auto"/>
        </w:rPr>
        <w:t>For any date that is not a Trading Day, the Fair Market Value of a share of Stock for such date shall be determined by using the closing sale price for the immediately preceding Trading Day. Determination of the Fair Market Value pursuant to the foregoing provisions shall be conclusive and binding on all persons.</w:t>
      </w:r>
    </w:p>
    <w:p>
      <w:pPr>
        <w:spacing w:after="0" w:line="179" w:lineRule="exact"/>
        <w:rPr>
          <w:sz w:val="20"/>
          <w:szCs w:val="20"/>
          <w:color w:val="auto"/>
        </w:rPr>
      </w:pPr>
    </w:p>
    <w:p>
      <w:pPr>
        <w:ind w:left="1140" w:hanging="324"/>
        <w:spacing w:after="0"/>
        <w:tabs>
          <w:tab w:leader="none" w:pos="11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w:t>
      </w:r>
      <w:r>
        <w:rPr>
          <w:rFonts w:ascii="Arial" w:cs="Arial" w:eastAsia="Arial" w:hAnsi="Arial"/>
          <w:sz w:val="16"/>
          <w:szCs w:val="16"/>
          <w:color w:val="auto"/>
        </w:rPr>
        <w:t>” means the grant of options to purchase shares of Stock under the Plan to Eligible Employees.</w:t>
      </w:r>
    </w:p>
    <w:p>
      <w:pPr>
        <w:spacing w:after="0" w:line="248" w:lineRule="exact"/>
        <w:rPr>
          <w:rFonts w:ascii="Arial" w:cs="Arial" w:eastAsia="Arial" w:hAnsi="Arial"/>
          <w:sz w:val="16"/>
          <w:szCs w:val="16"/>
          <w:color w:val="auto"/>
        </w:rPr>
      </w:pPr>
    </w:p>
    <w:p>
      <w:pPr>
        <w:ind w:left="1140" w:hanging="324"/>
        <w:spacing w:after="0"/>
        <w:tabs>
          <w:tab w:leader="none" w:pos="11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Date</w:t>
      </w:r>
      <w:r>
        <w:rPr>
          <w:rFonts w:ascii="Arial" w:cs="Arial" w:eastAsia="Arial" w:hAnsi="Arial"/>
          <w:sz w:val="16"/>
          <w:szCs w:val="16"/>
          <w:color w:val="auto"/>
        </w:rPr>
        <w:t>” means the first day of an Offering.</w:t>
      </w:r>
    </w:p>
    <w:p>
      <w:pPr>
        <w:spacing w:after="0" w:line="234" w:lineRule="exact"/>
        <w:rPr>
          <w:rFonts w:ascii="Arial" w:cs="Arial" w:eastAsia="Arial" w:hAnsi="Arial"/>
          <w:sz w:val="16"/>
          <w:szCs w:val="16"/>
          <w:color w:val="auto"/>
        </w:rPr>
      </w:pPr>
    </w:p>
    <w:p>
      <w:pPr>
        <w:ind w:left="820" w:right="580" w:hanging="4"/>
        <w:spacing w:after="0" w:line="321" w:lineRule="auto"/>
        <w:tabs>
          <w:tab w:leader="none" w:pos="1099"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means a period with respect to which the right to purchase Stock may be granted under the Plan, as determined pursuant to Section 4(a).</w:t>
      </w:r>
    </w:p>
    <w:p>
      <w:pPr>
        <w:spacing w:after="0" w:line="155" w:lineRule="exact"/>
        <w:rPr>
          <w:rFonts w:ascii="Arial" w:cs="Arial" w:eastAsia="Arial" w:hAnsi="Arial"/>
          <w:sz w:val="16"/>
          <w:szCs w:val="16"/>
          <w:color w:val="auto"/>
        </w:rPr>
      </w:pPr>
    </w:p>
    <w:p>
      <w:pPr>
        <w:ind w:left="1100" w:hanging="284"/>
        <w:spacing w:after="0"/>
        <w:tabs>
          <w:tab w:leader="none" w:pos="11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Eligible Employee who elects to participate in the Plan, as provided in Section 4(b).</w:t>
      </w:r>
    </w:p>
    <w:p>
      <w:pPr>
        <w:spacing w:after="0" w:line="234" w:lineRule="exact"/>
        <w:rPr>
          <w:rFonts w:ascii="Arial" w:cs="Arial" w:eastAsia="Arial" w:hAnsi="Arial"/>
          <w:sz w:val="16"/>
          <w:szCs w:val="16"/>
          <w:color w:val="auto"/>
        </w:rPr>
      </w:pPr>
    </w:p>
    <w:p>
      <w:pPr>
        <w:ind w:left="820" w:right="140" w:hanging="4"/>
        <w:spacing w:after="0" w:line="304" w:lineRule="auto"/>
        <w:tabs>
          <w:tab w:leader="none" w:pos="1144"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means (i) the Company and (ii) each present or future Subsidiary designated by the Committee as a Participating Company.</w:t>
      </w:r>
    </w:p>
    <w:p>
      <w:pPr>
        <w:spacing w:after="0" w:line="181" w:lineRule="exact"/>
        <w:rPr>
          <w:rFonts w:ascii="Arial" w:cs="Arial" w:eastAsia="Arial" w:hAnsi="Arial"/>
          <w:sz w:val="16"/>
          <w:szCs w:val="16"/>
          <w:color w:val="auto"/>
        </w:rPr>
      </w:pPr>
    </w:p>
    <w:p>
      <w:pPr>
        <w:ind w:left="1100" w:hanging="284"/>
        <w:spacing w:after="0"/>
        <w:tabs>
          <w:tab w:leader="none" w:pos="11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Lucid Group Inc. 2021 Employee Stock Purchase Plan, as it may be amended from time to time.</w:t>
      </w:r>
    </w:p>
    <w:p>
      <w:pPr>
        <w:spacing w:after="0" w:line="248" w:lineRule="exact"/>
        <w:rPr>
          <w:rFonts w:ascii="Arial" w:cs="Arial" w:eastAsia="Arial" w:hAnsi="Arial"/>
          <w:sz w:val="16"/>
          <w:szCs w:val="16"/>
          <w:color w:val="auto"/>
        </w:rPr>
      </w:pPr>
    </w:p>
    <w:p>
      <w:pPr>
        <w:ind w:left="1200" w:hanging="384"/>
        <w:spacing w:after="0"/>
        <w:tabs>
          <w:tab w:leader="none" w:pos="12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Account</w:t>
      </w:r>
      <w:r>
        <w:rPr>
          <w:rFonts w:ascii="Arial" w:cs="Arial" w:eastAsia="Arial" w:hAnsi="Arial"/>
          <w:sz w:val="16"/>
          <w:szCs w:val="16"/>
          <w:color w:val="auto"/>
        </w:rPr>
        <w:t>” means the account established for each Participant pursuant to Section 8(a).</w:t>
      </w:r>
    </w:p>
    <w:p>
      <w:pPr>
        <w:spacing w:after="0" w:line="234" w:lineRule="exact"/>
        <w:rPr>
          <w:rFonts w:ascii="Arial" w:cs="Arial" w:eastAsia="Arial" w:hAnsi="Arial"/>
          <w:sz w:val="16"/>
          <w:szCs w:val="16"/>
          <w:color w:val="auto"/>
        </w:rPr>
      </w:pPr>
    </w:p>
    <w:p>
      <w:pPr>
        <w:ind w:left="820" w:right="180" w:hanging="4"/>
        <w:spacing w:after="0" w:line="304" w:lineRule="auto"/>
        <w:tabs>
          <w:tab w:leader="none" w:pos="1153"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Date</w:t>
      </w:r>
      <w:r>
        <w:rPr>
          <w:rFonts w:ascii="Arial" w:cs="Arial" w:eastAsia="Arial" w:hAnsi="Arial"/>
          <w:sz w:val="16"/>
          <w:szCs w:val="16"/>
          <w:color w:val="auto"/>
        </w:rPr>
        <w:t>” means one or more dates during an Offering on which shares of Stock may be purchased pursuant to the terms of the Offering.</w:t>
      </w:r>
    </w:p>
    <w:p>
      <w:pPr>
        <w:spacing w:after="0" w:line="154" w:lineRule="exact"/>
        <w:rPr>
          <w:rFonts w:ascii="Arial" w:cs="Arial" w:eastAsia="Arial" w:hAnsi="Arial"/>
          <w:sz w:val="16"/>
          <w:szCs w:val="16"/>
          <w:color w:val="auto"/>
        </w:rPr>
      </w:pPr>
    </w:p>
    <w:p>
      <w:pPr>
        <w:ind w:left="820" w:right="140" w:hanging="4"/>
        <w:spacing w:after="0" w:line="321" w:lineRule="auto"/>
        <w:tabs>
          <w:tab w:leader="none" w:pos="1153"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Period</w:t>
      </w:r>
      <w:r>
        <w:rPr>
          <w:rFonts w:ascii="Arial" w:cs="Arial" w:eastAsia="Arial" w:hAnsi="Arial"/>
          <w:sz w:val="16"/>
          <w:szCs w:val="16"/>
          <w:color w:val="auto"/>
        </w:rPr>
        <w:t>” means one or more successive periods during an Offering, beginning on the Offering Date or on the day after a Purchase Date, and ending on the next succeeding Purchase Date.</w:t>
      </w:r>
    </w:p>
    <w:p>
      <w:pPr>
        <w:spacing w:after="0" w:line="142" w:lineRule="exact"/>
        <w:rPr>
          <w:rFonts w:ascii="Arial" w:cs="Arial" w:eastAsia="Arial" w:hAnsi="Arial"/>
          <w:sz w:val="16"/>
          <w:szCs w:val="16"/>
          <w:color w:val="auto"/>
        </w:rPr>
      </w:pPr>
    </w:p>
    <w:p>
      <w:pPr>
        <w:ind w:left="820" w:right="560" w:hanging="4"/>
        <w:spacing w:after="0" w:line="304" w:lineRule="auto"/>
        <w:tabs>
          <w:tab w:leader="none" w:pos="1153"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the price at which Participants may purchase shares of Stock under the Plan, as determined pursuant to Section 8(b).</w:t>
      </w:r>
    </w:p>
    <w:p>
      <w:pPr>
        <w:spacing w:after="0" w:line="168" w:lineRule="exact"/>
        <w:rPr>
          <w:rFonts w:ascii="Arial" w:cs="Arial" w:eastAsia="Arial" w:hAnsi="Arial"/>
          <w:sz w:val="16"/>
          <w:szCs w:val="16"/>
          <w:color w:val="auto"/>
        </w:rPr>
      </w:pPr>
    </w:p>
    <w:p>
      <w:pPr>
        <w:ind w:left="820" w:right="260" w:hanging="4"/>
        <w:spacing w:after="0" w:line="284" w:lineRule="auto"/>
        <w:tabs>
          <w:tab w:leader="none" w:pos="1153"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97" w:lineRule="exact"/>
        <w:rPr>
          <w:rFonts w:ascii="Arial" w:cs="Arial" w:eastAsia="Arial" w:hAnsi="Arial"/>
          <w:sz w:val="16"/>
          <w:szCs w:val="16"/>
          <w:color w:val="auto"/>
        </w:rPr>
      </w:pPr>
    </w:p>
    <w:p>
      <w:pPr>
        <w:ind w:left="1120" w:hanging="304"/>
        <w:spacing w:after="0"/>
        <w:tabs>
          <w:tab w:leader="none" w:pos="11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the national stock exchange on which the Stock is traded is open for trading.</w:t>
      </w:r>
    </w:p>
    <w:p>
      <w:pPr>
        <w:spacing w:after="0" w:line="24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3</w:t>
        <w:tab/>
        <w:t>Administration of the Plan.</w:t>
      </w:r>
    </w:p>
    <w:p>
      <w:pPr>
        <w:spacing w:after="0" w:line="235" w:lineRule="exact"/>
        <w:rPr>
          <w:sz w:val="20"/>
          <w:szCs w:val="20"/>
          <w:color w:val="auto"/>
        </w:rPr>
      </w:pPr>
    </w:p>
    <w:p>
      <w:pPr>
        <w:ind w:left="820" w:right="40" w:hanging="4"/>
        <w:spacing w:after="0" w:line="272" w:lineRule="auto"/>
        <w:tabs>
          <w:tab w:leader="none" w:pos="1153"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Administrative Powers and Responsibilities</w:t>
      </w:r>
      <w:r>
        <w:rPr>
          <w:rFonts w:ascii="Arial" w:cs="Arial" w:eastAsia="Arial" w:hAnsi="Arial"/>
          <w:sz w:val="16"/>
          <w:szCs w:val="16"/>
          <w:color w:val="auto"/>
        </w:rPr>
        <w:t>. The Plan shall be administered by the Committee.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 in connection therewith or in relation thereto as it deems necessary or advisable. Any decision reduced to writing and signed by all of the members of the Committee shall be fully effective as if it had been made at a meeting duly held. The Committee’s determinations under the Plan, unless otherwise determined by the Board, shall be final and binding on all persons. The Company shall pay all expenses incurred in the administration of the Plan. No member of the Committee shall be personally liable for any action, determination, or interpretation made in good faith with respect to the Plan, and all members of the Committee shall be fully indemnified by the Company with respect to any such action, determination or interpretation. The Committee may adopt such rules, guidelines and forms as it deems appropriate to implement the Plan. Subject to the requirements of applicable law, the Committee may designate persons other than members of the Committee to carry out its responsibilities and may prescribe such conditions and limitations as it may deem appropriate.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Notwithstanding anything to the contrary in the Plan, the Board may, in its sole discretion, at any time and from time to time, resolve to administer the Plan. In such event, the Board shall have all of the authority and responsibility granted to the Committee herein.</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​A-22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20" w:right="100" w:hanging="4"/>
        <w:spacing w:after="0" w:line="285" w:lineRule="auto"/>
        <w:tabs>
          <w:tab w:leader="none" w:pos="115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International Administration</w:t>
      </w:r>
      <w:r>
        <w:rPr>
          <w:rFonts w:ascii="Arial" w:cs="Arial" w:eastAsia="Arial" w:hAnsi="Arial"/>
          <w:sz w:val="16"/>
          <w:szCs w:val="16"/>
          <w:color w:val="auto"/>
        </w:rPr>
        <w:t>. The Committee may establish sub-plans (which need not qualify under Section 423 of the Code) and initiate separate Offerings through such sub-plans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sub-plans, at the Committee’s discretion, may provide for allocations of the authorized shares reserved for issue under the Plan as set forth in Section 14(a)). The rules, guidelines and forms of such sub-plans (or the Offerings thereunder) may take precedence over other provisions of the Plan, with the exception of Section 4(a)(i), Section 5(b), Section 8(b) and Section 14(a), but unless otherwise superseded by the terms of such sub-plan, the provisions of the Plan shall govern the operation of such sub-plan. Alternatively and in order to comply with the laws of a foreign jurisdiction, the Committee shall have the power, in its discretion, to grant options in an Offering to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w:t>
      </w:r>
    </w:p>
    <w:p>
      <w:pPr>
        <w:spacing w:after="0" w:line="18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4</w:t>
        <w:tab/>
        <w:t>Enrollment and Participation.</w:t>
      </w:r>
    </w:p>
    <w:p>
      <w:pPr>
        <w:spacing w:after="0" w:line="248" w:lineRule="exact"/>
        <w:rPr>
          <w:sz w:val="20"/>
          <w:szCs w:val="20"/>
          <w:color w:val="auto"/>
        </w:rPr>
      </w:pPr>
    </w:p>
    <w:p>
      <w:pPr>
        <w:ind w:left="820" w:right="100" w:hanging="4"/>
        <w:spacing w:after="0" w:line="284" w:lineRule="auto"/>
        <w:tabs>
          <w:tab w:leader="none" w:pos="1153"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Offering Periods</w:t>
      </w:r>
      <w:r>
        <w:rPr>
          <w:rFonts w:ascii="Arial" w:cs="Arial" w:eastAsia="Arial" w:hAnsi="Arial"/>
          <w:sz w:val="16"/>
          <w:szCs w:val="16"/>
          <w:color w:val="auto"/>
        </w:rPr>
        <w:t>. While the Plan is in effect, the Committee may from time to time grant options to purchase shares of Stock pursuant to the 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twenty-seven (27) months from the Offering Date and may include one or more successive Purchase Periods within the Offering, (ii) the Purchase Dates and Purchase Price for shares of Stock which may be purchased pursuant to the Offering, and (iii) if applicable, any limits on the number of shares purchasable by a Participant, or by all Participants in the aggregate, during any Offering Period or, if applicable, Purchase Period, in each case consistent with the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p>
    <w:p>
      <w:pPr>
        <w:spacing w:after="0" w:line="190" w:lineRule="exact"/>
        <w:rPr>
          <w:rFonts w:ascii="Arial" w:cs="Arial" w:eastAsia="Arial" w:hAnsi="Arial"/>
          <w:sz w:val="16"/>
          <w:szCs w:val="16"/>
          <w:color w:val="auto"/>
        </w:rPr>
      </w:pPr>
    </w:p>
    <w:p>
      <w:pPr>
        <w:ind w:left="820" w:right="160" w:hanging="4"/>
        <w:spacing w:after="0" w:line="301" w:lineRule="auto"/>
        <w:tabs>
          <w:tab w:leader="none" w:pos="1153"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Enrollment</w:t>
      </w:r>
      <w:r>
        <w:rPr>
          <w:rFonts w:ascii="Arial" w:cs="Arial" w:eastAsia="Arial" w:hAnsi="Arial"/>
          <w:sz w:val="16"/>
          <w:szCs w:val="16"/>
          <w:color w:val="auto"/>
        </w:rPr>
        <w:t>. Any individual who, on the day preceding the first day of an Offering Period, qualifies as an Eligible Employee may elect to become a Participant in the Plan for such Offering Period by completing the enrollment process prescribed and communicated for this purpose from time to time by the Company to Eligible Employees.</w:t>
      </w:r>
    </w:p>
    <w:p>
      <w:pPr>
        <w:spacing w:after="0" w:line="171" w:lineRule="exact"/>
        <w:rPr>
          <w:rFonts w:ascii="Arial" w:cs="Arial" w:eastAsia="Arial" w:hAnsi="Arial"/>
          <w:sz w:val="16"/>
          <w:szCs w:val="16"/>
          <w:color w:val="auto"/>
        </w:rPr>
      </w:pPr>
    </w:p>
    <w:p>
      <w:pPr>
        <w:ind w:left="820" w:right="180" w:hanging="4"/>
        <w:spacing w:after="0" w:line="287" w:lineRule="auto"/>
        <w:tabs>
          <w:tab w:leader="none" w:pos="1144"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Duration of Participation</w:t>
      </w:r>
      <w:r>
        <w:rPr>
          <w:rFonts w:ascii="Arial" w:cs="Arial" w:eastAsia="Arial" w:hAnsi="Arial"/>
          <w:sz w:val="16"/>
          <w:szCs w:val="16"/>
          <w:color w:val="auto"/>
        </w:rPr>
        <w:t>. Once enrolled in the Plan, a Participant shall continue to participate in the Plan until he or she ceases to be an 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184"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5</w:t>
        <w:tab/>
        <w:t>Employee Contributions.</w:t>
      </w:r>
    </w:p>
    <w:p>
      <w:pPr>
        <w:spacing w:after="0" w:line="248" w:lineRule="exact"/>
        <w:rPr>
          <w:sz w:val="20"/>
          <w:szCs w:val="20"/>
          <w:color w:val="auto"/>
        </w:rPr>
      </w:pPr>
    </w:p>
    <w:p>
      <w:pPr>
        <w:ind w:left="820" w:right="260" w:hanging="4"/>
        <w:spacing w:after="0" w:line="291" w:lineRule="auto"/>
        <w:tabs>
          <w:tab w:leader="none" w:pos="1153"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Frequency of Payroll Deductions</w:t>
      </w:r>
      <w:r>
        <w:rPr>
          <w:rFonts w:ascii="Arial" w:cs="Arial" w:eastAsia="Arial" w:hAnsi="Arial"/>
          <w:sz w:val="16"/>
          <w:szCs w:val="16"/>
          <w:color w:val="auto"/>
        </w:rPr>
        <w:t>. A Participant may purchase shares of Stock under the Plan solely by means of payroll deductions; provided, 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under the terms and conditions of an Offering, shall occur on each payday during participation in the Plan.</w:t>
      </w:r>
    </w:p>
    <w:p>
      <w:pPr>
        <w:spacing w:after="0" w:line="180" w:lineRule="exact"/>
        <w:rPr>
          <w:rFonts w:ascii="Arial" w:cs="Arial" w:eastAsia="Arial" w:hAnsi="Arial"/>
          <w:sz w:val="16"/>
          <w:szCs w:val="16"/>
          <w:color w:val="auto"/>
        </w:rPr>
      </w:pPr>
    </w:p>
    <w:p>
      <w:pPr>
        <w:ind w:left="820" w:right="40" w:hanging="4"/>
        <w:spacing w:after="0" w:line="295" w:lineRule="auto"/>
        <w:tabs>
          <w:tab w:leader="none" w:pos="1153"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Amount of Payroll Deductions</w:t>
      </w:r>
      <w:r>
        <w:rPr>
          <w:rFonts w:ascii="Arial" w:cs="Arial" w:eastAsia="Arial" w:hAnsi="Arial"/>
          <w:sz w:val="16"/>
          <w:szCs w:val="16"/>
          <w:color w:val="auto"/>
        </w:rPr>
        <w:t>. An Eligible Employee shall designate during the enrollment process the portion of his or her Compensation that he or she elects to have withheld for the purchase of Stock. Such portion shall be a whole percentage of the Eligible Employee’s Compensation, but not less than one percent (1%) nor more than fifteen percent (15%) (or such lower rate of Compensation specified as the limit in the terms and conditions of the applicable Offering).</w:t>
      </w:r>
    </w:p>
    <w:p>
      <w:pPr>
        <w:sectPr>
          <w:pgSz w:w="11900" w:h="16838" w:orient="portrait"/>
          <w:cols w:equalWidth="0" w:num="1">
            <w:col w:w="10080"/>
          </w:cols>
          <w:pgMar w:left="580" w:top="97" w:right="1239" w:bottom="1440" w:gutter="0" w:footer="0" w:header="0"/>
        </w:sectPr>
      </w:pPr>
    </w:p>
    <w:p>
      <w:pPr>
        <w:spacing w:after="0" w:line="361"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A-23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20" w:right="180" w:hanging="4"/>
        <w:spacing w:after="0" w:line="270" w:lineRule="auto"/>
        <w:tabs>
          <w:tab w:leader="none" w:pos="1144"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Changing Withholding Rate</w:t>
      </w:r>
      <w:r>
        <w:rPr>
          <w:rFonts w:ascii="Arial" w:cs="Arial" w:eastAsia="Arial" w:hAnsi="Arial"/>
          <w:sz w:val="16"/>
          <w:szCs w:val="16"/>
          <w:color w:val="auto"/>
        </w:rPr>
        <w:t>. Unless otherwise provided under the terms and conditions of an Offering, a Participant may not increase the rate of payroll withholding during the Offering Period, but may discontinue or decrease the rate of payroll withholding during the Offering Period to a whole percentage of his or her Compensation in accordance with such procedures and subject to such limitations as the Company may establish for all Participants. A Participant may also increase or decrease the rate of payroll withholding effective for a new Offering Period by submitting an authorization to change the payroll deduction rate pursuant to the process prescribed by the Company from time to time. The new withholding rate shall be a</w:t>
      </w:r>
    </w:p>
    <w:p>
      <w:pPr>
        <w:ind w:left="820"/>
        <w:spacing w:after="0"/>
        <w:rPr>
          <w:rFonts w:ascii="Arial" w:cs="Arial" w:eastAsia="Arial" w:hAnsi="Arial"/>
          <w:sz w:val="16"/>
          <w:szCs w:val="16"/>
          <w:color w:val="auto"/>
        </w:rPr>
      </w:pPr>
      <w:r>
        <w:rPr>
          <w:rFonts w:ascii="Arial" w:cs="Arial" w:eastAsia="Arial" w:hAnsi="Arial"/>
          <w:sz w:val="16"/>
          <w:szCs w:val="16"/>
          <w:color w:val="auto"/>
        </w:rPr>
        <w:t>whole percentage of the Eligible Employee’s Compensation consistent with Subsection (b) above.</w:t>
      </w:r>
    </w:p>
    <w:p>
      <w:pPr>
        <w:spacing w:after="0" w:line="234" w:lineRule="exact"/>
        <w:rPr>
          <w:rFonts w:ascii="Arial" w:cs="Arial" w:eastAsia="Arial" w:hAnsi="Arial"/>
          <w:sz w:val="16"/>
          <w:szCs w:val="16"/>
          <w:color w:val="auto"/>
        </w:rPr>
      </w:pPr>
    </w:p>
    <w:p>
      <w:pPr>
        <w:ind w:left="820" w:right="80" w:hanging="4"/>
        <w:spacing w:after="0" w:line="292" w:lineRule="auto"/>
        <w:tabs>
          <w:tab w:leader="none" w:pos="115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Discontinuing Payroll Deductions</w:t>
      </w:r>
      <w:r>
        <w:rPr>
          <w:rFonts w:ascii="Arial" w:cs="Arial" w:eastAsia="Arial" w:hAnsi="Arial"/>
          <w:sz w:val="16"/>
          <w:szCs w:val="16"/>
          <w:color w:val="auto"/>
        </w:rPr>
        <w:t>. If a Participant wishes to discontinue employee contributions entirely, he or she may do so by withdrawing from the Plan pursuant to Section 6(a). In addition, employee contributions may be discontinued automatically pursuant to Section 9(b).</w:t>
      </w:r>
    </w:p>
    <w:p>
      <w:pPr>
        <w:spacing w:after="0" w:line="179"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6</w:t>
        <w:tab/>
        <w:t>Withdrawal from the Plan.</w:t>
      </w:r>
    </w:p>
    <w:p>
      <w:pPr>
        <w:spacing w:after="0" w:line="235" w:lineRule="exact"/>
        <w:rPr>
          <w:sz w:val="20"/>
          <w:szCs w:val="20"/>
          <w:color w:val="auto"/>
        </w:rPr>
      </w:pPr>
    </w:p>
    <w:p>
      <w:pPr>
        <w:ind w:left="1140" w:hanging="324"/>
        <w:spacing w:after="0"/>
        <w:tabs>
          <w:tab w:leader="none" w:pos="114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Withdrawal</w:t>
      </w:r>
      <w:r>
        <w:rPr>
          <w:rFonts w:ascii="Arial" w:cs="Arial" w:eastAsia="Arial" w:hAnsi="Arial"/>
          <w:sz w:val="16"/>
          <w:szCs w:val="16"/>
          <w:color w:val="auto"/>
        </w:rPr>
        <w:t>.  A Participant may elect to withdraw from the Plan by giving notice pursuant to the process prescribed and</w:t>
      </w:r>
    </w:p>
    <w:p>
      <w:pPr>
        <w:spacing w:after="0" w:line="30" w:lineRule="exact"/>
        <w:rPr>
          <w:rFonts w:ascii="Arial" w:cs="Arial" w:eastAsia="Arial" w:hAnsi="Arial"/>
          <w:sz w:val="16"/>
          <w:szCs w:val="16"/>
          <w:color w:val="auto"/>
        </w:rPr>
      </w:pPr>
    </w:p>
    <w:p>
      <w:pPr>
        <w:ind w:left="820" w:right="40"/>
        <w:spacing w:after="0" w:line="276" w:lineRule="auto"/>
        <w:rPr>
          <w:rFonts w:ascii="Arial" w:cs="Arial" w:eastAsia="Arial" w:hAnsi="Arial"/>
          <w:sz w:val="16"/>
          <w:szCs w:val="16"/>
          <w:color w:val="auto"/>
        </w:rPr>
      </w:pPr>
      <w:r>
        <w:rPr>
          <w:rFonts w:ascii="Arial" w:cs="Arial" w:eastAsia="Arial" w:hAnsi="Arial"/>
          <w:sz w:val="16"/>
          <w:szCs w:val="16"/>
          <w:color w:val="auto"/>
        </w:rPr>
        <w:t>communicated by the Company from time to time. Such withdrawal may be elected at any time before the last day of an Offering 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 amount credited to the Participant’s Plan Account shall be refunded to him or her in cash, without interest. No partial withdrawals shall be permitted.</w:t>
      </w:r>
    </w:p>
    <w:p>
      <w:pPr>
        <w:spacing w:after="0" w:line="176" w:lineRule="exact"/>
        <w:rPr>
          <w:rFonts w:ascii="Arial" w:cs="Arial" w:eastAsia="Arial" w:hAnsi="Arial"/>
          <w:sz w:val="16"/>
          <w:szCs w:val="16"/>
          <w:color w:val="auto"/>
        </w:rPr>
      </w:pPr>
    </w:p>
    <w:p>
      <w:pPr>
        <w:ind w:left="820" w:right="80" w:hanging="4"/>
        <w:spacing w:after="0" w:line="321" w:lineRule="auto"/>
        <w:tabs>
          <w:tab w:leader="none" w:pos="1153"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Re-enrollment After Withdrawal</w:t>
      </w:r>
      <w:r>
        <w:rPr>
          <w:rFonts w:ascii="Arial" w:cs="Arial" w:eastAsia="Arial" w:hAnsi="Arial"/>
          <w:sz w:val="16"/>
          <w:szCs w:val="16"/>
          <w:color w:val="auto"/>
        </w:rPr>
        <w:t>. A former Participant who has withdrawn from the Plan shall not be a Participant until he or she re-enrolls in the Plan under Section 4(b). Re-enrollment may be effective only at the commencement of an Offering Period.</w:t>
      </w:r>
    </w:p>
    <w:p>
      <w:pPr>
        <w:spacing w:after="0" w:line="15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7</w:t>
      </w:r>
      <w:r>
        <w:rPr>
          <w:sz w:val="20"/>
          <w:szCs w:val="20"/>
          <w:color w:val="auto"/>
        </w:rPr>
        <w:tab/>
      </w:r>
      <w:r>
        <w:rPr>
          <w:rFonts w:ascii="Arial" w:cs="Arial" w:eastAsia="Arial" w:hAnsi="Arial"/>
          <w:sz w:val="16"/>
          <w:szCs w:val="16"/>
          <w:u w:val="single" w:color="auto"/>
          <w:color w:val="auto"/>
        </w:rPr>
        <w:t>Change in Employment Status</w:t>
      </w:r>
      <w:r>
        <w:rPr>
          <w:rFonts w:ascii="Arial" w:cs="Arial" w:eastAsia="Arial" w:hAnsi="Arial"/>
          <w:sz w:val="16"/>
          <w:szCs w:val="16"/>
          <w:color w:val="auto"/>
        </w:rPr>
        <w:t>.</w:t>
      </w:r>
    </w:p>
    <w:p>
      <w:pPr>
        <w:spacing w:after="0" w:line="235" w:lineRule="exact"/>
        <w:rPr>
          <w:sz w:val="20"/>
          <w:szCs w:val="20"/>
          <w:color w:val="auto"/>
        </w:rPr>
      </w:pPr>
    </w:p>
    <w:p>
      <w:pPr>
        <w:ind w:left="820" w:right="80" w:hanging="4"/>
        <w:spacing w:after="0" w:line="292" w:lineRule="auto"/>
        <w:tabs>
          <w:tab w:leader="none" w:pos="1153"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Termination of employment as an Eligible Employee for any reason, including death, shall be treated as an automatic withdrawal from the Plan under Section 6(a). A transfer from one Participating Company to another shall not be treated as a termination of employment.</w:t>
      </w:r>
    </w:p>
    <w:p>
      <w:pPr>
        <w:spacing w:after="0" w:line="165" w:lineRule="exact"/>
        <w:rPr>
          <w:rFonts w:ascii="Arial" w:cs="Arial" w:eastAsia="Arial" w:hAnsi="Arial"/>
          <w:sz w:val="16"/>
          <w:szCs w:val="16"/>
          <w:color w:val="auto"/>
        </w:rPr>
      </w:pPr>
    </w:p>
    <w:p>
      <w:pPr>
        <w:ind w:left="820" w:right="40" w:hanging="4"/>
        <w:spacing w:after="0" w:line="278" w:lineRule="auto"/>
        <w:tabs>
          <w:tab w:leader="none" w:pos="1153"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Leave of Absence</w:t>
      </w:r>
      <w:r>
        <w:rPr>
          <w:rFonts w:ascii="Arial" w:cs="Arial" w:eastAsia="Arial" w:hAnsi="Arial"/>
          <w:sz w:val="16"/>
          <w:szCs w:val="16"/>
          <w:color w:val="auto"/>
        </w:rPr>
        <w:t>. For purposes of the Plan, employment shall not be deemed to terminate when the Participant goes on a military leave, a sick leave or another bona fide leave of absence, if the leave was approved by the Company in writing. Employment, however, shall be deemed to terminate three (3)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189" w:lineRule="exact"/>
        <w:rPr>
          <w:rFonts w:ascii="Arial" w:cs="Arial" w:eastAsia="Arial" w:hAnsi="Arial"/>
          <w:sz w:val="16"/>
          <w:szCs w:val="16"/>
          <w:color w:val="auto"/>
        </w:rPr>
      </w:pPr>
    </w:p>
    <w:p>
      <w:pPr>
        <w:ind w:left="820" w:right="840" w:hanging="4"/>
        <w:spacing w:after="0" w:line="304" w:lineRule="auto"/>
        <w:tabs>
          <w:tab w:leader="none" w:pos="1144"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In the event of the Participant’s death, the amount credited to his or her Plan Account shall be paid to the Participant’s estate.</w:t>
      </w:r>
    </w:p>
    <w:p>
      <w:pPr>
        <w:spacing w:after="0" w:line="168"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8</w:t>
      </w:r>
      <w:r>
        <w:rPr>
          <w:sz w:val="20"/>
          <w:szCs w:val="20"/>
          <w:color w:val="auto"/>
        </w:rPr>
        <w:tab/>
      </w:r>
      <w:r>
        <w:rPr>
          <w:rFonts w:ascii="Arial" w:cs="Arial" w:eastAsia="Arial" w:hAnsi="Arial"/>
          <w:sz w:val="16"/>
          <w:szCs w:val="16"/>
          <w:u w:val="single" w:color="auto"/>
          <w:color w:val="auto"/>
        </w:rPr>
        <w:t>Plan Accounts and Purchase of Shares</w:t>
      </w:r>
      <w:r>
        <w:rPr>
          <w:rFonts w:ascii="Arial" w:cs="Arial" w:eastAsia="Arial" w:hAnsi="Arial"/>
          <w:sz w:val="16"/>
          <w:szCs w:val="16"/>
          <w:color w:val="auto"/>
        </w:rPr>
        <w:t>.</w:t>
      </w:r>
    </w:p>
    <w:p>
      <w:pPr>
        <w:spacing w:after="0" w:line="235" w:lineRule="exact"/>
        <w:rPr>
          <w:sz w:val="20"/>
          <w:szCs w:val="20"/>
          <w:color w:val="auto"/>
        </w:rPr>
      </w:pPr>
    </w:p>
    <w:p>
      <w:pPr>
        <w:ind w:left="820" w:right="180" w:hanging="4"/>
        <w:spacing w:after="0" w:line="283" w:lineRule="auto"/>
        <w:tabs>
          <w:tab w:leader="none" w:pos="1153"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Plan Accounts</w:t>
      </w:r>
      <w:r>
        <w:rPr>
          <w:rFonts w:ascii="Arial" w:cs="Arial" w:eastAsia="Arial" w:hAnsi="Arial"/>
          <w:sz w:val="16"/>
          <w:szCs w:val="16"/>
          <w:color w:val="auto"/>
        </w:rPr>
        <w:t>. The Company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spacing w:after="0" w:line="185" w:lineRule="exact"/>
        <w:rPr>
          <w:rFonts w:ascii="Arial" w:cs="Arial" w:eastAsia="Arial" w:hAnsi="Arial"/>
          <w:sz w:val="16"/>
          <w:szCs w:val="16"/>
          <w:color w:val="auto"/>
        </w:rPr>
      </w:pPr>
    </w:p>
    <w:p>
      <w:pPr>
        <w:ind w:left="1140" w:hanging="324"/>
        <w:spacing w:after="0"/>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for each share of Stock purchased during an Offering Period shall be the lesser of:</w:t>
      </w:r>
    </w:p>
    <w:p>
      <w:pPr>
        <w:spacing w:after="0" w:line="248" w:lineRule="exact"/>
        <w:rPr>
          <w:rFonts w:ascii="Arial" w:cs="Arial" w:eastAsia="Arial" w:hAnsi="Arial"/>
          <w:sz w:val="16"/>
          <w:szCs w:val="16"/>
          <w:color w:val="auto"/>
        </w:rPr>
      </w:pPr>
    </w:p>
    <w:p>
      <w:pPr>
        <w:ind w:left="1260" w:hanging="282"/>
        <w:spacing w:after="0"/>
        <w:tabs>
          <w:tab w:leader="none" w:pos="12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eighty-five percent (85%) of the Fair Market Value of such share on the Purchase Date; or</w:t>
      </w:r>
    </w:p>
    <w:p>
      <w:pPr>
        <w:spacing w:after="0" w:line="248" w:lineRule="exact"/>
        <w:rPr>
          <w:rFonts w:ascii="Arial" w:cs="Arial" w:eastAsia="Arial" w:hAnsi="Arial"/>
          <w:sz w:val="16"/>
          <w:szCs w:val="16"/>
          <w:color w:val="auto"/>
        </w:rPr>
      </w:pPr>
    </w:p>
    <w:p>
      <w:pPr>
        <w:ind w:left="1300" w:hanging="322"/>
        <w:spacing w:after="0"/>
        <w:tabs>
          <w:tab w:leader="none" w:pos="13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eighty-five percent (85%) of the Fair Market Value of such share on the Offering Date.</w:t>
      </w:r>
    </w:p>
    <w:p>
      <w:pPr>
        <w:spacing w:after="0" w:line="235" w:lineRule="exact"/>
        <w:rPr>
          <w:sz w:val="20"/>
          <w:szCs w:val="20"/>
          <w:color w:val="auto"/>
        </w:rPr>
      </w:pPr>
    </w:p>
    <w:p>
      <w:pPr>
        <w:ind w:left="660" w:right="60"/>
        <w:spacing w:after="0" w:line="292" w:lineRule="auto"/>
        <w:rPr>
          <w:sz w:val="20"/>
          <w:szCs w:val="20"/>
          <w:color w:val="auto"/>
        </w:rPr>
      </w:pPr>
      <w:r>
        <w:rPr>
          <w:rFonts w:ascii="Arial" w:cs="Arial" w:eastAsia="Arial" w:hAnsi="Arial"/>
          <w:sz w:val="16"/>
          <w:szCs w:val="16"/>
          <w:color w:val="auto"/>
        </w:rPr>
        <w:t>The Committee may specify for an alternate Purchase Price amount or formula in the terms and conditions of an Offering, but in no event may such amount or formula result in a Purchase Price less than that calculated pursuant to the immediately preceding formula.</w:t>
      </w:r>
    </w:p>
    <w:p>
      <w:pPr>
        <w:spacing w:after="0" w:line="36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A​-24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20" w:right="100" w:hanging="4"/>
        <w:spacing w:after="0" w:line="274" w:lineRule="auto"/>
        <w:tabs>
          <w:tab w:leader="none" w:pos="1144"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Number of Shares Purchased</w:t>
      </w:r>
      <w:r>
        <w:rPr>
          <w:rFonts w:ascii="Arial" w:cs="Arial" w:eastAsia="Arial" w:hAnsi="Arial"/>
          <w:sz w:val="16"/>
          <w:szCs w:val="16"/>
          <w:color w:val="auto"/>
        </w:rPr>
        <w:t>. As of each Purchase Date, each Participant shall be deemed to have elected to purchase the number of shares of Stock calculated in accordance with this Subsection (c), unless the Participant has previously elected to withdraw from the Plan in accordance with Section 6(a). The amount then in the Participant’s Plan Account shall be divided by the Purchase Price, and the number of shares that results shall be purchased from the Company with the funds in the Participant’s Plan Account. Unless provided otherwise by the Committee prior to commencement of an Offering, the maximum number of shares of Stock which may be purchased by an individual Participant during such Offering is 25,000 shares. The foregoing notwithstanding, no Participant shall purchase more than such number of shares of Stock as may be determined by the Committee with respect to the Offering Period, or Purchase Period, if applicable, nor more than the amounts of Stock set forth in Sections 9(b) and 14(a). For each Offering Period and, if applicable, Purchase Period, the Committee shall have the authority to establish additional limits on the number of shares purchasable by all Participants in the aggregate.</w:t>
      </w:r>
    </w:p>
    <w:p>
      <w:pPr>
        <w:spacing w:after="0" w:line="180" w:lineRule="exact"/>
        <w:rPr>
          <w:rFonts w:ascii="Arial" w:cs="Arial" w:eastAsia="Arial" w:hAnsi="Arial"/>
          <w:sz w:val="16"/>
          <w:szCs w:val="16"/>
          <w:color w:val="auto"/>
        </w:rPr>
      </w:pPr>
    </w:p>
    <w:p>
      <w:pPr>
        <w:ind w:left="820" w:right="260" w:hanging="4"/>
        <w:spacing w:after="0" w:line="279" w:lineRule="auto"/>
        <w:tabs>
          <w:tab w:leader="none" w:pos="1153"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Available Shares Insufficient</w:t>
      </w:r>
      <w:r>
        <w:rPr>
          <w:rFonts w:ascii="Arial" w:cs="Arial" w:eastAsia="Arial" w:hAnsi="Arial"/>
          <w:sz w:val="16"/>
          <w:szCs w:val="16"/>
          <w:color w:val="auto"/>
        </w:rPr>
        <w:t>. In the event that the aggregate number of shares that all Participants elect to purchase during an Offering Period exceeds the maximum number of shares remaining available for issuance under Section 14(a), or 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spacing w:after="0" w:line="174" w:lineRule="exact"/>
        <w:rPr>
          <w:rFonts w:ascii="Arial" w:cs="Arial" w:eastAsia="Arial" w:hAnsi="Arial"/>
          <w:sz w:val="16"/>
          <w:szCs w:val="16"/>
          <w:color w:val="auto"/>
        </w:rPr>
      </w:pPr>
    </w:p>
    <w:p>
      <w:pPr>
        <w:ind w:left="820" w:right="100" w:hanging="4"/>
        <w:spacing w:after="0" w:line="278" w:lineRule="auto"/>
        <w:tabs>
          <w:tab w:leader="none" w:pos="1153"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Issuance of Stock</w:t>
      </w:r>
      <w:r>
        <w:rPr>
          <w:rFonts w:ascii="Arial" w:cs="Arial" w:eastAsia="Arial" w:hAnsi="Arial"/>
          <w:sz w:val="16"/>
          <w:szCs w:val="16"/>
          <w:color w:val="auto"/>
        </w:rPr>
        <w:t>. Certificates representing the shares of Stock purchased by a Participant under the Plan shall be issued to him or her as soon as reasonably practicable after the applicable Purchase Date, except that the Company may determine that such shares shall be held for each Participant’s benefit by a broker designated by the Company. Shares may be registered in the name of the Participant or jointly in the name of the Participant and his or her spouse as joint tenants with right of survivorship or as community property.</w:t>
      </w:r>
    </w:p>
    <w:p>
      <w:pPr>
        <w:spacing w:after="0" w:line="189" w:lineRule="exact"/>
        <w:rPr>
          <w:rFonts w:ascii="Arial" w:cs="Arial" w:eastAsia="Arial" w:hAnsi="Arial"/>
          <w:sz w:val="16"/>
          <w:szCs w:val="16"/>
          <w:color w:val="auto"/>
        </w:rPr>
      </w:pPr>
    </w:p>
    <w:p>
      <w:pPr>
        <w:ind w:left="820" w:right="60" w:hanging="4"/>
        <w:spacing w:after="0" w:line="278" w:lineRule="auto"/>
        <w:tabs>
          <w:tab w:leader="none" w:pos="1108"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Unused Cash Balances</w:t>
      </w:r>
      <w:r>
        <w:rPr>
          <w:rFonts w:ascii="Arial" w:cs="Arial" w:eastAsia="Arial" w:hAnsi="Arial"/>
          <w:sz w:val="16"/>
          <w:szCs w:val="16"/>
          <w:color w:val="auto"/>
        </w:rPr>
        <w:t>. An amount remaining in the Participant’s Plan Account that represents the Purchase Price for any fractional share shall be carried over in the Participant’s Plan Account to the next Offering Period or refunded to the Participant in cash at the end of the Offering Period, without interest, if his or her participation is not continued. Any amount remaining in the Participant’s Plan Account that represents the Purchase Price for whole shares that could not be purchased by reason of Subsection (c) or (d) above, Section 9(b) or Section 14(a) shall be refunded to the Participant in cash, without interest.</w:t>
      </w:r>
    </w:p>
    <w:p>
      <w:pPr>
        <w:spacing w:after="0" w:line="176" w:lineRule="exact"/>
        <w:rPr>
          <w:rFonts w:ascii="Arial" w:cs="Arial" w:eastAsia="Arial" w:hAnsi="Arial"/>
          <w:sz w:val="16"/>
          <w:szCs w:val="16"/>
          <w:color w:val="auto"/>
        </w:rPr>
      </w:pPr>
    </w:p>
    <w:p>
      <w:pPr>
        <w:jc w:val="both"/>
        <w:ind w:left="820" w:right="60" w:hanging="4"/>
        <w:spacing w:after="0" w:line="292" w:lineRule="auto"/>
        <w:tabs>
          <w:tab w:leader="none" w:pos="1153"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Plan shall be submitted to the stockholders of the Company for their approval within twelve (12) months after the date the Plan is adopted by the Board. Any other provision of the Plan notwithstanding, no shares of Stock shall be purchased under the Plan unless and until the stockholders have approved the adoption of the Plan.</w:t>
      </w:r>
    </w:p>
    <w:p>
      <w:pPr>
        <w:spacing w:after="0" w:line="179"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SECTION 9</w:t>
        <w:tab/>
        <w:t>Limitations on Stock Ownership.</w:t>
      </w:r>
    </w:p>
    <w:p>
      <w:pPr>
        <w:spacing w:after="0" w:line="235" w:lineRule="exact"/>
        <w:rPr>
          <w:sz w:val="20"/>
          <w:szCs w:val="20"/>
          <w:color w:val="auto"/>
        </w:rPr>
      </w:pPr>
    </w:p>
    <w:p>
      <w:pPr>
        <w:ind w:left="820" w:right="180" w:hanging="4"/>
        <w:spacing w:after="0" w:line="283" w:lineRule="auto"/>
        <w:tabs>
          <w:tab w:leader="none" w:pos="1153"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Five Percent Limit</w:t>
      </w:r>
      <w:r>
        <w:rPr>
          <w:rFonts w:ascii="Arial" w:cs="Arial" w:eastAsia="Arial" w:hAnsi="Arial"/>
          <w:sz w:val="16"/>
          <w:szCs w:val="16"/>
          <w:color w:val="auto"/>
        </w:rPr>
        <w:t>. Any other provision of the Plan notwithstanding, no Participant shall be granted a right to purchase Stock under the Plan if such Participant, immediately after his or her election to purchase such Stock, would own stock possessing five percent (5%) or more of the total combined voting power or value of all classes of stock of the Company or any parent or Subsidiary of the Company. For purposes of this Subsection (a), the following rules shall apply:</w:t>
      </w:r>
    </w:p>
    <w:p>
      <w:pPr>
        <w:spacing w:after="0" w:line="185" w:lineRule="exact"/>
        <w:rPr>
          <w:rFonts w:ascii="Arial" w:cs="Arial" w:eastAsia="Arial" w:hAnsi="Arial"/>
          <w:sz w:val="16"/>
          <w:szCs w:val="16"/>
          <w:color w:val="auto"/>
        </w:rPr>
      </w:pPr>
    </w:p>
    <w:p>
      <w:pPr>
        <w:ind w:left="1260" w:hanging="282"/>
        <w:spacing w:after="0"/>
        <w:tabs>
          <w:tab w:leader="none" w:pos="12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Ownership of stock shall be determined after applying the attribution rules of section 424(d) of the Code;</w:t>
      </w:r>
    </w:p>
    <w:p>
      <w:pPr>
        <w:spacing w:after="0" w:line="234" w:lineRule="exact"/>
        <w:rPr>
          <w:rFonts w:ascii="Arial" w:cs="Arial" w:eastAsia="Arial" w:hAnsi="Arial"/>
          <w:sz w:val="16"/>
          <w:szCs w:val="16"/>
          <w:color w:val="auto"/>
        </w:rPr>
      </w:pPr>
    </w:p>
    <w:p>
      <w:pPr>
        <w:ind w:left="980" w:right="60" w:hanging="2"/>
        <w:spacing w:after="0" w:line="321" w:lineRule="auto"/>
        <w:tabs>
          <w:tab w:leader="none" w:pos="129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Each Participant shall be deemed to own any stock that he or she has a right or option to purchase under this or any other plan; and</w:t>
      </w:r>
    </w:p>
    <w:p>
      <w:pPr>
        <w:spacing w:after="0" w:line="142" w:lineRule="exact"/>
        <w:rPr>
          <w:rFonts w:ascii="Arial" w:cs="Arial" w:eastAsia="Arial" w:hAnsi="Arial"/>
          <w:sz w:val="16"/>
          <w:szCs w:val="16"/>
          <w:color w:val="auto"/>
        </w:rPr>
      </w:pPr>
    </w:p>
    <w:p>
      <w:pPr>
        <w:ind w:left="980" w:right="140" w:hanging="2"/>
        <w:spacing w:after="0" w:line="292" w:lineRule="auto"/>
        <w:tabs>
          <w:tab w:leader="none" w:pos="1331"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Each Participant shall be deemed to have the right to purchase up to the maximum number of shares of Stock that may be purchased by a Participant under the Plan under the individual limit specified pursuant to Section 8(c) with respect to each Offering Period.</w:t>
      </w:r>
    </w:p>
    <w:p>
      <w:pPr>
        <w:spacing w:after="0" w:line="165" w:lineRule="exact"/>
        <w:rPr>
          <w:rFonts w:ascii="Arial" w:cs="Arial" w:eastAsia="Arial" w:hAnsi="Arial"/>
          <w:sz w:val="16"/>
          <w:szCs w:val="16"/>
          <w:color w:val="auto"/>
        </w:rPr>
      </w:pPr>
    </w:p>
    <w:p>
      <w:pPr>
        <w:ind w:left="820" w:right="120" w:hanging="4"/>
        <w:spacing w:after="0" w:line="283" w:lineRule="auto"/>
        <w:tabs>
          <w:tab w:leader="none" w:pos="1153"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Dollar Limit</w:t>
      </w:r>
      <w:r>
        <w:rPr>
          <w:rFonts w:ascii="Arial" w:cs="Arial" w:eastAsia="Arial" w:hAnsi="Arial"/>
          <w:sz w:val="16"/>
          <w:szCs w:val="16"/>
          <w:color w:val="auto"/>
        </w:rPr>
        <w:t>. Any other provision of the Plan notwithstanding, no Participant shall accrue the right to purchase Stock at a rate which exceeds twenty-five thousand dollars ($25,000) of Fair Market Value of such Stock per calendar year (under the Plan and all other employee stock purchase plans of the Company or any parent or Subsidiary of the Company), determined in accordance with the provisions of Section 423(b)(8) of the Code and applicable Treasury Regulations promulgated thereunder.</w:t>
      </w:r>
    </w:p>
    <w:p>
      <w:pPr>
        <w:spacing w:after="0" w:line="172" w:lineRule="exact"/>
        <w:rPr>
          <w:sz w:val="20"/>
          <w:szCs w:val="20"/>
          <w:color w:val="auto"/>
        </w:rPr>
      </w:pPr>
    </w:p>
    <w:p>
      <w:pPr>
        <w:jc w:val="both"/>
        <w:ind w:left="660" w:right="140"/>
        <w:spacing w:after="0" w:line="321" w:lineRule="auto"/>
        <w:rPr>
          <w:sz w:val="20"/>
          <w:szCs w:val="20"/>
          <w:color w:val="auto"/>
        </w:rPr>
      </w:pPr>
      <w:r>
        <w:rPr>
          <w:rFonts w:ascii="Arial" w:cs="Arial" w:eastAsia="Arial" w:hAnsi="Arial"/>
          <w:sz w:val="16"/>
          <w:szCs w:val="16"/>
          <w:color w:val="auto"/>
        </w:rPr>
        <w:t>For purposes of this Subsection (b), the Fair Market Value of Stock shall be determined as of the beginning of the Offering Period in which such Stock is purchased. Employee stock purchase plans not described in Section 423 of the Code shall be disregarded.</w:t>
      </w:r>
    </w:p>
    <w:p>
      <w:pPr>
        <w:sectPr>
          <w:pgSz w:w="11900" w:h="16838" w:orient="portrait"/>
          <w:cols w:equalWidth="0" w:num="1">
            <w:col w:w="10080"/>
          </w:cols>
          <w:pgMar w:left="580" w:top="97" w:right="1239" w:bottom="1440" w:gutter="0" w:footer="0" w:header="0"/>
        </w:sectPr>
      </w:pPr>
    </w:p>
    <w:p>
      <w:pPr>
        <w:spacing w:after="0" w:line="341"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A-25</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360"/>
        <w:spacing w:after="0" w:line="301" w:lineRule="auto"/>
        <w:rPr>
          <w:sz w:val="20"/>
          <w:szCs w:val="20"/>
          <w:color w:val="auto"/>
        </w:rPr>
      </w:pPr>
      <w:r>
        <w:rPr>
          <w:rFonts w:ascii="Arial" w:cs="Arial" w:eastAsia="Arial" w:hAnsi="Arial"/>
          <w:sz w:val="16"/>
          <w:szCs w:val="16"/>
          <w:color w:val="auto"/>
        </w:rPr>
        <w:t>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spacing w:after="0" w:line="17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10</w:t>
        <w:tab/>
        <w:t>Rights Not Transferable.</w:t>
      </w:r>
    </w:p>
    <w:p>
      <w:pPr>
        <w:spacing w:after="0" w:line="248"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w:t>
      </w:r>
    </w:p>
    <w:p>
      <w:pPr>
        <w:spacing w:after="0" w:line="18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6"/>
          <w:szCs w:val="16"/>
          <w:u w:val="single" w:color="auto"/>
          <w:color w:val="auto"/>
        </w:rPr>
        <w:t>SECTION 11</w:t>
        <w:tab/>
        <w:t>No Rights as An Employee.</w:t>
      </w:r>
    </w:p>
    <w:p>
      <w:pPr>
        <w:spacing w:after="0" w:line="248" w:lineRule="exact"/>
        <w:rPr>
          <w:sz w:val="20"/>
          <w:szCs w:val="20"/>
          <w:color w:val="auto"/>
        </w:rPr>
      </w:pPr>
    </w:p>
    <w:p>
      <w:pPr>
        <w:ind w:left="660" w:right="160"/>
        <w:spacing w:after="0" w:line="295" w:lineRule="auto"/>
        <w:rPr>
          <w:sz w:val="20"/>
          <w:szCs w:val="20"/>
          <w:color w:val="auto"/>
        </w:rPr>
      </w:pPr>
      <w:r>
        <w:rPr>
          <w:rFonts w:ascii="Arial" w:cs="Arial" w:eastAsia="Arial" w:hAnsi="Arial"/>
          <w:sz w:val="16"/>
          <w:szCs w:val="16"/>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12</w:t>
        <w:tab/>
        <w:t>No Rights as A Stockholder.</w:t>
      </w:r>
    </w:p>
    <w:p>
      <w:pPr>
        <w:spacing w:after="0" w:line="248" w:lineRule="exact"/>
        <w:rPr>
          <w:sz w:val="20"/>
          <w:szCs w:val="20"/>
          <w:color w:val="auto"/>
        </w:rPr>
      </w:pPr>
    </w:p>
    <w:p>
      <w:pPr>
        <w:ind w:left="660" w:right="120"/>
        <w:spacing w:after="0" w:line="321" w:lineRule="auto"/>
        <w:rPr>
          <w:sz w:val="20"/>
          <w:szCs w:val="20"/>
          <w:color w:val="auto"/>
        </w:rPr>
      </w:pPr>
      <w:r>
        <w:rPr>
          <w:rFonts w:ascii="Arial" w:cs="Arial" w:eastAsia="Arial" w:hAnsi="Arial"/>
          <w:sz w:val="16"/>
          <w:szCs w:val="16"/>
          <w:color w:val="auto"/>
        </w:rPr>
        <w:t>A Participant shall have no rights as a stockholder with respect to any shares of Stock that he or she may have a right to purchase under the Plan until such shares have been purchased on the applicable Purchase Date.</w:t>
      </w:r>
    </w:p>
    <w:p>
      <w:pPr>
        <w:spacing w:after="0" w:line="15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13</w:t>
        <w:tab/>
        <w:t>Securities Law Requirements.</w:t>
      </w:r>
    </w:p>
    <w:p>
      <w:pPr>
        <w:spacing w:after="0" w:line="248" w:lineRule="exact"/>
        <w:rPr>
          <w:sz w:val="20"/>
          <w:szCs w:val="20"/>
          <w:color w:val="auto"/>
        </w:rPr>
      </w:pPr>
    </w:p>
    <w:p>
      <w:pPr>
        <w:ind w:left="660" w:right="320"/>
        <w:spacing w:after="0" w:line="295" w:lineRule="auto"/>
        <w:rPr>
          <w:sz w:val="20"/>
          <w:szCs w:val="20"/>
          <w:color w:val="auto"/>
        </w:rPr>
      </w:pPr>
      <w:r>
        <w:rPr>
          <w:rFonts w:ascii="Arial" w:cs="Arial" w:eastAsia="Arial" w:hAnsi="Arial"/>
          <w:sz w:val="16"/>
          <w:szCs w:val="16"/>
          <w:color w:val="auto"/>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1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14</w:t>
        <w:tab/>
        <w:t>Stock Offered Under the Plan.</w:t>
      </w:r>
    </w:p>
    <w:p>
      <w:pPr>
        <w:spacing w:after="0" w:line="248" w:lineRule="exact"/>
        <w:rPr>
          <w:sz w:val="20"/>
          <w:szCs w:val="20"/>
          <w:color w:val="auto"/>
        </w:rPr>
      </w:pPr>
    </w:p>
    <w:p>
      <w:pPr>
        <w:ind w:left="820" w:right="160" w:hanging="4"/>
        <w:spacing w:after="0" w:line="291" w:lineRule="auto"/>
        <w:tabs>
          <w:tab w:leader="none" w:pos="1153"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Authorized Shares</w:t>
      </w:r>
      <w:r>
        <w:rPr>
          <w:rFonts w:ascii="Arial" w:cs="Arial" w:eastAsia="Arial" w:hAnsi="Arial"/>
          <w:sz w:val="16"/>
          <w:szCs w:val="16"/>
          <w:color w:val="auto"/>
        </w:rPr>
        <w:t>. Unless otherwise determined by the Committee, the maximum aggregate number of Shares available for purchase under the Plan during any calendar year is two and a half million (2,500,000) Shares; provided, however, that the maximum aggregate number of Shares available for purchase under the Plan shall not exceed the limit set forth in Section 5 of the 2021 SIP. The aggregate number of shares available for purchase under the Plan shall at all times be subject to adjustment pursuant to Section 14(b).</w:t>
      </w:r>
    </w:p>
    <w:p>
      <w:pPr>
        <w:spacing w:after="0" w:line="180" w:lineRule="exact"/>
        <w:rPr>
          <w:rFonts w:ascii="Arial" w:cs="Arial" w:eastAsia="Arial" w:hAnsi="Arial"/>
          <w:sz w:val="16"/>
          <w:szCs w:val="16"/>
          <w:color w:val="auto"/>
        </w:rPr>
      </w:pPr>
    </w:p>
    <w:p>
      <w:pPr>
        <w:ind w:left="820" w:right="60" w:hanging="4"/>
        <w:spacing w:after="0" w:line="287" w:lineRule="auto"/>
        <w:tabs>
          <w:tab w:leader="none" w:pos="1153"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Antidilution Adjustments</w:t>
      </w:r>
      <w:r>
        <w:rPr>
          <w:rFonts w:ascii="Arial" w:cs="Arial" w:eastAsia="Arial" w:hAnsi="Arial"/>
          <w:sz w:val="16"/>
          <w:szCs w:val="16"/>
          <w:color w:val="auto"/>
        </w:rPr>
        <w:t>. The aggregate number of shares of Stock offered under the Plan, the individual and aggregate Participant share limitations described in Section 8(c) and the price of shares that any Participant has elected to purchase shall be adjusted proportionately by the Committee in the event of any change in the number of issued shares of Stock (or issuance of shares other than Common Shares) by reason of any forward or reverse share split, subdivision or consolidation, or share dividend or bonus issue, recapitalization, reclassification, merger, amalgamation, consolidation, split-up,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p>
    <w:p>
      <w:pPr>
        <w:spacing w:after="0" w:line="183" w:lineRule="exact"/>
        <w:rPr>
          <w:rFonts w:ascii="Arial" w:cs="Arial" w:eastAsia="Arial" w:hAnsi="Arial"/>
          <w:sz w:val="16"/>
          <w:szCs w:val="16"/>
          <w:color w:val="auto"/>
        </w:rPr>
      </w:pPr>
    </w:p>
    <w:p>
      <w:pPr>
        <w:ind w:left="820" w:right="120" w:hanging="4"/>
        <w:spacing w:after="0" w:line="288" w:lineRule="auto"/>
        <w:tabs>
          <w:tab w:leader="none" w:pos="1144"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Reorganizations.</w:t>
      </w:r>
      <w:r>
        <w:rPr>
          <w:rFonts w:ascii="Arial" w:cs="Arial" w:eastAsia="Arial" w:hAnsi="Arial"/>
          <w:sz w:val="16"/>
          <w:szCs w:val="16"/>
          <w:color w:val="auto"/>
        </w:rPr>
        <w:t xml:space="preserve"> Any other provision of the Plan notwithstanding, in the event of a Corporate Reorganization in which the Plan is not assumed by the surviving corporation or its parent corporation pursuant to the applicable plan of merger or consolidation, the Offering Period then in progress shall terminate immediately prior to the effective time of such Corporate Reorganization and either shares shall be purchased pursuant to Section 8 or, if so determined by the Board or Committee, all amounts in all Participant Accounts shall be refunded pursuant to Section 15 without any purchase of shares. The Plan shall in no event be construed to restrict in any way the Company’s right to undertake a dissolution, liquidation, merger, consolidation or other reorganization.</w:t>
      </w:r>
    </w:p>
    <w:p>
      <w:pPr>
        <w:spacing w:after="0" w:line="368"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A​-26</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15</w:t>
        <w:tab/>
        <w:t>Amendment or Discontinuance.</w:t>
      </w:r>
    </w:p>
    <w:p>
      <w:pPr>
        <w:spacing w:after="0" w:line="248"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The Board or Committee shall have the right to amend, suspend or terminate the Plan at any time and without notice. Upon any such amendment, suspension or termination of the Plan during an Offering Period, the Board or Committee may in its discretion determine that the applicable Offering shall immediately terminate and that all amounts in the Participant Accounts shall be carried forward into a payroll deduction account for each Participant under a successor plan, if any, or promptly refunded to each Participant. Except as provided in Section 14, any increase in the aggregate number of shares of Stock to be issued under the Plan shall be subject to approval by a vote of the stockholders of the Company. In addition, any other amendment of the Plan shall be subject to approval by a vote of the stockholders of the Company to the extent required by an applicable law or regulation. The Plan shall continue until the earlier to occur of  (a) termination of the Plan pursuant to this Section 15 or (b) issuance of all of the shares of Stock reserved for issuance under the Plan.</w:t>
      </w:r>
    </w:p>
    <w:p>
      <w:pPr>
        <w:spacing w:after="0" w:line="18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6"/>
          <w:szCs w:val="16"/>
          <w:u w:val="single" w:color="auto"/>
          <w:color w:val="auto"/>
        </w:rPr>
        <w:t>SECTION 16</w:t>
        <w:tab/>
        <w:t>Execution.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record the adoption of the Plan by the Board, the Company has caused its authorized officer to execute the same.</w:t>
      </w:r>
    </w:p>
    <w:p>
      <w:pPr>
        <w:spacing w:after="0" w:line="24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LUCID GROUP, INC.</w:t>
      </w:r>
    </w:p>
    <w:p>
      <w:pPr>
        <w:spacing w:after="0" w:line="248"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Jonathan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29210</wp:posOffset>
            </wp:positionV>
            <wp:extent cx="253746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93"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Name:  Jonathan Butler</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Title:     General Counsel and Secretary</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Date:    August 3, 2021</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tabs>
          <w:tab w:leader="none" w:pos="5220" w:val="left"/>
          <w:tab w:leader="none" w:pos="974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A-27</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Annex B​</w:t>
      </w:r>
    </w:p>
    <w:p>
      <w:pPr>
        <w:spacing w:after="0" w:line="248"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0081C9"/>
        </w:rPr>
        <w:t xml:space="preserve">THIRD </w:t>
      </w:r>
      <w:r>
        <w:rPr>
          <w:rFonts w:ascii="Arial" w:cs="Arial" w:eastAsia="Arial" w:hAnsi="Arial"/>
          <w:sz w:val="16"/>
          <w:szCs w:val="16"/>
          <w:b w:val="1"/>
          <w:bCs w:val="1"/>
          <w:color w:val="EB0028"/>
          <w:strike w:val="1"/>
        </w:rPr>
        <w:t>SECOND</w:t>
      </w:r>
      <w:r>
        <w:rPr>
          <w:rFonts w:ascii="Arial" w:cs="Arial" w:eastAsia="Arial" w:hAnsi="Arial"/>
          <w:sz w:val="16"/>
          <w:szCs w:val="16"/>
          <w:b w:val="1"/>
          <w:bCs w:val="1"/>
          <w:color w:val="0081C9"/>
        </w:rPr>
        <w:t xml:space="preserve"> </w:t>
      </w:r>
      <w:r>
        <w:rPr>
          <w:rFonts w:ascii="Arial" w:cs="Arial" w:eastAsia="Arial" w:hAnsi="Arial"/>
          <w:sz w:val="16"/>
          <w:szCs w:val="16"/>
          <w:b w:val="1"/>
          <w:bCs w:val="1"/>
          <w:color w:val="000000"/>
        </w:rPr>
        <w:t>AMENDED AND RESTATED</w:t>
      </w:r>
    </w:p>
    <w:p>
      <w:pPr>
        <w:spacing w:after="0" w:line="39"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CERTIFICATE OF INCORPORATION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-111125</wp:posOffset>
            </wp:positionV>
            <wp:extent cx="3086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21"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0081C9"/>
        </w:rPr>
        <w:t>LUCID GROUP, INC.</w:t>
      </w:r>
    </w:p>
    <w:p>
      <w:pPr>
        <w:spacing w:after="0" w:line="39"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EB0028"/>
        </w:rPr>
        <w:t>CHURCHILL CAPITAL CORP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-111125</wp:posOffset>
            </wp:positionV>
            <wp:extent cx="9683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2639695</wp:posOffset>
            </wp:positionH>
            <wp:positionV relativeFrom="paragraph">
              <wp:posOffset>-51435</wp:posOffset>
            </wp:positionV>
            <wp:extent cx="15182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2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 * * * *</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81C9"/>
        </w:rPr>
        <w:t>Lucid Group, Inc., a Delaware corporation, hereby certifies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29210</wp:posOffset>
            </wp:positionV>
            <wp:extent cx="34201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28" w:lineRule="exact"/>
        <w:rPr>
          <w:sz w:val="20"/>
          <w:szCs w:val="20"/>
          <w:color w:val="auto"/>
        </w:rPr>
      </w:pPr>
    </w:p>
    <w:p>
      <w:pPr>
        <w:jc w:val="both"/>
        <w:ind w:left="1020" w:right="220" w:hanging="366"/>
        <w:spacing w:after="0" w:line="284" w:lineRule="auto"/>
        <w:tabs>
          <w:tab w:leader="none" w:pos="1020" w:val="left"/>
        </w:tabs>
        <w:numPr>
          <w:ilvl w:val="0"/>
          <w:numId w:val="108"/>
        </w:numPr>
        <w:rPr>
          <w:rFonts w:ascii="Arial" w:cs="Arial" w:eastAsia="Arial" w:hAnsi="Arial"/>
          <w:sz w:val="16"/>
          <w:szCs w:val="16"/>
          <w:b w:val="1"/>
          <w:bCs w:val="1"/>
          <w:color w:val="0081C9"/>
        </w:rPr>
      </w:pPr>
      <w:r>
        <w:rPr>
          <w:rFonts w:ascii="Arial" w:cs="Arial" w:eastAsia="Arial" w:hAnsi="Arial"/>
          <w:sz w:val="16"/>
          <w:szCs w:val="16"/>
          <w:color w:val="auto"/>
        </w:rPr>
        <w:t xml:space="preserve">The </w:t>
      </w:r>
      <w:r>
        <w:rPr>
          <w:rFonts w:ascii="Arial" w:cs="Arial" w:eastAsia="Arial" w:hAnsi="Arial"/>
          <w:sz w:val="16"/>
          <w:szCs w:val="16"/>
          <w:b w:val="1"/>
          <w:bCs w:val="1"/>
          <w:color w:val="EB0028"/>
          <w:strike w:val="1"/>
        </w:rPr>
        <w:t>present</w:t>
      </w:r>
      <w:r>
        <w:rPr>
          <w:rFonts w:ascii="Arial" w:cs="Arial" w:eastAsia="Arial" w:hAnsi="Arial"/>
          <w:sz w:val="16"/>
          <w:szCs w:val="16"/>
          <w:color w:val="auto"/>
        </w:rPr>
        <w:t xml:space="preserve"> name of the corporation is </w:t>
      </w:r>
      <w:r>
        <w:rPr>
          <w:rFonts w:ascii="Arial" w:cs="Arial" w:eastAsia="Arial" w:hAnsi="Arial"/>
          <w:sz w:val="16"/>
          <w:szCs w:val="16"/>
          <w:b w:val="1"/>
          <w:bCs w:val="1"/>
          <w:color w:val="EB0028"/>
          <w:strike w:val="1"/>
        </w:rPr>
        <w:t>Churchill Capital Corp IV</w:t>
      </w:r>
      <w:r>
        <w:rPr>
          <w:rFonts w:ascii="Arial" w:cs="Arial" w:eastAsia="Arial" w:hAnsi="Arial"/>
          <w:sz w:val="16"/>
          <w:szCs w:val="16"/>
          <w:color w:val="auto"/>
        </w:rPr>
        <w:t xml:space="preserve"> </w:t>
      </w:r>
      <w:r>
        <w:rPr>
          <w:rFonts w:ascii="Arial" w:cs="Arial" w:eastAsia="Arial" w:hAnsi="Arial"/>
          <w:sz w:val="16"/>
          <w:szCs w:val="16"/>
          <w:b w:val="1"/>
          <w:bCs w:val="1"/>
          <w:color w:val="0081C9"/>
        </w:rPr>
        <w:t>Lucid Group, Inc.</w:t>
      </w:r>
      <w:r>
        <w:rPr>
          <w:rFonts w:ascii="Arial" w:cs="Arial" w:eastAsia="Arial" w:hAnsi="Arial"/>
          <w:sz w:val="16"/>
          <w:szCs w:val="16"/>
          <w:color w:val="auto"/>
        </w:rPr>
        <w:t xml:space="preserve"> (the “</w:t>
      </w:r>
      <w:r>
        <w:rPr>
          <w:rFonts w:ascii="Arial" w:cs="Arial" w:eastAsia="Arial" w:hAnsi="Arial"/>
          <w:sz w:val="16"/>
          <w:szCs w:val="16"/>
          <w:b w:val="1"/>
          <w:bCs w:val="1"/>
          <w:color w:val="auto"/>
        </w:rPr>
        <w:t>Corporation</w:t>
      </w:r>
      <w:r>
        <w:rPr>
          <w:rFonts w:ascii="Arial" w:cs="Arial" w:eastAsia="Arial" w:hAnsi="Arial"/>
          <w:sz w:val="16"/>
          <w:szCs w:val="16"/>
          <w:color w:val="auto"/>
        </w:rPr>
        <w:t xml:space="preserve">”). The Corporation was originally incorporated in Delaware under the name “Annetta Acquisition Corp” by the filing of the Corporation’s original Certificate of Incorporation with the Secretary of State of the State of Delaware on April 30, 2020. </w:t>
      </w:r>
      <w:r>
        <w:rPr>
          <w:rFonts w:ascii="Arial" w:cs="Arial" w:eastAsia="Arial" w:hAnsi="Arial"/>
          <w:sz w:val="16"/>
          <w:szCs w:val="16"/>
          <w:b w:val="1"/>
          <w:bCs w:val="1"/>
          <w:color w:val="EB0028"/>
          <w:strike w:val="1"/>
        </w:rPr>
        <w:t>The Certificate of</w:t>
      </w:r>
    </w:p>
    <w:p>
      <w:pPr>
        <w:spacing w:after="0" w:line="1" w:lineRule="exact"/>
        <w:rPr>
          <w:rFonts w:ascii="Arial" w:cs="Arial" w:eastAsia="Arial" w:hAnsi="Arial"/>
          <w:sz w:val="16"/>
          <w:szCs w:val="16"/>
          <w:b w:val="1"/>
          <w:bCs w:val="1"/>
          <w:color w:val="0081C9"/>
        </w:rPr>
      </w:pPr>
    </w:p>
    <w:p>
      <w:pPr>
        <w:ind w:left="1020"/>
        <w:spacing w:after="0"/>
        <w:rPr>
          <w:rFonts w:ascii="Arial" w:cs="Arial" w:eastAsia="Arial" w:hAnsi="Arial"/>
          <w:sz w:val="16"/>
          <w:szCs w:val="16"/>
          <w:b w:val="1"/>
          <w:bCs w:val="1"/>
          <w:color w:val="0081C9"/>
        </w:rPr>
      </w:pPr>
      <w:r>
        <w:rPr>
          <w:rFonts w:ascii="Arial" w:cs="Arial" w:eastAsia="Arial" w:hAnsi="Arial"/>
          <w:sz w:val="16"/>
          <w:szCs w:val="16"/>
          <w:b w:val="1"/>
          <w:bCs w:val="1"/>
          <w:color w:val="EB0028"/>
          <w:strike w:val="1"/>
        </w:rPr>
        <w:t>Incorporation has previously been amended and restated on July 30, 2020.</w:t>
      </w:r>
    </w:p>
    <w:p>
      <w:pPr>
        <w:spacing w:after="0" w:line="241" w:lineRule="exact"/>
        <w:rPr>
          <w:rFonts w:ascii="Arial" w:cs="Arial" w:eastAsia="Arial" w:hAnsi="Arial"/>
          <w:sz w:val="16"/>
          <w:szCs w:val="16"/>
          <w:b w:val="1"/>
          <w:bCs w:val="1"/>
          <w:color w:val="0081C9"/>
        </w:rPr>
      </w:pPr>
    </w:p>
    <w:p>
      <w:pPr>
        <w:ind w:left="1020" w:right="140" w:hanging="366"/>
        <w:spacing w:after="0" w:line="291" w:lineRule="auto"/>
        <w:tabs>
          <w:tab w:leader="none" w:pos="1020" w:val="left"/>
        </w:tabs>
        <w:numPr>
          <w:ilvl w:val="0"/>
          <w:numId w:val="108"/>
        </w:numPr>
        <w:rPr>
          <w:rFonts w:ascii="Arial" w:cs="Arial" w:eastAsia="Arial" w:hAnsi="Arial"/>
          <w:sz w:val="16"/>
          <w:szCs w:val="16"/>
          <w:b w:val="1"/>
          <w:bCs w:val="1"/>
          <w:color w:val="0081C9"/>
        </w:rPr>
      </w:pPr>
      <w:r>
        <w:rPr>
          <w:rFonts w:ascii="Arial" w:cs="Arial" w:eastAsia="Arial" w:hAnsi="Arial"/>
          <w:sz w:val="16"/>
          <w:szCs w:val="16"/>
          <w:color w:val="auto"/>
        </w:rPr>
        <w:t xml:space="preserve">This </w:t>
      </w:r>
      <w:r>
        <w:rPr>
          <w:rFonts w:ascii="Arial" w:cs="Arial" w:eastAsia="Arial" w:hAnsi="Arial"/>
          <w:sz w:val="16"/>
          <w:szCs w:val="16"/>
          <w:b w:val="1"/>
          <w:bCs w:val="1"/>
          <w:color w:val="EB0028"/>
          <w:strike w:val="1"/>
        </w:rPr>
        <w:t>Second</w:t>
      </w:r>
      <w:r>
        <w:rPr>
          <w:rFonts w:ascii="Arial" w:cs="Arial" w:eastAsia="Arial" w:hAnsi="Arial"/>
          <w:sz w:val="16"/>
          <w:szCs w:val="16"/>
          <w:color w:val="auto"/>
        </w:rPr>
        <w:t xml:space="preserve"> </w:t>
      </w:r>
      <w:r>
        <w:rPr>
          <w:rFonts w:ascii="Arial" w:cs="Arial" w:eastAsia="Arial" w:hAnsi="Arial"/>
          <w:sz w:val="16"/>
          <w:szCs w:val="16"/>
          <w:b w:val="1"/>
          <w:bCs w:val="1"/>
          <w:color w:val="0081C9"/>
        </w:rPr>
        <w:t>Third</w:t>
      </w:r>
      <w:r>
        <w:rPr>
          <w:rFonts w:ascii="Arial" w:cs="Arial" w:eastAsia="Arial" w:hAnsi="Arial"/>
          <w:sz w:val="16"/>
          <w:szCs w:val="16"/>
          <w:color w:val="auto"/>
        </w:rPr>
        <w:t xml:space="preserve"> Amended and Restated Certificate of Incorporation of the Corporation (the “</w:t>
      </w:r>
      <w:r>
        <w:rPr>
          <w:rFonts w:ascii="Arial" w:cs="Arial" w:eastAsia="Arial" w:hAnsi="Arial"/>
          <w:sz w:val="16"/>
          <w:szCs w:val="16"/>
          <w:b w:val="1"/>
          <w:bCs w:val="1"/>
          <w:color w:val="auto"/>
        </w:rPr>
        <w:t>Certificate of</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Incorporation</w:t>
      </w:r>
      <w:r>
        <w:rPr>
          <w:rFonts w:ascii="Arial" w:cs="Arial" w:eastAsia="Arial" w:hAnsi="Arial"/>
          <w:sz w:val="16"/>
          <w:szCs w:val="16"/>
          <w:color w:val="auto"/>
        </w:rPr>
        <w:t>”), which restates and integrates and also further amends the provisions of the Corporation’s</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81C9"/>
        </w:rPr>
        <w:t>Second</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81C9"/>
        </w:rPr>
        <w:t xml:space="preserve">Amended and Restated </w:t>
      </w:r>
      <w:r>
        <w:rPr>
          <w:rFonts w:ascii="Arial" w:cs="Arial" w:eastAsia="Arial" w:hAnsi="Arial"/>
          <w:sz w:val="16"/>
          <w:szCs w:val="16"/>
          <w:color w:val="000000"/>
        </w:rPr>
        <w:t>Certificate of Incorporation,</w:t>
      </w:r>
      <w:r>
        <w:rPr>
          <w:rFonts w:ascii="Arial" w:cs="Arial" w:eastAsia="Arial" w:hAnsi="Arial"/>
          <w:sz w:val="16"/>
          <w:szCs w:val="16"/>
          <w:b w:val="1"/>
          <w:bCs w:val="1"/>
          <w:color w:val="0081C9"/>
        </w:rPr>
        <w:t xml:space="preserve"> </w:t>
      </w:r>
      <w:r>
        <w:rPr>
          <w:rFonts w:ascii="Arial" w:cs="Arial" w:eastAsia="Arial" w:hAnsi="Arial"/>
          <w:sz w:val="16"/>
          <w:szCs w:val="16"/>
          <w:b w:val="1"/>
          <w:bCs w:val="1"/>
          <w:color w:val="EB0028"/>
          <w:strike w:val="1"/>
        </w:rPr>
        <w:t>as amended and restated,</w:t>
      </w:r>
      <w:r>
        <w:rPr>
          <w:rFonts w:ascii="Arial" w:cs="Arial" w:eastAsia="Arial" w:hAnsi="Arial"/>
          <w:sz w:val="16"/>
          <w:szCs w:val="16"/>
          <w:b w:val="1"/>
          <w:bCs w:val="1"/>
          <w:color w:val="0081C9"/>
        </w:rPr>
        <w:t xml:space="preserve"> </w:t>
      </w:r>
      <w:r>
        <w:rPr>
          <w:rFonts w:ascii="Arial" w:cs="Arial" w:eastAsia="Arial" w:hAnsi="Arial"/>
          <w:sz w:val="16"/>
          <w:szCs w:val="16"/>
          <w:color w:val="000000"/>
        </w:rPr>
        <w:t>was duly adopted</w:t>
      </w:r>
      <w:r>
        <w:rPr>
          <w:rFonts w:ascii="Arial" w:cs="Arial" w:eastAsia="Arial" w:hAnsi="Arial"/>
          <w:sz w:val="16"/>
          <w:szCs w:val="16"/>
          <w:b w:val="1"/>
          <w:bCs w:val="1"/>
          <w:color w:val="0081C9"/>
        </w:rPr>
        <w:t xml:space="preserve"> by the Corporation’s Board of Directors (the “Board of Directors”) and by the stockholders </w:t>
      </w:r>
      <w:r>
        <w:rPr>
          <w:rFonts w:ascii="Arial" w:cs="Arial" w:eastAsia="Arial" w:hAnsi="Arial"/>
          <w:sz w:val="16"/>
          <w:szCs w:val="16"/>
          <w:color w:val="000000"/>
        </w:rPr>
        <w:t>in accordance with the provisions of Sections 242</w:t>
      </w:r>
      <w:r>
        <w:rPr>
          <w:rFonts w:ascii="Arial" w:cs="Arial" w:eastAsia="Arial" w:hAnsi="Arial"/>
          <w:sz w:val="16"/>
          <w:szCs w:val="16"/>
          <w:b w:val="1"/>
          <w:bCs w:val="1"/>
          <w:color w:val="0081C9"/>
        </w:rPr>
        <w:t xml:space="preserve"> </w:t>
      </w:r>
      <w:r>
        <w:rPr>
          <w:rFonts w:ascii="Arial" w:cs="Arial" w:eastAsia="Arial" w:hAnsi="Arial"/>
          <w:sz w:val="16"/>
          <w:szCs w:val="16"/>
          <w:color w:val="000000"/>
        </w:rPr>
        <w:t xml:space="preserve">and 245 of the General Corporation Law of the State of Delaware </w:t>
      </w:r>
      <w:r>
        <w:rPr>
          <w:rFonts w:ascii="Arial" w:cs="Arial" w:eastAsia="Arial" w:hAnsi="Arial"/>
          <w:sz w:val="16"/>
          <w:szCs w:val="16"/>
          <w:b w:val="1"/>
          <w:bCs w:val="1"/>
          <w:color w:val="EB0028"/>
        </w:rPr>
        <w:t>and by the written consent of its stockholders in</w:t>
      </w:r>
      <w:r>
        <w:rPr>
          <w:rFonts w:ascii="Arial" w:cs="Arial" w:eastAsia="Arial" w:hAnsi="Arial"/>
          <w:sz w:val="16"/>
          <w:szCs w:val="16"/>
          <w:color w:val="000000"/>
        </w:rPr>
        <w:t xml:space="preserve"> </w:t>
      </w:r>
      <w:r>
        <w:rPr>
          <w:rFonts w:ascii="Arial" w:cs="Arial" w:eastAsia="Arial" w:hAnsi="Arial"/>
          <w:sz w:val="16"/>
          <w:szCs w:val="16"/>
          <w:b w:val="1"/>
          <w:bCs w:val="1"/>
          <w:color w:val="EB0028"/>
          <w:strike w:val="1"/>
        </w:rPr>
        <w:t>accordance with Section 228 of the General Corporation Law of the State of Delaware</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-1388745</wp:posOffset>
            </wp:positionV>
            <wp:extent cx="857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-702945</wp:posOffset>
            </wp:positionV>
            <wp:extent cx="857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-1388745</wp:posOffset>
            </wp:positionV>
            <wp:extent cx="8489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1263015</wp:posOffset>
            </wp:positionH>
            <wp:positionV relativeFrom="paragraph">
              <wp:posOffset>-702945</wp:posOffset>
            </wp:positionV>
            <wp:extent cx="2571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-565785</wp:posOffset>
            </wp:positionV>
            <wp:extent cx="3683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-428625</wp:posOffset>
            </wp:positionV>
            <wp:extent cx="11398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5197475</wp:posOffset>
            </wp:positionH>
            <wp:positionV relativeFrom="paragraph">
              <wp:posOffset>-428625</wp:posOffset>
            </wp:positionV>
            <wp:extent cx="10026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-291465</wp:posOffset>
            </wp:positionV>
            <wp:extent cx="34029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0296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-231775</wp:posOffset>
            </wp:positionV>
            <wp:extent cx="239458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394585" cy="8255"/>
                    </a:xfrm>
                    <a:prstGeom prst="rect">
                      <a:avLst/>
                    </a:prstGeom>
                    <a:noFill/>
                  </pic:spPr>
                </pic:pic>
              </a:graphicData>
            </a:graphic>
          </wp:anchor>
        </w:drawing>
      </w:r>
    </w:p>
    <w:p>
      <w:pPr>
        <w:spacing w:after="0" w:line="154" w:lineRule="exact"/>
        <w:rPr>
          <w:sz w:val="20"/>
          <w:szCs w:val="20"/>
          <w:color w:val="auto"/>
        </w:rPr>
      </w:pPr>
    </w:p>
    <w:p>
      <w:pPr>
        <w:ind w:left="660" w:right="100"/>
        <w:spacing w:after="0" w:line="288" w:lineRule="auto"/>
        <w:rPr>
          <w:sz w:val="20"/>
          <w:szCs w:val="20"/>
          <w:color w:val="auto"/>
        </w:rPr>
      </w:pPr>
      <w:r>
        <w:rPr>
          <w:rFonts w:ascii="Arial" w:cs="Arial" w:eastAsia="Arial" w:hAnsi="Arial"/>
          <w:sz w:val="16"/>
          <w:szCs w:val="16"/>
          <w:b w:val="1"/>
          <w:bCs w:val="1"/>
          <w:color w:val="EB0028"/>
          <w:strike w:val="1"/>
        </w:rPr>
        <w:t>The Certificate of Incorporation is being amended and restated in connection with the transactions contemplated by that certain Agreement and Plan of Merger, dated as of February 22 2021, by and among the Corporation, Air Merger Sub, Inc., and Atieva, Inc. (as amended, modified, supplemented or waived from time to time, the “Merger Agreement”). As part of the transactions contemplated by the Merger Agreement, all 51,750,000 shares of the Class B Common Stock of the Corporation were converted on a 1-for-1 basis into 51,750,000 shares of Class A Common Stock of the Corporation such that, at the effectiveness of this Certificate of Incorporation, only Class A Common Stock remains outstanding. All Class A Common Stock issued and outstanding prior to the effectiveness of this Certificate of Incorporation and all Class A Common Stock issued as part of the Merger Agreement and the Subscription Agreements contemplated by the Merger Agreement shall be Common Stock for all purposes of this Certificate of Incorporation.</w:t>
      </w:r>
    </w:p>
    <w:p>
      <w:pPr>
        <w:spacing w:after="0" w:line="173" w:lineRule="exact"/>
        <w:rPr>
          <w:sz w:val="20"/>
          <w:szCs w:val="20"/>
          <w:color w:val="auto"/>
        </w:rPr>
      </w:pPr>
    </w:p>
    <w:p>
      <w:pPr>
        <w:ind w:left="1020" w:hanging="366"/>
        <w:spacing w:after="0"/>
        <w:tabs>
          <w:tab w:leader="none" w:pos="1020" w:val="left"/>
        </w:tabs>
        <w:numPr>
          <w:ilvl w:val="0"/>
          <w:numId w:val="109"/>
        </w:numPr>
        <w:rPr>
          <w:rFonts w:ascii="Arial" w:cs="Arial" w:eastAsia="Arial" w:hAnsi="Arial"/>
          <w:sz w:val="16"/>
          <w:szCs w:val="16"/>
          <w:b w:val="1"/>
          <w:bCs w:val="1"/>
          <w:color w:val="0081C9"/>
        </w:rPr>
      </w:pPr>
      <w:r>
        <w:rPr>
          <w:rFonts w:ascii="Arial" w:cs="Arial" w:eastAsia="Arial" w:hAnsi="Arial"/>
          <w:sz w:val="16"/>
          <w:szCs w:val="16"/>
          <w:color w:val="auto"/>
        </w:rPr>
        <w:t>The text of the Certificate of Incorporation as amended and restated shall read in full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29210</wp:posOffset>
            </wp:positionV>
            <wp:extent cx="85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8" w:lineRule="exact"/>
        <w:rPr>
          <w:sz w:val="20"/>
          <w:szCs w:val="20"/>
          <w:color w:val="auto"/>
        </w:rPr>
      </w:pPr>
    </w:p>
    <w:p>
      <w:pPr>
        <w:jc w:val="center"/>
        <w:ind w:right="-599"/>
        <w:spacing w:after="0"/>
        <w:rPr>
          <w:sz w:val="20"/>
          <w:szCs w:val="20"/>
          <w:color w:val="auto"/>
        </w:rPr>
      </w:pPr>
      <w:r>
        <w:rPr>
          <w:rFonts w:ascii="Arial" w:cs="Arial" w:eastAsia="Arial" w:hAnsi="Arial"/>
          <w:sz w:val="16"/>
          <w:szCs w:val="16"/>
          <w:color w:val="auto"/>
        </w:rPr>
        <w:t>ARTICLE I.</w:t>
      </w:r>
    </w:p>
    <w:p>
      <w:pPr>
        <w:spacing w:after="0" w:line="32"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NAME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name of the corporation is Lucid Group, Inc.</w:t>
      </w:r>
    </w:p>
    <w:p>
      <w:pPr>
        <w:spacing w:after="0" w:line="248" w:lineRule="exact"/>
        <w:rPr>
          <w:sz w:val="20"/>
          <w:szCs w:val="20"/>
          <w:color w:val="auto"/>
        </w:rPr>
      </w:pPr>
    </w:p>
    <w:p>
      <w:pPr>
        <w:jc w:val="center"/>
        <w:ind w:right="-599"/>
        <w:spacing w:after="0"/>
        <w:rPr>
          <w:sz w:val="20"/>
          <w:szCs w:val="20"/>
          <w:color w:val="auto"/>
        </w:rPr>
      </w:pPr>
      <w:r>
        <w:rPr>
          <w:rFonts w:ascii="Arial" w:cs="Arial" w:eastAsia="Arial" w:hAnsi="Arial"/>
          <w:sz w:val="16"/>
          <w:szCs w:val="16"/>
          <w:color w:val="auto"/>
        </w:rPr>
        <w:t>ARTICLE II.</w:t>
      </w:r>
    </w:p>
    <w:p>
      <w:pPr>
        <w:spacing w:after="0" w:line="32"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REGISTERED OFFICE AND AGENT</w:t>
      </w:r>
    </w:p>
    <w:p>
      <w:pPr>
        <w:spacing w:after="0" w:line="248" w:lineRule="exact"/>
        <w:rPr>
          <w:sz w:val="20"/>
          <w:szCs w:val="20"/>
          <w:color w:val="auto"/>
        </w:rPr>
      </w:pPr>
    </w:p>
    <w:p>
      <w:pPr>
        <w:jc w:val="both"/>
        <w:ind w:left="660" w:right="260"/>
        <w:spacing w:after="0" w:line="321" w:lineRule="auto"/>
        <w:rPr>
          <w:sz w:val="20"/>
          <w:szCs w:val="20"/>
          <w:color w:val="auto"/>
        </w:rPr>
      </w:pPr>
      <w:r>
        <w:rPr>
          <w:rFonts w:ascii="Arial" w:cs="Arial" w:eastAsia="Arial" w:hAnsi="Arial"/>
          <w:sz w:val="16"/>
          <w:szCs w:val="16"/>
          <w:color w:val="auto"/>
        </w:rPr>
        <w:t>The address of the Corporation’s registered office in the State of Delaware is 251 Little Falls Drive, City of Wilmington, County of New Castle, Delaware 19808. The name of the Corporation’s registered agent at such address is Corporation Service Company.</w:t>
      </w:r>
    </w:p>
    <w:p>
      <w:pPr>
        <w:spacing w:after="0" w:line="156" w:lineRule="exact"/>
        <w:rPr>
          <w:sz w:val="20"/>
          <w:szCs w:val="20"/>
          <w:color w:val="auto"/>
        </w:rPr>
      </w:pPr>
    </w:p>
    <w:p>
      <w:pPr>
        <w:jc w:val="center"/>
        <w:ind w:right="-599"/>
        <w:spacing w:after="0"/>
        <w:rPr>
          <w:sz w:val="20"/>
          <w:szCs w:val="20"/>
          <w:color w:val="auto"/>
        </w:rPr>
      </w:pPr>
      <w:r>
        <w:rPr>
          <w:rFonts w:ascii="Arial" w:cs="Arial" w:eastAsia="Arial" w:hAnsi="Arial"/>
          <w:sz w:val="16"/>
          <w:szCs w:val="16"/>
          <w:color w:val="auto"/>
        </w:rPr>
        <w:t>ARTICLE III.</w:t>
      </w:r>
    </w:p>
    <w:p>
      <w:pPr>
        <w:spacing w:after="0" w:line="32"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auto"/>
        </w:rPr>
        <w:t>PURPOSE AND POWERS</w:t>
      </w:r>
    </w:p>
    <w:p>
      <w:pPr>
        <w:spacing w:after="0" w:line="248" w:lineRule="exact"/>
        <w:rPr>
          <w:sz w:val="20"/>
          <w:szCs w:val="20"/>
          <w:color w:val="auto"/>
        </w:rPr>
      </w:pPr>
    </w:p>
    <w:p>
      <w:pPr>
        <w:ind w:left="660" w:right="200"/>
        <w:spacing w:after="0" w:line="332" w:lineRule="auto"/>
        <w:rPr>
          <w:sz w:val="20"/>
          <w:szCs w:val="20"/>
          <w:color w:val="auto"/>
        </w:rPr>
      </w:pPr>
      <w:r>
        <w:rPr>
          <w:rFonts w:ascii="Arial" w:cs="Arial" w:eastAsia="Arial" w:hAnsi="Arial"/>
          <w:sz w:val="16"/>
          <w:szCs w:val="16"/>
          <w:color w:val="auto"/>
        </w:rPr>
        <w:t>The purpose of the Corporation shall be to engage in any lawful act or activity for which corporations may be organized under the General Corporation Law of the State of Delaware as the same exists or may hereafter be amended (the “</w:t>
      </w:r>
      <w:r>
        <w:rPr>
          <w:rFonts w:ascii="Arial" w:cs="Arial" w:eastAsia="Arial" w:hAnsi="Arial"/>
          <w:sz w:val="16"/>
          <w:szCs w:val="16"/>
          <w:b w:val="1"/>
          <w:bCs w:val="1"/>
          <w:color w:val="auto"/>
        </w:rPr>
        <w:t>DGCL</w:t>
      </w:r>
      <w:r>
        <w:rPr>
          <w:rFonts w:ascii="Arial" w:cs="Arial" w:eastAsia="Arial" w:hAnsi="Arial"/>
          <w:sz w:val="16"/>
          <w:szCs w:val="16"/>
          <w:color w:val="auto"/>
        </w:rPr>
        <w:t>”).</w:t>
      </w:r>
    </w:p>
    <w:p>
      <w:pPr>
        <w:sectPr>
          <w:pgSz w:w="11900" w:h="16838" w:orient="portrait"/>
          <w:cols w:equalWidth="0" w:num="1">
            <w:col w:w="10100"/>
          </w:cols>
          <w:pgMar w:left="580" w:top="97"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B-1</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00"/>
          </w:cols>
          <w:pgMar w:left="580" w:top="97" w:right="1219"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IV.</w:t>
      </w:r>
    </w:p>
    <w:p>
      <w:pPr>
        <w:spacing w:after="0" w:line="3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CAPITAL STOCK</w:t>
      </w:r>
    </w:p>
    <w:p>
      <w:pPr>
        <w:spacing w:after="0" w:line="236" w:lineRule="exact"/>
        <w:rPr>
          <w:sz w:val="20"/>
          <w:szCs w:val="20"/>
          <w:color w:val="auto"/>
        </w:rPr>
      </w:pPr>
    </w:p>
    <w:p>
      <w:pPr>
        <w:ind w:left="1000" w:hanging="346"/>
        <w:spacing w:after="0"/>
        <w:tabs>
          <w:tab w:leader="none" w:pos="100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Authorized Shares</w:t>
      </w:r>
    </w:p>
    <w:p>
      <w:pPr>
        <w:spacing w:after="0" w:line="234" w:lineRule="exact"/>
        <w:rPr>
          <w:rFonts w:ascii="Arial" w:cs="Arial" w:eastAsia="Arial" w:hAnsi="Arial"/>
          <w:sz w:val="16"/>
          <w:szCs w:val="16"/>
          <w:b w:val="1"/>
          <w:bCs w:val="1"/>
          <w:color w:val="auto"/>
        </w:rPr>
      </w:pPr>
    </w:p>
    <w:p>
      <w:pPr>
        <w:ind w:left="1020" w:right="40" w:hanging="6"/>
        <w:spacing w:after="0" w:line="298" w:lineRule="auto"/>
        <w:tabs>
          <w:tab w:leader="none" w:pos="1290" w:val="left"/>
        </w:tabs>
        <w:numPr>
          <w:ilvl w:val="1"/>
          <w:numId w:val="110"/>
        </w:numPr>
        <w:rPr>
          <w:rFonts w:ascii="Arial" w:cs="Arial" w:eastAsia="Arial" w:hAnsi="Arial"/>
          <w:sz w:val="16"/>
          <w:szCs w:val="16"/>
          <w:color w:val="auto"/>
        </w:rPr>
      </w:pPr>
      <w:r>
        <w:rPr>
          <w:rFonts w:ascii="Arial" w:cs="Arial" w:eastAsia="Arial" w:hAnsi="Arial"/>
          <w:sz w:val="16"/>
          <w:szCs w:val="16"/>
          <w:b w:val="1"/>
          <w:bCs w:val="1"/>
          <w:color w:val="auto"/>
        </w:rPr>
        <w:t xml:space="preserve">Classes of Stock. </w:t>
      </w:r>
      <w:r>
        <w:rPr>
          <w:rFonts w:ascii="Arial" w:cs="Arial" w:eastAsia="Arial" w:hAnsi="Arial"/>
          <w:sz w:val="16"/>
          <w:szCs w:val="16"/>
          <w:color w:val="auto"/>
        </w:rPr>
        <w:t>The total number of shares of stock that the Corporation shall have authority to issue is</w:t>
      </w:r>
      <w:r>
        <w:rPr>
          <w:rFonts w:ascii="Arial" w:cs="Arial" w:eastAsia="Arial" w:hAnsi="Arial"/>
          <w:sz w:val="16"/>
          <w:szCs w:val="16"/>
          <w:b w:val="1"/>
          <w:bCs w:val="1"/>
          <w:color w:val="auto"/>
        </w:rPr>
        <w:t xml:space="preserve"> </w:t>
      </w:r>
      <w:r>
        <w:rPr>
          <w:rFonts w:ascii="Arial" w:cs="Arial" w:eastAsia="Arial" w:hAnsi="Arial"/>
          <w:sz w:val="16"/>
          <w:szCs w:val="16"/>
          <w:color w:val="auto"/>
        </w:rPr>
        <w:t>15,010,000,000, consisting of 15,000,000,000 shares of Common Stock,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10,000,000 shares of Preferred Stock, par value $0.0001 per share (the “</w:t>
      </w:r>
      <w:r>
        <w:rPr>
          <w:rFonts w:ascii="Arial" w:cs="Arial" w:eastAsia="Arial" w:hAnsi="Arial"/>
          <w:sz w:val="16"/>
          <w:szCs w:val="16"/>
          <w:b w:val="1"/>
          <w:bCs w:val="1"/>
          <w:color w:val="auto"/>
        </w:rPr>
        <w:t>Preferred Stock</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1020" w:right="120" w:hanging="6"/>
        <w:spacing w:after="0" w:line="276" w:lineRule="auto"/>
        <w:tabs>
          <w:tab w:leader="none" w:pos="1290" w:val="left"/>
        </w:tabs>
        <w:numPr>
          <w:ilvl w:val="1"/>
          <w:numId w:val="110"/>
        </w:numPr>
        <w:rPr>
          <w:rFonts w:ascii="Arial" w:cs="Arial" w:eastAsia="Arial" w:hAnsi="Arial"/>
          <w:sz w:val="16"/>
          <w:szCs w:val="16"/>
          <w:color w:val="auto"/>
        </w:rPr>
      </w:pPr>
      <w:r>
        <w:rPr>
          <w:rFonts w:ascii="Arial" w:cs="Arial" w:eastAsia="Arial" w:hAnsi="Arial"/>
          <w:sz w:val="16"/>
          <w:szCs w:val="16"/>
          <w:b w:val="1"/>
          <w:bCs w:val="1"/>
          <w:color w:val="auto"/>
        </w:rPr>
        <w:t xml:space="preserve">Preferred Stock. </w:t>
      </w:r>
      <w:r>
        <w:rPr>
          <w:rFonts w:ascii="Arial" w:cs="Arial" w:eastAsia="Arial" w:hAnsi="Arial"/>
          <w:sz w:val="16"/>
          <w:szCs w:val="16"/>
          <w:color w:val="auto"/>
        </w:rPr>
        <w:t>The Board of Directors is hereby empowered, without any action or vote by the Corporation’s</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(except as may otherwise be provided by the terms of any class or series of Preferred Stock then outstanding), to authorize by resolution or resolutions from time to time the issuance of one or more classes or series of Preferred Stock and to fix the designations, powers, preferences and relative, participating, optional or other rights, if any, and the qualifications, limitations or restrictions thereof, if any, with respect to each such class or series of Preferred Stock and the number of shares constituting each such class or series, and to increase or decrease the number of shares of any such class or series to the extent permitted by the DGCL.</w:t>
      </w:r>
    </w:p>
    <w:p>
      <w:pPr>
        <w:spacing w:after="0" w:line="206" w:lineRule="exact"/>
        <w:rPr>
          <w:rFonts w:ascii="Arial" w:cs="Arial" w:eastAsia="Arial" w:hAnsi="Arial"/>
          <w:sz w:val="16"/>
          <w:szCs w:val="16"/>
          <w:color w:val="auto"/>
        </w:rPr>
      </w:pPr>
    </w:p>
    <w:p>
      <w:pPr>
        <w:ind w:left="1020" w:hanging="366"/>
        <w:spacing w:after="0"/>
        <w:tabs>
          <w:tab w:leader="none" w:pos="102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Voting Rights</w:t>
      </w:r>
    </w:p>
    <w:p>
      <w:pPr>
        <w:spacing w:after="0" w:line="235" w:lineRule="exact"/>
        <w:rPr>
          <w:sz w:val="20"/>
          <w:szCs w:val="20"/>
          <w:color w:val="auto"/>
        </w:rPr>
      </w:pPr>
    </w:p>
    <w:p>
      <w:pPr>
        <w:ind w:left="660" w:right="40"/>
        <w:spacing w:after="0" w:line="276" w:lineRule="auto"/>
        <w:rPr>
          <w:sz w:val="20"/>
          <w:szCs w:val="20"/>
          <w:color w:val="auto"/>
        </w:rPr>
      </w:pPr>
      <w:r>
        <w:rPr>
          <w:rFonts w:ascii="Arial" w:cs="Arial" w:eastAsia="Arial" w:hAnsi="Arial"/>
          <w:sz w:val="16"/>
          <w:szCs w:val="16"/>
          <w:color w:val="auto"/>
        </w:rPr>
        <w:t xml:space="preserve">Each holder of Common Stock, as such, shall be entitled to one vote for each share of Common Stock held of record by such holder on all matters on which stockholders generally are entitled to vote;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except as otherwise required by law, holders of Common Stock, as such, shall not be entitled to vote on any amendment to this Certificate of Incorporation (including any certificate of designations relating to any class or series of Preferred Stock) that relates solely to the terms of one or more outstanding classes or series of Preferred Stock if the holders of such affected class or series are entitled, either separately or together with the holders of one or more other such classes or series, to vote thereon pursuant to this Certificate of Incorporation (including any certificate of designations relating to any class or series of Preferred Stock) or pursuant to the DGCL.</w:t>
      </w:r>
    </w:p>
    <w:p>
      <w:pPr>
        <w:spacing w:after="0" w:line="179"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V.</w:t>
      </w:r>
    </w:p>
    <w:p>
      <w:pPr>
        <w:spacing w:after="0" w:line="3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BYLAWS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shall have the power to adopt, amend or repeal the bylaws of the Corporation (the “</w:t>
      </w:r>
      <w:r>
        <w:rPr>
          <w:rFonts w:ascii="Arial" w:cs="Arial" w:eastAsia="Arial" w:hAnsi="Arial"/>
          <w:sz w:val="16"/>
          <w:szCs w:val="16"/>
          <w:b w:val="1"/>
          <w:bCs w:val="1"/>
          <w:color w:val="auto"/>
        </w:rPr>
        <w:t>Bylaws</w:t>
      </w:r>
      <w:r>
        <w:rPr>
          <w:rFonts w:ascii="Arial" w:cs="Arial" w:eastAsia="Arial" w:hAnsi="Arial"/>
          <w:sz w:val="16"/>
          <w:szCs w:val="16"/>
          <w:color w:val="auto"/>
        </w:rPr>
        <w:t>”).</w:t>
      </w:r>
    </w:p>
    <w:p>
      <w:pPr>
        <w:spacing w:after="0" w:line="235" w:lineRule="exact"/>
        <w:rPr>
          <w:sz w:val="20"/>
          <w:szCs w:val="20"/>
          <w:color w:val="auto"/>
        </w:rPr>
      </w:pPr>
    </w:p>
    <w:p>
      <w:pPr>
        <w:ind w:left="660" w:right="320"/>
        <w:spacing w:after="0" w:line="284" w:lineRule="auto"/>
        <w:rPr>
          <w:sz w:val="20"/>
          <w:szCs w:val="20"/>
          <w:color w:val="auto"/>
        </w:rPr>
      </w:pPr>
      <w:r>
        <w:rPr>
          <w:rFonts w:ascii="Arial" w:cs="Arial" w:eastAsia="Arial" w:hAnsi="Arial"/>
          <w:sz w:val="16"/>
          <w:szCs w:val="16"/>
          <w:color w:val="auto"/>
        </w:rPr>
        <w:t>The stockholders may adopt, amend or repeal the Bylaws only with the affirmative vote of the holders of a majority of the voting power of all outstanding securities of the Corporation generally entitled to vote in the election of directors, voting together as a single class.</w:t>
      </w:r>
    </w:p>
    <w:p>
      <w:pPr>
        <w:spacing w:after="0" w:line="184"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VI.</w:t>
      </w:r>
    </w:p>
    <w:p>
      <w:pPr>
        <w:spacing w:after="0" w:line="31"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BOARD OF DIRECTORS</w:t>
      </w:r>
    </w:p>
    <w:p>
      <w:pPr>
        <w:spacing w:after="0" w:line="222" w:lineRule="exact"/>
        <w:rPr>
          <w:sz w:val="20"/>
          <w:szCs w:val="20"/>
          <w:color w:val="auto"/>
        </w:rPr>
      </w:pPr>
    </w:p>
    <w:p>
      <w:pPr>
        <w:ind w:left="660" w:right="60" w:hanging="6"/>
        <w:spacing w:after="0" w:line="321" w:lineRule="auto"/>
        <w:tabs>
          <w:tab w:leader="none" w:pos="102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Power of the Board of Directors. </w:t>
      </w:r>
      <w:r>
        <w:rPr>
          <w:rFonts w:ascii="Arial" w:cs="Arial" w:eastAsia="Arial" w:hAnsi="Arial"/>
          <w:sz w:val="16"/>
          <w:szCs w:val="16"/>
          <w:color w:val="auto"/>
        </w:rPr>
        <w:t>The business and affairs of the Corporation shall be managed by or under the direction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 Board of Directors.</w:t>
      </w:r>
    </w:p>
    <w:p>
      <w:pPr>
        <w:spacing w:after="0" w:line="142" w:lineRule="exact"/>
        <w:rPr>
          <w:rFonts w:ascii="Arial" w:cs="Arial" w:eastAsia="Arial" w:hAnsi="Arial"/>
          <w:sz w:val="16"/>
          <w:szCs w:val="16"/>
          <w:b w:val="1"/>
          <w:bCs w:val="1"/>
          <w:color w:val="auto"/>
        </w:rPr>
      </w:pPr>
    </w:p>
    <w:p>
      <w:pPr>
        <w:jc w:val="both"/>
        <w:ind w:left="660" w:right="640" w:hanging="6"/>
        <w:spacing w:after="0" w:line="292" w:lineRule="auto"/>
        <w:tabs>
          <w:tab w:leader="none" w:pos="102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Number of Directors. </w:t>
      </w:r>
      <w:r>
        <w:rPr>
          <w:rFonts w:ascii="Arial" w:cs="Arial" w:eastAsia="Arial" w:hAnsi="Arial"/>
          <w:sz w:val="16"/>
          <w:szCs w:val="16"/>
          <w:color w:val="auto"/>
        </w:rPr>
        <w:t>The number of directors which shall constitute the Board of Directors shall, as of the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becomes effective, be nine and, thereafter, shall be fixed exclusively by one or more resolutions adopted from time to time solely by the affirmative vote of a majority of the Board of Directors.</w:t>
      </w:r>
    </w:p>
    <w:p>
      <w:pPr>
        <w:spacing w:after="0" w:line="178" w:lineRule="exact"/>
        <w:rPr>
          <w:rFonts w:ascii="Arial" w:cs="Arial" w:eastAsia="Arial" w:hAnsi="Arial"/>
          <w:sz w:val="16"/>
          <w:szCs w:val="16"/>
          <w:b w:val="1"/>
          <w:bCs w:val="1"/>
          <w:color w:val="auto"/>
        </w:rPr>
      </w:pPr>
    </w:p>
    <w:p>
      <w:pPr>
        <w:ind w:left="1020" w:hanging="366"/>
        <w:spacing w:after="0"/>
        <w:tabs>
          <w:tab w:leader="none" w:pos="102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Election of Directors.</w:t>
      </w:r>
    </w:p>
    <w:p>
      <w:pPr>
        <w:spacing w:after="0" w:line="234" w:lineRule="exact"/>
        <w:rPr>
          <w:rFonts w:ascii="Arial" w:cs="Arial" w:eastAsia="Arial" w:hAnsi="Arial"/>
          <w:sz w:val="16"/>
          <w:szCs w:val="16"/>
          <w:b w:val="1"/>
          <w:bCs w:val="1"/>
          <w:color w:val="auto"/>
        </w:rPr>
      </w:pPr>
    </w:p>
    <w:p>
      <w:pPr>
        <w:ind w:left="1020" w:right="80" w:hanging="6"/>
        <w:spacing w:after="0" w:line="278" w:lineRule="auto"/>
        <w:tabs>
          <w:tab w:leader="none" w:pos="1353"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Each director shall be elected annually by the stockholders and shall serve for a term ending on the date of the annual meeting of stockholders next following the annual meeting at which such director was elected. Notwithstanding the foregoing, each director shall hold office until such director’s successor shall have been duly elected and qualified or until such director’s earlier death, resignation or removal. In no event will a decrease in the number of directors shorten the term of any incumbent director.</w:t>
      </w:r>
    </w:p>
    <w:p>
      <w:pPr>
        <w:spacing w:after="0" w:line="176" w:lineRule="exact"/>
        <w:rPr>
          <w:rFonts w:ascii="Arial" w:cs="Arial" w:eastAsia="Arial" w:hAnsi="Arial"/>
          <w:sz w:val="16"/>
          <w:szCs w:val="16"/>
          <w:color w:val="auto"/>
        </w:rPr>
      </w:pPr>
    </w:p>
    <w:p>
      <w:pPr>
        <w:ind w:left="1020" w:right="200" w:hanging="6"/>
        <w:spacing w:after="0" w:line="321" w:lineRule="auto"/>
        <w:tabs>
          <w:tab w:leader="none" w:pos="135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There shall be no cumulative voting in the election of directors. Election of directors need not be by written ballot unless the Bylaws so provide.</w:t>
      </w:r>
    </w:p>
    <w:p>
      <w:pPr>
        <w:spacing w:after="0" w:line="341"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B​-2</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right="100" w:hanging="6"/>
        <w:spacing w:after="0" w:line="278" w:lineRule="auto"/>
        <w:tabs>
          <w:tab w:leader="none" w:pos="102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Vacancies. </w:t>
      </w:r>
      <w:r>
        <w:rPr>
          <w:rFonts w:ascii="Arial" w:cs="Arial" w:eastAsia="Arial" w:hAnsi="Arial"/>
          <w:sz w:val="16"/>
          <w:szCs w:val="16"/>
          <w:color w:val="auto"/>
        </w:rPr>
        <w:t>Vacancies on the Board of Directors resulting from death, resignation, removal or otherwise and newly created</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w:t>
      </w:r>
    </w:p>
    <w:p>
      <w:pPr>
        <w:spacing w:after="0" w:line="176" w:lineRule="exact"/>
        <w:rPr>
          <w:rFonts w:ascii="Arial" w:cs="Arial" w:eastAsia="Arial" w:hAnsi="Arial"/>
          <w:sz w:val="16"/>
          <w:szCs w:val="16"/>
          <w:b w:val="1"/>
          <w:bCs w:val="1"/>
          <w:color w:val="auto"/>
        </w:rPr>
      </w:pPr>
    </w:p>
    <w:p>
      <w:pPr>
        <w:ind w:left="660" w:right="120" w:hanging="6"/>
        <w:spacing w:after="0" w:line="292" w:lineRule="auto"/>
        <w:tabs>
          <w:tab w:leader="none" w:pos="1011"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Removal. </w:t>
      </w:r>
      <w:r>
        <w:rPr>
          <w:rFonts w:ascii="Arial" w:cs="Arial" w:eastAsia="Arial" w:hAnsi="Arial"/>
          <w:sz w:val="16"/>
          <w:szCs w:val="16"/>
          <w:b w:val="1"/>
          <w:bCs w:val="1"/>
          <w:color w:val="EB0028"/>
          <w:strike w:val="1"/>
        </w:rPr>
        <w:t>No</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81C9"/>
        </w:rPr>
        <w:t>Any</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may be removed from office by the stockholders</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EB0028"/>
          <w:strike w:val="1"/>
        </w:rPr>
        <w:t>except for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81C9"/>
        </w:rPr>
        <w:t>with or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cause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EB0028"/>
          <w:strike w:val="1"/>
        </w:rPr>
        <w:t>with</w:t>
      </w:r>
      <w:r>
        <w:rPr>
          <w:rFonts w:ascii="Arial" w:cs="Arial" w:eastAsia="Arial" w:hAnsi="Arial"/>
          <w:sz w:val="16"/>
          <w:szCs w:val="16"/>
          <w:b w:val="1"/>
          <w:bCs w:val="1"/>
          <w:color w:val="0081C9"/>
        </w:rPr>
        <w:t>, by</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affirmative vote of the holders of </w:t>
      </w:r>
      <w:r>
        <w:rPr>
          <w:rFonts w:ascii="Arial" w:cs="Arial" w:eastAsia="Arial" w:hAnsi="Arial"/>
          <w:sz w:val="16"/>
          <w:szCs w:val="16"/>
          <w:b w:val="1"/>
          <w:bCs w:val="1"/>
          <w:color w:val="EB0028"/>
          <w:strike w:val="1"/>
        </w:rPr>
        <w:t>not less than two-thirds (66 2/3 %)</w:t>
      </w:r>
      <w:r>
        <w:rPr>
          <w:rFonts w:ascii="Arial" w:cs="Arial" w:eastAsia="Arial" w:hAnsi="Arial"/>
          <w:sz w:val="16"/>
          <w:szCs w:val="16"/>
          <w:color w:val="auto"/>
        </w:rPr>
        <w:t xml:space="preserve"> </w:t>
      </w:r>
      <w:r>
        <w:rPr>
          <w:rFonts w:ascii="Arial" w:cs="Arial" w:eastAsia="Arial" w:hAnsi="Arial"/>
          <w:sz w:val="16"/>
          <w:szCs w:val="16"/>
          <w:b w:val="1"/>
          <w:bCs w:val="1"/>
          <w:color w:val="0081C9"/>
        </w:rPr>
        <w:t>a majority</w:t>
      </w:r>
      <w:r>
        <w:rPr>
          <w:rFonts w:ascii="Arial" w:cs="Arial" w:eastAsia="Arial" w:hAnsi="Arial"/>
          <w:sz w:val="16"/>
          <w:szCs w:val="16"/>
          <w:color w:val="auto"/>
        </w:rPr>
        <w:t xml:space="preserve"> of the total voting power of all outstanding securities of the Corporation generally entitled to vote in the election of directors,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-271145</wp:posOffset>
            </wp:positionV>
            <wp:extent cx="1885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-271145</wp:posOffset>
            </wp:positionV>
            <wp:extent cx="7289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-271145</wp:posOffset>
            </wp:positionV>
            <wp:extent cx="1714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-142240</wp:posOffset>
            </wp:positionV>
            <wp:extent cx="4889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45"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VII.</w:t>
      </w:r>
    </w:p>
    <w:p>
      <w:pPr>
        <w:spacing w:after="0" w:line="32"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MEETINGS OF STOCKHOLDERS</w:t>
      </w:r>
    </w:p>
    <w:p>
      <w:pPr>
        <w:spacing w:after="0" w:line="235" w:lineRule="exact"/>
        <w:rPr>
          <w:sz w:val="20"/>
          <w:szCs w:val="20"/>
          <w:color w:val="auto"/>
        </w:rPr>
      </w:pPr>
    </w:p>
    <w:p>
      <w:pPr>
        <w:jc w:val="both"/>
        <w:ind w:left="660" w:right="100" w:hanging="6"/>
        <w:spacing w:after="0" w:line="292" w:lineRule="auto"/>
        <w:tabs>
          <w:tab w:leader="none" w:pos="1014"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Meetings. </w:t>
      </w:r>
      <w:r>
        <w:rPr>
          <w:rFonts w:ascii="Arial" w:cs="Arial" w:eastAsia="Arial" w:hAnsi="Arial"/>
          <w:sz w:val="16"/>
          <w:szCs w:val="16"/>
          <w:color w:val="auto"/>
        </w:rPr>
        <w:t>An annual meeting of stockholders for the election of directors to succeed those whose terms expire and</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transaction of such other business as may properly come before the meeting shall be held at such place, on such date, and at such time as the Board of Directors shall determine.</w:t>
      </w:r>
    </w:p>
    <w:p>
      <w:pPr>
        <w:spacing w:after="0" w:line="165" w:lineRule="exact"/>
        <w:rPr>
          <w:rFonts w:ascii="Arial" w:cs="Arial" w:eastAsia="Arial" w:hAnsi="Arial"/>
          <w:sz w:val="16"/>
          <w:szCs w:val="16"/>
          <w:b w:val="1"/>
          <w:bCs w:val="1"/>
          <w:color w:val="auto"/>
        </w:rPr>
      </w:pPr>
    </w:p>
    <w:p>
      <w:pPr>
        <w:ind w:left="660" w:right="240" w:hanging="6"/>
        <w:spacing w:after="0" w:line="304" w:lineRule="auto"/>
        <w:tabs>
          <w:tab w:leader="none" w:pos="102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Special Meetings. </w:t>
      </w:r>
      <w:r>
        <w:rPr>
          <w:rFonts w:ascii="Arial" w:cs="Arial" w:eastAsia="Arial" w:hAnsi="Arial"/>
          <w:sz w:val="16"/>
          <w:szCs w:val="16"/>
          <w:color w:val="auto"/>
        </w:rPr>
        <w:t>Special meetings of the stockholders may be called only by the Board of Directors acting pursuant to a</w:t>
      </w:r>
      <w:r>
        <w:rPr>
          <w:rFonts w:ascii="Arial" w:cs="Arial" w:eastAsia="Arial" w:hAnsi="Arial"/>
          <w:sz w:val="16"/>
          <w:szCs w:val="16"/>
          <w:b w:val="1"/>
          <w:bCs w:val="1"/>
          <w:color w:val="auto"/>
        </w:rPr>
        <w:t xml:space="preserve"> </w:t>
      </w:r>
      <w:r>
        <w:rPr>
          <w:rFonts w:ascii="Arial" w:cs="Arial" w:eastAsia="Arial" w:hAnsi="Arial"/>
          <w:sz w:val="16"/>
          <w:szCs w:val="16"/>
          <w:color w:val="auto"/>
        </w:rPr>
        <w:t>resolution adopted by a majority of the Board of Directors.</w:t>
      </w:r>
    </w:p>
    <w:p>
      <w:pPr>
        <w:spacing w:after="0" w:line="168" w:lineRule="exact"/>
        <w:rPr>
          <w:rFonts w:ascii="Arial" w:cs="Arial" w:eastAsia="Arial" w:hAnsi="Arial"/>
          <w:sz w:val="16"/>
          <w:szCs w:val="16"/>
          <w:b w:val="1"/>
          <w:bCs w:val="1"/>
          <w:color w:val="auto"/>
        </w:rPr>
      </w:pPr>
    </w:p>
    <w:p>
      <w:pPr>
        <w:ind w:left="660" w:right="40" w:hanging="6"/>
        <w:spacing w:after="0" w:line="273" w:lineRule="auto"/>
        <w:tabs>
          <w:tab w:leader="none" w:pos="1014"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Action by Written Consent. </w:t>
      </w:r>
      <w:r>
        <w:rPr>
          <w:rFonts w:ascii="Arial" w:cs="Arial" w:eastAsia="Arial" w:hAnsi="Arial"/>
          <w:sz w:val="16"/>
          <w:szCs w:val="16"/>
          <w:color w:val="auto"/>
        </w:rPr>
        <w:t>Subject to the rights of the holders of any class or series of Preferred Stock then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as may be set forth in the resolution or resolutions adopted by the Board of Directors pursuant to Article IV(A) hereto for such class or series of Preferred Stock, any action required or permitted to be taken at any annual or special meeting of stockholders may be taken either (i) upon the vote of stockholders at an annual or special meeting duly noticed and called in accordance with the DGCL, as amended from time to time, and this Article VII or (ii) until such date as Ayar and its Permitted Transferees (each as defined in that certain Investor Rights Agreement, dated as of February 22, 2021, by and among the Corporation, Ayar Third Investment Company, Churchill Sponsor IV LLC and the other Parties party thereto from time to time (the “</w:t>
      </w:r>
      <w:r>
        <w:rPr>
          <w:rFonts w:ascii="Arial" w:cs="Arial" w:eastAsia="Arial" w:hAnsi="Arial"/>
          <w:sz w:val="16"/>
          <w:szCs w:val="16"/>
          <w:b w:val="1"/>
          <w:bCs w:val="1"/>
          <w:color w:val="auto"/>
        </w:rPr>
        <w:t>Investor Rights Agreement</w:t>
      </w:r>
      <w:r>
        <w:rPr>
          <w:rFonts w:ascii="Arial" w:cs="Arial" w:eastAsia="Arial" w:hAnsi="Arial"/>
          <w:sz w:val="16"/>
          <w:szCs w:val="16"/>
          <w:color w:val="auto"/>
        </w:rPr>
        <w:t>”)) beneficially own, in the aggregate, less than fifty percent (50%) in voting power of all outstanding securities of the Corporation generally entitled to vote in the election of directors, voting together as a single class (such date, the “</w:t>
      </w:r>
      <w:r>
        <w:rPr>
          <w:rFonts w:ascii="Arial" w:cs="Arial" w:eastAsia="Arial" w:hAnsi="Arial"/>
          <w:sz w:val="16"/>
          <w:szCs w:val="16"/>
          <w:b w:val="1"/>
          <w:bCs w:val="1"/>
          <w:color w:val="auto"/>
        </w:rPr>
        <w:t>Ayar Threshold Date</w:t>
      </w:r>
      <w:r>
        <w:rPr>
          <w:rFonts w:ascii="Arial" w:cs="Arial" w:eastAsia="Arial" w:hAnsi="Arial"/>
          <w:sz w:val="16"/>
          <w:szCs w:val="16"/>
          <w:color w:val="auto"/>
        </w:rPr>
        <w:t>”), by written consent of stockholders without a meeting. For the purposes of this Certificate of Incorporation, beneficial ownership shall be determined in accordance with Rule 13d-3 promulgated under the Securities Exchange Act of 1934, as amended.</w:t>
      </w:r>
    </w:p>
    <w:p>
      <w:pPr>
        <w:spacing w:after="0" w:line="182"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VIII.</w:t>
      </w:r>
    </w:p>
    <w:p>
      <w:pPr>
        <w:spacing w:after="0" w:line="32"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INDEMNIFICATION</w:t>
      </w:r>
    </w:p>
    <w:p>
      <w:pPr>
        <w:spacing w:after="0" w:line="235" w:lineRule="exact"/>
        <w:rPr>
          <w:sz w:val="20"/>
          <w:szCs w:val="20"/>
          <w:color w:val="auto"/>
        </w:rPr>
      </w:pPr>
    </w:p>
    <w:p>
      <w:pPr>
        <w:ind w:left="660" w:right="700" w:hanging="6"/>
        <w:spacing w:after="0" w:line="304" w:lineRule="auto"/>
        <w:tabs>
          <w:tab w:leader="none" w:pos="102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Limited Liability. </w:t>
      </w:r>
      <w:r>
        <w:rPr>
          <w:rFonts w:ascii="Arial" w:cs="Arial" w:eastAsia="Arial" w:hAnsi="Arial"/>
          <w:sz w:val="16"/>
          <w:szCs w:val="16"/>
          <w:color w:val="auto"/>
        </w:rPr>
        <w:t>A director of the Corporation shall not be liable to the Corporation or its stockholders for monetary</w:t>
      </w:r>
      <w:r>
        <w:rPr>
          <w:rFonts w:ascii="Arial" w:cs="Arial" w:eastAsia="Arial" w:hAnsi="Arial"/>
          <w:sz w:val="16"/>
          <w:szCs w:val="16"/>
          <w:b w:val="1"/>
          <w:bCs w:val="1"/>
          <w:color w:val="auto"/>
        </w:rPr>
        <w:t xml:space="preserve"> </w:t>
      </w:r>
      <w:r>
        <w:rPr>
          <w:rFonts w:ascii="Arial" w:cs="Arial" w:eastAsia="Arial" w:hAnsi="Arial"/>
          <w:sz w:val="16"/>
          <w:szCs w:val="16"/>
          <w:color w:val="auto"/>
        </w:rPr>
        <w:t>damages for breach of fiduciary duty as a director to the fullest extent permitted by the DGCL.</w:t>
      </w:r>
    </w:p>
    <w:p>
      <w:pPr>
        <w:spacing w:after="0" w:line="181" w:lineRule="exact"/>
        <w:rPr>
          <w:rFonts w:ascii="Arial" w:cs="Arial" w:eastAsia="Arial" w:hAnsi="Arial"/>
          <w:sz w:val="16"/>
          <w:szCs w:val="16"/>
          <w:b w:val="1"/>
          <w:bCs w:val="1"/>
          <w:color w:val="auto"/>
        </w:rPr>
      </w:pPr>
    </w:p>
    <w:p>
      <w:pPr>
        <w:ind w:left="1020" w:hanging="366"/>
        <w:spacing w:after="0"/>
        <w:tabs>
          <w:tab w:leader="none" w:pos="102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Right to Indemnification.</w:t>
      </w:r>
    </w:p>
    <w:p>
      <w:pPr>
        <w:spacing w:after="0" w:line="234" w:lineRule="exact"/>
        <w:rPr>
          <w:rFonts w:ascii="Arial" w:cs="Arial" w:eastAsia="Arial" w:hAnsi="Arial"/>
          <w:sz w:val="16"/>
          <w:szCs w:val="16"/>
          <w:b w:val="1"/>
          <w:bCs w:val="1"/>
          <w:color w:val="auto"/>
        </w:rPr>
      </w:pPr>
    </w:p>
    <w:p>
      <w:pPr>
        <w:ind w:left="1020" w:right="120" w:hanging="6"/>
        <w:spacing w:after="0" w:line="274" w:lineRule="auto"/>
        <w:tabs>
          <w:tab w:leader="none" w:pos="1353"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is or was serving at the request of the Corporation as a director or officer of another corporation, partnership, joint venture, trust or other enterprise, shall be indemnified and held harmless by the Corporation to the fullest extent permitted by the DGCL. The right to indemnification conferred in this Article VIII shall also include the right to be paid by the Corporation the expenses incurred in connection with any such proceeding in advance of its final disposition to the fullest extent authorized by the DGCL. The right to indemnification conferred in this Article VIII shall be a contract right.</w:t>
      </w:r>
    </w:p>
    <w:p>
      <w:pPr>
        <w:spacing w:after="0" w:line="182" w:lineRule="exact"/>
        <w:rPr>
          <w:rFonts w:ascii="Arial" w:cs="Arial" w:eastAsia="Arial" w:hAnsi="Arial"/>
          <w:sz w:val="16"/>
          <w:szCs w:val="16"/>
          <w:color w:val="auto"/>
        </w:rPr>
      </w:pPr>
    </w:p>
    <w:p>
      <w:pPr>
        <w:ind w:left="1020" w:right="140" w:hanging="6"/>
        <w:spacing w:after="0" w:line="292" w:lineRule="auto"/>
        <w:tabs>
          <w:tab w:leader="none" w:pos="135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The Corporation may, by action of its Board of Directors, provide indemnification to such of the employees and agents of the Corporation to such extent and to such effect as the Board of Directors shall determine to be appropriate and authorized by the DGCL.</w:t>
      </w:r>
    </w:p>
    <w:p>
      <w:pPr>
        <w:spacing w:after="0" w:line="165" w:lineRule="exact"/>
        <w:rPr>
          <w:rFonts w:ascii="Arial" w:cs="Arial" w:eastAsia="Arial" w:hAnsi="Arial"/>
          <w:sz w:val="16"/>
          <w:szCs w:val="16"/>
          <w:color w:val="auto"/>
        </w:rPr>
      </w:pPr>
    </w:p>
    <w:p>
      <w:pPr>
        <w:ind w:left="660" w:right="180" w:hanging="6"/>
        <w:spacing w:after="0" w:line="292" w:lineRule="auto"/>
        <w:tabs>
          <w:tab w:leader="none" w:pos="102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Insurance. </w:t>
      </w:r>
      <w:r>
        <w:rPr>
          <w:rFonts w:ascii="Arial" w:cs="Arial" w:eastAsia="Arial" w:hAnsi="Arial"/>
          <w:sz w:val="16"/>
          <w:szCs w:val="16"/>
          <w:color w:val="auto"/>
        </w:rPr>
        <w:t>The Corporation shall have power to purchase and maintain insurance on behalf of any person who is or was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officer, employee or agent of the Corporation, or is or was serving at the request of the Corporation as a director, officer, employee or agent of another corporation, partnership, joint venture, trust or other enterprise against any expense, liability</w:t>
      </w:r>
    </w:p>
    <w:p>
      <w:pPr>
        <w:spacing w:after="0" w:line="364" w:lineRule="exact"/>
        <w:rPr>
          <w:sz w:val="20"/>
          <w:szCs w:val="20"/>
          <w:color w:val="auto"/>
        </w:rPr>
      </w:pPr>
    </w:p>
    <w:p>
      <w:pPr>
        <w:ind w:left="660"/>
        <w:spacing w:after="0"/>
        <w:tabs>
          <w:tab w:leader="none" w:pos="5220" w:val="left"/>
          <w:tab w:leader="none" w:pos="9820" w:val="left"/>
        </w:tabs>
        <w:rPr>
          <w:sz w:val="20"/>
          <w:szCs w:val="20"/>
          <w:color w:val="auto"/>
        </w:rPr>
      </w:pPr>
      <w:r>
        <w:rPr>
          <w:rFonts w:ascii="Arial" w:cs="Arial" w:eastAsia="Arial" w:hAnsi="Arial"/>
          <w:sz w:val="13"/>
          <w:szCs w:val="13"/>
          <w:color w:val="auto"/>
        </w:rPr>
        <w:t>​2023 Proxy Statement</w:t>
      </w:r>
      <w:r>
        <w:rPr>
          <w:sz w:val="20"/>
          <w:szCs w:val="20"/>
          <w:color w:val="auto"/>
        </w:rPr>
        <w:tab/>
      </w:r>
      <w:r>
        <w:rPr>
          <w:rFonts w:ascii="Arial" w:cs="Arial" w:eastAsia="Arial" w:hAnsi="Arial"/>
          <w:sz w:val="13"/>
          <w:szCs w:val="13"/>
          <w:color w:val="auto"/>
        </w:rPr>
        <w:t>​ ​</w:t>
      </w:r>
      <w:r>
        <w:rPr>
          <w:sz w:val="20"/>
          <w:szCs w:val="20"/>
          <w:color w:val="auto"/>
        </w:rPr>
        <w:tab/>
      </w:r>
      <w:r>
        <w:rPr>
          <w:rFonts w:ascii="Arial" w:cs="Arial" w:eastAsia="Arial" w:hAnsi="Arial"/>
          <w:sz w:val="13"/>
          <w:szCs w:val="13"/>
          <w:b w:val="1"/>
          <w:bCs w:val="1"/>
          <w:color w:val="auto"/>
        </w:rPr>
        <w:t>B-3</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100"/>
        <w:spacing w:after="0" w:line="321" w:lineRule="auto"/>
        <w:rPr>
          <w:sz w:val="20"/>
          <w:szCs w:val="20"/>
          <w:color w:val="auto"/>
        </w:rPr>
      </w:pPr>
      <w:r>
        <w:rPr>
          <w:rFonts w:ascii="Arial" w:cs="Arial" w:eastAsia="Arial" w:hAnsi="Arial"/>
          <w:sz w:val="16"/>
          <w:szCs w:val="16"/>
          <w:color w:val="auto"/>
        </w:rPr>
        <w:t>or loss incurred by such person in any such capacity or arising out of such person’s status as such, whether or not the Corporation would have the power to indemnify such person against such liability under the DGCL.</w:t>
      </w:r>
    </w:p>
    <w:p>
      <w:pPr>
        <w:spacing w:after="0" w:line="156" w:lineRule="exact"/>
        <w:rPr>
          <w:sz w:val="20"/>
          <w:szCs w:val="20"/>
          <w:color w:val="auto"/>
        </w:rPr>
      </w:pPr>
    </w:p>
    <w:p>
      <w:pPr>
        <w:ind w:left="660" w:right="160" w:hanging="6"/>
        <w:spacing w:after="0" w:line="321" w:lineRule="auto"/>
        <w:tabs>
          <w:tab w:leader="none" w:pos="102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Nonexclusivity of Rights. </w:t>
      </w:r>
      <w:r>
        <w:rPr>
          <w:rFonts w:ascii="Arial" w:cs="Arial" w:eastAsia="Arial" w:hAnsi="Arial"/>
          <w:sz w:val="16"/>
          <w:szCs w:val="16"/>
          <w:color w:val="auto"/>
        </w:rPr>
        <w:t>The rights and authority conferred in this Article VIII shall not be exclusive of any other right that</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may otherwise have or hereafter acquire.</w:t>
      </w:r>
    </w:p>
    <w:p>
      <w:pPr>
        <w:spacing w:after="0" w:line="155" w:lineRule="exact"/>
        <w:rPr>
          <w:rFonts w:ascii="Arial" w:cs="Arial" w:eastAsia="Arial" w:hAnsi="Arial"/>
          <w:sz w:val="16"/>
          <w:szCs w:val="16"/>
          <w:b w:val="1"/>
          <w:bCs w:val="1"/>
          <w:color w:val="auto"/>
        </w:rPr>
      </w:pPr>
    </w:p>
    <w:p>
      <w:pPr>
        <w:ind w:left="1000" w:hanging="346"/>
        <w:spacing w:after="0"/>
        <w:tabs>
          <w:tab w:leader="none" w:pos="100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Preservation of Rights.  </w:t>
      </w:r>
      <w:r>
        <w:rPr>
          <w:rFonts w:ascii="Arial" w:cs="Arial" w:eastAsia="Arial" w:hAnsi="Arial"/>
          <w:sz w:val="16"/>
          <w:szCs w:val="16"/>
          <w:color w:val="auto"/>
        </w:rPr>
        <w:t>Neither the amendment nor repeal of this Article VIII, nor the adoption of any provision of this</w:t>
      </w:r>
    </w:p>
    <w:p>
      <w:pPr>
        <w:spacing w:after="0" w:line="38" w:lineRule="exact"/>
        <w:rPr>
          <w:rFonts w:ascii="Arial" w:cs="Arial" w:eastAsia="Arial" w:hAnsi="Arial"/>
          <w:sz w:val="16"/>
          <w:szCs w:val="16"/>
          <w:b w:val="1"/>
          <w:bCs w:val="1"/>
          <w:color w:val="auto"/>
        </w:rPr>
      </w:pPr>
    </w:p>
    <w:p>
      <w:pPr>
        <w:ind w:left="660" w:right="140"/>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Certificate of Incorporation or the Bylaws, nor, to the fullest extent permitted by the DGCL, any modification of law, shall adversely affect any right or protection of any person granted pursuant hereto existing at, or arising out of or related to any event, act or omission that occurred prior to, the time of such amendment, repeal, adoption or modification (regardless of when any proceeding (or part thereof) relating to such event, act or omission arises or is first threatened, commenced or completed).</w:t>
      </w:r>
    </w:p>
    <w:p>
      <w:pPr>
        <w:spacing w:after="0" w:line="178" w:lineRule="exact"/>
        <w:rPr>
          <w:sz w:val="20"/>
          <w:szCs w:val="20"/>
          <w:color w:val="auto"/>
        </w:rPr>
      </w:pPr>
    </w:p>
    <w:p>
      <w:pPr>
        <w:jc w:val="center"/>
        <w:ind w:right="-619"/>
        <w:spacing w:after="0"/>
        <w:rPr>
          <w:sz w:val="20"/>
          <w:szCs w:val="20"/>
          <w:color w:val="auto"/>
        </w:rPr>
      </w:pPr>
      <w:r>
        <w:rPr>
          <w:rFonts w:ascii="Arial" w:cs="Arial" w:eastAsia="Arial" w:hAnsi="Arial"/>
          <w:sz w:val="16"/>
          <w:szCs w:val="16"/>
          <w:color w:val="auto"/>
        </w:rPr>
        <w:t>ARTICLE IX.</w:t>
      </w:r>
    </w:p>
    <w:p>
      <w:pPr>
        <w:spacing w:after="0" w:line="32" w:lineRule="exact"/>
        <w:rPr>
          <w:sz w:val="20"/>
          <w:szCs w:val="20"/>
          <w:color w:val="auto"/>
        </w:rPr>
      </w:pPr>
    </w:p>
    <w:p>
      <w:pPr>
        <w:jc w:val="center"/>
        <w:ind w:right="-619"/>
        <w:spacing w:after="0"/>
        <w:rPr>
          <w:sz w:val="20"/>
          <w:szCs w:val="20"/>
          <w:color w:val="auto"/>
        </w:rPr>
      </w:pPr>
      <w:r>
        <w:rPr>
          <w:rFonts w:ascii="Arial" w:cs="Arial" w:eastAsia="Arial" w:hAnsi="Arial"/>
          <w:sz w:val="16"/>
          <w:szCs w:val="16"/>
          <w:b w:val="1"/>
          <w:bCs w:val="1"/>
          <w:color w:val="auto"/>
        </w:rPr>
        <w:t>AMENDMENTS</w:t>
      </w:r>
    </w:p>
    <w:p>
      <w:pPr>
        <w:spacing w:after="0" w:line="248" w:lineRule="exact"/>
        <w:rPr>
          <w:sz w:val="20"/>
          <w:szCs w:val="20"/>
          <w:color w:val="auto"/>
        </w:rPr>
      </w:pPr>
    </w:p>
    <w:p>
      <w:pPr>
        <w:ind w:left="660" w:right="240"/>
        <w:spacing w:after="0" w:line="301" w:lineRule="auto"/>
        <w:rPr>
          <w:sz w:val="20"/>
          <w:szCs w:val="20"/>
          <w:color w:val="auto"/>
        </w:rPr>
      </w:pPr>
      <w:r>
        <w:rPr>
          <w:rFonts w:ascii="Arial" w:cs="Arial" w:eastAsia="Arial" w:hAnsi="Arial"/>
          <w:sz w:val="16"/>
          <w:szCs w:val="16"/>
          <w:color w:val="auto"/>
        </w:rPr>
        <w:t>The Corporation reserves the right to amend this Amended and Restated Certificate of Incorporation in any manner permitted by the DGCL and all rights and powers conferred upon stockholders, directors and officers herein are granted subject to this reservation.</w:t>
      </w:r>
    </w:p>
    <w:p>
      <w:pPr>
        <w:sectPr>
          <w:pgSz w:w="11900" w:h="16838" w:orient="portrait"/>
          <w:cols w:equalWidth="0" w:num="1">
            <w:col w:w="10080"/>
          </w:cols>
          <w:pgMar w:left="580" w:top="97"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tabs>
          <w:tab w:leader="none" w:pos="5220" w:val="left"/>
          <w:tab w:leader="none" w:pos="8780" w:val="left"/>
        </w:tabs>
        <w:rPr>
          <w:sz w:val="20"/>
          <w:szCs w:val="20"/>
          <w:color w:val="auto"/>
        </w:rPr>
      </w:pPr>
      <w:r>
        <w:rPr>
          <w:rFonts w:ascii="Arial" w:cs="Arial" w:eastAsia="Arial" w:hAnsi="Arial"/>
          <w:sz w:val="13"/>
          <w:szCs w:val="13"/>
          <w:b w:val="1"/>
          <w:bCs w:val="1"/>
          <w:color w:val="auto"/>
        </w:rPr>
        <w:t>​B-4</w:t>
      </w:r>
      <w:r>
        <w:rPr>
          <w:sz w:val="20"/>
          <w:szCs w:val="20"/>
          <w:color w:val="auto"/>
        </w:rPr>
        <w:tab/>
      </w:r>
      <w:r>
        <w:rPr>
          <w:rFonts w:ascii="Arial" w:cs="Arial" w:eastAsia="Arial" w:hAnsi="Arial"/>
          <w:sz w:val="13"/>
          <w:szCs w:val="13"/>
          <w:b w:val="1"/>
          <w:bCs w:val="1"/>
          <w:color w:val="auto"/>
        </w:rPr>
        <w:t>​ ​</w:t>
      </w:r>
      <w:r>
        <w:rPr>
          <w:sz w:val="20"/>
          <w:szCs w:val="20"/>
          <w:color w:val="auto"/>
        </w:rPr>
        <w:tab/>
      </w:r>
      <w:r>
        <w:rPr>
          <w:rFonts w:ascii="Arial" w:cs="Arial" w:eastAsia="Arial" w:hAnsi="Arial"/>
          <w:sz w:val="12"/>
          <w:szCs w:val="12"/>
          <w:color w:val="auto"/>
        </w:rPr>
        <w:t>2023 Proxy Statement</w:t>
      </w: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100965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80"/>
          </w:cols>
          <w:pgMar w:left="580" w:top="97" w:right="1239"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192405</wp:posOffset>
            </wp:positionV>
            <wp:extent cx="6292215" cy="8143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2251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1."/>
      <w:numFmt w:val="decimal"/>
      <w:start w:val="1"/>
    </w:lvl>
  </w:abstractNum>
  <w:abstractNum w:abstractNumId="6">
    <w:nsid w:val="10233C99"/>
    <w:multiLevelType w:val="hybridMultilevel"/>
    <w:lvl w:ilvl="0">
      <w:lvlJc w:val="left"/>
      <w:lvlText w:val="■"/>
      <w:numFmt w:val="bullet"/>
      <w:start w:val="1"/>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1)"/>
      <w:numFmt w:val="lowerRoman"/>
      <w:start w:val="5"/>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1)"/>
      <w:numFmt w:val="decimal"/>
      <w:start w:val="1"/>
    </w:lvl>
  </w:abstractNum>
  <w:abstractNum w:abstractNumId="17">
    <w:nsid w:val="4AD084E9"/>
    <w:multiLevelType w:val="hybridMultilevel"/>
    <w:lvl w:ilvl="0">
      <w:lvlJc w:val="left"/>
      <w:lvlText w:val="(%1)"/>
      <w:numFmt w:val="decimal"/>
      <w:start w:val="1"/>
    </w:lvl>
  </w:abstractNum>
  <w:abstractNum w:abstractNumId="18">
    <w:nsid w:val="1F48EAA1"/>
    <w:multiLevelType w:val="hybridMultilevel"/>
    <w:lvl w:ilvl="0">
      <w:lvlJc w:val="left"/>
      <w:lvlText w:val="(%1)"/>
      <w:numFmt w:val="lowerRoman"/>
      <w:start w:val="10"/>
    </w:lvl>
  </w:abstractNum>
  <w:abstractNum w:abstractNumId="19">
    <w:nsid w:val="1381823A"/>
    <w:multiLevelType w:val="hybridMultilevel"/>
    <w:lvl w:ilvl="0">
      <w:lvlJc w:val="left"/>
      <w:lvlText w:val="(%1)"/>
      <w:numFmt w:val="lowerRoman"/>
      <w:start w:val="2"/>
    </w:lvl>
  </w:abstractNum>
  <w:abstractNum w:abstractNumId="20">
    <w:nsid w:val="5DB70AE5"/>
    <w:multiLevelType w:val="hybridMultilevel"/>
    <w:lvl w:ilvl="0">
      <w:lvlJc w:val="left"/>
      <w:lvlText w:val="(%1)"/>
      <w:numFmt w:val="upperLetter"/>
      <w:start w:val="5"/>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lvl w:ilvl="1">
      <w:lvlJc w:val="left"/>
      <w:lvlText w:val="%2."/>
      <w:numFmt w:val="decimal"/>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1)"/>
      <w:numFmt w:val="lowerRoman"/>
      <w:start w:val="3"/>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1)"/>
      <w:numFmt w:val="decimal"/>
      <w:start w:val="1"/>
    </w:lvl>
  </w:abstractNum>
  <w:abstractNum w:abstractNumId="34">
    <w:nsid w:val="7BD3EE7B"/>
    <w:multiLevelType w:val="hybridMultilevel"/>
    <w:lvl w:ilvl="0">
      <w:lvlJc w:val="left"/>
      <w:lvlText w:val="(%1)"/>
      <w:numFmt w:val="lowerLetter"/>
      <w:start w:val="2"/>
    </w:lvl>
  </w:abstractNum>
  <w:abstractNum w:abstractNumId="35">
    <w:nsid w:val="51D9C564"/>
    <w:multiLevelType w:val="hybridMultilevel"/>
    <w:lvl w:ilvl="0">
      <w:lvlJc w:val="left"/>
      <w:lvlText w:val="(%1)"/>
      <w:numFmt w:val="decimal"/>
      <w:start w:val="1"/>
    </w:lvl>
  </w:abstractNum>
  <w:abstractNum w:abstractNumId="36">
    <w:nsid w:val="613EFDC5"/>
    <w:multiLevelType w:val="hybridMultilevel"/>
    <w:lvl w:ilvl="0">
      <w:lvlJc w:val="left"/>
      <w:lvlText w:val="(%1)"/>
      <w:numFmt w:val="decimal"/>
      <w:start w:val="1"/>
    </w:lvl>
  </w:abstractNum>
  <w:abstractNum w:abstractNumId="37">
    <w:nsid w:val="BF72B14"/>
    <w:multiLevelType w:val="hybridMultilevel"/>
    <w:lvl w:ilvl="0">
      <w:lvlJc w:val="left"/>
      <w:lvlText w:val="(%1)"/>
      <w:numFmt w:val="decimal"/>
      <w:start w:val="1"/>
    </w:lvl>
  </w:abstractNum>
  <w:abstractNum w:abstractNumId="38">
    <w:nsid w:val="11447B73"/>
    <w:multiLevelType w:val="hybridMultilevel"/>
    <w:lvl w:ilvl="0">
      <w:lvlJc w:val="left"/>
      <w:lvlText w:val="(%1)"/>
      <w:numFmt w:val="decimal"/>
      <w:start w:val="1"/>
    </w:lvl>
  </w:abstractNum>
  <w:abstractNum w:abstractNumId="39">
    <w:nsid w:val="42963E5A"/>
    <w:multiLevelType w:val="hybridMultilevel"/>
    <w:lvl w:ilvl="0">
      <w:lvlJc w:val="left"/>
      <w:lvlText w:val="(%1)"/>
      <w:numFmt w:val="decimal"/>
      <w:start w:val="2"/>
    </w:lvl>
  </w:abstractNum>
  <w:abstractNum w:abstractNumId="40">
    <w:nsid w:val="A0382C5"/>
    <w:multiLevelType w:val="hybridMultilevel"/>
    <w:lvl w:ilvl="0">
      <w:lvlJc w:val="left"/>
      <w:lvlText w:val="(%1)"/>
      <w:numFmt w:val="decimal"/>
      <w:start w:val="3"/>
    </w:lvl>
  </w:abstractNum>
  <w:abstractNum w:abstractNumId="41">
    <w:nsid w:val="8F2B15E"/>
    <w:multiLevelType w:val="hybridMultilevel"/>
    <w:lvl w:ilvl="0">
      <w:lvlJc w:val="left"/>
      <w:lvlText w:val="(%1)"/>
      <w:numFmt w:val="decimal"/>
      <w:start w:val="4"/>
    </w:lvl>
  </w:abstractNum>
  <w:abstractNum w:abstractNumId="42">
    <w:nsid w:val="1A32234B"/>
    <w:multiLevelType w:val="hybridMultilevel"/>
    <w:lvl w:ilvl="0">
      <w:lvlJc w:val="left"/>
      <w:lvlText w:val="(%1)"/>
      <w:numFmt w:val="decimal"/>
      <w:start w:val="5"/>
    </w:lvl>
  </w:abstractNum>
  <w:abstractNum w:abstractNumId="43">
    <w:nsid w:val="3B0FD379"/>
    <w:multiLevelType w:val="hybridMultilevel"/>
    <w:lvl w:ilvl="0">
      <w:lvlJc w:val="left"/>
      <w:lvlText w:val="(%1)"/>
      <w:numFmt w:val="decimal"/>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1)"/>
      <w:numFmt w:val="decimal"/>
      <w:start w:val="1"/>
    </w:lvl>
  </w:abstractNum>
  <w:abstractNum w:abstractNumId="46">
    <w:nsid w:val="60B6DF70"/>
    <w:multiLevelType w:val="hybridMultilevel"/>
    <w:lvl w:ilvl="0">
      <w:lvlJc w:val="left"/>
      <w:lvlText w:val="(%1)"/>
      <w:numFmt w:val="decimal"/>
      <w:start w:val="1"/>
    </w:lvl>
  </w:abstractNum>
  <w:abstractNum w:abstractNumId="47">
    <w:nsid w:val="6A5EE64"/>
    <w:multiLevelType w:val="hybridMultilevel"/>
    <w:lvl w:ilvl="0">
      <w:lvlJc w:val="left"/>
      <w:lvlText w:val="(%1)"/>
      <w:numFmt w:val="decimal"/>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1)"/>
      <w:numFmt w:val="decimal"/>
      <w:start w:val="1"/>
    </w:lvl>
  </w:abstractNum>
  <w:abstractNum w:abstractNumId="50">
    <w:nsid w:val="1A27709E"/>
    <w:multiLevelType w:val="hybridMultilevel"/>
    <w:lvl w:ilvl="0">
      <w:lvlJc w:val="left"/>
      <w:lvlText w:val="(%1)"/>
      <w:numFmt w:val="decimal"/>
      <w:start w:val="3"/>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1)"/>
      <w:numFmt w:val="decimal"/>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1)"/>
      <w:numFmt w:val="lowerLetter"/>
      <w:start w:val="1"/>
    </w:lvl>
  </w:abstractNum>
  <w:abstractNum w:abstractNumId="56">
    <w:nsid w:val="94211F2"/>
    <w:multiLevelType w:val="hybridMultilevel"/>
    <w:lvl w:ilvl="0">
      <w:lvlJc w:val="left"/>
      <w:lvlText w:val="(%1)"/>
      <w:numFmt w:val="lowerLetter"/>
      <w:start w:val="35"/>
    </w:lvl>
  </w:abstractNum>
  <w:abstractNum w:abstractNumId="57">
    <w:nsid w:val="885E1B"/>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58">
    <w:nsid w:val="76272110"/>
    <w:multiLevelType w:val="hybridMultilevel"/>
    <w:lvl w:ilvl="0">
      <w:lvlJc w:val="left"/>
      <w:lvlText w:val="(%1)"/>
      <w:numFmt w:val="lowerRoman"/>
      <w:start w:val="2"/>
    </w:lvl>
  </w:abstractNum>
  <w:abstractNum w:abstractNumId="59">
    <w:nsid w:val="4C04A8AF"/>
    <w:multiLevelType w:val="hybridMultilevel"/>
    <w:lvl w:ilvl="0">
      <w:lvlJc w:val="left"/>
      <w:lvlText w:val="(%1)"/>
      <w:numFmt w:val="lowerLetter"/>
      <w:start w:val="11"/>
    </w:lvl>
  </w:abstractNum>
  <w:abstractNum w:abstractNumId="60">
    <w:nsid w:val="1716703B"/>
    <w:multiLevelType w:val="hybridMultilevel"/>
    <w:lvl w:ilvl="0">
      <w:lvlJc w:val="left"/>
      <w:lvlText w:val="(%1)"/>
      <w:numFmt w:val="lowerLetter"/>
      <w:start w:val="13"/>
    </w:lvl>
    <w:lvl w:ilvl="1">
      <w:lvlJc w:val="left"/>
      <w:lvlText w:val="(%2)"/>
      <w:numFmt w:val="lowerRoman"/>
      <w:start w:val="1"/>
    </w:lvl>
  </w:abstractNum>
  <w:abstractNum w:abstractNumId="61">
    <w:nsid w:val="14E17E33"/>
    <w:multiLevelType w:val="hybridMultilevel"/>
    <w:lvl w:ilvl="0">
      <w:lvlJc w:val="left"/>
      <w:lvlText w:val="(%1)"/>
      <w:numFmt w:val="lowerLetter"/>
      <w:start w:val="22"/>
    </w:lvl>
  </w:abstractNum>
  <w:abstractNum w:abstractNumId="62">
    <w:nsid w:val="3222E7CD"/>
    <w:multiLevelType w:val="hybridMultilevel"/>
    <w:lvl w:ilvl="0">
      <w:lvlJc w:val="left"/>
      <w:lvlText w:val="(%1)"/>
      <w:numFmt w:val="lowerLetter"/>
      <w:start w:val="28"/>
    </w:lvl>
  </w:abstractNum>
  <w:abstractNum w:abstractNumId="63">
    <w:nsid w:val="74DE0EE3"/>
    <w:multiLevelType w:val="hybridMultilevel"/>
    <w:lvl w:ilvl="0">
      <w:lvlJc w:val="left"/>
      <w:lvlText w:val="(%1)"/>
      <w:numFmt w:val="lowerLetter"/>
      <w:start w:val="1"/>
    </w:lvl>
  </w:abstractNum>
  <w:abstractNum w:abstractNumId="64">
    <w:nsid w:val="68EBC550"/>
    <w:multiLevelType w:val="hybridMultilevel"/>
    <w:lvl w:ilvl="0">
      <w:lvlJc w:val="left"/>
      <w:lvlText w:val="(%1)"/>
      <w:numFmt w:val="lowerLetter"/>
      <w:start w:val="3"/>
    </w:lvl>
    <w:lvl w:ilvl="1">
      <w:lvlJc w:val="left"/>
      <w:lvlText w:val="(%2)"/>
      <w:numFmt w:val="lowerRoman"/>
      <w:start w:val="1"/>
    </w:lvl>
  </w:abstractNum>
  <w:abstractNum w:abstractNumId="65">
    <w:nsid w:val="2DF6D648"/>
    <w:multiLevelType w:val="hybridMultilevel"/>
    <w:lvl w:ilvl="0">
      <w:lvlJc w:val="left"/>
      <w:lvlText w:val="(%1)"/>
      <w:numFmt w:val="lowerLetter"/>
      <w:start w:val="1"/>
    </w:lvl>
  </w:abstractNum>
  <w:abstractNum w:abstractNumId="66">
    <w:nsid w:val="46B7D447"/>
    <w:multiLevelType w:val="hybridMultilevel"/>
    <w:lvl w:ilvl="0">
      <w:lvlJc w:val="left"/>
      <w:lvlText w:val="(%1)"/>
      <w:numFmt w:val="lowerLetter"/>
      <w:start w:val="1"/>
    </w:lvl>
  </w:abstractNum>
  <w:abstractNum w:abstractNumId="67">
    <w:nsid w:val="4A2AC315"/>
    <w:multiLevelType w:val="hybridMultilevel"/>
    <w:lvl w:ilvl="0">
      <w:lvlJc w:val="left"/>
      <w:lvlText w:val="(%1)"/>
      <w:numFmt w:val="lowerLetter"/>
      <w:start w:val="4"/>
    </w:lvl>
  </w:abstractNum>
  <w:abstractNum w:abstractNumId="68">
    <w:nsid w:val="39EE015C"/>
    <w:multiLevelType w:val="hybridMultilevel"/>
    <w:lvl w:ilvl="0">
      <w:lvlJc w:val="left"/>
      <w:lvlText w:val="(%1)"/>
      <w:numFmt w:val="lowerLetter"/>
      <w:start w:val="1"/>
    </w:lvl>
  </w:abstractNum>
  <w:abstractNum w:abstractNumId="69">
    <w:nsid w:val="57FC4FBB"/>
    <w:multiLevelType w:val="hybridMultilevel"/>
    <w:lvl w:ilvl="0">
      <w:lvlJc w:val="left"/>
      <w:lvlText w:val="(%1)"/>
      <w:numFmt w:val="lowerLetter"/>
      <w:start w:val="1"/>
    </w:lvl>
  </w:abstractNum>
  <w:abstractNum w:abstractNumId="70">
    <w:nsid w:val="CC1016F"/>
    <w:multiLevelType w:val="hybridMultilevel"/>
    <w:lvl w:ilvl="0">
      <w:lvlJc w:val="left"/>
      <w:lvlText w:val="(%1)"/>
      <w:numFmt w:val="lowerLetter"/>
      <w:start w:val="10"/>
    </w:lvl>
  </w:abstractNum>
  <w:abstractNum w:abstractNumId="71">
    <w:nsid w:val="43F18422"/>
    <w:multiLevelType w:val="hybridMultilevel"/>
    <w:lvl w:ilvl="0">
      <w:lvlJc w:val="left"/>
      <w:lvlText w:val="(%1)"/>
      <w:numFmt w:val="lowerLetter"/>
      <w:start w:val="1"/>
    </w:lvl>
  </w:abstractNum>
  <w:abstractNum w:abstractNumId="72">
    <w:nsid w:val="60EF0119"/>
    <w:multiLevelType w:val="hybridMultilevel"/>
    <w:lvl w:ilvl="0">
      <w:lvlJc w:val="left"/>
      <w:lvlText w:val="(%1)"/>
      <w:numFmt w:val="lowerLetter"/>
      <w:start w:val="1"/>
    </w:lvl>
  </w:abstractNum>
  <w:abstractNum w:abstractNumId="73">
    <w:nsid w:val="26F324BA"/>
    <w:multiLevelType w:val="hybridMultilevel"/>
    <w:lvl w:ilvl="0">
      <w:lvlJc w:val="left"/>
      <w:lvlText w:val="(%1)"/>
      <w:numFmt w:val="lowerLetter"/>
      <w:start w:val="1"/>
    </w:lvl>
  </w:abstractNum>
  <w:abstractNum w:abstractNumId="74">
    <w:nsid w:val="7F01579B"/>
    <w:multiLevelType w:val="hybridMultilevel"/>
    <w:lvl w:ilvl="0">
      <w:lvlJc w:val="left"/>
      <w:lvlText w:val="(%1)"/>
      <w:numFmt w:val="lowerLetter"/>
      <w:start w:val="4"/>
    </w:lvl>
  </w:abstractNum>
  <w:abstractNum w:abstractNumId="75">
    <w:nsid w:val="49DA307D"/>
    <w:multiLevelType w:val="hybridMultilevel"/>
    <w:lvl w:ilvl="0">
      <w:lvlJc w:val="left"/>
      <w:lvlText w:val="(%1)"/>
      <w:numFmt w:val="lowerLetter"/>
      <w:start w:val="1"/>
    </w:lvl>
    <w:lvl w:ilvl="1">
      <w:lvlJc w:val="left"/>
      <w:lvlText w:val="(%2)"/>
      <w:numFmt w:val="lowerRoman"/>
      <w:start w:val="1"/>
    </w:lvl>
  </w:abstractNum>
  <w:abstractNum w:abstractNumId="76">
    <w:nsid w:val="7055A5F5"/>
    <w:multiLevelType w:val="hybridMultilevel"/>
    <w:lvl w:ilvl="0">
      <w:lvlJc w:val="left"/>
      <w:lvlText w:val="(%1)"/>
      <w:numFmt w:val="lowerLetter"/>
      <w:start w:val="2"/>
    </w:lvl>
    <w:lvl w:ilvl="1">
      <w:lvlJc w:val="left"/>
      <w:lvlText w:val="(%2)"/>
      <w:numFmt w:val="lowerRoman"/>
      <w:start w:val="1"/>
    </w:lvl>
  </w:abstractNum>
  <w:abstractNum w:abstractNumId="77">
    <w:nsid w:val="5FB8370B"/>
    <w:multiLevelType w:val="hybridMultilevel"/>
    <w:lvl w:ilvl="0">
      <w:lvlJc w:val="left"/>
      <w:lvlText w:val="(%1)"/>
      <w:numFmt w:val="lowerLetter"/>
      <w:start w:val="4"/>
    </w:lvl>
  </w:abstractNum>
  <w:abstractNum w:abstractNumId="78">
    <w:nsid w:val="50801EE1"/>
    <w:multiLevelType w:val="hybridMultilevel"/>
    <w:lvl w:ilvl="0">
      <w:lvlJc w:val="left"/>
      <w:lvlText w:val="(%1)"/>
      <w:numFmt w:val="lowerLetter"/>
      <w:start w:val="1"/>
    </w:lvl>
    <w:lvl w:ilvl="1">
      <w:lvlJc w:val="left"/>
      <w:lvlText w:val="(%2)"/>
      <w:numFmt w:val="lowerRoman"/>
      <w:start w:val="1"/>
    </w:lvl>
  </w:abstractNum>
  <w:abstractNum w:abstractNumId="79">
    <w:nsid w:val="488AC1A"/>
    <w:multiLevelType w:val="hybridMultilevel"/>
    <w:lvl w:ilvl="0">
      <w:lvlJc w:val="left"/>
      <w:lvlText w:val="(%1)"/>
      <w:numFmt w:val="lowerLetter"/>
      <w:start w:val="2"/>
    </w:lvl>
  </w:abstractNum>
  <w:abstractNum w:abstractNumId="80">
    <w:nsid w:val="5FB8011C"/>
    <w:multiLevelType w:val="hybridMultilevel"/>
    <w:lvl w:ilvl="0">
      <w:lvlJc w:val="left"/>
      <w:lvlText w:val="(%1)"/>
      <w:numFmt w:val="lowerLetter"/>
      <w:start w:val="1"/>
    </w:lvl>
  </w:abstractNum>
  <w:abstractNum w:abstractNumId="81">
    <w:nsid w:val="6AA78F7F"/>
    <w:multiLevelType w:val="hybridMultilevel"/>
    <w:lvl w:ilvl="0">
      <w:lvlJc w:val="left"/>
      <w:lvlText w:val="(%1)"/>
      <w:numFmt w:val="lowerLetter"/>
      <w:start w:val="1"/>
    </w:lvl>
  </w:abstractNum>
  <w:abstractNum w:abstractNumId="82">
    <w:nsid w:val="7672BD23"/>
    <w:multiLevelType w:val="hybridMultilevel"/>
    <w:lvl w:ilvl="0">
      <w:lvlJc w:val="left"/>
      <w:lvlText w:val="(%1)"/>
      <w:numFmt w:val="lowerLetter"/>
      <w:start w:val="1"/>
    </w:lvl>
  </w:abstractNum>
  <w:abstractNum w:abstractNumId="83">
    <w:nsid w:val="6FC75AF8"/>
    <w:multiLevelType w:val="hybridMultilevel"/>
    <w:lvl w:ilvl="0">
      <w:lvlJc w:val="left"/>
      <w:lvlText w:val="(%1)"/>
      <w:numFmt w:val="lowerLetter"/>
      <w:start w:val="1"/>
    </w:lvl>
  </w:abstractNum>
  <w:abstractNum w:abstractNumId="84">
    <w:nsid w:val="6A5F7029"/>
    <w:multiLevelType w:val="hybridMultilevel"/>
    <w:lvl w:ilvl="0">
      <w:lvlJc w:val="left"/>
      <w:lvlText w:val="(%1)"/>
      <w:numFmt w:val="lowerLetter"/>
      <w:start w:val="1"/>
    </w:lvl>
  </w:abstractNum>
  <w:abstractNum w:abstractNumId="85">
    <w:nsid w:val="7D5E18F8"/>
    <w:multiLevelType w:val="hybridMultilevel"/>
    <w:lvl w:ilvl="0">
      <w:lvlJc w:val="left"/>
      <w:lvlText w:val="(%1)"/>
      <w:numFmt w:val="lowerLetter"/>
      <w:start w:val="1"/>
    </w:lvl>
  </w:abstractNum>
  <w:abstractNum w:abstractNumId="86">
    <w:nsid w:val="5F3534A4"/>
    <w:multiLevelType w:val="hybridMultilevel"/>
    <w:lvl w:ilvl="0">
      <w:lvlJc w:val="left"/>
      <w:lvlText w:val="(%1)"/>
      <w:numFmt w:val="lowerLetter"/>
      <w:start w:val="1"/>
    </w:lvl>
  </w:abstractNum>
  <w:abstractNum w:abstractNumId="87">
    <w:nsid w:val="73A1821B"/>
    <w:multiLevelType w:val="hybridMultilevel"/>
    <w:lvl w:ilvl="0">
      <w:lvlJc w:val="left"/>
      <w:lvlText w:val="(%1)"/>
      <w:numFmt w:val="lowerLetter"/>
      <w:start w:val="1"/>
    </w:lvl>
  </w:abstractNum>
  <w:abstractNum w:abstractNumId="88">
    <w:nsid w:val="7DE67713"/>
    <w:multiLevelType w:val="hybridMultilevel"/>
    <w:lvl w:ilvl="0">
      <w:lvlJc w:val="left"/>
      <w:lvlText w:val="(%1)"/>
      <w:numFmt w:val="lowerLetter"/>
      <w:start w:val="1"/>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Letter"/>
      <w:start w:val="1"/>
    </w:lvl>
  </w:abstractNum>
  <w:abstractNum w:abstractNumId="91">
    <w:nsid w:val="14FCE74E"/>
    <w:multiLevelType w:val="hybridMultilevel"/>
    <w:lvl w:ilvl="0">
      <w:lvlJc w:val="left"/>
      <w:lvlText w:val="(%1)"/>
      <w:numFmt w:val="lowerLetter"/>
      <w:start w:val="1"/>
    </w:lvl>
  </w:abstractNum>
  <w:abstractNum w:abstractNumId="92">
    <w:nsid w:val="6A3DD3E8"/>
    <w:multiLevelType w:val="hybridMultilevel"/>
    <w:lvl w:ilvl="0">
      <w:lvlJc w:val="left"/>
      <w:lvlText w:val="(%1)"/>
      <w:numFmt w:val="lowerLetter"/>
      <w:start w:val="1"/>
    </w:lvl>
    <w:lvl w:ilvl="1">
      <w:lvlJc w:val="left"/>
      <w:lvlText w:val="(%2)"/>
      <w:numFmt w:val="lowerRoman"/>
      <w:start w:val="1"/>
    </w:lvl>
  </w:abstractNum>
  <w:abstractNum w:abstractNumId="93">
    <w:nsid w:val="71C91298"/>
    <w:multiLevelType w:val="hybridMultilevel"/>
    <w:lvl w:ilvl="0">
      <w:lvlJc w:val="left"/>
      <w:lvlText w:val="(%1)"/>
      <w:numFmt w:val="lowerLetter"/>
      <w:start w:val="6"/>
    </w:lvl>
    <w:lvl w:ilvl="1">
      <w:lvlJc w:val="left"/>
      <w:lvlText w:val="(%2)"/>
      <w:numFmt w:val="lowerLetter"/>
      <w:start w:val="9"/>
    </w:lvl>
  </w:abstractNum>
  <w:abstractNum w:abstractNumId="94">
    <w:nsid w:val="9DAF632"/>
    <w:multiLevelType w:val="hybridMultilevel"/>
    <w:lvl w:ilvl="0">
      <w:lvlJc w:val="left"/>
      <w:lvlText w:val="(%1)"/>
      <w:numFmt w:val="lowerRoman"/>
      <w:start w:val="2"/>
    </w:lvl>
  </w:abstractNum>
  <w:abstractNum w:abstractNumId="95">
    <w:nsid w:val="53299938"/>
    <w:multiLevelType w:val="hybridMultilevel"/>
    <w:lvl w:ilvl="0">
      <w:lvlJc w:val="left"/>
      <w:lvlText w:val="(%1)"/>
      <w:numFmt w:val="lowerLetter"/>
      <w:start w:val="7"/>
    </w:lvl>
  </w:abstractNum>
  <w:abstractNum w:abstractNumId="96">
    <w:nsid w:val="1FBFE8E0"/>
    <w:multiLevelType w:val="hybridMultilevel"/>
    <w:lvl w:ilvl="0">
      <w:lvlJc w:val="left"/>
      <w:lvlText w:val="(%1)"/>
      <w:numFmt w:val="lowerLetter"/>
      <w:start w:val="1"/>
    </w:lvl>
  </w:abstractNum>
  <w:abstractNum w:abstractNumId="97">
    <w:nsid w:val="5092CA79"/>
    <w:multiLevelType w:val="hybridMultilevel"/>
    <w:lvl w:ilvl="0">
      <w:lvlJc w:val="left"/>
      <w:lvlText w:val="(%1)"/>
      <w:numFmt w:val="lowerLetter"/>
      <w:start w:val="2"/>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lowerLetter"/>
      <w:start w:val="1"/>
    </w:lvl>
  </w:abstractNum>
  <w:abstractNum w:abstractNumId="100">
    <w:nsid w:val="288F1A34"/>
    <w:multiLevelType w:val="hybridMultilevel"/>
    <w:lvl w:ilvl="0">
      <w:lvlJc w:val="left"/>
      <w:lvlText w:val="(%1)"/>
      <w:numFmt w:val="lowerLetter"/>
      <w:start w:val="3"/>
    </w:lvl>
  </w:abstractNum>
  <w:abstractNum w:abstractNumId="101">
    <w:nsid w:val="2A155DBC"/>
    <w:multiLevelType w:val="hybridMultilevel"/>
    <w:lvl w:ilvl="0">
      <w:lvlJc w:val="left"/>
      <w:lvlText w:val="(%1)"/>
      <w:numFmt w:val="lowerLetter"/>
      <w:start w:val="1"/>
    </w:lvl>
  </w:abstractNum>
  <w:abstractNum w:abstractNumId="102">
    <w:nsid w:val="1D9F6E5F"/>
    <w:multiLevelType w:val="hybridMultilevel"/>
    <w:lvl w:ilvl="0">
      <w:lvlJc w:val="left"/>
      <w:lvlText w:val="(%1)"/>
      <w:numFmt w:val="lowerLetter"/>
      <w:start w:val="1"/>
    </w:lvl>
  </w:abstractNum>
  <w:abstractNum w:abstractNumId="103">
    <w:nsid w:val="97E1B4E"/>
    <w:multiLevelType w:val="hybridMultilevel"/>
    <w:lvl w:ilvl="0">
      <w:lvlJc w:val="left"/>
      <w:lvlText w:val="(%1)"/>
      <w:numFmt w:val="lowerLetter"/>
      <w:start w:val="1"/>
    </w:lvl>
    <w:lvl w:ilvl="1">
      <w:lvlJc w:val="left"/>
      <w:lvlText w:val="(%2)"/>
      <w:numFmt w:val="lowerRoman"/>
      <w:start w:val="1"/>
    </w:lvl>
  </w:abstractNum>
  <w:abstractNum w:abstractNumId="104">
    <w:nsid w:val="51088277"/>
    <w:multiLevelType w:val="hybridMultilevel"/>
    <w:lvl w:ilvl="0">
      <w:lvlJc w:val="left"/>
      <w:lvlText w:val="(%1)"/>
      <w:numFmt w:val="lowerLetter"/>
      <w:start w:val="3"/>
    </w:lvl>
  </w:abstractNum>
  <w:abstractNum w:abstractNumId="105">
    <w:nsid w:val="1CA0C5FA"/>
    <w:multiLevelType w:val="hybridMultilevel"/>
    <w:lvl w:ilvl="0">
      <w:lvlJc w:val="left"/>
      <w:lvlText w:val="(%1)"/>
      <w:numFmt w:val="lowerLetter"/>
      <w:start w:val="1"/>
    </w:lvl>
    <w:lvl w:ilvl="1">
      <w:lvlJc w:val="left"/>
      <w:lvlText w:val="(%2)"/>
      <w:numFmt w:val="lowerRoman"/>
      <w:start w:val="1"/>
    </w:lvl>
  </w:abstractNum>
  <w:abstractNum w:abstractNumId="106">
    <w:nsid w:val="53584BCB"/>
    <w:multiLevelType w:val="hybridMultilevel"/>
    <w:lvl w:ilvl="0">
      <w:lvlJc w:val="left"/>
      <w:lvlText w:val="(%1)"/>
      <w:numFmt w:val="lowerLetter"/>
      <w:start w:val="1"/>
    </w:lvl>
  </w:abstractNum>
  <w:abstractNum w:abstractNumId="107">
    <w:nsid w:val="415E286C"/>
    <w:multiLevelType w:val="hybridMultilevel"/>
    <w:lvl w:ilvl="0">
      <w:lvlJc w:val="left"/>
      <w:lvlText w:val="%1."/>
      <w:numFmt w:val="decimal"/>
      <w:start w:val="1"/>
    </w:lvl>
  </w:abstractNum>
  <w:abstractNum w:abstractNumId="108">
    <w:nsid w:val="7C58FD05"/>
    <w:multiLevelType w:val="hybridMultilevel"/>
    <w:lvl w:ilvl="0">
      <w:lvlJc w:val="left"/>
      <w:lvlText w:val="%1."/>
      <w:numFmt w:val="decimal"/>
      <w:start w:val="3"/>
    </w:lvl>
  </w:abstractNum>
  <w:abstractNum w:abstractNumId="109">
    <w:nsid w:val="23D86AAC"/>
    <w:multiLevelType w:val="hybridMultilevel"/>
    <w:lvl w:ilvl="0">
      <w:lvlJc w:val="left"/>
      <w:lvlText w:val="(%1)"/>
      <w:numFmt w:val="upperLetter"/>
      <w:start w:val="1"/>
    </w:lvl>
    <w:lvl w:ilvl="1">
      <w:lvlJc w:val="left"/>
      <w:lvlText w:val="%2."/>
      <w:numFmt w:val="decimal"/>
      <w:start w:val="1"/>
    </w:lvl>
  </w:abstractNum>
  <w:abstractNum w:abstractNumId="110">
    <w:nsid w:val="45E6D486"/>
    <w:multiLevelType w:val="hybridMultilevel"/>
    <w:lvl w:ilvl="0">
      <w:lvlJc w:val="left"/>
      <w:lvlText w:val="(%1)"/>
      <w:numFmt w:val="upperLetter"/>
      <w:start w:val="1"/>
    </w:lvl>
    <w:lvl w:ilvl="1">
      <w:lvlJc w:val="left"/>
      <w:lvlText w:val="(%2)"/>
      <w:numFmt w:val="decimal"/>
      <w:start w:val="1"/>
    </w:lvl>
  </w:abstractNum>
  <w:abstractNum w:abstractNumId="111">
    <w:nsid w:val="5C10FE21"/>
    <w:multiLevelType w:val="hybridMultilevel"/>
    <w:lvl w:ilvl="0">
      <w:lvlJc w:val="left"/>
      <w:lvlText w:val="(%1)"/>
      <w:numFmt w:val="upperLetter"/>
      <w:start w:val="4"/>
    </w:lvl>
  </w:abstractNum>
  <w:abstractNum w:abstractNumId="112">
    <w:nsid w:val="E7FFA2B"/>
    <w:multiLevelType w:val="hybridMultilevel"/>
    <w:lvl w:ilvl="0">
      <w:lvlJc w:val="left"/>
      <w:lvlText w:val="(%1)"/>
      <w:numFmt w:val="upperLetter"/>
      <w:start w:val="1"/>
    </w:lvl>
  </w:abstractNum>
  <w:abstractNum w:abstractNumId="113">
    <w:nsid w:val="3C5991AA"/>
    <w:multiLevelType w:val="hybridMultilevel"/>
    <w:lvl w:ilvl="0">
      <w:lvlJc w:val="left"/>
      <w:lvlText w:val="(%1)"/>
      <w:numFmt w:val="upperLetter"/>
      <w:start w:val="1"/>
    </w:lvl>
    <w:lvl w:ilvl="1">
      <w:lvlJc w:val="left"/>
      <w:lvlText w:val="(%2)"/>
      <w:numFmt w:val="decimal"/>
      <w:start w:val="1"/>
    </w:lvl>
  </w:abstractNum>
  <w:abstractNum w:abstractNumId="114">
    <w:nsid w:val="4BD8591A"/>
    <w:multiLevelType w:val="hybridMultilevel"/>
    <w:lvl w:ilvl="0">
      <w:lvlJc w:val="left"/>
      <w:lvlText w:val="(%1)"/>
      <w:numFmt w:val="upp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2023-03-13T07:08:44Z</dcterms:created>
  <dcterms:modified xsi:type="dcterms:W3CDTF">2023-03-13T07:08:44Z</dcterms:modified>
</cp:coreProperties>
</file>