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             </w:t>
            </w:r>
          </w:p>
        </w:tc>
      </w:tr>
    </w:tbl>
    <w:p>
      <w:pPr>
        <w:pStyle w:val="TextBody"/>
        <w:bidi w:val="0"/>
        <w:spacing w:lineRule="auto" w:line="288" w:before="100" w:after="283"/>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001-39408</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7373 Gateway Boulevard, Newark, CA 94560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before="100" w:after="283"/>
        <w:ind w:left="0" w:right="0" w:firstLine="720"/>
        <w:jc w:val="both"/>
        <w:rPr/>
      </w:pPr>
      <w:r>
        <w:rPr/>
      </w:r>
    </w:p>
    <w:p>
      <w:pPr>
        <w:pStyle w:val="TextBody"/>
        <w:bidi w:val="0"/>
        <w:spacing w:lineRule="auto" w:line="288" w:before="100" w:after="283"/>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77"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09"/>
        <w:gridCol w:w="109"/>
        <w:gridCol w:w="109"/>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Number of shares of the registrant’s common stock outstanding at August 1, 2023: 2,282,650,261</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INDEX TO FORM 10-Q</w:t>
      </w:r>
    </w:p>
    <w:tbl>
      <w:tblPr>
        <w:tblW w:w="10205" w:type="dxa"/>
        <w:jc w:val="left"/>
        <w:tblInd w:w="0" w:type="dxa"/>
        <w:tblLayout w:type="fixed"/>
        <w:tblCellMar>
          <w:top w:w="28" w:type="dxa"/>
          <w:left w:w="28" w:type="dxa"/>
          <w:bottom w:w="28" w:type="dxa"/>
          <w:right w:w="28" w:type="dxa"/>
        </w:tblCellMar>
      </w:tblPr>
      <w:tblGrid>
        <w:gridCol w:w="311"/>
        <w:gridCol w:w="273"/>
        <w:gridCol w:w="273"/>
        <w:gridCol w:w="273"/>
        <w:gridCol w:w="273"/>
        <w:gridCol w:w="273"/>
        <w:gridCol w:w="2644"/>
        <w:gridCol w:w="2644"/>
        <w:gridCol w:w="2697"/>
        <w:gridCol w:w="158"/>
        <w:gridCol w:w="158"/>
        <w:gridCol w:w="22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6">
              <w:r>
                <w:rPr>
                  <w:rStyle w:val="InternetLink"/>
                  <w:rFonts w:ascii="Times New Roman;sans-serif" w:hAnsi="Times New Roman;sans-serif"/>
                  <w:b w:val="false"/>
                  <w:color w:val="0E32E1"/>
                  <w:sz w:val="20"/>
                  <w:u w:val="single"/>
                </w:rPr>
                <w:t>PART I. FINANCIAL INFORMATION</w:t>
              </w:r>
            </w:hyperlink>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0">
              <w:r>
                <w:rPr>
                  <w:rStyle w:val="InternetLink"/>
                  <w:rFonts w:ascii="Times New Roman;sans-serif" w:hAnsi="Times New Roman;sans-serif"/>
                  <w:b w:val="false"/>
                  <w:color w:val="0E32E1"/>
                  <w:sz w:val="20"/>
                  <w:u w:val="single"/>
                </w:rPr>
                <w:t>Cautionary Note Regarding Forward-Looking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0">
              <w:r>
                <w:rPr>
                  <w:rStyle w:val="InternetLink"/>
                  <w:rFonts w:ascii="Times New Roman;sans-serif" w:hAnsi="Times New Roman;sans-serif"/>
                  <w:b w:val="false"/>
                  <w:strike w:val="false"/>
                  <w:dstrike w:val="false"/>
                  <w:color w:val="242424"/>
                  <w:sz w:val="20"/>
                  <w:u w:val="none"/>
                  <w:effect w:val="none"/>
                </w:rPr>
                <w:t>3</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3">
              <w:r>
                <w:rPr>
                  <w:rStyle w:val="InternetLink"/>
                  <w:rFonts w:ascii="Times New Roman;sans-serif" w:hAnsi="Times New Roman;sans-serif"/>
                  <w:b w:val="false"/>
                  <w:color w:val="0E32E1"/>
                  <w:sz w:val="20"/>
                  <w:u w:val="single"/>
                </w:rPr>
                <w:t>Frequently Used Terms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3">
              <w:r>
                <w:rPr>
                  <w:rStyle w:val="InternetLink"/>
                  <w:rFonts w:ascii="Times New Roman;sans-serif" w:hAnsi="Times New Roman;sans-serif"/>
                  <w:b w:val="false"/>
                  <w:strike w:val="false"/>
                  <w:dstrike w:val="false"/>
                  <w:color w:val="000000"/>
                  <w:sz w:val="20"/>
                  <w:u w:val="none"/>
                  <w:effect w:val="none"/>
                </w:rPr>
                <w:t>4</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9">
              <w:r>
                <w:rPr>
                  <w:rStyle w:val="InternetLink"/>
                  <w:rFonts w:ascii="Times New Roman;sans-serif" w:hAnsi="Times New Roman;sans-serif"/>
                  <w:b w:val="false"/>
                  <w:strike w:val="false"/>
                  <w:dstrike w:val="false"/>
                  <w:color w:val="000000"/>
                  <w:sz w:val="20"/>
                  <w:u w:val="none"/>
                  <w:effect w:val="none"/>
                </w:rPr>
                <w:t>Item 1.</w:t>
              </w:r>
            </w:hyperlink>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9">
              <w:r>
                <w:rPr>
                  <w:rStyle w:val="InternetLink"/>
                  <w:rFonts w:ascii="Times New Roman;sans-serif" w:hAnsi="Times New Roman;sans-serif"/>
                  <w:b w:val="false"/>
                  <w:color w:val="0E32E1"/>
                  <w:sz w:val="20"/>
                  <w:u w:val="single"/>
                </w:rPr>
                <w:t>Condensed Consolidated 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9">
              <w:r>
                <w:rPr>
                  <w:rStyle w:val="InternetLink"/>
                  <w:rFonts w:ascii="Times New Roman;sans-serif" w:hAnsi="Times New Roman;sans-serif"/>
                  <w:b w:val="false"/>
                  <w:strike w:val="false"/>
                  <w:dstrike w:val="false"/>
                  <w:color w:val="000000"/>
                  <w:sz w:val="20"/>
                  <w:u w:val="none"/>
                  <w:effect w:val="none"/>
                </w:rPr>
                <w:t>6</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22">
              <w:r>
                <w:rPr>
                  <w:rStyle w:val="InternetLink"/>
                  <w:rFonts w:ascii="Times New Roman;sans-serif" w:hAnsi="Times New Roman;sans-serif"/>
                  <w:b w:val="false"/>
                  <w:color w:val="000080"/>
                  <w:sz w:val="20"/>
                  <w:u w:val="single"/>
                </w:rPr>
                <w:t xml:space="preserve">Condensed Consolidated Balance Sheets as of </w:t>
              </w:r>
            </w:hyperlink>
            <w:hyperlink w:anchor="iefc1e8be3a2c4abba0370bd9fb9666dd_22">
              <w:r>
                <w:rPr>
                  <w:rStyle w:val="InternetLink"/>
                  <w:rFonts w:ascii="Times New Roman;sans-serif" w:hAnsi="Times New Roman;sans-serif"/>
                  <w:b w:val="false"/>
                  <w:color w:val="000080"/>
                  <w:sz w:val="20"/>
                  <w:u w:val="single"/>
                </w:rPr>
                <w:t>June</w:t>
              </w:r>
            </w:hyperlink>
            <w:hyperlink w:anchor="iefc1e8be3a2c4abba0370bd9fb9666dd_22">
              <w:r>
                <w:rPr>
                  <w:rStyle w:val="InternetLink"/>
                  <w:rFonts w:ascii="Times New Roman;sans-serif" w:hAnsi="Times New Roman;sans-serif"/>
                  <w:b w:val="false"/>
                  <w:color w:val="000080"/>
                  <w:sz w:val="20"/>
                  <w:u w:val="single"/>
                </w:rPr>
                <w:t xml:space="preserve"> 3</w:t>
              </w:r>
            </w:hyperlink>
            <w:hyperlink w:anchor="iefc1e8be3a2c4abba0370bd9fb9666dd_22">
              <w:r>
                <w:rPr>
                  <w:rStyle w:val="InternetLink"/>
                  <w:rFonts w:ascii="Times New Roman;sans-serif" w:hAnsi="Times New Roman;sans-serif"/>
                  <w:b w:val="false"/>
                  <w:color w:val="000080"/>
                  <w:sz w:val="20"/>
                  <w:u w:val="single"/>
                </w:rPr>
                <w:t>0</w:t>
              </w:r>
            </w:hyperlink>
            <w:hyperlink w:anchor="iefc1e8be3a2c4abba0370bd9fb9666dd_22">
              <w:r>
                <w:rPr>
                  <w:rStyle w:val="InternetLink"/>
                  <w:rFonts w:ascii="Times New Roman;sans-serif" w:hAnsi="Times New Roman;sans-serif"/>
                  <w:b w:val="false"/>
                  <w:color w:val="000080"/>
                  <w:sz w:val="20"/>
                  <w:u w:val="single"/>
                </w:rPr>
                <w:t>, 2023 and December 31, 2022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22">
              <w:r>
                <w:rPr>
                  <w:rStyle w:val="InternetLink"/>
                  <w:rFonts w:ascii="Times New Roman;sans-serif" w:hAnsi="Times New Roman;sans-serif"/>
                  <w:b w:val="false"/>
                  <w:strike w:val="false"/>
                  <w:dstrike w:val="false"/>
                  <w:color w:val="000000"/>
                  <w:sz w:val="20"/>
                  <w:u w:val="none"/>
                  <w:effect w:val="none"/>
                </w:rPr>
                <w:t>6</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25">
              <w:r>
                <w:rPr>
                  <w:rStyle w:val="InternetLink"/>
                  <w:rFonts w:ascii="Times New Roman;sans-serif" w:hAnsi="Times New Roman;sans-serif"/>
                  <w:b w:val="false"/>
                  <w:color w:val="000080"/>
                  <w:sz w:val="20"/>
                  <w:u w:val="single"/>
                </w:rPr>
                <w:t xml:space="preserve">Condensed Consolidated Statements of Operations and Comprehensive Loss for the Three </w:t>
              </w:r>
            </w:hyperlink>
            <w:hyperlink w:anchor="iefc1e8be3a2c4abba0370bd9fb9666dd_25">
              <w:r>
                <w:rPr>
                  <w:rStyle w:val="InternetLink"/>
                  <w:rFonts w:ascii="Times New Roman;sans-serif" w:hAnsi="Times New Roman;sans-serif"/>
                  <w:b w:val="false"/>
                  <w:color w:val="000080"/>
                  <w:sz w:val="20"/>
                  <w:u w:val="single"/>
                </w:rPr>
                <w:t xml:space="preserve">and </w:t>
              </w:r>
            </w:hyperlink>
            <w:hyperlink w:anchor="iefc1e8be3a2c4abba0370bd9fb9666dd_25">
              <w:r>
                <w:rPr>
                  <w:rStyle w:val="InternetLink"/>
                  <w:rFonts w:ascii="Times New Roman;sans-serif" w:hAnsi="Times New Roman;sans-serif"/>
                  <w:b w:val="false"/>
                  <w:color w:val="000080"/>
                  <w:sz w:val="20"/>
                  <w:u w:val="single"/>
                </w:rPr>
                <w:t>Six</w:t>
              </w:r>
            </w:hyperlink>
            <w:hyperlink w:anchor="iefc1e8be3a2c4abba0370bd9fb9666dd_25">
              <w:r>
                <w:rPr>
                  <w:rStyle w:val="InternetLink"/>
                  <w:rFonts w:ascii="Times New Roman;sans-serif" w:hAnsi="Times New Roman;sans-serif"/>
                  <w:b w:val="false"/>
                  <w:color w:val="000080"/>
                  <w:sz w:val="20"/>
                  <w:u w:val="single"/>
                </w:rPr>
                <w:t xml:space="preserve"> </w:t>
              </w:r>
            </w:hyperlink>
            <w:hyperlink w:anchor="iefc1e8be3a2c4abba0370bd9fb9666dd_25">
              <w:r>
                <w:rPr>
                  <w:rStyle w:val="InternetLink"/>
                  <w:rFonts w:ascii="Times New Roman;sans-serif" w:hAnsi="Times New Roman;sans-serif"/>
                  <w:b w:val="false"/>
                  <w:color w:val="000080"/>
                  <w:sz w:val="20"/>
                  <w:u w:val="single"/>
                </w:rPr>
                <w:t xml:space="preserve">Months Ended </w:t>
              </w:r>
            </w:hyperlink>
            <w:hyperlink w:anchor="iefc1e8be3a2c4abba0370bd9fb9666dd_25">
              <w:r>
                <w:rPr>
                  <w:rStyle w:val="InternetLink"/>
                  <w:rFonts w:ascii="Times New Roman;sans-serif" w:hAnsi="Times New Roman;sans-serif"/>
                  <w:b w:val="false"/>
                  <w:color w:val="000080"/>
                  <w:sz w:val="20"/>
                  <w:u w:val="single"/>
                </w:rPr>
                <w:t>June</w:t>
              </w:r>
            </w:hyperlink>
            <w:hyperlink w:anchor="iefc1e8be3a2c4abba0370bd9fb9666dd_25">
              <w:r>
                <w:rPr>
                  <w:rStyle w:val="InternetLink"/>
                  <w:rFonts w:ascii="Times New Roman;sans-serif" w:hAnsi="Times New Roman;sans-serif"/>
                  <w:b w:val="false"/>
                  <w:color w:val="000080"/>
                  <w:sz w:val="20"/>
                  <w:u w:val="single"/>
                </w:rPr>
                <w:t xml:space="preserve"> 3</w:t>
              </w:r>
            </w:hyperlink>
            <w:hyperlink w:anchor="iefc1e8be3a2c4abba0370bd9fb9666dd_25">
              <w:r>
                <w:rPr>
                  <w:rStyle w:val="InternetLink"/>
                  <w:rFonts w:ascii="Times New Roman;sans-serif" w:hAnsi="Times New Roman;sans-serif"/>
                  <w:b w:val="false"/>
                  <w:color w:val="000080"/>
                  <w:sz w:val="20"/>
                  <w:u w:val="single"/>
                </w:rPr>
                <w:t>0</w:t>
              </w:r>
            </w:hyperlink>
            <w:hyperlink w:anchor="iefc1e8be3a2c4abba0370bd9fb9666dd_25">
              <w:r>
                <w:rPr>
                  <w:rStyle w:val="InternetLink"/>
                  <w:rFonts w:ascii="Times New Roman;sans-serif" w:hAnsi="Times New Roman;sans-serif"/>
                  <w:b w:val="false"/>
                  <w:color w:val="000080"/>
                  <w:sz w:val="20"/>
                  <w:u w:val="single"/>
                </w:rPr>
                <w:t>, 2023 and 2022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25">
              <w:r>
                <w:rPr>
                  <w:rStyle w:val="InternetLink"/>
                  <w:rFonts w:ascii="Times New Roman;sans-serif" w:hAnsi="Times New Roman;sans-serif"/>
                  <w:b w:val="false"/>
                  <w:strike w:val="false"/>
                  <w:dstrike w:val="false"/>
                  <w:color w:val="000000"/>
                  <w:sz w:val="20"/>
                  <w:u w:val="none"/>
                  <w:effect w:val="none"/>
                </w:rPr>
                <w:t>7</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28">
              <w:r>
                <w:rPr>
                  <w:rStyle w:val="InternetLink"/>
                  <w:rFonts w:ascii="Times New Roman;sans-serif" w:hAnsi="Times New Roman;sans-serif"/>
                  <w:b w:val="false"/>
                  <w:color w:val="000080"/>
                  <w:sz w:val="20"/>
                  <w:u w:val="single"/>
                </w:rPr>
                <w:t xml:space="preserve">Condensed Consolidated Statements of Stockholders’ Equity for the Three </w:t>
              </w:r>
            </w:hyperlink>
            <w:hyperlink w:anchor="iefc1e8be3a2c4abba0370bd9fb9666dd_28">
              <w:r>
                <w:rPr>
                  <w:rStyle w:val="InternetLink"/>
                  <w:rFonts w:ascii="Times New Roman;sans-serif" w:hAnsi="Times New Roman;sans-serif"/>
                  <w:b w:val="false"/>
                  <w:color w:val="000080"/>
                  <w:sz w:val="20"/>
                  <w:u w:val="single"/>
                </w:rPr>
                <w:t xml:space="preserve">and Six </w:t>
              </w:r>
            </w:hyperlink>
            <w:hyperlink w:anchor="iefc1e8be3a2c4abba0370bd9fb9666dd_28">
              <w:r>
                <w:rPr>
                  <w:rStyle w:val="InternetLink"/>
                  <w:rFonts w:ascii="Times New Roman;sans-serif" w:hAnsi="Times New Roman;sans-serif"/>
                  <w:b w:val="false"/>
                  <w:color w:val="000080"/>
                  <w:sz w:val="20"/>
                  <w:u w:val="single"/>
                </w:rPr>
                <w:t xml:space="preserve">Months Ended </w:t>
              </w:r>
            </w:hyperlink>
            <w:hyperlink w:anchor="iefc1e8be3a2c4abba0370bd9fb9666dd_28">
              <w:r>
                <w:rPr>
                  <w:rStyle w:val="InternetLink"/>
                  <w:rFonts w:ascii="Times New Roman;sans-serif" w:hAnsi="Times New Roman;sans-serif"/>
                  <w:b w:val="false"/>
                  <w:color w:val="000080"/>
                  <w:sz w:val="20"/>
                  <w:u w:val="single"/>
                </w:rPr>
                <w:t>June</w:t>
              </w:r>
            </w:hyperlink>
            <w:hyperlink w:anchor="iefc1e8be3a2c4abba0370bd9fb9666dd_28">
              <w:r>
                <w:rPr>
                  <w:rStyle w:val="InternetLink"/>
                  <w:rFonts w:ascii="Times New Roman;sans-serif" w:hAnsi="Times New Roman;sans-serif"/>
                  <w:b w:val="false"/>
                  <w:color w:val="000080"/>
                  <w:sz w:val="20"/>
                  <w:u w:val="single"/>
                </w:rPr>
                <w:t xml:space="preserve"> 3</w:t>
              </w:r>
            </w:hyperlink>
            <w:hyperlink w:anchor="iefc1e8be3a2c4abba0370bd9fb9666dd_28">
              <w:r>
                <w:rPr>
                  <w:rStyle w:val="InternetLink"/>
                  <w:rFonts w:ascii="Times New Roman;sans-serif" w:hAnsi="Times New Roman;sans-serif"/>
                  <w:b w:val="false"/>
                  <w:color w:val="000080"/>
                  <w:sz w:val="20"/>
                  <w:u w:val="single"/>
                </w:rPr>
                <w:t>0</w:t>
              </w:r>
            </w:hyperlink>
            <w:hyperlink w:anchor="iefc1e8be3a2c4abba0370bd9fb9666dd_28">
              <w:r>
                <w:rPr>
                  <w:rStyle w:val="InternetLink"/>
                  <w:rFonts w:ascii="Times New Roman;sans-serif" w:hAnsi="Times New Roman;sans-serif"/>
                  <w:b w:val="false"/>
                  <w:color w:val="000080"/>
                  <w:sz w:val="20"/>
                  <w:u w:val="single"/>
                </w:rPr>
                <w:t>, 2023 and 2022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28">
              <w:r>
                <w:rPr>
                  <w:rStyle w:val="InternetLink"/>
                  <w:rFonts w:ascii="Times New Roman;sans-serif" w:hAnsi="Times New Roman;sans-serif"/>
                  <w:b w:val="false"/>
                  <w:strike w:val="false"/>
                  <w:dstrike w:val="false"/>
                  <w:color w:val="000000"/>
                  <w:sz w:val="20"/>
                  <w:u w:val="none"/>
                  <w:effect w:val="none"/>
                </w:rPr>
                <w:t>8</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31">
              <w:r>
                <w:rPr>
                  <w:rStyle w:val="InternetLink"/>
                  <w:rFonts w:ascii="Times New Roman;sans-serif" w:hAnsi="Times New Roman;sans-serif"/>
                  <w:b w:val="false"/>
                  <w:color w:val="000080"/>
                  <w:sz w:val="20"/>
                  <w:u w:val="single"/>
                </w:rPr>
                <w:t xml:space="preserve">Condensed Consolidated Statements of Cash Flows for the </w:t>
              </w:r>
            </w:hyperlink>
            <w:hyperlink w:anchor="iefc1e8be3a2c4abba0370bd9fb9666dd_31">
              <w:r>
                <w:rPr>
                  <w:rStyle w:val="InternetLink"/>
                  <w:rFonts w:ascii="Times New Roman;sans-serif" w:hAnsi="Times New Roman;sans-serif"/>
                  <w:b w:val="false"/>
                  <w:color w:val="000080"/>
                  <w:sz w:val="20"/>
                  <w:u w:val="single"/>
                </w:rPr>
                <w:t>Six</w:t>
              </w:r>
            </w:hyperlink>
            <w:hyperlink w:anchor="iefc1e8be3a2c4abba0370bd9fb9666dd_31">
              <w:r>
                <w:rPr>
                  <w:rStyle w:val="InternetLink"/>
                  <w:rFonts w:ascii="Times New Roman;sans-serif" w:hAnsi="Times New Roman;sans-serif"/>
                  <w:b w:val="false"/>
                  <w:color w:val="000080"/>
                  <w:sz w:val="20"/>
                  <w:u w:val="single"/>
                </w:rPr>
                <w:t xml:space="preserve"> Months Ended </w:t>
              </w:r>
            </w:hyperlink>
            <w:hyperlink w:anchor="iefc1e8be3a2c4abba0370bd9fb9666dd_31">
              <w:r>
                <w:rPr>
                  <w:rStyle w:val="InternetLink"/>
                  <w:rFonts w:ascii="Times New Roman;sans-serif" w:hAnsi="Times New Roman;sans-serif"/>
                  <w:b w:val="false"/>
                  <w:color w:val="000080"/>
                  <w:sz w:val="20"/>
                  <w:u w:val="single"/>
                </w:rPr>
                <w:t>June</w:t>
              </w:r>
            </w:hyperlink>
            <w:hyperlink w:anchor="iefc1e8be3a2c4abba0370bd9fb9666dd_31">
              <w:r>
                <w:rPr>
                  <w:rStyle w:val="InternetLink"/>
                  <w:rFonts w:ascii="Times New Roman;sans-serif" w:hAnsi="Times New Roman;sans-serif"/>
                  <w:b w:val="false"/>
                  <w:color w:val="000080"/>
                  <w:sz w:val="20"/>
                  <w:u w:val="single"/>
                </w:rPr>
                <w:t xml:space="preserve"> 3</w:t>
              </w:r>
            </w:hyperlink>
            <w:hyperlink w:anchor="iefc1e8be3a2c4abba0370bd9fb9666dd_31">
              <w:r>
                <w:rPr>
                  <w:rStyle w:val="InternetLink"/>
                  <w:rFonts w:ascii="Times New Roman;sans-serif" w:hAnsi="Times New Roman;sans-serif"/>
                  <w:b w:val="false"/>
                  <w:color w:val="000080"/>
                  <w:sz w:val="20"/>
                  <w:u w:val="single"/>
                </w:rPr>
                <w:t>0</w:t>
              </w:r>
            </w:hyperlink>
            <w:hyperlink w:anchor="iefc1e8be3a2c4abba0370bd9fb9666dd_31">
              <w:r>
                <w:rPr>
                  <w:rStyle w:val="InternetLink"/>
                  <w:rFonts w:ascii="Times New Roman;sans-serif" w:hAnsi="Times New Roman;sans-serif"/>
                  <w:b w:val="false"/>
                  <w:color w:val="000080"/>
                  <w:sz w:val="20"/>
                  <w:u w:val="single"/>
                </w:rPr>
                <w:t>, 2023 and 2022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34">
              <w:r>
                <w:rPr>
                  <w:rStyle w:val="InternetLink"/>
                  <w:rFonts w:ascii="Times New Roman;sans-serif" w:hAnsi="Times New Roman;sans-serif"/>
                  <w:b w:val="false"/>
                  <w:color w:val="0E32E1"/>
                  <w:sz w:val="20"/>
                  <w:u w:val="single"/>
                </w:rPr>
                <w:t>Notes to Condensed Consolidated 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34">
              <w:r>
                <w:rPr>
                  <w:rStyle w:val="InternetLink"/>
                  <w:rFonts w:ascii="Times New Roman;sans-serif" w:hAnsi="Times New Roman;sans-serif"/>
                  <w:b w:val="false"/>
                  <w:strike w:val="false"/>
                  <w:dstrike w:val="false"/>
                  <w:color w:val="000000"/>
                  <w:sz w:val="20"/>
                  <w:u w:val="none"/>
                  <w:effect w:val="none"/>
                </w:rPr>
                <w:t>11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21">
              <w:r>
                <w:rPr>
                  <w:rStyle w:val="InternetLink"/>
                  <w:rFonts w:ascii="Times New Roman;sans-serif" w:hAnsi="Times New Roman;sans-serif"/>
                  <w:b w:val="false"/>
                  <w:strike w:val="false"/>
                  <w:dstrike w:val="false"/>
                  <w:color w:val="000000"/>
                  <w:sz w:val="20"/>
                  <w:u w:val="none"/>
                  <w:effect w:val="none"/>
                </w:rPr>
                <w:t>Item 2.</w:t>
              </w:r>
            </w:hyperlink>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21">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21">
              <w:r>
                <w:rPr>
                  <w:rStyle w:val="InternetLink"/>
                  <w:rFonts w:ascii="Times New Roman;sans-serif" w:hAnsi="Times New Roman;sans-serif"/>
                  <w:b w:val="false"/>
                  <w:strike w:val="false"/>
                  <w:dstrike w:val="false"/>
                  <w:color w:val="000000"/>
                  <w:sz w:val="20"/>
                  <w:u w:val="none"/>
                  <w:effect w:val="none"/>
                </w:rPr>
                <w:t>33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69">
              <w:r>
                <w:rPr>
                  <w:rStyle w:val="InternetLink"/>
                  <w:rFonts w:ascii="Times New Roman;sans-serif" w:hAnsi="Times New Roman;sans-serif"/>
                  <w:b w:val="false"/>
                  <w:strike w:val="false"/>
                  <w:dstrike w:val="false"/>
                  <w:color w:val="000000"/>
                  <w:sz w:val="20"/>
                  <w:u w:val="none"/>
                  <w:effect w:val="none"/>
                </w:rPr>
                <w:t>Item 3.</w:t>
              </w:r>
            </w:hyperlink>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69">
              <w:r>
                <w:rPr>
                  <w:rStyle w:val="InternetLink"/>
                  <w:rFonts w:ascii="Times New Roman;sans-serif" w:hAnsi="Times New Roman;sans-serif"/>
                  <w:b w:val="false"/>
                  <w:color w:val="0E32E1"/>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69">
              <w:r>
                <w:rPr>
                  <w:rStyle w:val="InternetLink"/>
                  <w:rFonts w:ascii="Times New Roman;sans-serif" w:hAnsi="Times New Roman;sans-serif"/>
                  <w:b w:val="false"/>
                  <w:strike w:val="false"/>
                  <w:dstrike w:val="false"/>
                  <w:color w:val="000000"/>
                  <w:sz w:val="20"/>
                  <w:u w:val="none"/>
                  <w:effect w:val="none"/>
                </w:rPr>
                <w:t>43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72">
              <w:r>
                <w:rPr>
                  <w:rStyle w:val="InternetLink"/>
                  <w:rFonts w:ascii="Times New Roman;sans-serif" w:hAnsi="Times New Roman;sans-serif"/>
                  <w:b w:val="false"/>
                  <w:strike w:val="false"/>
                  <w:dstrike w:val="false"/>
                  <w:color w:val="000000"/>
                  <w:sz w:val="20"/>
                  <w:u w:val="none"/>
                  <w:effect w:val="none"/>
                </w:rPr>
                <w:t>Item 4.</w:t>
              </w:r>
            </w:hyperlink>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72">
              <w:r>
                <w:rPr>
                  <w:rStyle w:val="InternetLink"/>
                  <w:rFonts w:ascii="Times New Roman;sans-serif" w:hAnsi="Times New Roman;sans-serif"/>
                  <w:b w:val="false"/>
                  <w:color w:val="0E32E1"/>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72">
              <w:r>
                <w:rPr>
                  <w:rStyle w:val="InternetLink"/>
                  <w:rFonts w:ascii="Times New Roman;sans-serif" w:hAnsi="Times New Roman;sans-serif"/>
                  <w:b w:val="false"/>
                  <w:strike w:val="false"/>
                  <w:dstrike w:val="false"/>
                  <w:color w:val="000000"/>
                  <w:sz w:val="20"/>
                  <w:u w:val="none"/>
                  <w:effect w:val="none"/>
                </w:rPr>
                <w:t>43</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75">
              <w:r>
                <w:rPr>
                  <w:rStyle w:val="InternetLink"/>
                  <w:rFonts w:ascii="Times New Roman;sans-serif" w:hAnsi="Times New Roman;sans-serif"/>
                  <w:b w:val="false"/>
                  <w:color w:val="0E32E1"/>
                  <w:sz w:val="20"/>
                  <w:u w:val="single"/>
                </w:rPr>
                <w:t>PART II. OTHER INFORMATION</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78">
              <w:r>
                <w:rPr>
                  <w:rStyle w:val="InternetLink"/>
                  <w:rFonts w:ascii="Times New Roman;sans-serif" w:hAnsi="Times New Roman;sans-serif"/>
                  <w:b w:val="false"/>
                  <w:strike w:val="false"/>
                  <w:dstrike w:val="false"/>
                  <w:color w:val="000000"/>
                  <w:sz w:val="20"/>
                  <w:u w:val="none"/>
                  <w:effect w:val="none"/>
                </w:rPr>
                <w:t>Item 1.</w:t>
              </w:r>
            </w:hyperlink>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78">
              <w:r>
                <w:rPr>
                  <w:rStyle w:val="InternetLink"/>
                  <w:rFonts w:ascii="Times New Roman;sans-serif" w:hAnsi="Times New Roman;sans-serif"/>
                  <w:b w:val="false"/>
                  <w:color w:val="0E32E1"/>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78">
              <w:r>
                <w:rPr>
                  <w:rStyle w:val="InternetLink"/>
                  <w:rFonts w:ascii="Times New Roman;sans-serif" w:hAnsi="Times New Roman;sans-serif"/>
                  <w:b w:val="false"/>
                  <w:strike w:val="false"/>
                  <w:dstrike w:val="false"/>
                  <w:color w:val="000000"/>
                  <w:sz w:val="20"/>
                  <w:u w:val="none"/>
                  <w:effect w:val="none"/>
                </w:rPr>
                <w:t>45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81">
              <w:r>
                <w:rPr>
                  <w:rStyle w:val="InternetLink"/>
                  <w:rFonts w:ascii="Times New Roman;sans-serif" w:hAnsi="Times New Roman;sans-serif"/>
                  <w:b w:val="false"/>
                  <w:strike w:val="false"/>
                  <w:dstrike w:val="false"/>
                  <w:color w:val="000000"/>
                  <w:sz w:val="20"/>
                  <w:u w:val="none"/>
                  <w:effect w:val="none"/>
                </w:rPr>
                <w:t>Item 1A.</w:t>
              </w:r>
            </w:hyperlink>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81">
              <w:r>
                <w:rPr>
                  <w:rStyle w:val="InternetLink"/>
                  <w:rFonts w:ascii="Times New Roman;sans-serif" w:hAnsi="Times New Roman;sans-serif"/>
                  <w:b w:val="false"/>
                  <w:color w:val="0E32E1"/>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81">
              <w:r>
                <w:rPr>
                  <w:rStyle w:val="InternetLink"/>
                  <w:rFonts w:ascii="Times New Roman;sans-serif" w:hAnsi="Times New Roman;sans-serif"/>
                  <w:b w:val="false"/>
                  <w:strike w:val="false"/>
                  <w:dstrike w:val="false"/>
                  <w:color w:val="000000"/>
                  <w:sz w:val="20"/>
                  <w:u w:val="none"/>
                  <w:effect w:val="none"/>
                </w:rPr>
                <w:t>45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982">
              <w:r>
                <w:rPr>
                  <w:rStyle w:val="InternetLink"/>
                  <w:rFonts w:ascii="Times New Roman;sans-serif" w:hAnsi="Times New Roman;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982">
              <w:r>
                <w:rPr>
                  <w:rStyle w:val="InternetLink"/>
                  <w:rFonts w:ascii="Times New Roman;sans-serif" w:hAnsi="Times New Roman;sans-serif"/>
                  <w:b w:val="false"/>
                  <w:strike w:val="false"/>
                  <w:dstrike w:val="false"/>
                  <w:color w:val="000000"/>
                  <w:sz w:val="20"/>
                  <w:u w:val="none"/>
                  <w:effect w:val="none"/>
                </w:rPr>
                <w:t>93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84">
              <w:r>
                <w:rPr>
                  <w:rStyle w:val="InternetLink"/>
                  <w:rFonts w:ascii="Times New Roman;sans-serif" w:hAnsi="Times New Roman;sans-serif"/>
                  <w:b w:val="false"/>
                  <w:strike w:val="false"/>
                  <w:dstrike w:val="false"/>
                  <w:color w:val="000000"/>
                  <w:sz w:val="20"/>
                  <w:u w:val="none"/>
                  <w:effect w:val="none"/>
                </w:rPr>
                <w:t>Item 6.</w:t>
              </w:r>
            </w:hyperlink>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84">
              <w:r>
                <w:rPr>
                  <w:rStyle w:val="InternetLink"/>
                  <w:rFonts w:ascii="Times New Roman;sans-serif" w:hAnsi="Times New Roman;sans-serif"/>
                  <w:b w:val="false"/>
                  <w:color w:val="0E32E1"/>
                  <w:sz w:val="20"/>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84">
              <w:r>
                <w:rPr>
                  <w:rStyle w:val="InternetLink"/>
                  <w:rFonts w:ascii="Times New Roman;sans-serif" w:hAnsi="Times New Roman;sans-serif"/>
                  <w:b w:val="false"/>
                  <w:strike w:val="false"/>
                  <w:dstrike w:val="false"/>
                  <w:color w:val="000000"/>
                  <w:sz w:val="20"/>
                  <w:u w:val="none"/>
                  <w:effect w:val="none"/>
                </w:rPr>
                <w:t>94</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fc1e8be3a2c4abba0370bd9fb9666dd_187">
              <w:r>
                <w:rPr>
                  <w:rStyle w:val="InternetLink"/>
                  <w:rFonts w:ascii="Times New Roman;sans-serif" w:hAnsi="Times New Roman;sans-serif"/>
                  <w:b w:val="false"/>
                  <w:color w:val="0E32E1"/>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1e8be3a2c4abba0370bd9fb9666dd_187">
              <w:r>
                <w:rPr>
                  <w:rStyle w:val="InternetLink"/>
                  <w:rFonts w:ascii="Times New Roman;sans-serif" w:hAnsi="Times New Roman;sans-serif"/>
                  <w:b w:val="false"/>
                  <w:strike w:val="false"/>
                  <w:dstrike w:val="false"/>
                  <w:color w:val="000000"/>
                  <w:sz w:val="20"/>
                  <w:u w:val="none"/>
                  <w:effect w:val="non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 xml:space="preserve">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planned manufacturing facility in Saudi Arabia and related timing and value to us, our expectations regarding the Restructuring Plan, including with respect to timing, costs, and expected benefits,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changes in overall demand for our products and services and cancellation of reservations and orders for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uncertainty of our projected financial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expansion of our manufacturing facility, the construction of new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expenses and control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effects of competition and the pace and depth of electric vehicle adoption generally on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regulatory requirements, governmental incentives and fuel and energy prices;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enter into or maintain partnerships with original equipment manufacturers, vendors and technology providers, including our ability to close our transaction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manage our growth and recruit and retain key employees, including our chief executive officer and executive team;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utilize zero emission vehicle credits and obtain and utilize certain tax and other incentives;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issue equity or equity-linked securities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pay interest and principal on our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future changes to vehicle specifications which may impact performance, pricing, and other expectations;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of any potential litigation, government and regulatory proceedings, investigations and inquiries;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associated with the Restructuring Plan, including the risk that the Restructuring Plan may adversely affect our internal programs and initiatives and our ability to recruit and retain skilled and motivated personnel, the risk that the Restructuring Plan may be distracting to employees and management, the risk that the Restructuring Plan may negatively impact our business operations, reputation, or ability to serve customers, and the risk that the Restructuring Plan may not generate their intended benefits to the extent or as quickly as anticipated;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the global COVID-19 pandemic on our supply chain, projected results of operations, financial performance or other financial metrics, or on any of the foregoing risks;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other factors disclosed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or our other filings with the Securities and Exchange Commission (the “SEC”).</w:t>
      </w:r>
    </w:p>
    <w:p>
      <w:pPr>
        <w:pStyle w:val="TextBody"/>
        <w:bidi w:val="0"/>
        <w:spacing w:lineRule="auto" w:line="288" w:before="240" w:after="283"/>
        <w:jc w:val="left"/>
        <w:rPr/>
      </w:pPr>
      <w:r>
        <w:rPr>
          <w:rFonts w:ascii="Times New Roman;sans-serif" w:hAnsi="Times New Roman;sans-serif"/>
          <w:b w:val="false"/>
          <w:color w:val="000000"/>
          <w:sz w:val="20"/>
        </w:rPr>
        <w:t xml:space="preserve">The forward-looking statements contained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 xml:space="preserve">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Frequently Used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Item 1. Financial Statements and accompanying footnotes, or the context otherwise requires, references in this Quarterly Report on Form 10-Q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AMP-1” are to our Advanced Manufacturing Plant 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AMP-2” are to our planned Advanced Manufacturing Plant 2, which is currently under construction in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Ayar” are to Ayar Third Investment Company, an affiliate of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Board” or “Board of Directors” are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common stock” are to the common stock of Lucid Group, Inc., par value $0.0001 per share;</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0"/>
        </w:rPr>
        <w:t>ESG” are to Environmental, Social and Governance;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EV” are to electric vehicle;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Investor Rights Agreement” are to the Investor Rights Agreement, dated as of February 22, 2021 and as may be amended from time to time, by and among the Company, the Sponsor, Ayar and certain other parties thereto;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 to 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Restructuring Plan” are to the Company’s restructuring plan to reduce the Company’s operating expenses that was announced on March 28, 2023;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Transactions” are to the Merger, together with the other transactions consummated under the Merger Agreement and the related agreements;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Warrant Agreement” are to the Warrant Agreement, dated July 29, 2020, entered into in connection with the Churchill IPO by and between Continental Stock Transfer &amp; Trust Company and Churchill;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0"/>
        <w:gridCol w:w="2005"/>
        <w:gridCol w:w="1968"/>
        <w:gridCol w:w="109"/>
        <w:gridCol w:w="109"/>
        <w:gridCol w:w="109"/>
        <w:gridCol w:w="211"/>
        <w:gridCol w:w="991"/>
        <w:gridCol w:w="109"/>
        <w:gridCol w:w="109"/>
        <w:gridCol w:w="109"/>
        <w:gridCol w:w="109"/>
        <w:gridCol w:w="211"/>
        <w:gridCol w:w="991"/>
        <w:gridCol w:w="155"/>
      </w:tblGrid>
      <w:tr>
        <w:trPr/>
        <w:tc>
          <w:tcPr>
            <w:tcW w:w="291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9,415,052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3,529,537 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June 30, 2023 and December 31, 2022; 2,283,136,640 and 1,830,172,561 shares issued and 2,282,278,815 and 1,829,314,736 shares outstanding as of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June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(7,370,332)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4,349,701 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9,415,052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433"/>
        <w:gridCol w:w="984"/>
        <w:gridCol w:w="981"/>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43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(301,320)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w:t>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(301,711)</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dilutive warrants</w:t>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(858,173)</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(1,159,884)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attributable to common stockholders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1,912,459,833 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1,669,303,813 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1,871,884,313 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1,661,960,471 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1,912,459,833 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1,686,815,404 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1,871,884,313 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1,684,328,007 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investments, net of tax</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common stockholders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(302,402)</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1570"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600"/>
        <w:gridCol w:w="601"/>
        <w:gridCol w:w="196"/>
        <w:gridCol w:w="109"/>
        <w:gridCol w:w="109"/>
        <w:gridCol w:w="109"/>
        <w:gridCol w:w="196"/>
        <w:gridCol w:w="436"/>
        <w:gridCol w:w="109"/>
        <w:gridCol w:w="109"/>
        <w:gridCol w:w="109"/>
        <w:gridCol w:w="109"/>
        <w:gridCol w:w="196"/>
        <w:gridCol w:w="976"/>
        <w:gridCol w:w="109"/>
        <w:gridCol w:w="109"/>
        <w:gridCol w:w="109"/>
        <w:gridCol w:w="109"/>
        <w:gridCol w:w="196"/>
        <w:gridCol w:w="661"/>
        <w:gridCol w:w="109"/>
        <w:gridCol w:w="109"/>
        <w:gridCol w:w="109"/>
        <w:gridCol w:w="109"/>
        <w:gridCol w:w="272"/>
        <w:gridCol w:w="792"/>
        <w:gridCol w:w="152"/>
        <w:gridCol w:w="109"/>
        <w:gridCol w:w="109"/>
        <w:gridCol w:w="109"/>
        <w:gridCol w:w="196"/>
        <w:gridCol w:w="886"/>
        <w:gridCol w:w="109"/>
        <w:gridCol w:w="109"/>
        <w:gridCol w:w="109"/>
        <w:gridCol w:w="109"/>
        <w:gridCol w:w="196"/>
        <w:gridCol w:w="886"/>
        <w:gridCol w:w="221"/>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1,833,385,174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11,809,781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(7,537)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(8,149,860)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3,631,851</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(764,232)</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4,565,661 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2,287,592 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2,801,737 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173,544,948 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2023 Subscription Agreement,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265,693,703 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83,633 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2,282,278,815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14,904,370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(9,950)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(8,914,092)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5,959,840</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503"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600"/>
        <w:gridCol w:w="601"/>
        <w:gridCol w:w="196"/>
        <w:gridCol w:w="109"/>
        <w:gridCol w:w="109"/>
        <w:gridCol w:w="109"/>
        <w:gridCol w:w="196"/>
        <w:gridCol w:w="436"/>
        <w:gridCol w:w="109"/>
        <w:gridCol w:w="109"/>
        <w:gridCol w:w="109"/>
        <w:gridCol w:w="109"/>
        <w:gridCol w:w="196"/>
        <w:gridCol w:w="976"/>
        <w:gridCol w:w="109"/>
        <w:gridCol w:w="109"/>
        <w:gridCol w:w="109"/>
        <w:gridCol w:w="109"/>
        <w:gridCol w:w="196"/>
        <w:gridCol w:w="661"/>
        <w:gridCol w:w="109"/>
        <w:gridCol w:w="109"/>
        <w:gridCol w:w="109"/>
        <w:gridCol w:w="109"/>
        <w:gridCol w:w="321"/>
        <w:gridCol w:w="715"/>
        <w:gridCol w:w="180"/>
        <w:gridCol w:w="109"/>
        <w:gridCol w:w="109"/>
        <w:gridCol w:w="109"/>
        <w:gridCol w:w="196"/>
        <w:gridCol w:w="886"/>
        <w:gridCol w:w="10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1,666,739,708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9,997,176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(6,147,158)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3,829,469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960,651 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751,036 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4,092,216 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1,672,543,611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10,099,209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(691)</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(6,367,583)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3,710,386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1570" w:type="dxa"/>
        <w:jc w:val="center"/>
        <w:tblInd w:w="0" w:type="dxa"/>
        <w:tblLayout w:type="fixed"/>
        <w:tblCellMar>
          <w:top w:w="28" w:type="dxa"/>
          <w:left w:w="28" w:type="dxa"/>
          <w:bottom w:w="28" w:type="dxa"/>
          <w:right w:w="28" w:type="dxa"/>
        </w:tblCellMar>
      </w:tblPr>
      <w:tblGrid>
        <w:gridCol w:w="735"/>
        <w:gridCol w:w="225"/>
        <w:gridCol w:w="226"/>
        <w:gridCol w:w="109"/>
        <w:gridCol w:w="109"/>
        <w:gridCol w:w="109"/>
        <w:gridCol w:w="600"/>
        <w:gridCol w:w="601"/>
        <w:gridCol w:w="196"/>
        <w:gridCol w:w="109"/>
        <w:gridCol w:w="109"/>
        <w:gridCol w:w="109"/>
        <w:gridCol w:w="196"/>
        <w:gridCol w:w="436"/>
        <w:gridCol w:w="109"/>
        <w:gridCol w:w="109"/>
        <w:gridCol w:w="109"/>
        <w:gridCol w:w="109"/>
        <w:gridCol w:w="196"/>
        <w:gridCol w:w="976"/>
        <w:gridCol w:w="109"/>
        <w:gridCol w:w="109"/>
        <w:gridCol w:w="109"/>
        <w:gridCol w:w="109"/>
        <w:gridCol w:w="196"/>
        <w:gridCol w:w="661"/>
        <w:gridCol w:w="109"/>
        <w:gridCol w:w="109"/>
        <w:gridCol w:w="109"/>
        <w:gridCol w:w="109"/>
        <w:gridCol w:w="246"/>
        <w:gridCol w:w="832"/>
        <w:gridCol w:w="138"/>
        <w:gridCol w:w="109"/>
        <w:gridCol w:w="109"/>
        <w:gridCol w:w="109"/>
        <w:gridCol w:w="196"/>
        <w:gridCol w:w="886"/>
        <w:gridCol w:w="109"/>
        <w:gridCol w:w="109"/>
        <w:gridCol w:w="109"/>
        <w:gridCol w:w="109"/>
        <w:gridCol w:w="196"/>
        <w:gridCol w:w="886"/>
        <w:gridCol w:w="221"/>
      </w:tblGrid>
      <w:tr>
        <w:trPr/>
        <w:tc>
          <w:tcPr>
            <w:tcW w:w="7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1,829,314,736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11,752,138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(11,572)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(7,370,332)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4,349,701</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(1,543,760)</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6,435,734 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2,287,592 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5,002,102 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173,544,948 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2023 Subscription Agreement,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265,693,703 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145,594 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2,282,278,815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14,904,370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(9,950)</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(8,914,092)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5,959,840</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503" w:type="dxa"/>
        <w:jc w:val="center"/>
        <w:tblInd w:w="0" w:type="dxa"/>
        <w:tblLayout w:type="fixed"/>
        <w:tblCellMar>
          <w:top w:w="28" w:type="dxa"/>
          <w:left w:w="28" w:type="dxa"/>
          <w:bottom w:w="28" w:type="dxa"/>
          <w:right w:w="28" w:type="dxa"/>
        </w:tblCellMar>
      </w:tblPr>
      <w:tblGrid>
        <w:gridCol w:w="735"/>
        <w:gridCol w:w="225"/>
        <w:gridCol w:w="226"/>
        <w:gridCol w:w="109"/>
        <w:gridCol w:w="109"/>
        <w:gridCol w:w="109"/>
        <w:gridCol w:w="600"/>
        <w:gridCol w:w="601"/>
        <w:gridCol w:w="196"/>
        <w:gridCol w:w="109"/>
        <w:gridCol w:w="109"/>
        <w:gridCol w:w="109"/>
        <w:gridCol w:w="196"/>
        <w:gridCol w:w="436"/>
        <w:gridCol w:w="109"/>
        <w:gridCol w:w="109"/>
        <w:gridCol w:w="109"/>
        <w:gridCol w:w="109"/>
        <w:gridCol w:w="196"/>
        <w:gridCol w:w="976"/>
        <w:gridCol w:w="109"/>
        <w:gridCol w:w="109"/>
        <w:gridCol w:w="109"/>
        <w:gridCol w:w="109"/>
        <w:gridCol w:w="196"/>
        <w:gridCol w:w="661"/>
        <w:gridCol w:w="109"/>
        <w:gridCol w:w="109"/>
        <w:gridCol w:w="109"/>
        <w:gridCol w:w="109"/>
        <w:gridCol w:w="321"/>
        <w:gridCol w:w="715"/>
        <w:gridCol w:w="180"/>
        <w:gridCol w:w="109"/>
        <w:gridCol w:w="109"/>
        <w:gridCol w:w="109"/>
        <w:gridCol w:w="196"/>
        <w:gridCol w:w="886"/>
        <w:gridCol w:w="109"/>
        <w:gridCol w:w="109"/>
        <w:gridCol w:w="109"/>
        <w:gridCol w:w="109"/>
        <w:gridCol w:w="196"/>
        <w:gridCol w:w="886"/>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1,647,555,590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9,995,778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(6,065,872)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3,909,355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8,041,659 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751,036 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16,195,326 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1,672,543,611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10,099,209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(691)</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(6,367,583)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3,710,386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044" w:type="dxa"/>
        <w:jc w:val="center"/>
        <w:tblInd w:w="0" w:type="dxa"/>
        <w:tblLayout w:type="fixed"/>
        <w:tblCellMar>
          <w:top w:w="28" w:type="dxa"/>
          <w:left w:w="28" w:type="dxa"/>
          <w:bottom w:w="28" w:type="dxa"/>
          <w:right w:w="28" w:type="dxa"/>
        </w:tblCellMar>
      </w:tblPr>
      <w:tblGrid>
        <w:gridCol w:w="2624"/>
        <w:gridCol w:w="2301"/>
        <w:gridCol w:w="2320"/>
        <w:gridCol w:w="196"/>
        <w:gridCol w:w="946"/>
        <w:gridCol w:w="109"/>
        <w:gridCol w:w="109"/>
        <w:gridCol w:w="109"/>
        <w:gridCol w:w="109"/>
        <w:gridCol w:w="196"/>
        <w:gridCol w:w="871"/>
        <w:gridCol w:w="154"/>
      </w:tblGrid>
      <w:tr>
        <w:trPr/>
        <w:tc>
          <w:tcPr>
            <w:tcW w:w="262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insurance premium</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and firm purchase commitments write-downs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(1,008,277)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investments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(1,914,123)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Underwriting Agreement, net of issuance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2023 Subscription Agreement, net of issuance costs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short-term insurance financing note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finance lease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credit facility issuance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(3,105,609)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cash equivalents, and restricted cash</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 included in accounts payable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and right-of-use assets obtained through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4050"/>
                <wp:effectExtent l="0" t="0" r="0" b="0"/>
                <wp:wrapNone/>
                <wp:docPr id="10" name="Frame1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w:t>
      </w:r>
      <w:r>
        <w:rPr>
          <w:color w:val="000000"/>
        </w:rPr>
        <w:t xml:space="preserve"> – </w:t>
      </w:r>
      <w:r>
        <w:rPr>
          <w:rFonts w:ascii="Times New Roman;sans-serif" w:hAnsi="Times New Roman;sans-serif"/>
          <w:b/>
          <w:color w:val="000000"/>
          <w:sz w:val="20"/>
        </w:rPr>
        <w:t>DESCRIPTION OF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 (“Lucid”) is a technology and automotive company focused on designing, developing, manufacturing, and selling the next generation of electric vehicles (“EV”), EV powertrains and battery systems.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devotes its efforts to business planning, selling and servicing of vehicles, providing technology access, research and development, construction and expansion of manufacturing facilities, expansion of retail studios and service center capacities, recruiting of management and technical staff, acquiring operating assets, and raising capital.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through June 30, 2023, the Company had incurred operating losses and negative cash flows from operating activities. For the six months ended June 30, 2023 and 2022, the Company has incurred net losses of $1,543.8 million and $301.7 million, respectively. The Company had an accumulated deficit of $8.9 billion as of June 30,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Company completed the first phase of the construction of its Advanced Manufacturing Plant 1 in Casa Grande, Arizona (“AMP-1”). The Company began commercial production of its first vehicle, the Lucid Air, in September 2021 and delivered its first vehicles in late October 2021. The Company continues to expand AMP-1, construct its planned Advanced Manufacturing Plant 2 in Saudi Arabia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existing sources of liquidity include cash, cash equivalents, investments, credit facilities and equity offering.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principal amount of $2,012.5 million of 1.25% convertible senior notes due in December 2026.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entered into a loan agreement with the Saudi Industrial Development Fund (“SIDF”) with an aggregate principal amount of up to approximately $1.4 billion, a new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amended the GIB Facility Agreement (together with the GIB Facility Agreement, the “Amended GIB Facility Agreement”) to combine the Bridge Facility and the Working Capital Facility into a committed $266.6 million revolving credit facility (the “GIB Credit Facility”), which will bear interest at a rate of 1.40% per annum over SAIBOR (based on the term of borrowing) and associated fees. See Note 6 “Debt”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Subscription Agreement for $915.0 million. No shares remain available for sale under the Equity Distribution Agreement. See Note 8 “Stockholders’ Equity”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an underwriting agreement (the “Underwriting Agreement”) with BofA Securities, Inc. (the “Underwriter”), under which the Underwriter agreed to purchase from the Company shares of the Company’s common stock in a public offering for aggregate net proceeds to the Company of approximately $1.2 billion. On May 31, 2023, the Company also entered into a subscription agreement (the “2023 Subscription Agreement”) with Ayar, pursuant to which Ayar agreed to purchase from the Company shares of the Company’s common stock in a private placement for aggregate net proceeds of approximately $1.8 billion. In June 2023, the Company completed the public offering pursuant to the Underwriting Agreement for aggregate net proceeds of $1.2 billion and also consummated the private placement to Ayar pursuant to the 2023 Subscription Agreement for aggregate net proceeds of $1.8 billion. See Note 8 “Stockholders’ Equity”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Certain Significant Risks and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phase 2 of construction at AMP-1 in Casa Grande, Arizona, (iv) construction of AMP-2 in Saudi Arabia, and (v) expansion of its retail studios and service centers capabilities throughout North America and across the globe. The Company is subject to the risks associated with such activities, including the need to further develop its technology, its marketing, and distribution channels; further develop its supply chain and manufacturing; and hire additional management and other key employees. Successful completion of the Company’s development program and, ultimately, the attainment of profitable operations are dependent upon future events, including our ability to access potential markets, and secure long-term financing.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business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 global economic recession or other downturn, whether due to inflation, global conflicts or other geopolitical events, COVID-19 or other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reservations and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global credit markets may limit the Company’s ability to obtain external financing to fund its operations and capital expenditures on terms favorable to the Company, if at all. See “Risk Factors” in Part II, Item 1A of this Quarterly</w:t>
      </w:r>
      <w:r>
        <w:rPr>
          <w:color w:val="000000"/>
          <w:shd w:fill="FFFFFF" w:val="clear"/>
        </w:rPr>
        <w:t xml:space="preserve"> </w:t>
      </w:r>
      <w:r>
        <w:rPr>
          <w:rFonts w:ascii="Times New Roman;sans-serif" w:hAnsi="Times New Roman;sans-serif"/>
          <w:b w:val="false"/>
          <w:color w:val="000000"/>
          <w:sz w:val="20"/>
          <w:shd w:fill="FFFFFF" w:val="clear"/>
        </w:rPr>
        <w:t xml:space="preserve">Report </w:t>
      </w:r>
      <w:r>
        <w:rPr>
          <w:rFonts w:ascii="Times New Roman;sans-serif" w:hAnsi="Times New Roman;sans-serif"/>
          <w:b w:val="false"/>
          <w:color w:val="000000"/>
          <w:sz w:val="20"/>
        </w:rPr>
        <w:t>on Form 10-Q (the “Quarterly Report”) for more information regarding risks associated with a global economic recession, including under the caption “</w:t>
      </w:r>
      <w:r>
        <w:rPr>
          <w:rFonts w:ascii="Times New Roman;sans-serif" w:hAnsi="Times New Roman;sans-serif"/>
          <w:b w:val="false"/>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r>
        <w:rPr>
          <w:rFonts w:ascii="Times New Roman;sans-serif" w:hAnsi="Times New Roman;sans-serif"/>
          <w:b w:val="false"/>
          <w:i/>
          <w:color w:val="000000"/>
          <w:sz w:val="20"/>
        </w:rPr>
        <w:t>.</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impacted the global economy and caused significant macroeconomic uncertainty. Infection rates vary across the jurisdictions in which the Company operates. Broader impacts of the pandemic have included inflationary pressure as well as ongoing, industry-wide challenges in logistics and supply chains, such as intermittent supplier delays and a shortfall of semiconductor supply. Because the Company relies on third party suppliers for the development, manufacture, and/or provision and development of many of the key components and materials used in its vehicles, as well as provisioning and servicing equipment in its manufacturing facilities, the Company has been affected by inflation and such industry-wide challenges in logistics and supply chains. While the Company continues to focus on mitigating risks to its operations and supply chain in the current industry environment, the Company expects that these industry-wide trends will continue to impact its cost structure as well as its ability and the ability of its suppliers to obtain parts, components and manufacturing equipment on a timely basis for the foreseeable future.</w:t>
      </w:r>
    </w:p>
    <w:p>
      <w:pPr>
        <w:pStyle w:val="TextBody"/>
        <w:bidi w:val="0"/>
        <w:spacing w:lineRule="auto" w:line="288" w:before="240" w:after="283"/>
        <w:jc w:val="left"/>
        <w:rPr/>
      </w:pPr>
      <w:r>
        <w:rPr>
          <w:rFonts w:ascii="Times New Roman;sans-serif" w:hAnsi="Times New Roman;sans-serif"/>
          <w:b w:val="false"/>
          <w:color w:val="000000"/>
          <w:sz w:val="20"/>
        </w:rPr>
        <w:t xml:space="preserve">In the current circumstances, any impact on the Company’s financial condition, results of operations or cash flows in the future continues to be difficult to estimate and predict, as it depends on future events that are highly uncertain and cannot be predicted with accuracy. See “Risk Factors” in Part II, Item 1A of this </w:t>
      </w:r>
      <w:r>
        <w:rPr>
          <w:rFonts w:ascii="Times New Roman;sans-serif" w:hAnsi="Times New Roman;sans-serif"/>
          <w:b w:val="false"/>
          <w:color w:val="000000"/>
          <w:sz w:val="20"/>
          <w:shd w:fill="FFFFFF" w:val="clear"/>
        </w:rPr>
        <w:t xml:space="preserve">Quarterly Report </w:t>
      </w:r>
      <w:r>
        <w:rPr>
          <w:rFonts w:ascii="Times New Roman;sans-serif" w:hAnsi="Times New Roman;sans-serif"/>
          <w:b w:val="false"/>
          <w:color w:val="000000"/>
          <w:sz w:val="20"/>
        </w:rPr>
        <w:t>for additional information regarding risks associated with the COVID-19 pandemic, including under the caption “</w:t>
      </w:r>
      <w:r>
        <w:rPr>
          <w:rFonts w:ascii="Times New Roman;sans-serif" w:hAnsi="Times New Roman;sans-serif"/>
          <w:b w:val="false"/>
          <w:i/>
          <w:color w:val="000000"/>
          <w:sz w:val="20"/>
        </w:rPr>
        <w:t>The COVID-19 pandemic has adversely affected, and we cannot predict its ultimate impact on, our business, prospects, results of operations and financial condition.</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28,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June 30, 2023 and the results of operations for the three and six months ended June 30, 2023 and 2022. The results of operations for the three and six months ended June 30, 2023 are not necessarily indicative of the results to be expected for the full year ending December 31, 2023 or any other future interim or annual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 owned subsidiaries. All significant intercompany balances and transactions have been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estimates of residual value guarantee (“RVG”) liability and deferred revenue related to over-the-air (“OTA”) software updates, fair value of common stock prior to the Merger and other assumptions used to measure stock-based compensation expense, and estimated incremental borrowing rates for assessing operating and financing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balances have been reclassified to conform to the current period presentation in the condensed consolidated financial statements and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 other current assets and other noncurrent assets is primarily related to letters of credit issued to the landlords for certain of the Company’s leased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to amounts shown in the condensed consolidated statements of cash flows (in thousands):</w:t>
      </w:r>
    </w:p>
    <w:tbl>
      <w:tblPr>
        <w:tblW w:w="10205" w:type="dxa"/>
        <w:jc w:val="left"/>
        <w:tblInd w:w="0" w:type="dxa"/>
        <w:tblLayout w:type="fixed"/>
        <w:tblCellMar>
          <w:top w:w="28" w:type="dxa"/>
          <w:left w:w="28" w:type="dxa"/>
          <w:bottom w:w="28" w:type="dxa"/>
          <w:right w:w="28" w:type="dxa"/>
        </w:tblCellMar>
      </w:tblPr>
      <w:tblGrid>
        <w:gridCol w:w="1449"/>
        <w:gridCol w:w="1269"/>
        <w:gridCol w:w="127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4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6,262,905 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6,298,020 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of cash, cash equivalents, and investments. The Company places its cash primarily with domestic financial institutions that are federally insured within statutory limits, but at times its deposits may exceed federally insured limits.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4 years.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At the time of revenue recognition, the Company reduces the transaction price and record a sales return reserve against revenue for estimated variable consideration related to future product returns. Return rate estimates are based on historical experience and sales return reserve balance was not material as of June 30, 2023 and December 31, 2022.</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provides an RVG to its commercial banking partner in connection with its vehicle leasing program. Vehicle sales with RVG totaled $36.8 million and $55.5 million during the three and six months ended June 30, 2023, and nil for the same periods in the prior year.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w:t>
      </w:r>
      <w:r>
        <w:rPr>
          <w:rFonts w:ascii="Times New Roman;sans-serif" w:hAnsi="Times New Roman;sans-serif"/>
          <w:b w:val="false"/>
          <w:color w:val="333333"/>
          <w:sz w:val="20"/>
        </w:rPr>
        <w:t>OTA</w:t>
      </w:r>
      <w:r>
        <w:rPr>
          <w:color w:val="000000"/>
        </w:rPr>
        <w:t xml:space="preserve"> </w:t>
      </w:r>
      <w:r>
        <w:rPr>
          <w:rFonts w:ascii="Times New Roman;sans-serif" w:hAnsi="Times New Roman;sans-serif"/>
          <w:b w:val="false"/>
          <w:color w:val="000000"/>
          <w:sz w:val="20"/>
        </w:rPr>
        <w:t>software updates and remarketing activities, in proportion to the standalone selling price of the Company’s performance obligations. 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residual value guarantee liability. As of June 30, 2023 and December 31, 2022, the RVG liability was not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related to OTA and remarketing activities for vehicle sales were $21.7 million and $15.4 million as of June 30, 2023 and December 31, 2022,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consists of revenue from non-warranty after-sales vehicle services and parts, sales of battery pack systems, powertrain kits and retail merchandise.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primarily consist of severance payments, employee benefits, employee transition and stock-based compensation expenses associated with the management-approved restructuring plan. One-time employee termination benefits are recognized at the time of communication to employees, unless future service is required, in which case the costs are recognized over the future service period. Ongoing employee termination benefits are recognized when payments are probable and amounts are reasonably estimable. Other costs are recognized as incurred.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for the policy described above, there have been no significant changes to accounting policies during the three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RESTRUCTURING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2023, the Company announced a restructuring plan (the “Restructuring Plan”) intended to reduce operating expenses in response to evolving business needs and productivity improvement through a reduction in workforce. The Company substantially completed the Restructuring Plan in the second quarter of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recorded charges of $1.5 million and $24.0 million, respectively, related to severance payments, employee benefits, employee transition and stock-based compensation, net of a reversal of previously recognized stock-based compensation expense. These charges were recorded within restructuring charges on the condensed consolidated statements of operations and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restructuring liabilities associated with the Restructuring Plan was as follows (in thousands):</w:t>
      </w:r>
    </w:p>
    <w:tbl>
      <w:tblPr>
        <w:tblW w:w="7571" w:type="dxa"/>
        <w:jc w:val="left"/>
        <w:tblInd w:w="0" w:type="dxa"/>
        <w:tblLayout w:type="fixed"/>
        <w:tblCellMar>
          <w:top w:w="28" w:type="dxa"/>
          <w:left w:w="28" w:type="dxa"/>
          <w:bottom w:w="28" w:type="dxa"/>
          <w:right w:w="28" w:type="dxa"/>
        </w:tblCellMar>
      </w:tblPr>
      <w:tblGrid>
        <w:gridCol w:w="1517"/>
        <w:gridCol w:w="1332"/>
        <w:gridCol w:w="1335"/>
        <w:gridCol w:w="325"/>
        <w:gridCol w:w="1112"/>
        <w:gridCol w:w="168"/>
        <w:gridCol w:w="109"/>
        <w:gridCol w:w="109"/>
        <w:gridCol w:w="109"/>
        <w:gridCol w:w="313"/>
        <w:gridCol w:w="914"/>
        <w:gridCol w:w="228"/>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beginning of period</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charges excluding non-cash items</w:t>
            </w:r>
            <w:r>
              <w:rPr>
                <w:rFonts w:ascii="Times New Roman;sans-serif" w:hAnsi="Times New Roman;sans-serif"/>
                <w:b w:val="false"/>
                <w:color w:val="000000"/>
                <w:sz w:val="13"/>
              </w:rPr>
              <w:t>(1)</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end of period</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non-cash items of $1.4 million for the six months ended June 30, 2023, which was net of accelerated stock-based compensation expense of $3.4 million and a reversal of $4.8 million related to previously recognized stock-based compensation expenses for unvested restricted stock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restructuring liabilities of $1.7 million associated with the Restructuring Plan were included in accrued compensation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 BALANCE SHEETS COMPONENTS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as of June 30, 2023 and December 31, 2022 was as follows (in thousands): </w:t>
      </w:r>
    </w:p>
    <w:tbl>
      <w:tblPr>
        <w:tblW w:w="4163" w:type="dxa"/>
        <w:jc w:val="left"/>
        <w:tblInd w:w="0" w:type="dxa"/>
        <w:tblLayout w:type="fixed"/>
        <w:tblCellMar>
          <w:top w:w="28" w:type="dxa"/>
          <w:left w:w="28" w:type="dxa"/>
          <w:bottom w:w="28" w:type="dxa"/>
          <w:right w:w="28" w:type="dxa"/>
        </w:tblCellMar>
      </w:tblPr>
      <w:tblGrid>
        <w:gridCol w:w="543"/>
        <w:gridCol w:w="476"/>
        <w:gridCol w:w="480"/>
        <w:gridCol w:w="211"/>
        <w:gridCol w:w="82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Finished goods</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was comprised of raw materials, work in progress related to the production of vehicles for sale and finished goods inventory including new vehicles available for sale, vehicles in transit to fulfill customer orders, and internally used vehicles which the Company intends to sell. The Company recorded write-downs of $295.0 million and $522.0 million, respectively, for the three and six months ended June 30, 2023, and $81.7 million and $178.1 million, respectively, for the same periods in the prior year, to reduce our inventories to their net realizable values, for any excess or obsolete inventories, and losses from firm purchase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605" cy="14605"/>
                <wp:effectExtent l="0" t="0" r="0" b="0"/>
                <wp:wrapNone/>
                <wp:docPr id="15" name="Frame1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as of June 30, 2023 and December 31, 2022 was as follows (in thousands):</w:t>
      </w:r>
    </w:p>
    <w:tbl>
      <w:tblPr>
        <w:tblW w:w="7073" w:type="dxa"/>
        <w:jc w:val="left"/>
        <w:tblInd w:w="0" w:type="dxa"/>
        <w:tblLayout w:type="fixed"/>
        <w:tblCellMar>
          <w:top w:w="28" w:type="dxa"/>
          <w:left w:w="28" w:type="dxa"/>
          <w:bottom w:w="28" w:type="dxa"/>
          <w:right w:w="28" w:type="dxa"/>
        </w:tblCellMar>
      </w:tblPr>
      <w:tblGrid>
        <w:gridCol w:w="1488"/>
        <w:gridCol w:w="1308"/>
        <w:gridCol w:w="1313"/>
        <w:gridCol w:w="211"/>
        <w:gridCol w:w="976"/>
        <w:gridCol w:w="109"/>
        <w:gridCol w:w="109"/>
        <w:gridCol w:w="109"/>
        <w:gridCol w:w="109"/>
        <w:gridCol w:w="211"/>
        <w:gridCol w:w="97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Tooling and Vehicles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6129" w:type="dxa"/>
        <w:jc w:val="left"/>
        <w:tblInd w:w="0" w:type="dxa"/>
        <w:tblLayout w:type="fixed"/>
        <w:tblCellMar>
          <w:top w:w="28" w:type="dxa"/>
          <w:left w:w="28" w:type="dxa"/>
          <w:bottom w:w="28" w:type="dxa"/>
          <w:right w:w="28" w:type="dxa"/>
        </w:tblCellMar>
      </w:tblPr>
      <w:tblGrid>
        <w:gridCol w:w="1145"/>
        <w:gridCol w:w="1007"/>
        <w:gridCol w:w="1013"/>
        <w:gridCol w:w="211"/>
        <w:gridCol w:w="976"/>
        <w:gridCol w:w="109"/>
        <w:gridCol w:w="109"/>
        <w:gridCol w:w="109"/>
        <w:gridCol w:w="109"/>
        <w:gridCol w:w="211"/>
        <w:gridCol w:w="97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Machinery and tooling</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Construction of AMP-1 and AMP-2</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June 30, 2023 and December 31, 2022, $83.7 million and $33.3 million of capital expenditure support received from Ministry of Investment of Saudi Arabia (“MISA”) was recorded as a deduction to the AMP-2 construction in progress balance, respectively. See Note 15 “Related Party Transactions” for more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$55.4 million and $105.2 million, respectively, for the three and six months ended June 30, 2023, and $42.5 million and $80.7 million, respectively, for the same periods in the prior year. The amount of interest capitalized on construction in progress related to significant capital asset construction was $2.2 million and $4.0 million, respectively, for the three and six months ended June 30, 2023, and immaterial for the same periods in the prior year.</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as of June 30, 2023 and December 31, 2022 were as follows (in thousands):</w:t>
      </w:r>
    </w:p>
    <w:tbl>
      <w:tblPr>
        <w:tblW w:w="6174" w:type="dxa"/>
        <w:jc w:val="left"/>
        <w:tblInd w:w="0" w:type="dxa"/>
        <w:tblLayout w:type="fixed"/>
        <w:tblCellMar>
          <w:top w:w="28" w:type="dxa"/>
          <w:left w:w="28" w:type="dxa"/>
          <w:bottom w:w="28" w:type="dxa"/>
          <w:right w:w="28" w:type="dxa"/>
        </w:tblCellMar>
      </w:tblPr>
      <w:tblGrid>
        <w:gridCol w:w="1271"/>
        <w:gridCol w:w="1118"/>
        <w:gridCol w:w="1121"/>
        <w:gridCol w:w="211"/>
        <w:gridCol w:w="826"/>
        <w:gridCol w:w="109"/>
        <w:gridCol w:w="109"/>
        <w:gridCol w:w="109"/>
        <w:gridCol w:w="109"/>
        <w:gridCol w:w="211"/>
        <w:gridCol w:w="82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purchases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leasehold improvements accrual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services accrual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Reserve for loss on firm commitments</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Primarily represent accruals for inventory related purchases and transportation charges that had not been invoiced.</w:t>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Primarily represent reserve for losses on firm inventory purchase commitments.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long-term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as of June 30, 2023 and December 31, 2022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long-term liabilities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June 30, 2023 and December 31, 2022, $13.6 million and $64.0 million of capital expenditure support received from MISA was recorded as deferred liability within other long-term liabilities, respectively. See Note 15 “Related Party Transactions” for more information.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Accrued warranty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activities consisted of the following (in thousands):</w:t>
      </w:r>
    </w:p>
    <w:tbl>
      <w:tblPr>
        <w:tblW w:w="6851" w:type="dxa"/>
        <w:jc w:val="left"/>
        <w:tblInd w:w="0" w:type="dxa"/>
        <w:tblLayout w:type="fixed"/>
        <w:tblCellMar>
          <w:top w:w="28" w:type="dxa"/>
          <w:left w:w="28" w:type="dxa"/>
          <w:bottom w:w="28" w:type="dxa"/>
          <w:right w:w="28" w:type="dxa"/>
        </w:tblCellMar>
      </w:tblPr>
      <w:tblGrid>
        <w:gridCol w:w="1255"/>
        <w:gridCol w:w="1102"/>
        <w:gridCol w:w="1108"/>
        <w:gridCol w:w="325"/>
        <w:gridCol w:w="1112"/>
        <w:gridCol w:w="168"/>
        <w:gridCol w:w="109"/>
        <w:gridCol w:w="109"/>
        <w:gridCol w:w="109"/>
        <w:gridCol w:w="282"/>
        <w:gridCol w:w="966"/>
        <w:gridCol w:w="206"/>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warranty - beginning of period</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warranty</w:t>
            </w:r>
            <w:r>
              <w:rPr>
                <w:rFonts w:ascii="Times New Roman;sans-serif" w:hAnsi="Times New Roman;sans-serif"/>
                <w:b w:val="false"/>
                <w:color w:val="000000"/>
                <w:sz w:val="13"/>
              </w:rPr>
              <w:t>(1)</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end of period</w:t>
            </w:r>
            <w:r>
              <w:rPr>
                <w:rFonts w:ascii="Times New Roman;sans-serif" w:hAnsi="Times New Roman;sans-serif"/>
                <w:b/>
                <w:color w:val="000000"/>
                <w:sz w:val="13"/>
              </w:rPr>
              <w:t>(2)</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62,186 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Accrued warranty balance as of June 30, 2023 included estimated costs related to the recalls identified and special campaigns to repair or replace items under warranties.</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Accrued warranty balance of $41.6 million and $20.6 million were recorded within other current liabilities and other long-term liabilities, respectively, on our condensed consolidated balance sheet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FAIR VALUE MEASUREMENTS AND FINANCIAL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 are reported at their respective fair values on the Company's condensed consolidated balance sheets. The Company's short-term and long-term investments are classified as available-for-sale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financial assets subject to fair value measurements on a recurring basis by level within the fair value hierarchy as of June 30, 2023 and December 31, 2022 (in thousands):</w:t>
      </w:r>
    </w:p>
    <w:tbl>
      <w:tblPr>
        <w:tblW w:w="11608"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37"/>
        <w:gridCol w:w="525"/>
        <w:gridCol w:w="124"/>
        <w:gridCol w:w="109"/>
        <w:gridCol w:w="109"/>
        <w:gridCol w:w="109"/>
        <w:gridCol w:w="211"/>
        <w:gridCol w:w="73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tbl>
      <w:tblPr>
        <w:tblW w:w="11608"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37"/>
        <w:gridCol w:w="525"/>
        <w:gridCol w:w="124"/>
        <w:gridCol w:w="109"/>
        <w:gridCol w:w="109"/>
        <w:gridCol w:w="109"/>
        <w:gridCol w:w="211"/>
        <w:gridCol w:w="73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there were immaterial realized gains or losses on the sale of available-for-sale securities. No realized gains or losses on the sale of available-for-sale securities were recorded during the three and six months ended June 30, 2022. Accrued interest receivable excluded from both the fair value and amortized cost basis of the available-for-sale securities was $6.5 million and $7.5 million as of June 30, 2023 and December 31, 2022, respectively, and was recorded in other current assets on our condensed consolidated balance sheets. As of June 30, 2023 and December 31, 2022, no allowance for credit losses was recorded related to an impairment of available-for-sale securities.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available-for-sale securities by contractual maturity:</w:t>
      </w:r>
    </w:p>
    <w:p>
      <w:pPr>
        <w:pStyle w:val="TextBody"/>
        <w:bidi w:val="0"/>
        <w:spacing w:before="0" w:after="0"/>
        <w:jc w:val="both"/>
        <w:rPr/>
      </w:pPr>
      <w:r>
        <w:rPr/>
      </w:r>
    </w:p>
    <w:tbl>
      <w:tblPr>
        <w:tblW w:w="6182" w:type="dxa"/>
        <w:jc w:val="left"/>
        <w:tblInd w:w="0" w:type="dxa"/>
        <w:tblLayout w:type="fixed"/>
        <w:tblCellMar>
          <w:top w:w="28" w:type="dxa"/>
          <w:left w:w="28" w:type="dxa"/>
          <w:bottom w:w="28" w:type="dxa"/>
          <w:right w:w="28" w:type="dxa"/>
        </w:tblCellMar>
      </w:tblPr>
      <w:tblGrid>
        <w:gridCol w:w="1035"/>
        <w:gridCol w:w="913"/>
        <w:gridCol w:w="917"/>
        <w:gridCol w:w="211"/>
        <w:gridCol w:w="976"/>
        <w:gridCol w:w="109"/>
        <w:gridCol w:w="109"/>
        <w:gridCol w:w="109"/>
        <w:gridCol w:w="109"/>
        <w:gridCol w:w="266"/>
        <w:gridCol w:w="1234"/>
        <w:gridCol w:w="19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2,473,955 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288,081 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2,762,036 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liabilities consist of common stock warrant liability of which the fair value was measured upon issuance and is remeasured at each reporting date. Level 3 liabilities also consist of residual value guarantee liabilities, of which the fair value measurement is nonrecurring and measured upon delivery of vehicles. The valuation methodology and underlying assumptions are discussed further in Note 2 “Summary of Significant Accounting Policies” and Note 7 “Common Stock Warrant Liability”. Significant increases (decreases) in the unobservable inputs used in determining the fair value would result in a significantly higher (lower) fair value measurement. The following table presents a reconciliation of the common stock warrant liability measured and recorded at fair value on a recurring basis (in thousands):</w:t>
      </w:r>
    </w:p>
    <w:tbl>
      <w:tblPr>
        <w:tblW w:w="8802" w:type="dxa"/>
        <w:jc w:val="left"/>
        <w:tblInd w:w="0" w:type="dxa"/>
        <w:tblLayout w:type="fixed"/>
        <w:tblCellMar>
          <w:top w:w="28" w:type="dxa"/>
          <w:left w:w="28" w:type="dxa"/>
          <w:bottom w:w="28" w:type="dxa"/>
          <w:right w:w="28" w:type="dxa"/>
        </w:tblCellMar>
      </w:tblPr>
      <w:tblGrid>
        <w:gridCol w:w="983"/>
        <w:gridCol w:w="864"/>
        <w:gridCol w:w="86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2026 Notes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2026 Notes may convert all or a portion of their 2026 Notes at their option prior to September 15, 2026,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issuance of the 2026 Notes as a single liability measured at its amortized cost, as no other embedded features require bifurcation and recognition as derivatives. The following table is a summary of the 2026 Notes as of June 30, 2023 and December 31, 2022 (in millions):</w:t>
      </w:r>
    </w:p>
    <w:p>
      <w:pPr>
        <w:pStyle w:val="TextBody"/>
        <w:bidi w:val="0"/>
        <w:spacing w:before="0" w:after="0"/>
        <w:jc w:val="left"/>
        <w:rPr/>
      </w:pPr>
      <w:r>
        <w:rPr/>
      </w:r>
    </w:p>
    <w:tbl>
      <w:tblPr>
        <w:tblW w:w="7359" w:type="dxa"/>
        <w:jc w:val="left"/>
        <w:tblInd w:w="0" w:type="dxa"/>
        <w:tblLayout w:type="fixed"/>
        <w:tblCellMar>
          <w:top w:w="28" w:type="dxa"/>
          <w:left w:w="28" w:type="dxa"/>
          <w:bottom w:w="28" w:type="dxa"/>
          <w:right w:w="28" w:type="dxa"/>
        </w:tblCellMar>
      </w:tblPr>
      <w:tblGrid>
        <w:gridCol w:w="1461"/>
        <w:gridCol w:w="1283"/>
        <w:gridCol w:w="1291"/>
        <w:gridCol w:w="109"/>
        <w:gridCol w:w="109"/>
        <w:gridCol w:w="109"/>
        <w:gridCol w:w="218"/>
        <w:gridCol w:w="794"/>
        <w:gridCol w:w="113"/>
        <w:gridCol w:w="109"/>
        <w:gridCol w:w="109"/>
        <w:gridCol w:w="109"/>
        <w:gridCol w:w="288"/>
        <w:gridCol w:w="1047"/>
        <w:gridCol w:w="210"/>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Amount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for the convertible note is 1.5%. The components of interest expense related to the 2026 Notes were as follows (in millions):</w:t>
      </w:r>
    </w:p>
    <w:tbl>
      <w:tblPr>
        <w:tblW w:w="9226" w:type="dxa"/>
        <w:jc w:val="left"/>
        <w:tblInd w:w="0" w:type="dxa"/>
        <w:tblLayout w:type="fixed"/>
        <w:tblCellMar>
          <w:top w:w="28" w:type="dxa"/>
          <w:left w:w="28" w:type="dxa"/>
          <w:bottom w:w="28" w:type="dxa"/>
          <w:right w:w="28" w:type="dxa"/>
        </w:tblCellMar>
      </w:tblPr>
      <w:tblGrid>
        <w:gridCol w:w="1655"/>
        <w:gridCol w:w="1456"/>
        <w:gridCol w:w="1464"/>
        <w:gridCol w:w="268"/>
        <w:gridCol w:w="517"/>
        <w:gridCol w:w="138"/>
        <w:gridCol w:w="138"/>
        <w:gridCol w:w="138"/>
        <w:gridCol w:w="138"/>
        <w:gridCol w:w="268"/>
        <w:gridCol w:w="517"/>
        <w:gridCol w:w="138"/>
        <w:gridCol w:w="109"/>
        <w:gridCol w:w="109"/>
        <w:gridCol w:w="109"/>
        <w:gridCol w:w="214"/>
        <w:gridCol w:w="520"/>
        <w:gridCol w:w="110"/>
        <w:gridCol w:w="110"/>
        <w:gridCol w:w="110"/>
        <w:gridCol w:w="110"/>
        <w:gridCol w:w="214"/>
        <w:gridCol w:w="520"/>
        <w:gridCol w:w="156"/>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debt issuance costs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were not eligible for conversion as of June 30, 2023 and December 31, 2022. No sinking fund is provided for the 2026 Notes, which means that the Company is not required to redeem or retire them periodically. As of June 30, 2023 and December 31, 2022, the Company was in compliance with applicable covenants under the indenture governing the 2026 Notes.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SIDF Loans will not bear interest. Instead, Lucid LLC will be required to pay SIDF service fees, consisting of follow-up and technical evaluation fees, ranging, in aggregate, from SAR 415 million (approximately $110.6 million) to SAR 1.77 billion (approximately $471.9 million), over the term of the SIDF Loans. SIDF Loans will be secured by security interests in the equipment, machines and assets funded thereby.</w:t>
      </w:r>
    </w:p>
    <w:p>
      <w:pPr>
        <w:pStyle w:val="TextBody"/>
        <w:bidi w:val="0"/>
        <w:spacing w:lineRule="auto" w:line="288" w:before="240" w:after="283"/>
        <w:jc w:val="left"/>
        <w:rPr/>
      </w:pPr>
      <w:r>
        <w:rPr>
          <w:rFonts w:ascii="Times New Roman;sans-serif" w:hAnsi="Times New Roman;sans-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sans-serif" w:hAnsi="Times New Roman;sans-serif"/>
          <w:b w:val="false"/>
          <w:color w:val="242424"/>
          <w:sz w:val="20"/>
          <w:shd w:fill="FFFFFF" w:val="clear"/>
        </w:rPr>
        <w:t xml:space="preserve">As of </w:t>
      </w:r>
      <w:r>
        <w:rPr>
          <w:rFonts w:ascii="Times New Roman;sans-serif" w:hAnsi="Times New Roman;sans-serif"/>
          <w:b w:val="false"/>
          <w:color w:val="000000"/>
          <w:sz w:val="20"/>
        </w:rPr>
        <w:t>June 30, 2023 and December 31, 2022</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amount</w:t>
      </w:r>
      <w:r>
        <w:rPr>
          <w:color w:val="242424"/>
          <w:shd w:fill="FFFFFF" w:val="clear"/>
        </w:rPr>
        <w:t xml:space="preserve"> </w:t>
      </w:r>
      <w:r>
        <w:rPr>
          <w:rFonts w:ascii="Times New Roman;sans-serif" w:hAnsi="Times New Roman;sans-serif"/>
          <w:b w:val="false"/>
          <w:color w:val="242424"/>
          <w:sz w:val="20"/>
          <w:shd w:fill="FFFFFF" w:val="clear"/>
        </w:rPr>
        <w:t>was outstanding under the SIDF Loan Agreement.</w:t>
      </w:r>
    </w:p>
    <w:p>
      <w:pPr>
        <w:pStyle w:val="TextBody"/>
        <w:bidi w:val="0"/>
        <w:spacing w:lineRule="auto" w:line="28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Loans under the Bridge Facility and the Working Capital Facility had a maturity of no more than 12 months. The Bridge Facility beared interest at a rate of 1.25% per annum over 3-month SAIBOR and the Working Capital Facility beared interest at a rate of 1.70% per annum over 1~3-month SAIBOR and associated fees.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the Amended GIB Facility Agreement to combine the Bridge Facility and the Working Capital Facility into a committed SAR 1 billion (approximately $266.6 million)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outstanding borrowings of SAR 52 million (approximately $13.9 million) with weighted average interest rate of 7.24%. As of June 30, 2023, availability under the GIB Credit Facility was SAR 947 million (approximately $252.6 million), after giving effect to the outstanding letters of credit. As of December 31, 2022, the Company had outstanding borrowings of SAR 36 million (approximately $9.6 million) with interest rate of 6.40% from the Working Capital Facility. As of December 31, 2022, available borrowings were SAR 650 million (approximately $173.0 million) and SAR 314 million (approximately $83.5 million) under the Bridge Facility and Working Capital Facility, respectively. The outstanding borrowings were recorded within other current liabilities on the condensed consolidated balance sheets. As of June 30, 2023 and December 31, 2022, the Company was in compliance with applicable covenants under the Amended GIB Facility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ABL Credit Facility</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June 30, 2023 and December 31, 2022, the Company was in compliance with applicable covenants under the 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 Company had no outstanding borrowings under the ABL Credit Facility. Outstanding letters of credit under the ABL Credit Facility were $41.0 million and $37.4 million as of June 30, 2023 and December 31, 2022, respectively. Availability under the ABL Credit Facility was $596.2 million (including $140.2 million cash and cash equivalents) and $441.4 million (including $37.3 million cash and cash equivalents) as of June 30, 2023 and December 31, 2022, respectively, after giving effect to the borrowing base and the outstanding letters of credit. The Company incurred issuance costs of $6.3 million to obtain the ABL Credit Facility, which was capitalized within other noncurrent assets on condensed consolidated balance sheets and amortized over the facility term using the straight-line method. Amortization of the deferred issuance costs and commitment fee were $0.9 million and $1.8 million, respectively, for the three and six months ended June 30, 2023, and were immaterial for the same periods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COMMON STOCK WARRANT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fair value of $140.6 million as of December 31, 2022. The Private Placement Warrants remained unexercised and were remeasured to fair value of $139.3 million as of June 30, 2023. The Company recognized gains of $42.1 million and $1.3 million, respectively, for the three and six months ended June 30, 2023, and gains of $334.8 million and $858.2 million, respectively, for the same periods in the prior year,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that are not subject to the contingent forfeiture provisions was estimated using a Black-Scholes option pricing model, and were as follows:</w:t>
      </w:r>
    </w:p>
    <w:p>
      <w:pPr>
        <w:pStyle w:val="TextBody"/>
        <w:bidi w:val="0"/>
        <w:spacing w:before="0" w:after="0"/>
        <w:jc w:val="both"/>
        <w:rPr/>
      </w:pPr>
      <w:r>
        <w:rPr/>
      </w:r>
    </w:p>
    <w:tbl>
      <w:tblPr>
        <w:tblW w:w="7492" w:type="dxa"/>
        <w:jc w:val="left"/>
        <w:tblInd w:w="0" w:type="dxa"/>
        <w:tblLayout w:type="fixed"/>
        <w:tblCellMar>
          <w:top w:w="28" w:type="dxa"/>
          <w:left w:w="28" w:type="dxa"/>
          <w:bottom w:w="28" w:type="dxa"/>
          <w:right w:w="28" w:type="dxa"/>
        </w:tblCellMar>
      </w:tblPr>
      <w:tblGrid>
        <w:gridCol w:w="1510"/>
        <w:gridCol w:w="1328"/>
        <w:gridCol w:w="1332"/>
        <w:gridCol w:w="109"/>
        <w:gridCol w:w="109"/>
        <w:gridCol w:w="109"/>
        <w:gridCol w:w="285"/>
        <w:gridCol w:w="692"/>
        <w:gridCol w:w="147"/>
        <w:gridCol w:w="109"/>
        <w:gridCol w:w="109"/>
        <w:gridCol w:w="109"/>
        <w:gridCol w:w="372"/>
        <w:gridCol w:w="901"/>
        <w:gridCol w:w="271"/>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Private Placement Warrants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Black-Scholes option pricing models were as follows:</w:t>
      </w:r>
    </w:p>
    <w:tbl>
      <w:tblPr>
        <w:tblW w:w="5524" w:type="dxa"/>
        <w:jc w:val="left"/>
        <w:tblInd w:w="0" w:type="dxa"/>
        <w:tblLayout w:type="fixed"/>
        <w:tblCellMar>
          <w:top w:w="28" w:type="dxa"/>
          <w:left w:w="28" w:type="dxa"/>
          <w:bottom w:w="28" w:type="dxa"/>
          <w:right w:w="28" w:type="dxa"/>
        </w:tblCellMar>
      </w:tblPr>
      <w:tblGrid>
        <w:gridCol w:w="756"/>
        <w:gridCol w:w="662"/>
        <w:gridCol w:w="667"/>
        <w:gridCol w:w="109"/>
        <w:gridCol w:w="109"/>
        <w:gridCol w:w="109"/>
        <w:gridCol w:w="308"/>
        <w:gridCol w:w="308"/>
        <w:gridCol w:w="624"/>
        <w:gridCol w:w="109"/>
        <w:gridCol w:w="109"/>
        <w:gridCol w:w="109"/>
        <w:gridCol w:w="314"/>
        <w:gridCol w:w="314"/>
        <w:gridCol w:w="917"/>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STOCKHOLDERS’ EQUITY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the issuance of 10,000,000 shares of undesignated preferred stock with a par value of $0.0001 per share with rights and preferences, including voting rights, designated from time to time by the Board of Directors. As of June 30, 2023 and December 31, 2022, there were no issued and outstanding shares of preferred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entered into the Equity Distribution Agreement with BofA Securities, Inc., Barclays Capital Inc. and Citigroup Global Markets Inc., under which the Company could offer and sell shares of its common stock having an aggregate offering price up to $600.0 million. During the year ended December 31, 2022, the Company issued 56,203,334 shares at a weighted average price per share of $10.68 and received net proceeds of $594.3 million after deducting commissions and other issuance costs of approximately $5.7 million. No shares remain available for sale under the Equity Distribution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also entered into the Subscription Agreement, pursuant to which Ayar agreed to purchase from the Company, up to $915.0 million of shares of its common stock in one or more private placements through March 31, 2023. In December 2022, the Company issued 85,712,679 shares to Ayar pursuant to the Subscription Agreement at a weighted average price per share of $10.68, and received aggregate proceeds of $915.0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the Underwriting Agreement with the Underwriter, under which the Underwriter agreed to purchase 173,544,948 shares of the Company’s common stock at a price per share of $6.83, for aggregate net proceeds to the Company of approximately $1.2 billion. In June 2023, the Company issued the shares to the Underwriter pursuant to the Underwriting Agreement and received aggregate net proceeds of $1.2 billion after deducting issuance costs of approximately $1.1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the 2023 Subscription Agreement with Ayar, pursuant to which Ayar agreed to purchase from the Company 265,693,703 shares of the Company’s common stock at a price per share of $6.83 in a private placement for aggregate net proceeds to the Company of approximately $1.8 billion. In June 2023, the Company issued the shares to Ayar pursuant to the 2023 Subscription Agreement and received aggregate net proceeds of $1.8 billion after deducting issuance costs of approximately $2.0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 incurred were recorded as a reduction of the gross proceeds received from the equity offerings within additional paid-in capital on the condensed consolidated balance sheets.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three and six months ended June 30, 2023 and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Reserved for Issuance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reserved for future issuances as of June 30, 2023 was as follows:</w:t>
      </w:r>
    </w:p>
    <w:tbl>
      <w:tblPr>
        <w:tblW w:w="6050" w:type="dxa"/>
        <w:jc w:val="left"/>
        <w:tblInd w:w="0" w:type="dxa"/>
        <w:tblLayout w:type="fixed"/>
        <w:tblCellMar>
          <w:top w:w="28" w:type="dxa"/>
          <w:left w:w="28" w:type="dxa"/>
          <w:bottom w:w="28" w:type="dxa"/>
          <w:right w:w="28" w:type="dxa"/>
        </w:tblCellMar>
      </w:tblPr>
      <w:tblGrid>
        <w:gridCol w:w="1646"/>
        <w:gridCol w:w="1447"/>
        <w:gridCol w:w="1452"/>
        <w:gridCol w:w="592"/>
        <w:gridCol w:w="594"/>
        <w:gridCol w:w="319"/>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34,849,933 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60,503,256 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36,576,766 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213,017,740 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STOCK-BASED AWARDS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for the six months ended June 30, 2023 was as follows:</w:t>
      </w:r>
    </w:p>
    <w:tbl>
      <w:tblPr>
        <w:tblW w:w="10205" w:type="dxa"/>
        <w:jc w:val="left"/>
        <w:tblInd w:w="0" w:type="dxa"/>
        <w:tblLayout w:type="fixed"/>
        <w:tblCellMar>
          <w:top w:w="28" w:type="dxa"/>
          <w:left w:w="28" w:type="dxa"/>
          <w:bottom w:w="28" w:type="dxa"/>
          <w:right w:w="28" w:type="dxa"/>
        </w:tblCellMar>
      </w:tblPr>
      <w:tblGrid>
        <w:gridCol w:w="868"/>
        <w:gridCol w:w="763"/>
        <w:gridCol w:w="764"/>
        <w:gridCol w:w="540"/>
        <w:gridCol w:w="541"/>
        <w:gridCol w:w="335"/>
        <w:gridCol w:w="109"/>
        <w:gridCol w:w="109"/>
        <w:gridCol w:w="109"/>
        <w:gridCol w:w="376"/>
        <w:gridCol w:w="912"/>
        <w:gridCol w:w="194"/>
        <w:gridCol w:w="109"/>
        <w:gridCol w:w="109"/>
        <w:gridCol w:w="109"/>
        <w:gridCol w:w="771"/>
        <w:gridCol w:w="771"/>
        <w:gridCol w:w="773"/>
        <w:gridCol w:w="109"/>
        <w:gridCol w:w="109"/>
        <w:gridCol w:w="109"/>
        <w:gridCol w:w="285"/>
        <w:gridCol w:w="1117"/>
        <w:gridCol w:w="21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Options</w:t>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Intrinsic Value (in thousands)</w:t>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39,011,116 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1,776,333 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(5,002,102)</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(935,414)</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34,849,933 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as of June 30, 2023</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28,051,811 </w:t>
            </w:r>
          </w:p>
        </w:tc>
        <w:tc>
          <w:tcPr>
            <w:tcW w:w="3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165,688 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stock-based compensation cost related to outstanding unvested stock options that are expected to vest was $9.9 million, which is expected to be recognized over a weighted-average period of 2.9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RSUs activity for the six months ended June 30, 2023 was as follows:</w:t>
      </w:r>
    </w:p>
    <w:tbl>
      <w:tblPr>
        <w:tblW w:w="10205" w:type="dxa"/>
        <w:jc w:val="left"/>
        <w:tblInd w:w="0" w:type="dxa"/>
        <w:tblLayout w:type="fixed"/>
        <w:tblCellMar>
          <w:top w:w="28" w:type="dxa"/>
          <w:left w:w="28" w:type="dxa"/>
          <w:bottom w:w="28" w:type="dxa"/>
          <w:right w:w="28" w:type="dxa"/>
        </w:tblCellMar>
      </w:tblPr>
      <w:tblGrid>
        <w:gridCol w:w="760"/>
        <w:gridCol w:w="668"/>
        <w:gridCol w:w="670"/>
        <w:gridCol w:w="540"/>
        <w:gridCol w:w="541"/>
        <w:gridCol w:w="411"/>
        <w:gridCol w:w="109"/>
        <w:gridCol w:w="109"/>
        <w:gridCol w:w="109"/>
        <w:gridCol w:w="605"/>
        <w:gridCol w:w="605"/>
        <w:gridCol w:w="606"/>
        <w:gridCol w:w="109"/>
        <w:gridCol w:w="109"/>
        <w:gridCol w:w="109"/>
        <w:gridCol w:w="540"/>
        <w:gridCol w:w="541"/>
        <w:gridCol w:w="275"/>
        <w:gridCol w:w="109"/>
        <w:gridCol w:w="109"/>
        <w:gridCol w:w="109"/>
        <w:gridCol w:w="528"/>
        <w:gridCol w:w="1542"/>
        <w:gridCol w:w="392"/>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38,570,298 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2,090,140 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40,660,438 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28,793,438 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3,696,694 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32,490,132 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(7,755,145)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(7,755,145)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(4,892,169)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(4,892,169)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54,716,422 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5,786,834 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60,503,256 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stock-based compensation cost related to outstanding unvested time-based RSUs that are expected to vest was $544.6 million, which is expected to be recognized over a weighted-average period of 2.4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Company granted performance-based RSUs to the CEO and they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tbl>
      <w:tblPr>
        <w:tblW w:w="3227" w:type="dxa"/>
        <w:jc w:val="left"/>
        <w:tblInd w:w="0" w:type="dxa"/>
        <w:tblLayout w:type="fixed"/>
        <w:tblCellMar>
          <w:top w:w="28" w:type="dxa"/>
          <w:left w:w="28" w:type="dxa"/>
          <w:bottom w:w="28" w:type="dxa"/>
          <w:right w:w="28" w:type="dxa"/>
        </w:tblCellMar>
      </w:tblPr>
      <w:tblGrid>
        <w:gridCol w:w="870"/>
        <w:gridCol w:w="762"/>
        <w:gridCol w:w="768"/>
        <w:gridCol w:w="255"/>
        <w:gridCol w:w="256"/>
        <w:gridCol w:w="316"/>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expense using a graded vesting attribution method over the derived service period for the CEO performance-based awards. Stock-based compensation expense is recognized when the relevant performance condition is considered probable of achievement for the performance-based award. During the year ended December 31, 2022, the market condition was met for the CEO performance-based awards for four of the five tranches and certified by the Board of Directors, representing an aggregate of 13,934,271 performance RSUs. We recorded stock-based compensation expense of $85.4 million for the four tranches during the year ended December 31, 2022. As of June 30, 2023, the unamortized expense for the fifth tranche, representing 2,090,140 RSUs, was $2.6 million which will be recognized over a period of 0.2 years. The Company withheld approximately 0.4 million and 0.9 million shares of common stock, respectively, for the three and six months ended June 30, 2023, and 0.5 million and 8.5 million shares of common stock, respectively, for the same periods in the prior year, by net settlement to meet the related tax withholding requirements related to the CEO time-based and performance-based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During the three and six months ended June 30, 2023, the Company granted performance-based RSUs to certain employees. Performance-based RSUs granted to certain employees are subject to corporate performance conditions and individual performance. The number of awards granted represents 100% of the target goal. Under the terms of the awards, the recipient may earn between 0% to 150% of the original number of grants based on actual achievement of corporate performance goals and individual performance. Performance-based RSUs earned are subject to service condition which will be met generally over 3 years</w:t>
      </w:r>
      <w:r>
        <w:rPr>
          <w:rFonts w:ascii="Times New Roman;sans-serif" w:hAnsi="Times New Roman;sans-serif"/>
          <w:b w:val="false"/>
          <w:color w:val="B6B6B6"/>
          <w:sz w:val="20"/>
        </w:rPr>
        <w:t>.</w:t>
      </w:r>
      <w:r>
        <w:rPr>
          <w:color w:val="000000"/>
        </w:rPr>
        <w:t xml:space="preserve"> </w:t>
      </w:r>
      <w:r>
        <w:rPr>
          <w:rFonts w:ascii="Times New Roman;sans-serif" w:hAnsi="Times New Roman;sans-serif"/>
          <w:b w:val="false"/>
          <w:color w:val="000000"/>
          <w:sz w:val="20"/>
        </w:rPr>
        <w:t>Stock-based compensation expense is recognized when the relevant performance condition is considered probable of achievement for the performance-based award. During the three and six months ended June 30, 2023, the Company recorded stock-based compensation expenses of $0.7 million related to these performance-based RSUs. As of June 30, 2023, the unamortized expense for the performance-based RSUs was $18.2 million which will be recognized over a weighted-average period of 1.6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June 30, 2023, unrecognized stock-based compensation cost related to the ESPP was $39.1 million, which is expected to be recognized over a weighted-average period of 1.9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employee and nonemployee stock-based compensation expense for the three and six months ended June 30, 2023 and 2022, was classified in the condensed consolidated statements of operations and comprehensive loss as follows (in thousands):</w:t>
      </w:r>
    </w:p>
    <w:tbl>
      <w:tblPr>
        <w:tblW w:w="8354" w:type="dxa"/>
        <w:jc w:val="left"/>
        <w:tblInd w:w="0" w:type="dxa"/>
        <w:tblLayout w:type="fixed"/>
        <w:tblCellMar>
          <w:top w:w="28" w:type="dxa"/>
          <w:left w:w="28" w:type="dxa"/>
          <w:bottom w:w="28" w:type="dxa"/>
          <w:right w:w="28" w:type="dxa"/>
        </w:tblCellMar>
      </w:tblPr>
      <w:tblGrid>
        <w:gridCol w:w="1068"/>
        <w:gridCol w:w="941"/>
        <w:gridCol w:w="94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non-cancellable operating and finance lease agreements for certain of the Company’s offices, manufacturing and warehouse facilities, retail and service locations, equipment and vehicles, worldwide.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June 30, 2023 and December 31, 2022, assets associated with the finance lease were $79.3 million. As of June 30, 2023 and December 31, 2022, liabilities associated with the finance lease were $80.9 million and $81.1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the sales proceeds received as a financial liability within other long-term liabilities on our condensed consolidated balance sheets as of June 30, 2023 and December 31,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operating and finance leases where the Company is the lessee are presented as follows within the Company’s condensed consolidated balance sheets (in thousands):</w:t>
      </w:r>
    </w:p>
    <w:tbl>
      <w:tblPr>
        <w:tblW w:w="6518" w:type="dxa"/>
        <w:jc w:val="left"/>
        <w:tblInd w:w="0" w:type="dxa"/>
        <w:tblLayout w:type="fixed"/>
        <w:tblCellMar>
          <w:top w:w="28" w:type="dxa"/>
          <w:left w:w="28" w:type="dxa"/>
          <w:bottom w:w="28" w:type="dxa"/>
          <w:right w:w="28" w:type="dxa"/>
        </w:tblCellMar>
      </w:tblPr>
      <w:tblGrid>
        <w:gridCol w:w="1397"/>
        <w:gridCol w:w="1225"/>
        <w:gridCol w:w="1232"/>
        <w:gridCol w:w="211"/>
        <w:gridCol w:w="826"/>
        <w:gridCol w:w="109"/>
        <w:gridCol w:w="109"/>
        <w:gridCol w:w="109"/>
        <w:gridCol w:w="109"/>
        <w:gridCol w:w="211"/>
        <w:gridCol w:w="82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within the Company’s condensed consolidated statements of operations and comprehensive loss (in thousands):</w:t>
      </w:r>
    </w:p>
    <w:tbl>
      <w:tblPr>
        <w:tblW w:w="7664" w:type="dxa"/>
        <w:jc w:val="left"/>
        <w:tblInd w:w="0" w:type="dxa"/>
        <w:tblLayout w:type="fixed"/>
        <w:tblCellMar>
          <w:top w:w="28" w:type="dxa"/>
          <w:left w:w="28" w:type="dxa"/>
          <w:bottom w:w="28" w:type="dxa"/>
          <w:right w:w="28" w:type="dxa"/>
        </w:tblCellMar>
      </w:tblPr>
      <w:tblGrid>
        <w:gridCol w:w="896"/>
        <w:gridCol w:w="786"/>
        <w:gridCol w:w="7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expense</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short-term leases, which were not 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where the Company is the lessee was as follows:</w:t>
      </w:r>
    </w:p>
    <w:tbl>
      <w:tblPr>
        <w:tblW w:w="7059" w:type="dxa"/>
        <w:jc w:val="left"/>
        <w:tblInd w:w="0" w:type="dxa"/>
        <w:tblLayout w:type="fixed"/>
        <w:tblCellMar>
          <w:top w:w="28" w:type="dxa"/>
          <w:left w:w="28" w:type="dxa"/>
          <w:bottom w:w="28" w:type="dxa"/>
          <w:right w:w="28" w:type="dxa"/>
        </w:tblCellMar>
      </w:tblPr>
      <w:tblGrid>
        <w:gridCol w:w="1603"/>
        <w:gridCol w:w="1408"/>
        <w:gridCol w:w="1413"/>
        <w:gridCol w:w="308"/>
        <w:gridCol w:w="308"/>
        <w:gridCol w:w="399"/>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9"/>
        <w:gridCol w:w="1034"/>
        <w:gridCol w:w="1042"/>
        <w:gridCol w:w="251"/>
        <w:gridCol w:w="984"/>
        <w:gridCol w:w="129"/>
        <w:gridCol w:w="109"/>
        <w:gridCol w:w="109"/>
        <w:gridCol w:w="109"/>
        <w:gridCol w:w="239"/>
        <w:gridCol w:w="817"/>
        <w:gridCol w:w="17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402,911 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102,918 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(133,229)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obligations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lease obligations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250,547 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entered into additional leases for facilities and equipment that have not yet commenced with undiscounted future lease payments of $14.3 million. The leases are expected to commence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$438.1 million and $593.9 million, respectively, in commitments related to AMP-1 and AMP-2 plant and equipment. These commitments represent future expected payments on open purchase orders entered into as of June 30, 2023 and December 31, 2022.</w:t>
      </w:r>
    </w:p>
    <w:p>
      <w:pPr>
        <w:pStyle w:val="TextBody"/>
        <w:bidi w:val="0"/>
        <w:spacing w:lineRule="auto" w:line="288" w:before="240" w:after="283"/>
        <w:jc w:val="left"/>
        <w:rPr/>
      </w:pPr>
      <w:r>
        <w:rPr>
          <w:rFonts w:ascii="Times New Roman;sans-serif" w:hAnsi="Times New Roman;sans-serif"/>
          <w:b w:val="false"/>
          <w:color w:val="000000"/>
          <w:sz w:val="22"/>
        </w:rPr>
        <w:t>T</w:t>
      </w:r>
      <w:r>
        <w:rPr>
          <w:rFonts w:ascii="Times New Roman;sans-serif" w:hAnsi="Times New Roman;sans-serif"/>
          <w:b w:val="false"/>
          <w:color w:val="000000"/>
          <w:sz w:val="20"/>
        </w:rPr>
        <w:t>he Company’s non-cancellable long-term commitments primarily related to certain inventory component purchases. The estimated future payments having a remaining term in excess of one year as of June 30, 2023 were as follows (in thousands):</w:t>
      </w:r>
    </w:p>
    <w:tbl>
      <w:tblPr>
        <w:tblW w:w="3756" w:type="dxa"/>
        <w:jc w:val="left"/>
        <w:tblInd w:w="0" w:type="dxa"/>
        <w:tblLayout w:type="fixed"/>
        <w:tblCellMar>
          <w:top w:w="28" w:type="dxa"/>
          <w:left w:w="28" w:type="dxa"/>
          <w:bottom w:w="28" w:type="dxa"/>
          <w:right w:w="28" w:type="dxa"/>
        </w:tblCellMar>
      </w:tblPr>
      <w:tblGrid>
        <w:gridCol w:w="875"/>
        <w:gridCol w:w="768"/>
        <w:gridCol w:w="772"/>
        <w:gridCol w:w="211"/>
        <w:gridCol w:w="97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Minimum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w:t>
            </w:r>
          </w:p>
          <w:p>
            <w:pPr>
              <w:pStyle w:val="TableContents"/>
              <w:bidi w:val="0"/>
              <w:spacing w:lineRule="auto" w:line="240" w:before="0" w:after="0"/>
              <w:jc w:val="center"/>
              <w:rPr/>
            </w:pPr>
            <w:r>
              <w:rPr>
                <w:rFonts w:ascii="Times New Roman;sans-serif" w:hAnsi="Times New Roman;sans-serif"/>
                <w:b/>
                <w:color w:val="000000"/>
                <w:sz w:val="16"/>
              </w:rPr>
              <w:t>Commitment</w:t>
            </w:r>
            <w:r>
              <w:rPr>
                <w:rFonts w:ascii="Times New Roman;sans-serif" w:hAnsi="Times New Roman;sans-serif"/>
                <w:b/>
                <w:color w:val="000000"/>
                <w:sz w:val="10"/>
              </w:rPr>
              <w:t>(1)</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5,040,797 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Included minimum purchase commitment of approximately $4.9 billion of battery cells from Panasonic Energy Co., Ltd. and certain of its affiliates.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and that motion was granted on January 11, 2023, with Plaintiffs being provided the ability to seek leave to amend. On January 30, 2023, Plaintiffs filed a Motion for Leave to Amend, which the Company opposed. On June 29, 2023, the District Court denied that motion, dismissed the lawsuit and terminated the case. It is unclear at the present time whether Plaintiffs will appeal the dismissal.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 2021, the Company received a subpoena from the SEC requesting the production of certain documents related to an investigation by the SEC related to the business combination between the Company (f/k/a Churchill Capital Corp IV) and Legacy Lucid and certain projections and statements. The Company responded and fully cooperated with the SEC in its review. On April 27, 2023, SEC staff informed the Company that the SEC has concluded this matter and it does not intend to recommend an enforcement action by the SEC against the Company.</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w:t>
      </w:r>
      <w:r>
        <w:rPr>
          <w:rFonts w:ascii="Times New Roman;sans-serif" w:hAnsi="Times New Roman;sans-serif"/>
          <w:b w:val="false"/>
          <w:i/>
          <w:color w:val="000000"/>
          <w:sz w:val="20"/>
        </w:rPr>
        <w:t>Zsata Williams-Spinks v. Peter Rawlinson, et al.</w:t>
      </w:r>
      <w:r>
        <w:rPr>
          <w:rFonts w:ascii="Times New Roman;sans-serif" w:hAnsi="Times New Roman;sans-serif"/>
          <w:b w:val="false"/>
          <w:color w:val="000000"/>
          <w:sz w:val="20"/>
        </w:rPr>
        <w:t>,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complaints name as defendants Lucid Group, Inc. and the Company’s chief executive officer and 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filed a Motion to Dismiss on February 23, 2023, which is pending before the court. The Company believes that the plaintiffs’ claims are without merit and intends to defend itself vigorously, but the Company cannot ensure that defendants’ efforts to dismiss the complaint will be successful or that it will avoid liability in these matters.</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sans-serif" w:hAnsi="Times New Roman;sans-serif"/>
          <w:b w:val="false"/>
          <w:i/>
          <w:color w:val="000000"/>
          <w:sz w:val="20"/>
        </w:rPr>
        <w:t>Floyd Taylor v. Glenn August, et al.</w:t>
      </w:r>
      <w:r>
        <w:rPr>
          <w:rFonts w:ascii="Times New Roman;sans-serif" w:hAnsi="Times New Roman;sans-serif"/>
          <w:b w:val="false"/>
          <w:color w:val="000000"/>
          <w:sz w:val="20"/>
        </w:rPr>
        <w:t xml:space="preserve">, Superior Court, Alameda County, Case No. 22CV014130. The complaint also names the Company as a nominal defendant. Based on allegations that are similar to those in the </w:t>
      </w:r>
      <w:r>
        <w:rPr>
          <w:rFonts w:ascii="Times New Roman;sans-serif" w:hAnsi="Times New Roman;sans-serif"/>
          <w:b w:val="false"/>
          <w:i/>
          <w:color w:val="000000"/>
          <w:sz w:val="20"/>
        </w:rPr>
        <w:t xml:space="preserve">In re Lucid Group, Inc. Securities Litigation </w:t>
      </w:r>
      <w:r>
        <w:rPr>
          <w:rFonts w:ascii="Times New Roman;sans-serif" w:hAnsi="Times New Roman;sans-serif"/>
          <w:b w:val="false"/>
          <w:color w:val="000000"/>
          <w:sz w:val="20"/>
        </w:rPr>
        <w:t xml:space="preserve">action, the </w:t>
      </w:r>
      <w:r>
        <w:rPr>
          <w:rFonts w:ascii="Times New Roman;sans-serif" w:hAnsi="Times New Roman;sans-serif"/>
          <w:b w:val="false"/>
          <w:i/>
          <w:color w:val="000000"/>
          <w:sz w:val="20"/>
        </w:rPr>
        <w:t>Taylor</w:t>
      </w:r>
      <w:r>
        <w:rPr>
          <w:color w:val="000000"/>
        </w:rPr>
        <w:t xml:space="preserve"> </w:t>
      </w:r>
      <w:r>
        <w:rPr>
          <w:rFonts w:ascii="Times New Roman;sans-serif" w:hAnsi="Times New Roman;sans-serif"/>
          <w:b w:val="false"/>
          <w:color w:val="000000"/>
          <w:sz w:val="20"/>
        </w:rPr>
        <w:t>complaint asserts claims for breach of fiduciary duty, unjust enrichment, waste of corporate assets and aiding and abetting breach of fiduciary duty. The complaint seeks compensatory damages, punitive damages, interest, and attorneys’ fees and expenses. The Company is advancing defendants’ fees and expenses incurred in their defense of the actions.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$56.7 million and $52.5 million as of June 30, 2023 and December 31, 2022, respectively, for which no liabilities are recorded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INCOME TAXES</w:t>
      </w:r>
    </w:p>
    <w:p>
      <w:pPr>
        <w:pStyle w:val="TextBody"/>
        <w:bidi w:val="0"/>
        <w:spacing w:lineRule="auto" w:line="288" w:before="240" w:after="283"/>
        <w:jc w:val="both"/>
        <w:rPr/>
      </w:pPr>
      <w:r>
        <w:rPr>
          <w:rFonts w:ascii="Times New Roman;sans-serif" w:hAnsi="Times New Roman;sans-serif"/>
          <w:b w:val="false"/>
          <w:color w:val="231F20"/>
          <w:sz w:val="20"/>
        </w:rPr>
        <w:t>The Company's provision from income taxes for interim periods is determined using its effective tax rate that</w:t>
      </w:r>
      <w:r>
        <w:rPr>
          <w:color w:val="000000"/>
        </w:rPr>
        <w:t xml:space="preserve"> </w:t>
      </w:r>
      <w:r>
        <w:rPr>
          <w:rFonts w:ascii="Times New Roman;sans-serif" w:hAnsi="Times New Roman;sans-serif"/>
          <w:b w:val="false"/>
          <w:color w:val="000000"/>
          <w:sz w:val="20"/>
        </w:rPr>
        <w:t>arise during the period. The Company's quarterly tax provision is subject to variation due to several factors, including variability in pre-tax income (or loss), the mix of jurisdictions to which such income relates, changes in how the Company does business, and tax law developments.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was (0.1)% and 0.0%, respectively, for the three and six months ended June 30, 2023, and 0.0% and (0.1)%, respectively, for the same periods in the prior year, due to minimal profits in foreign jurisdictions and U.S. losses for which no benefit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 NET LOSS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343"/>
        <w:gridCol w:w="1026"/>
        <w:gridCol w:w="1029"/>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3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dilutive warrants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(1,159,884)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outstanding, basic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1,912,459,833 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1,669,303,813 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1,871,884,313 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1,661,960,471 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using the treasury stock method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22,367,536 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diluted</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1,912,459,833 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1,686,815,404 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1,871,884,313 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1,684,328,007 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7612" w:type="dxa"/>
        <w:jc w:val="left"/>
        <w:tblInd w:w="0" w:type="dxa"/>
        <w:tblLayout w:type="fixed"/>
        <w:tblCellMar>
          <w:top w:w="28" w:type="dxa"/>
          <w:left w:w="28" w:type="dxa"/>
          <w:bottom w:w="28" w:type="dxa"/>
          <w:right w:w="28" w:type="dxa"/>
        </w:tblCellMar>
      </w:tblPr>
      <w:tblGrid>
        <w:gridCol w:w="1642"/>
        <w:gridCol w:w="1446"/>
        <w:gridCol w:w="1456"/>
        <w:gridCol w:w="592"/>
        <w:gridCol w:w="594"/>
        <w:gridCol w:w="156"/>
        <w:gridCol w:w="109"/>
        <w:gridCol w:w="109"/>
        <w:gridCol w:w="109"/>
        <w:gridCol w:w="592"/>
        <w:gridCol w:w="594"/>
        <w:gridCol w:w="213"/>
      </w:tblGrid>
      <w:tr>
        <w:trPr/>
        <w:tc>
          <w:tcPr>
            <w:tcW w:w="16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34,849,933 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46,268,897 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54,716,422 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39,884,884 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4,482,280 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179,418,764 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127,373,846 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5,786,834 and 2,090,140 shares of common stock equivalents subject to RSUs are excluded from the anti-dilutive table above as the underlying shares remain contingently issuable since the market or corporate performance conditions have not been satisfied as of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 EMPLOYEE BENEFIT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three and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RELATED PARTY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Public Investment Fund Internship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we entered into an agreement with PIF, which is an affiliate of Ayar,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The program ended during the year ended December 31, 2022. Expenses incurred under the agreement were nil during the three and six months ended June 30, 2023, and $0.7 million during the same periods in the prior year. The amount due from PIF was nil and $1 million as of June 30, 2023 and December 31, 2022,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we entered into a lease agreement with KAEC, a related party of PIF, which is an affiliate of Ayar, for our first international manufacturing plant in Saudi Arabia. The lease has an initial term of 25 years expiring in Year 2047. The right-of-use assets related to this lease were $4.7 million and $4.8 million as of June 30, 2023 and December 31, 2022, respectively. The lease liabilities were $5.6 million and $5.4 million as of June 30, 2022 and December 31, 2022, respectively. The lease expense recorded for the three and six months ended June 30, 2023 and 2022 was immaterial.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pPr>
      <w:r>
        <w:rPr>
          <w:rFonts w:ascii="Times New Roman;sans-serif" w:hAnsi="Times New Roman;sans-serif"/>
          <w:b w:val="false"/>
          <w:color w:val="000000"/>
          <w:sz w:val="20"/>
        </w:rPr>
        <w:t>In February 2022, Lucid LLC entered into the SIDF Loan Agreement with the SIDF, a related party of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242424"/>
          <w:shd w:fill="FFFFFF" w:val="clear"/>
        </w:rPr>
        <w:t xml:space="preserve"> </w:t>
      </w:r>
      <w:r>
        <w:rPr>
          <w:rFonts w:ascii="Times New Roman;sans-serif" w:hAnsi="Times New Roman;sans-serif"/>
          <w:b w:val="false"/>
          <w:color w:val="000000"/>
          <w:sz w:val="20"/>
        </w:rPr>
        <w:t>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MISA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completely-built-up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received support of SAR 366 million (approximately $97.3 million) in cash. The Company recorded $13.6 million and $64.0 million as deferred liability within other long-term liabilities on the condensed consolidated balance sheets as of June 30, 2023 and December 31, 2022, respectively. The Company also recorded $83.7 million and $33.3 million as a deduction in calculating the carrying amount of the related assets on the condensed consolidated balance sheets as of June 30, 2023 and December 31, 2022, respectively. There were no unfulfilled conditions and contingencies attached to the payments received. In 2022, payment receipts were classified as investing cash inflows on the condensed consolidated statements of cash flows.</w:t>
      </w:r>
    </w:p>
    <w:p>
      <w:pPr>
        <w:pStyle w:val="TextBody"/>
        <w:bidi w:val="0"/>
        <w:spacing w:lineRule="auto" w:line="26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Lucid LLC entered into the GIB Facility Agreement with GIB. GIB is a related party of PIF, which is an affiliate of Ayar. The GIB Facility Agreement provided for two committed revolving credit facilities in an aggregate principal amount of SAR 1 billion (approximately $266.1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 combine the Bridge Facility and the Working Capital Facility into a committed SAR 1 billion (approximately $266.6 million) GIB Credit Facility which may be used for general corporate purposes. 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Construction Service Contract </w:t>
      </w:r>
    </w:p>
    <w:p>
      <w:pPr>
        <w:pStyle w:val="TextBody"/>
        <w:bidi w:val="0"/>
        <w:spacing w:lineRule="auto" w:line="288" w:before="240" w:after="283"/>
        <w:jc w:val="left"/>
        <w:rPr/>
      </w:pPr>
      <w:r>
        <w:rPr>
          <w:rFonts w:ascii="Times New Roman;sans-serif" w:hAnsi="Times New Roman;sans-serif"/>
          <w:b w:val="false"/>
          <w:color w:val="000000"/>
          <w:sz w:val="20"/>
        </w:rPr>
        <w:t xml:space="preserve">Lucid LLC entered into agreements with Al Bawani Company Limited (“Al Bawani”), an </w:t>
      </w:r>
      <w:r>
        <w:rPr>
          <w:rFonts w:ascii="Times New Roman;sans-serif" w:hAnsi="Times New Roman;sans-serif"/>
          <w:b w:val="false"/>
          <w:color w:val="000000"/>
          <w:sz w:val="20"/>
          <w:shd w:fill="FFFFFF" w:val="clear"/>
        </w:rPr>
        <w:t xml:space="preserve">affiliate of </w:t>
      </w:r>
      <w:r>
        <w:rPr>
          <w:rFonts w:ascii="Times New Roman;sans-serif" w:hAnsi="Times New Roman;sans-serif"/>
          <w:b w:val="false"/>
          <w:color w:val="000000"/>
          <w:sz w:val="20"/>
        </w:rPr>
        <w:t xml:space="preserve">PIF, which is an affiliate of Ayar, for certain design and construction services in connection with the development of AMP-2. The capital expenditures incurred under these agreements were SAR 119.8 million (approximately $32.0 million) and SAR 181.9 million (approximately $48.5 million), respectively, for the three and six months ended June 30, 2023, and not material for the same periods in the prior year. Amounts due to Al Bawani under these agreements were SAR 75.1 million (approximately $20.0 million) and SAR 42.1 million (approximately $11.2 million) as of June 30, 2023 and December 31, 2022, respectively.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8, 2022, the Company entered into the Subscription Agreement with Ayar, pursuant to which Ayar agreed to purchase from the Company, up to $915.0 million shares of its common stock in one or more private placements through March 31, 2023. In December 2022, the Company issued 85,712,679 shares at a weighted average price per share of $10.68, and received aggregate proceeds of $915.0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the 2023 Subscription Agreement with Ayar, pursuant to which Ayar agreed to purchase from the Company 265,693,703 shares of the Company’s common stock at a price per share of $6.83 in a private placement for aggregate net proceeds of approximately $1.8 billion. In June 2023, the Company issued the shares to Ayar pursuant to the 2023 Subscription Agreement and received aggregate net proceeds of $1.8 billion after deducting issuance costs of approximately $2.0 million. See Note 8 “Stockholders’ Equity”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acquired by Ayar under the Subscription Agreements is subject to the investor rights agreement dated February 22, 2021 (the “Investor Rights Agreement”), which governs the registration for resale of such common stock. On May 31, 2023, concurrently with entering into the 2023 Subscription Agreement, the Company entered into an amendment to the Investor Rights Agreement (the “Second IRA Amendment”). Pursuant to the Second IRA Amendment, Ayar is entitled to certain registration rights with respect to the shares of common stock Ayar purchased in the private placement.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Human Resources Development Fund (“HRDF”) Joint Cooperation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Lucid LLC entered into a joint cooperation agreement with HRDF, a related party of PIF, which is an affiliate of Ayar. Pursuant to the agreement, Lucid LLC will train and develop local personnel in Saudi Arabia, and HRDF agreed to reimburse the Company training related costs in an aggregate of approximately SAR 29.3 million (approximately $7.8 million) during a one year program.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the Company received a payment of SAR 8.8 million (approximately $2.3 million) in cash. The Company recorded $2.1 million as deferred liability within other current liabilities on the condensed consolidated balance sheet as of June 30, 2023. The deduction recorded to operating expenses on the condensed consolidated statement of operations and comprehensive loss was immaterial for the three and six months ended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SUBSEQUENT EVENTS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the condensed consolidated financial statements for the three and six months ended June 30, 2023, the Company evaluated subsequent events and concluded there were no subsequent events that required recognition in the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Lucid LLC entered into an EV purchase agreement with the Government of Saudi Arabia as represented by the Ministry of Finance (the “EV Purchase Agreement”), which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Lucid LLC fails to deliver within six months from the date of the applicable purchase order. The Purchaser also has the absolute discretion to decide whether to exercise the option to purchase the additional 50,000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(the “Quarterly Report”) and our Annual Report on Form 10-K for the year ended December 31, 2022, filed with the SEC on February 28, 2023.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and automotive company with a mission to inspire the adoption of sustainable energy by creating advanced technologies and the most captivating luxury electric vehicles, centered around the human experience. Our focus on in-house technology innovation, vertical integration, and a “clean sheet” approach to engineering and design have led to the development of the award-winning Lucid Air.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on-brand and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began delivering the Lucid Air to customers in October 2021. We expect to launch additional vehicles over the coming decade. We have already commenced design and engineering work for the Lucid Gravity, a luxury sports utility vehicle (“SUV”) that is expected to leverage and expand the technological advancements from the Lucid Air. We expect to begin production of the Lucid Gravity SUV in late 2024. After the Lucid Air and the Lucid Gravity SUV, we plan to leverage and expand our technological and manufacturing advancements to develop and manufacture progressively higher-volume vehicle segments.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Underwriting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2023, we entered into an underwriting agreement (the “Underwriting Agreement”) with BofA Securities, Inc. (the “Underwriter”), under which the Underwriter agreed to purchase from us 173,544,948 shares of our common stock at a price per share of $6.83. In June 2023, we issued the shares to the Underwriter pursuant to the Underwriting Agreement and received aggregate net proceeds of $1.2 billion after deducting issuance costs of approximately $1.1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2023 Subscription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we entered into a subscription agreement (the “2023 Subscription Agreement”) with Ayar Third Investment Company, the controlling stockholder of the Company (“Ayar”), pursuant to which Ayar agreed to purchase 265,693,703 shares of our common stock from us in a private placement at a price per share of $6.83. In June 2023, we issued the shares to Ayar pursuant to the 2023 Subscription Agreement and received aggregate net proceeds of $1.8 billion after deducting issuance costs of approximately $2.0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Implementation Agreement with Aston Martin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25, 2023, we entered into an agreement (the “Implementation Agreement”) with Aston Martin Lagonda Global Holdings plc (together with its subsidiaries, “Aston Martin”) under which we and Aston Martin will establish a long-term strategic technology partnership in which we will provide Aston Martin with powertrain and battery system technology for use in Aston Martin’s initial and certain future electric vehicles.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Implementation Agreement, subject to the satisfaction of certain conditions, both parties have agreed to enter into integration and supply agreements under which we will provide Aston Martin access to our powertrain and battery system technologies, work with Aston Martin to integrate our powertrain and battery components with Aston Martin’s battery electric vehicle chassis, and supply powertrain and battery components to Aston Martin (collectively, the “Partnership”). We will receive a technology access fee of $232 million, comprising $100 million in ordinary shares of Aston Martin and aggregate cash payments of $132 million phased over a period of three years. Aston Martin will also commit to an effective minimum spend with us on powertrain components of $225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conditions for the commencement of the Partnership include, among other requirements, obtaining Aston Martin shareholder approval at a meeting of Aston Martin shareholders, satisfaction of regulatory approvals, and other customary conditions. If the conditions are not satisfied or waived by December 31, 2023, or such later date as may be agreed by the parties in writing, either party may terminate the Implementation Agreement. Certain Aston Martin shareholders holding the requisite majority of the votes required to approve the Partnership have executed and delivered irrevocable undertakings to vote their shares in favor of the Partnership, subject to certain conditions.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Potential Impact of an Economic Downturn on our Business</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COVID-19 or other public health crises, interest rate increases or other policy actions by major central banks, </w:t>
      </w:r>
      <w:r>
        <w:rPr>
          <w:rFonts w:ascii="Times New Roman;sans-serif" w:hAnsi="Times New Roman;sans-serif"/>
          <w:b w:val="false"/>
          <w:color w:val="231F20"/>
          <w:sz w:val="20"/>
        </w:rPr>
        <w:t xml:space="preserve">government closures of banks and liquidity concerns at other financial institutions, </w:t>
      </w:r>
      <w:r>
        <w:rPr>
          <w:rFonts w:ascii="Times New Roman;sans-serif" w:hAnsi="Times New Roman;sans-serif"/>
          <w:b w:val="false"/>
          <w:color w:val="000000"/>
          <w:sz w:val="20"/>
        </w:rPr>
        <w:t xml:space="preserve">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Part II, Item 1A of this Quarterly Report for more information regarding risks associated with a global economic recession, including under the caption </w:t>
      </w:r>
      <w:r>
        <w:rPr>
          <w:color w:val="000000"/>
        </w:rPr>
        <w:t>“</w:t>
      </w:r>
      <w:r>
        <w:rPr>
          <w:rFonts w:ascii="Times New Roman;sans-serif" w:hAnsi="Times New Roman;sans-serif"/>
          <w:b w:val="false"/>
          <w:i/>
          <w:color w:val="000000"/>
          <w:sz w:val="20"/>
        </w:rPr>
        <w:t xml:space="preserve">A global economic recession, government closures of banks and liquidity concerns at other financial institutions, or other downturn may have a material adverse impact on our business, prospects, results of operations and financial condition.”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the COVID-19 Pandemic on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impacted the global economy and caused significant macroeconomic uncertainty. Infection rates vary across the jurisdictions in which we operate. Broader impacts of the pandemic have included inflationary pressure as well as ongoing, industry-wide challenges in logistics and supply chains, such as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inflation and such industry-wide challenges in logistics and supply chains. While we continue to focus on mitigating risks to our operations and supply chain in the current industry environment, we expect that these industry-wide trends will continue to impact our cost structure as well as our ability and the ability of our suppliers to obtain parts, components and manufacturing equipment on a timely basis for the foreseeable future.</w:t>
      </w:r>
    </w:p>
    <w:p>
      <w:pPr>
        <w:pStyle w:val="TextBody"/>
        <w:bidi w:val="0"/>
        <w:spacing w:lineRule="auto" w:line="288" w:before="240" w:after="283"/>
        <w:jc w:val="left"/>
        <w:rPr/>
      </w:pPr>
      <w:r>
        <w:rPr>
          <w:rFonts w:ascii="Times New Roman;sans-serif" w:hAnsi="Times New Roman;sans-serif"/>
          <w:b w:val="false"/>
          <w:color w:val="000000"/>
          <w:sz w:val="20"/>
        </w:rPr>
        <w:t>In the current circumstances, any impact on our financial condition, results of operations or cash flows in the future continues to be difficult to estimate and predict, as it depends on future events that are highly uncertain and cannot be predicted with accuracy. See “Risk Factors” in Part II, Item 1A of this Quarterly Report for more information regarding risks associated with the COVID-19 pandemic, including under the caption “</w:t>
      </w:r>
      <w:r>
        <w:rPr>
          <w:rFonts w:ascii="Times New Roman;sans-serif" w:hAnsi="Times New Roman;sans-serif"/>
          <w:b w:val="false"/>
          <w:i/>
          <w:color w:val="000000"/>
          <w:sz w:val="20"/>
        </w:rPr>
        <w:t>The COVID-19 pandemic has adversely affected, and we cannot predict its ultimate impact on, our business, prospects, results of operations and financial condition.</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positioned to be a leader in the electric vehicle market by unlocking the potential for advanced, high-performance, and long-range electric vehicles to co-exist. The Lucid Air is designed with race-proven battery and powertrain technologies and robust performance together with a sleek exterior design and expansive interior space given our miniaturized key drivetrain components. We anticipated continued consumer demand for the Lucid Air based on its luxurious design, high-performance technology and sustainability leadership, and the growing acceptance of and demand for electric vehicles as a substitute for gasoline-fueled vehicles. We continue to receive significant interest in the Lucid Air from potential customers.</w:t>
      </w:r>
    </w:p>
    <w:p>
      <w:pPr>
        <w:pStyle w:val="TextBody"/>
        <w:bidi w:val="0"/>
        <w:spacing w:lineRule="auto" w:line="288" w:before="240" w:after="283"/>
        <w:jc w:val="left"/>
        <w:rPr/>
      </w:pPr>
      <w:r>
        <w:rPr>
          <w:rFonts w:ascii="Times New Roman;sans-serif" w:hAnsi="Times New Roman;sans-serif"/>
          <w:b/>
          <w:i/>
          <w:color w:val="000000"/>
          <w:sz w:val="20"/>
        </w:rPr>
        <w:t>Direct-to-Consumer Model</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 direct-to-consumer sales and service model, which we believe allows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June 30, 2023, we have opened forty-one studios and service centers (excluding temporary and satellite service centers): thirty-two in the United States (ten in California, four in Florida, three in New York, two in each of Arizona, Illinois, Massachusetts, Texas, Virginia and Washington, and one in each of Colorado, Michigan and New Jersey), four in Canada, one in Germany, one in Netherlands, one in Norway, one in Switzerland, and one in Saudi Arabia. We also expect to hire additional sales, customer service, and service center personnel. We believe that investing in our direct-to-consumer sales and service model will be critical to deliver and service the Lucid electric vehicles we manufacture and sell. </w:t>
      </w:r>
    </w:p>
    <w:p>
      <w:pPr>
        <w:pStyle w:val="TextBody"/>
        <w:bidi w:val="0"/>
        <w:spacing w:lineRule="auto" w:line="268" w:before="240" w:after="283"/>
        <w:jc w:val="left"/>
        <w:rPr/>
      </w:pPr>
      <w:r>
        <w:rPr>
          <w:rFonts w:ascii="Times New Roman;sans-serif" w:hAnsi="Times New Roman;sans-serif"/>
          <w:b/>
          <w:i/>
          <w:color w:val="000000"/>
          <w:sz w:val="20"/>
        </w:rPr>
        <w:t>Establishing Manufacturing Capacity</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expansion of AMP-1 and construction of planned Advanced Manufacturing Plant 2 in Saudi Arabia (“AMP-2”).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Technology Innovation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the Lucid Gravity SUV, and future generations of our electric vehicles and other products.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 economies have experienced increased inflation,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Revenue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for the periods presented (in thousands):</w:t>
      </w:r>
    </w:p>
    <w:tbl>
      <w:tblPr>
        <w:tblW w:w="11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00"/>
        <w:gridCol w:w="200"/>
        <w:gridCol w:w="47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vehicle sales when the customer obtains control of the vehicle, which is upon delivery. We also generate revenue from non-warranty after-sales vehicle services and parts, sales of battery pack systems, powertrain kits and retail merchandise.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$53.5 million and $145.3 million, respectively, for the three and six months ended June 30, 2023, as compared to the same periods in the prior year, primarily driven by increases in deliveries of the Lucid Air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cost of revenue for the periods presented (in thousands):</w:t>
      </w:r>
    </w:p>
    <w:tbl>
      <w:tblPr>
        <w:tblW w:w="11460"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0"/>
        <w:gridCol w:w="200"/>
        <w:gridCol w:w="471"/>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includes direct parts, material and labor costs, manufacturing overhead, including amortized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$263.5 million and $518.0 million, respectively, for the three and six months ended June 30, 2023, as compared to the same periods in the prior year, primarily due to the increases in the manufacture and sale of the Lucid Air vehicles in 2023 and inventory and firm purchase commitments write-downs. We incurred significant personnel and overhead costs to operate our large-scale manufacturing facilities while ramping up production. In the near term, we expect our production volume of vehicles to continue to be significantly less than our manufacturing capacity. Additionally, we recorded write-downs of $295.0 million and $522.0 million, respectively, for the three and six months ended June 30, 2023, and $81.7 million and $178.1 million, respectively, for the same periods in the prior year, to reduce our inventories to their net realizable values, for any excess or obsolete inventories, and losses from firm purchase commitments. We expect inventory write-downs could negatively affect our costs of vehicle sales in upcoming periods in the near term as we ramp production volumes up toward our manufacturing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expenses for the periods presented (in thousands):</w:t>
      </w:r>
    </w:p>
    <w:tbl>
      <w:tblPr>
        <w:tblW w:w="11580" w:type="dxa"/>
        <w:jc w:val="left"/>
        <w:tblInd w:w="0" w:type="dxa"/>
        <w:tblLayout w:type="fixed"/>
        <w:tblCellMar>
          <w:top w:w="28" w:type="dxa"/>
          <w:left w:w="28" w:type="dxa"/>
          <w:bottom w:w="28" w:type="dxa"/>
          <w:right w:w="28" w:type="dxa"/>
        </w:tblCellMar>
      </w:tblPr>
      <w:tblGrid>
        <w:gridCol w:w="460"/>
        <w:gridCol w:w="325"/>
        <w:gridCol w:w="32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0"/>
        <w:gridCol w:w="200"/>
        <w:gridCol w:w="47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2"/>
        <w:gridCol w:w="192"/>
        <w:gridCol w:w="532"/>
      </w:tblGrid>
      <w:tr>
        <w:trPr/>
        <w:tc>
          <w:tcPr>
            <w:tcW w:w="4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pStyle w:val="TextBody"/>
        <w:bidi w:val="0"/>
        <w:spacing w:lineRule="auto" w:line="288" w:before="240" w:after="283"/>
        <w:jc w:val="left"/>
        <w:rPr/>
      </w:pPr>
      <w:r>
        <w:rPr>
          <w:rFonts w:ascii="Times New Roman;sans-serif" w:hAnsi="Times New Roman;sans-serif"/>
          <w:b w:val="false"/>
          <w:i/>
          <w:color w:val="000000"/>
          <w:sz w:val="20"/>
        </w:rPr>
        <w:t>Research and Development</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have primarily focused on the development of our battery and powertrain technology, the Lucid Air, the Lucid Gravity SUV,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increased by $33.1 million, or 17% for the three months ended June 30, 2023, as compared to the same period in the prior year. The increase was primarily attributable to higher personnel-related expenses of $12.1 million due to our growth in headcount, an increase of $11.1 million for prototype material, engineering, design and testing services, and an increase of $7.9 million in allocated facilities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$76.8 million, or 20% for the six months ended June 30, 2023, as compared to the same period in the prior year. The increase was primarily attributable to an increase of $54.7 million for prototype material, engineering, design and testing services, higher personnel-related expenses of $8.5 million ($32.1 million increase due to our growth in headcount, partially offset by $23.6 million lower stock-based compensation expenses), and an increase of $9.0 million in allocated facilities costs.</w:t>
      </w:r>
    </w:p>
    <w:p>
      <w:pPr>
        <w:pStyle w:val="TextBody"/>
        <w:bidi w:val="0"/>
        <w:spacing w:lineRule="auto" w:line="288" w:before="240" w:after="283"/>
        <w:jc w:val="left"/>
        <w:rPr/>
      </w:pPr>
      <w:r>
        <w:rPr>
          <w:rFonts w:ascii="Times New Roman;sans-serif" w:hAnsi="Times New Roman;sans-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incurring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$33.9 million, or 21% for the three months ended June 30, 2023, as compared to the same period in the prior year. The increase was primarily attributable to increases in allocated facilities costs of $22.3 million, other general corporate expenses of $8.2 million, and higher utilization of contractors and professional fees of $4.3 million. Personnel related expenses did not significantly fluctuate as an increase of $11.8 million from our growth in headcount was largely offset by a decrease of $11.6 million in stock-based compensation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decreased by $20.5 million, or 5% for the six months ended June 30, 2023, as compared to the same period in the prior year. The decrease was primarily attributable to lower personnel related expenses of $74.5 million ($101.1 million lower stock-based compensation expense mainly driven by the vesting of the four tranches of CEO performance-based awards during the six months ended June 30, 2022, offset by $26.6 million increase due to our growth in headcount), partially offset by increases in allocated facilities costs of $33.2 million, other general corporate expenses of $12.7 million, and higher utilization of contractors and professional fees of $8.7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2023, we announced a restructuring plan (the “Restructuring Plan”) intended to reduce operating expenses in response to evolving business needs and productivity improvement through a reduction in workforce. We substantially completed the Restructuring Plan in the second quarter of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of $1.5 million and $24.0 million, respectively, for the three and six months ended June 30, 2023 primarily related to severance payments, employee benefits, employee transition and stock-based compensation, net of a reversal of previously recognized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other income (expense), net for the periods presented (in thousands):</w:t>
      </w:r>
    </w:p>
    <w:p>
      <w:pPr>
        <w:pStyle w:val="TextBody"/>
        <w:bidi w:val="0"/>
        <w:spacing w:before="0" w:after="0"/>
        <w:jc w:val="left"/>
        <w:rPr/>
      </w:pPr>
      <w:r>
        <w:rPr/>
      </w:r>
    </w:p>
    <w:tbl>
      <w:tblPr>
        <w:tblW w:w="1136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736"/>
        <w:gridCol w:w="109"/>
        <w:gridCol w:w="109"/>
        <w:gridCol w:w="109"/>
        <w:gridCol w:w="109"/>
        <w:gridCol w:w="196"/>
        <w:gridCol w:w="751"/>
        <w:gridCol w:w="109"/>
        <w:gridCol w:w="109"/>
        <w:gridCol w:w="109"/>
        <w:gridCol w:w="109"/>
        <w:gridCol w:w="200"/>
        <w:gridCol w:w="200"/>
        <w:gridCol w:w="471"/>
        <w:gridCol w:w="109"/>
        <w:gridCol w:w="109"/>
        <w:gridCol w:w="109"/>
        <w:gridCol w:w="196"/>
        <w:gridCol w:w="646"/>
        <w:gridCol w:w="109"/>
        <w:gridCol w:w="109"/>
        <w:gridCol w:w="109"/>
        <w:gridCol w:w="109"/>
        <w:gridCol w:w="196"/>
        <w:gridCol w:w="736"/>
        <w:gridCol w:w="109"/>
        <w:gridCol w:w="109"/>
        <w:gridCol w:w="109"/>
        <w:gridCol w:w="109"/>
        <w:gridCol w:w="196"/>
        <w:gridCol w:w="751"/>
        <w:gridCol w:w="109"/>
        <w:gridCol w:w="109"/>
        <w:gridCol w:w="109"/>
        <w:gridCol w:w="109"/>
        <w:gridCol w:w="218"/>
        <w:gridCol w:w="218"/>
        <w:gridCol w:w="53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(788,607)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Fair Value of Common Stock Warrant Liability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common stock warrant liability relates to the privately placed common stock warrants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condensed consolidated statements of operations and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remained unexercised as of June 30, 2023. The liability was remeasured to fair value, resulting in gains of $42.1 million and $1.3 million, respectively, for the three and six months ended June 30, 2023, and gains of $334.8 million and $858.2 million, respectively, for the same periods in the prior year. The change in fair value was classified within change in fair value of common stock warrant liability in the condensed consolidated statements of operations and comprehensive loss. See Note 7 “Common Stock Warrant Liability”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$36.6 million and $76.6 million, respectively, for the three and six months ended June 30, 2023, primarily due to increases in interest, amortization and accretion of purchase premiums and discounts on our investments of available-for-sale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consists of contractual interest and amortization of debt discounts and debt issuance costs incurred related to the 2026 Notes issued in December 2021, commitment fees and amortization of deferred issuance costs from the five-year senior secured asset-based revolving credit facility (“ABL Credit Facility”), and interest on our finance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$0.5 million and $1.1 million, respectively, for the three and six months ended June 30, 2023, as compared to the same periods in the prior year, primarily due to an increase in interest capitalized on construction in progress related to significant capital asset construction, partially offset by increases in commitment fees and amortization of deferred issuance costs from the ABL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primarily consists of foreign currency gains and losses and dividend income from our investments.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decreased by $9.2 million and $9.5 million, respectively, for the three and six months ended June 30, 2023, primarily due to dividend income earned from our investments in 2022 and changes in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Provision for Income Taxes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provision for income taxes for the periods presented (in thousands):</w:t>
      </w:r>
    </w:p>
    <w:tbl>
      <w:tblPr>
        <w:tblW w:w="10205" w:type="dxa"/>
        <w:jc w:val="left"/>
        <w:tblInd w:w="0" w:type="dxa"/>
        <w:tblLayout w:type="fixed"/>
        <w:tblCellMar>
          <w:top w:w="28" w:type="dxa"/>
          <w:left w:w="28" w:type="dxa"/>
          <w:bottom w:w="28" w:type="dxa"/>
          <w:right w:w="28" w:type="dxa"/>
        </w:tblCellMar>
      </w:tblPr>
      <w:tblGrid>
        <w:gridCol w:w="498"/>
        <w:gridCol w:w="437"/>
        <w:gridCol w:w="439"/>
        <w:gridCol w:w="109"/>
        <w:gridCol w:w="109"/>
        <w:gridCol w:w="109"/>
        <w:gridCol w:w="196"/>
        <w:gridCol w:w="421"/>
        <w:gridCol w:w="109"/>
        <w:gridCol w:w="109"/>
        <w:gridCol w:w="109"/>
        <w:gridCol w:w="109"/>
        <w:gridCol w:w="196"/>
        <w:gridCol w:w="331"/>
        <w:gridCol w:w="109"/>
        <w:gridCol w:w="109"/>
        <w:gridCol w:w="109"/>
        <w:gridCol w:w="109"/>
        <w:gridCol w:w="214"/>
        <w:gridCol w:w="461"/>
        <w:gridCol w:w="121"/>
        <w:gridCol w:w="109"/>
        <w:gridCol w:w="109"/>
        <w:gridCol w:w="109"/>
        <w:gridCol w:w="210"/>
        <w:gridCol w:w="211"/>
        <w:gridCol w:w="471"/>
        <w:gridCol w:w="109"/>
        <w:gridCol w:w="109"/>
        <w:gridCol w:w="109"/>
        <w:gridCol w:w="196"/>
        <w:gridCol w:w="421"/>
        <w:gridCol w:w="109"/>
        <w:gridCol w:w="109"/>
        <w:gridCol w:w="109"/>
        <w:gridCol w:w="109"/>
        <w:gridCol w:w="196"/>
        <w:gridCol w:w="421"/>
        <w:gridCol w:w="109"/>
        <w:gridCol w:w="109"/>
        <w:gridCol w:w="109"/>
        <w:gridCol w:w="109"/>
        <w:gridCol w:w="214"/>
        <w:gridCol w:w="461"/>
        <w:gridCol w:w="121"/>
        <w:gridCol w:w="109"/>
        <w:gridCol w:w="109"/>
        <w:gridCol w:w="109"/>
        <w:gridCol w:w="192"/>
        <w:gridCol w:w="192"/>
        <w:gridCol w:w="533"/>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Lucid had approximately $5.5 billion of cash, cash equivalents and investments. Our sources of cash are predominantly from proceeds received upon the completion of the Merger, the issuance of convertible debt and proceeds from equity offerings.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Phase 2 of construction at AMP-1 in Casa Grande, Arizona, (iv) construction of AMP-2 in Saudi Arabia, (v) expansion of retail studios and service centers, and (vi) other initiatives related to the sale of vehicles and/ or 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our cumulative spending on capital expenditures to be in the range of $1.1 billion to $1.3 billion for the fiscal year 2023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Our future capital expenditures may vary and will depend on many factors including the timing and extent of spending and other growth initiatives. In addition, we expect our operating expenses to increase in order to grow and support the operations of a global automotive company targeting volumes in line with Lucid’s aspirations.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our total minimum lease payments are $505.8 million, of which $24.1 million is due in 2023. We also have non-cancellable long-term commitments of $5.0 billion, primarily relating to certain inventory component purchases. For details regarding these obligations, refer to Note 10 “Leases” and Note 11 “Commitments and Contingencies” to the condensed consolidated financial statements included elsewhere in this Quarterly Report for more information.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June 30, 2023 and December 31, 2022, we were in compliance with applicable covenants under the indenture governing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Manufacturing Expansion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we announced that we had selected King Abdullah Economic City (“KAEC”) in Saudi Arabia as the location of our first international manufacturing plant and signed related agreements with the Ministry of Investment of Saudi Arabia, the Saudi Industrial Development Fund, and the Economic City at KAEC. The operations at the new plant would initially consist of re-assembly of the Lucid Air vehicle “kits” pre-manufactured in the U.S. and, over time, production of complete vehicles.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Saudi Industrial Development Fund (“SIDF”)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SIDF Loans will not bear interest. Instead, Lucid LLC will be required to pay SIDF service fees, consisting of follow-up and technical evaluation fees, ranging, in aggregate, from SAR 415 million (approximately $110.6 million) to SAR 1.77 billion (approximately $471.9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June 30, 2023 and December 31, 2022, no amount was outstanding under the SIDF Loan Agreement.</w:t>
      </w:r>
    </w:p>
    <w:p>
      <w:pPr>
        <w:pStyle w:val="TextBody"/>
        <w:bidi w:val="0"/>
        <w:spacing w:lineRule="auto" w:line="288" w:before="240" w:after="283"/>
        <w:jc w:val="left"/>
        <w:rPr/>
      </w:pPr>
      <w:r>
        <w:rPr>
          <w:rFonts w:ascii="Times New Roman;sans-serif" w:hAnsi="Times New Roman;sans-serif"/>
          <w:b w:val="false"/>
          <w:i/>
          <w:color w:val="000000"/>
          <w:sz w:val="20"/>
        </w:rPr>
        <w:t>Ministry of Investment of Saudi Arabia</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MISA”)</w:t>
      </w:r>
      <w:r>
        <w:rPr>
          <w:color w:val="000000"/>
          <w:shd w:fill="FFFFFF" w:val="clear"/>
        </w:rPr>
        <w:t xml:space="preserve"> </w:t>
      </w:r>
      <w:r>
        <w:rPr>
          <w:rFonts w:ascii="Times New Roman;sans-serif" w:hAnsi="Times New Roman;sans-serif"/>
          <w:b w:val="false"/>
          <w:i/>
          <w:color w:val="000000"/>
          <w:sz w:val="20"/>
          <w:shd w:fill="FFFFFF" w:val="clear"/>
        </w:rPr>
        <w:t xml:space="preserve">Agreements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completely-built-up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received support of SAR 366 million (approximately $97.3 million) in cash. We recorded $13.6 million and $64.0 million as deferred liability within other long-term liabilities on the condensed consolidated balance sheets as of June 30, 2023 and December 31, 2022, respectively. We also recorded $83.7 million and $33.3 million as a deduction in calculating the carrying amount of the related assets on the condensed consolidated balance sheets as of June 30, 2023 and December 31, 2022, respectively. There were no unfulfilled conditions and contingencies attached to the payments received. </w:t>
      </w:r>
    </w:p>
    <w:p>
      <w:pPr>
        <w:pStyle w:val="TextBody"/>
        <w:bidi w:val="0"/>
        <w:spacing w:lineRule="auto" w:line="288" w:before="240" w:after="283"/>
        <w:jc w:val="left"/>
        <w:rPr>
          <w:rFonts w:ascii="Times New Roman;sans-serif" w:hAnsi="Times New Roman;sans-serif"/>
          <w:b w:val="false"/>
          <w:i/>
          <w:color w:val="242424"/>
          <w:sz w:val="20"/>
          <w:shd w:fill="FFFFFF" w:val="clear"/>
        </w:rPr>
      </w:pPr>
      <w:r>
        <w:rPr>
          <w:rFonts w:ascii="Times New Roman;sans-serif" w:hAnsi="Times New Roman;sans-serif"/>
          <w:b w:val="false"/>
          <w:i/>
          <w:color w:val="242424"/>
          <w:sz w:val="20"/>
          <w:shd w:fill="FFFFFF" w:val="clear"/>
        </w:rPr>
        <w:t>Gulf International Bank (“GIB”)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Lucid LLC entered into a revolving credit facility agreement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beared interest at a rate of 1.25% per annum over 3-month SAIBOR and the Working Capital Facility beared interest at a rate of 1.70% per annum over 1~3-month SAIBOR and associated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(together with the GIB Facility Agreement, the “Amended GIB Facility Agreement”) to combine the Bridge Facility and the Working Capital Facility into a committed SAR 1 billion (approximately $266.6 million) revolving credit facility (the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outstanding borrowings of SAR 52 million (approximately $13.9 million) with weighted average interest rate of 7.24%. As of June 30, 2023, availability under the GIB Credit Facility was SAR 947 million (approximately $252.6 million), after giving effect to the outstanding letters of credit. As of December 31, 2022, we had outstanding borrowings of SAR 36 million (approximately $9.6 million) with interest rate of 6.40% from the Working Capital Facility. As of December 31, 2022, available borrowings were SAR 650 million (approximately $173.0 million) and SAR 314 million (approximately $83.5 million) under the Bridge Facility and Working Capital Facility, respectively. The outstanding borrowings were recorded within other current liabilities on the condensed consolidated balance sheets. As of June 30, 2023 and December 31, 2022, we were in compliance with applicable covenants under the Amended GIB Facility Agreement.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June 30, 2023 and December 31, 2022, we were in compliance with applicable covenants under the 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we had no outstanding borrowings under the ABL Credit Facility. Outstanding letters of credit under the ABL Credit Facility were $41.0 million and $37.4 million as of June 30, 2023 and December 31, 2022, respectively. Availability under the ABL Credit Facility was $596.2 million (including $140.2 million cash and cash equivalents) and $441.4 million (including $37.3 million cash and cash equivalents) as of June 30, 2023 and December 31, 2022, respectively, after giving effect to the borrowing base and the outstanding letters of credit.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Subscription Agreements and Underwriting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completed our at-the-market offering program (the “At-the-Market Offering”) pursuant to the equity distribution agreement for net proceeds of $594.3 million after deducting commissions and other issuance costs and also consummated a private placement of shares to Ayar (the “Subscription Agreement”) pursuant to the Subscription Agreement for $915.0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we completed the public offering pursuant to the Underwriting Agreement for aggregate net proceeds of $1.2 billion and also consummated a private placement of shares to Ayar pursuant to the 2023 Subscription Agreement for aggregate net proceeds of $1.8 billion after deducting issuance costs. See Note 8 “Stockholders’ Equity” to the condensed consolidated financial statements included elsewhere in this Quarterly Report,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generated significant losses from our operations as reflected in our accumulated deficit of $8.9 billion and $7.4 billion as of June 30, 2023 and December 31, 2022, respectively. Additionally, we have generated significant negative cash flows from operations and investing activities as we continue to support the growth of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in Part II, Item 1A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7808" w:type="dxa"/>
        <w:jc w:val="left"/>
        <w:tblInd w:w="0" w:type="dxa"/>
        <w:tblLayout w:type="fixed"/>
        <w:tblCellMar>
          <w:top w:w="28" w:type="dxa"/>
          <w:left w:w="28" w:type="dxa"/>
          <w:bottom w:w="28" w:type="dxa"/>
          <w:right w:w="28" w:type="dxa"/>
        </w:tblCellMar>
      </w:tblPr>
      <w:tblGrid>
        <w:gridCol w:w="1789"/>
        <w:gridCol w:w="1567"/>
        <w:gridCol w:w="1578"/>
        <w:gridCol w:w="196"/>
        <w:gridCol w:w="946"/>
        <w:gridCol w:w="109"/>
        <w:gridCol w:w="109"/>
        <w:gridCol w:w="109"/>
        <w:gridCol w:w="109"/>
        <w:gridCol w:w="196"/>
        <w:gridCol w:w="946"/>
        <w:gridCol w:w="154"/>
      </w:tblGrid>
      <w:tr>
        <w:trPr/>
        <w:tc>
          <w:tcPr>
            <w:tcW w:w="178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(1,008,277)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(3,105,609)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increased by $493.3 million to $1,501.6 million during the six months ended June 30, 2023 compared to the same period in the prior year. The increase was primarily due to the increase in net loss excluding non-cash expenses and gains of $199.4 million and an overall increase in net operating assets and liabilities of $293.9 million. The change in net operating assets and liabilities was mainly attributable to advances to suppliers and timing of payments. </w:t>
      </w:r>
    </w:p>
    <w:p>
      <w:pPr>
        <w:pStyle w:val="TextBody"/>
        <w:bidi w:val="0"/>
        <w:spacing w:lineRule="auto" w:line="288" w:before="240" w:after="283"/>
        <w:jc w:val="left"/>
        <w:rPr/>
      </w:pPr>
      <w:r>
        <w:rPr>
          <w:rFonts w:ascii="Times New Roman;sans-serif" w:hAnsi="Times New Roman;sans-serif"/>
          <w:b/>
          <w:i/>
          <w:color w:val="000000"/>
          <w:sz w:val="20"/>
        </w:rPr>
        <w:t>Cash Used in Investing Activities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investing activities primarily relate to purchases of investments and capital expenditures to support our growth. We continue to experience negative cash flows from investing activities as we expand our business and continue to build our infrastructure.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$1,447.4 million to $466.7 million during the six months ended June 30, 2023 compared to the same period in the prior year. The decrease was primarily attributable to proceeds from maturities of investments of $1,982.5 million, during the six months ended June 30, 2023, partially offset by an increase in purchases of investments of $728.0 million during the six months ended June 30, 2023 compared to the same period in the prior year.</w:t>
      </w:r>
    </w:p>
    <w:p>
      <w:pPr>
        <w:pStyle w:val="TextBody"/>
        <w:bidi w:val="0"/>
        <w:spacing w:lineRule="auto" w:line="288" w:before="240" w:after="283"/>
        <w:jc w:val="left"/>
        <w:rPr/>
      </w:pPr>
      <w:r>
        <w:rPr>
          <w:rFonts w:ascii="Times New Roman;sans-serif" w:hAnsi="Times New Roman;sans-serif"/>
          <w:b/>
          <w:i/>
          <w:color w:val="000000"/>
          <w:sz w:val="20"/>
        </w:rPr>
        <w:t>Cash Provided by (Used in) Financing Activities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primarily from the issuances of equity securities, including the public offering, At-the-Market Offering, the private placements to Ayar, convertible preferred stock, the proceeds of the Merger, and the 2026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were $3,007.9 million during the six months ended June 30, 2023, compared to $183.2 million of net cash used in financing activities for the same period in the prior year. The change was primarily attributable to net proceeds from the issuance of common stock under the 2023 Subscription Agreement of $1,812.6 million and net proceeds from the issuance of common stock under the Underwriting Agreement of $1,184.2 million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Critical Accounting Policies and Estimates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our critical accounting policies and estimates, refer to Part II, Item 7, Critical Accounting Policies and Estimates in our Annual Report on Form 10-K for the year ended December 31, 2022 and Note 2 “Summary of Significant Accounting Policies” to our condensed consolidated financial statements in Item 1 of Part I of this Quarterly Report. There have been no material changes to our critical accounting policies and estimates since our Annual Report on Form 10-K for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3. Qualitative and Quantitative Disclosures about Market Risk.</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inflationary pressure.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for changes in interest rates applicable to our Cash and cash equivalents, restricted cash, and investments. We had cash, cash equivalents, restricted cash, and investments totaling approximately $5.5 billion as of June 30, 2023.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June 30, 2023, a hypothetical 100 basis point increase in interest rates would result in approximately $15.1 million incremental decline in the fair market value of our portfolio.</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and Saudi Arabia economies have experienced increased inflation,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their evaluation, our principal executive officer and principal financial officer concluded that as of June 30, 2023,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that occurred during the fiscal quarter ended June 30, 2023,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see the description set forth in the “Legal Matters” section in Note 11 “Commitments and Contingencies” to our condensed consolidated financial statements in Item 1 of Part I of this Quarterly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pPr>
      <w:r>
        <w:rPr>
          <w:rFonts w:ascii="Times New Roman;sans-serif" w:hAnsi="Times New Roman;sans-serif"/>
          <w:b w:val="false"/>
          <w:i/>
          <w:color w:val="000000"/>
          <w:sz w:val="20"/>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r>
        <w:rPr>
          <w:color w:val="000000"/>
        </w:rPr>
        <w: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limited operating history makes evaluating our business and future prospects difficult and may increase the risk of investing in our common stock.</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Reservations and orders for our vehicles are cancellable.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A global economic recession, government closures of banks and liquidity concerns at other financial institutions, or other downturn may have a material adverse impact on our business, prospects, results of operation and financial condition.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currently depend on revenue generated from a single model and in the foreseeable future will be significantly dependent on a limited number of models.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will not have a third-party retail product distribution and full-service network.</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If we fail to manage our future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face risks associated with international operations, including unfavorable regulatory, political, tax and labor conditions, which could harm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The automotive industry has significant barriers to entry that we must overcome in order to manufacture and sell electric vehicles at scale.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have experienced and may in the future experience significant delays in the design, manufacture, launch and financing of our vehicles, including the Lucid Air and the Lucid Gravity SUV, which could harm our business and prospects.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Increases in costs, disruption of supply or shortage of materials, in particular for lithium-ion battery cells or semiconductors, could harm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If our vehicles fail to perform as expected, our ability to develop, market and sell or lease our products could be harmed.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 xml:space="preserve">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The loss of key employees or an inability to attract, retain and motivate qualified personnel may impair our ability to expand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are highly dependent on the services of Peter Rawlinson, our Chief Executive Officer and Chief Technology Officer.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may face regulatory limitations on our ability to sell vehicles directly, which could materially and adversely affect its ability to sell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be able to consummate our agreement with Aston Martin and even if we do, we may not be able to realize the anticipated benefits.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PIF and Ayar beneficially own a significant equity interest in us and may take actions that conflict with other shareholder interests.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Business and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limited operating history makes evaluating our business and future prospects difficult and may increase the risk of your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an early-stage company with a limited operating history, operating in a rapidly evolving and highly regulated market. Furthermore, we have only released one commercially available vehicle, and we have limited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have encountered and expect to continue to encounter risks and uncertainties frequently experienced by early-stage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hire, integrate and retain professional and technical talent, including key members of management;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obtain, maintain, protect and enforce our intellectual property and defend against claims of intellectual property infringement, misappropriation or other violation;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expand a customer base;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navigate an evolving and complex regulatory environment;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anticipate and adapt to changing market conditions, including consumer demand for certain vehicle types, models or trim levels, technological developments and changes in competitive landscape;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design, build, manufacture and market new variants and models of electric vehicles, such as the Lucid Gravity SUV.</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pPr>
      <w:r>
        <w:rPr>
          <w:rFonts w:ascii="Times New Roman;sans-serif" w:hAnsi="Times New Roman;sans-serif"/>
          <w:b w:val="false"/>
          <w:color w:val="231F20"/>
          <w:sz w:val="20"/>
        </w:rPr>
        <w:t>We have incurred net losses each year since our inception, including net loss of a</w:t>
      </w:r>
      <w:r>
        <w:rPr>
          <w:rFonts w:ascii="Times New Roman;sans-serif" w:hAnsi="Times New Roman;sans-serif"/>
          <w:b w:val="false"/>
          <w:color w:val="242424"/>
          <w:sz w:val="20"/>
        </w:rPr>
        <w:t>pprox</w:t>
      </w:r>
      <w:r>
        <w:rPr>
          <w:rFonts w:ascii="Times New Roman;sans-serif" w:hAnsi="Times New Roman;sans-serif"/>
          <w:b w:val="false"/>
          <w:color w:val="000000"/>
          <w:sz w:val="20"/>
        </w:rPr>
        <w:t>imately $764.2 million and $1,543.8 million for the three and six months ended June 30, 2023. As of June 30, 2023, our accumulated deficit was approximately $8.9 billion. We expec</w:t>
      </w:r>
      <w:r>
        <w:rPr>
          <w:rFonts w:ascii="Times New Roman;sans-serif" w:hAnsi="Times New Roman;sans-serif"/>
          <w:b w:val="false"/>
          <w:color w:val="242424"/>
          <w:sz w:val="20"/>
        </w:rPr>
        <w:t>t to continue to inc</w:t>
      </w:r>
      <w:r>
        <w:rPr>
          <w:rFonts w:ascii="Times New Roman;sans-serif" w:hAnsi="Times New Roman;sans-serif"/>
          <w:b w:val="false"/>
          <w:color w:val="000000"/>
          <w:sz w:val="20"/>
        </w:rPr>
        <w:t>ur substantial losses and increasing expenses in the foreseeable future as we: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 our sales and marketing activities and develop our distribution infrastructure;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general and administrative functions to support our growing operations and status as a public company.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unable to adequately control the substantial costs associated with our operations.</w:t>
      </w:r>
    </w:p>
    <w:p>
      <w:pPr>
        <w:pStyle w:val="TextBody"/>
        <w:bidi w:val="0"/>
        <w:spacing w:lineRule="auto" w:line="288" w:before="240" w:after="283"/>
        <w:jc w:val="left"/>
        <w:rPr/>
      </w:pPr>
      <w:r>
        <w:rPr>
          <w:rFonts w:ascii="Times New Roman;sans-serif" w:hAnsi="Times New Roman;sans-serif"/>
          <w:b w:val="false"/>
          <w:color w:val="231F20"/>
          <w:sz w:val="20"/>
        </w:rPr>
        <w:t>We will require significant capital to develop and grow our business. We have inc</w:t>
      </w:r>
      <w:r>
        <w:rPr>
          <w:rFonts w:ascii="Times New Roman;sans-serif" w:hAnsi="Times New Roman;sans-serif"/>
          <w:b w:val="false"/>
          <w:color w:val="000000"/>
          <w:sz w:val="20"/>
        </w:rPr>
        <w:t xml:space="preserve">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SUV and other future products); raw material procurement costs; and general and administrative expenses as we scale our operations and incur the costs of being a public company. Increased competition and adverse economic conditions may require us to spend additional resources to attract customers, which in turn may result in higher marketing and incentive expenses. Furthermore, lower production and sales volumes may result in an inability to fully utilize our purchase commitments with suppliers which could result in increased costs and excess inventory as well as potential inventory write-offs. </w:t>
      </w:r>
      <w:r>
        <w:rPr>
          <w:rFonts w:ascii="Times New Roman;sans-serif" w:hAnsi="Times New Roman;sans-serif"/>
          <w:b w:val="false"/>
          <w:color w:val="231F20"/>
          <w:sz w:val="20"/>
        </w:rPr>
        <w:t xml:space="preserve">In addition, we expect to incur significant costs servicing and maintaining customers’ vehicles, including establishing our service operations and facilities. As a company, we have limited historical experience forecasting and budgeting for any of these expenses, and these expenses could be significantly higher than we currently anticipate. </w:t>
      </w:r>
      <w:r>
        <w:rPr>
          <w:rFonts w:ascii="Times New Roman;sans-serif" w:hAnsi="Times New Roman;sans-serif"/>
          <w:b w:val="false"/>
          <w:color w:val="000000"/>
          <w:sz w:val="20"/>
        </w:rPr>
        <w:t xml:space="preserve">While we have announced and implemented the Restructuring Plan intended to reduce our operating expenses, there is no guarantee that the Restructuring Plan will generate its intended benefits. If we are unable to realize the expected operational efficiencies and cost savings, our operating results and financial condition may be materially and adversely affected. </w:t>
      </w:r>
      <w:r>
        <w:rPr>
          <w:rFonts w:ascii="Times New Roman;sans-serif" w:hAnsi="Times New Roman;sans-serif"/>
          <w:b w:val="false"/>
          <w:color w:val="231F20"/>
          <w:sz w:val="20"/>
        </w:rPr>
        <w:t>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Reservations and orders for our vehicles are cancellable.</w:t>
      </w:r>
    </w:p>
    <w:p>
      <w:pPr>
        <w:pStyle w:val="TextBody"/>
        <w:bidi w:val="0"/>
        <w:spacing w:lineRule="auto" w:line="288" w:before="240" w:after="283"/>
        <w:jc w:val="left"/>
        <w:rPr/>
      </w:pPr>
      <w:r>
        <w:rPr>
          <w:rFonts w:ascii="Times New Roman;sans-serif" w:hAnsi="Times New Roman;sans-serif"/>
          <w:b w:val="false"/>
          <w:color w:val="231F20"/>
          <w:sz w:val="20"/>
        </w:rPr>
        <w:t>Delays in customer deliveries, delays in the availability of options,</w:t>
      </w:r>
      <w:r>
        <w:rPr>
          <w:color w:val="000000"/>
        </w:rPr>
        <w:t xml:space="preserve"> </w:t>
      </w:r>
      <w:r>
        <w:rPr>
          <w:rFonts w:ascii="Times New Roman;sans-serif" w:hAnsi="Times New Roman;sans-serif"/>
          <w:b w:val="false"/>
          <w:color w:val="000000"/>
          <w:sz w:val="20"/>
        </w:rPr>
        <w:t>potential changes in customer preferences, competitive developments and other factors could result in significant customer cancellations or cause delays in conversions of reservations to orders. Increases in interest rates could make financing unaffordable for segments of our customer base, resulting in cancellations. In addition, customers who placed orders prior to the enactment of the I</w:t>
      </w:r>
      <w:r>
        <w:rPr>
          <w:rFonts w:ascii="Times New Roman;sans-serif" w:hAnsi="Times New Roman;sans-serif"/>
          <w:b w:val="false"/>
          <w:color w:val="231F20"/>
          <w:sz w:val="20"/>
        </w:rPr>
        <w:t>nflation Reduction Act of 2022 in an effort to maintain eligibility for a federal tax credit, may decide to cancel their orders based upon the initial guidance provided by the Internal Revenue Service that could negatively affect our customers’ ability to receive tax credits for those orders. Any event or incident which generates negative media coverage about us or the safety or quality of our vehicles could also result in significant customer cancellations. No assurance can be given that reservations or orders will not be cancelled and will ultimately result in the final purchase, delivery and sale or lease of vehicles. Accordingly, the number of reservations and orders have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COVID-19 or other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higher interest rates, availability of consumer credit, decreased cash availability, </w:t>
      </w:r>
      <w:r>
        <w:rPr>
          <w:rFonts w:ascii="Times New Roman;sans-serif" w:hAnsi="Times New Roman;sans-serif"/>
          <w:b w:val="false"/>
          <w:color w:val="231F20"/>
          <w:sz w:val="20"/>
        </w:rPr>
        <w:t xml:space="preserve">fluctuations in foreign currency exchange rates, </w:t>
      </w:r>
      <w:r>
        <w:rPr>
          <w:rFonts w:ascii="Times New Roman;sans-serif" w:hAnsi="Times New Roman;sans-serif"/>
          <w:b w:val="false"/>
          <w:color w:val="000000"/>
          <w:sz w:val="20"/>
        </w:rPr>
        <w:t xml:space="preserve">and weakened consumer confidence. Reduced demand for our products may result in significant decreases in our product sales, which in turn would have a material adverse impact on our business, prospects, financial condition and results of operations. </w:t>
      </w:r>
      <w:r>
        <w:rPr>
          <w:rFonts w:ascii="Times New Roman;sans-serif" w:hAnsi="Times New Roman;sans-serif"/>
          <w:b w:val="false"/>
          <w:color w:val="231F20"/>
          <w:sz w:val="20"/>
        </w:rPr>
        <w:t>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Further, the immediate or prolonged effects of the COVID-19 pandemic could significantly affect government finances and, accordingly, the continued availability of incentives related to electric vehicle purchases and other governmental support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currently depend on revenue generated from a single model and in the foreseeable future will be significantly dependent on a limited number of models.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late 2024. We expect to rely on sales from the Lucid Air, among other sources of financing, for the capital that will be required to develop and commercialize those subsequent models. To the extent that production of the Lucid Air or future models is delayed or reduced, or if the Lucid Air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entered into an EV purchase agreement with the Government of Saudi Arabia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absolute discretion to decide whether to exercise the option to purchase the additional 50,000 vehicles. See also Note 16 “Subsequent Events”.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and prospects depend significantly on our brand.</w:t>
      </w:r>
    </w:p>
    <w:p>
      <w:pPr>
        <w:pStyle w:val="TextBody"/>
        <w:bidi w:val="0"/>
        <w:spacing w:lineRule="auto" w:line="288" w:before="240" w:after="283"/>
        <w:jc w:val="left"/>
        <w:rPr/>
      </w:pPr>
      <w:r>
        <w:rPr>
          <w:rFonts w:ascii="Times New Roman;sans-serif" w:hAnsi="Times New Roman;sans-serif"/>
          <w:b w:val="false"/>
          <w:color w:val="000000"/>
          <w:sz w:val="20"/>
        </w:rPr>
        <w:t>Our business and prospects will heavily depend on our ab</w:t>
      </w:r>
      <w:r>
        <w:rPr>
          <w:rFonts w:ascii="Times New Roman;sans-serif" w:hAnsi="Times New Roman;sans-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sales will depend in part on our ability to establish and maintain confidence in our long-term business prospects among consumers, analysts and others within our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traditional automotive manufacturers now producing electric vehicles go out of business, discontinue production of electric vehicles,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will not have a third-party retail product distribution and full-service network.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 </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ability to generate meaningful product revenue will depend on consumer adoption of electric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pStyle w:val="TextBody"/>
        <w:bidi w:val="0"/>
        <w:spacing w:lineRule="auto" w:line="288" w:before="240" w:after="283"/>
        <w:jc w:val="left"/>
        <w:rPr/>
      </w:pPr>
      <w:r>
        <w:rPr>
          <w:rFonts w:ascii="Times New Roman;sans-serif" w:hAnsi="Times New Roman;sans-serif"/>
          <w:b w:val="false"/>
          <w:color w:val="242424"/>
          <w:sz w:val="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interest rates,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w:t>
      </w:r>
      <w:r>
        <w:rPr>
          <w:rFonts w:ascii="Times New Roman;sans-serif" w:hAnsi="Times New Roman;sans-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factors that may influence the adoption of electric vehicles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electric vehicle quality, safety, design, performance and cost;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limited range over which electric vehicles may be driven on a single battery charge;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sustainability and environmental impact of electric vehicles, including with respect to both the sourcing and disposal of materials for electric vehicle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other alternative fuel vehicles, including plug-in hybrid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improvements in the fuel economy of the internal combustion engine;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quality and availability of service for electric vehicles, especially in international markets;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government regulations and economic incentives promoting fuel efficiency and alternate forms of energy;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access to charging stations and cost to charge an electric vehicle, especially in international markets, and related infrastructure costs and standardization;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tax and other governmental incentives to purchase and operate electric vehicles or future regulation requiring increased use of nonpolluting vehicles;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macroeconomic factors.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manage our future growth effectively, we may not be able to develop, manufacture, distribute, market and sell our vehicles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our management team;</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hiring and training new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implementing and enhancing administrative and business infrastructure, governance, systems and processes, including in connection with our maturation as a public company;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into new markets and establishing sales, service, administrative, distribution, and/or manufacturing operations in many of those markets.</w:t>
      </w:r>
    </w:p>
    <w:p>
      <w:pPr>
        <w:pStyle w:val="TextBody"/>
        <w:bidi w:val="0"/>
        <w:spacing w:lineRule="auto" w:line="288" w:before="240" w:after="283"/>
        <w:jc w:val="left"/>
        <w:rPr/>
      </w:pPr>
      <w:r>
        <w:rPr>
          <w:rFonts w:ascii="Times New Roman;sans-serif" w:hAnsi="Times New Roman;sans-serif"/>
          <w:b w:val="false"/>
          <w:color w:val="231F20"/>
          <w:sz w:val="20"/>
        </w:rPr>
        <w:t>We require qualified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electric vehicles is intense, and we may not be able to identify, attract, integrate, train, motivate or retain sufficient highly qualified personnel in the future. Furthermore, the Restructuring Plan, which involves the reduction of our employee workforce, may adversely affect our internal programs and initiatives as well as our ability to recruit and retain skilled and motivated personnel. The Restructuring Plan may also be distracting to employees and management and may negatively impact our business operations, reputation, or ability to serve customers. We also cannot provide any assurances that we will not have to undertake additional workforce reductions in the future. The failure to identify, attract, integrate, train, motivate and retain these employees could seriously harm our business and pros</w:t>
      </w:r>
      <w:r>
        <w:rPr>
          <w:rFonts w:ascii="Times New Roman;sans-serif" w:hAnsi="Times New Roman;sans-serif"/>
          <w:b w:val="false"/>
          <w:color w:val="000000"/>
          <w:sz w:val="20"/>
        </w:rPr>
        <w:t xml:space="preserve">pects. In addition, our employee equity program is a key factor in our ability to attract and retain talent and continue to support the growth of the company. If </w:t>
      </w:r>
      <w:r>
        <w:rPr>
          <w:rFonts w:ascii="Times New Roman;sans-serif" w:hAnsi="Times New Roman;sans-serif"/>
          <w:b w:val="false"/>
          <w:color w:val="231F20"/>
          <w:sz w:val="20"/>
        </w:rPr>
        <w:t>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risks associated with international operations, including unfavorable regulatory, political, tax and labor conditions, which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have also started the construction of AMP-2 in Saudi Arabia and may continue to further expand our manufacturing activities outside the United States. However, we have no experience to date manufacturing our vehicles outside of the United States, and such expansion will require us to make significant expenditures, including the hiring of local employees and establishing facilities and related systems and processes,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localized supply chains and managing international supply chain and logistics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sufficient charging points for our customers in those jurisdictions, via partnerships or, if necessary, via development of our own charging networks;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difficulty in staffing and managing foreign operations, especially in jurisdictions where no EV ecosystem exist and qualified personnel must be hired and relocated;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w:t>
      </w:r>
      <w:r>
        <w:rPr>
          <w:rFonts w:ascii="Times New Roman;sans-serif" w:hAnsi="Times New Roman;sans-serif"/>
          <w:b w:val="false"/>
          <w:color w:val="231F20"/>
          <w:sz w:val="20"/>
        </w:rPr>
        <w:t>ifficulties controlling costs and potential loss of funding, including as a result of delays in the construction or commencement of operations at AMP-2;</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United States and foreign government trade restrictions, tariffs and price or exchange controls;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laws, regulations and restrictions, including in the areas of supply chain, labor, sales, service, environment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increasingly restrictive and complex foreign data privacy and security laws, regulations and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diplomatic and trade relationships,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political instability, natural disasters, pandemics (including severity, magnitude and the duration of the COVID-19 pandemic), global conflicts or other geopolitical events, war or events of terrorism;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strength of international economies.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fail to successfully address these risks, our business, prospects, results of operations and financial condition could be materially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industry has significant barriers to entry that we must overcome in order to manufacture and sell electric vehicles at scale.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AMP-1, we have not finished tooling all production lines at AMP-1. If we are not able to overcome these barriers, our business, prospects, results of operations and financial condition will be negatively impacted, and our ability to grow our business will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recently announced vehicle price reductions, which may result in downward price pressure and reduced demand for our vehicles. However, we may not be able to adjust our pricing strategies and even if we do adjust our pricing strategies,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may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continuing globalization, favorable governmental policies,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Developments in electric vehicle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42424"/>
          <w:sz w:val="20"/>
        </w:rPr>
        <w:t xml:space="preserve">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See “— </w:t>
      </w:r>
      <w:r>
        <w:rPr>
          <w:rFonts w:ascii="Times New Roman;sans-serif" w:hAnsi="Times New Roman;sans-serif"/>
          <w:b w:val="false"/>
          <w:i/>
          <w:color w:val="242424"/>
          <w:sz w:val="20"/>
        </w:rPr>
        <w:t>We have received only a limited number of reservations and orders for the Lucid Air, all of which may be cancelled</w:t>
      </w:r>
      <w:r>
        <w:rPr>
          <w:rFonts w:ascii="Times New Roman;sans-serif" w:hAnsi="Times New Roman;sans-serif"/>
          <w:b w:val="false"/>
          <w:color w:val="242424"/>
          <w:sz w:val="20"/>
        </w:rPr>
        <w:t xml:space="preserve">.” </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offer leasing and financing of our vehicles to potential customers in the United States through a third-party financing partner and intend to do the same in other markets through third-party financing partners,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conflicts or other geopolitical events, COVID-19, or other public crises. If we are unable to provide leasing and financing arrangements that appeal to potential customers in a timely manner, or if the provision of such arrangements exposes us to excessive consumer credit risk, our business, competitive position, results of operations and financial condition could be adversely affected.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Our vehicles are designed with advanced driver assistance system (“ADAS”) hardware and software. We have released a Lucid Air software update, and expect to launch the Lucid Gravity SUV,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or trigger cancellations of reservations and could have a material adverse effect on our business, results of operations, prospects and financial condition.</w:t>
      </w:r>
    </w:p>
    <w:p>
      <w:pPr>
        <w:pStyle w:val="TextBody"/>
        <w:bidi w:val="0"/>
        <w:spacing w:lineRule="auto" w:line="288" w:before="240" w:after="283"/>
        <w:jc w:val="left"/>
        <w:rPr/>
      </w:pPr>
      <w:r>
        <w:rPr>
          <w:rFonts w:ascii="Times New Roman;sans-serif" w:hAnsi="Times New Roman;sans-serif"/>
          <w:b w:val="false"/>
          <w:color w:val="242424"/>
          <w:sz w:val="20"/>
        </w:rPr>
        <w:t xml:space="preserve">ADAS technology is also subject to regulatory uncertainty, which exposes us to additional risks. See “— Risks Related to Litigation and Regulation </w:t>
      </w:r>
      <w:r>
        <w:rPr>
          <w:color w:val="242424"/>
        </w:rPr>
        <w:t xml:space="preserve">— </w:t>
      </w:r>
      <w:r>
        <w:rPr>
          <w:rFonts w:ascii="Times New Roman;sans-serif" w:hAnsi="Times New Roman;sans-serif"/>
          <w:b w:val="false"/>
          <w:i/>
          <w:color w:val="242424"/>
          <w:sz w:val="20"/>
        </w:rPr>
        <w:t>ADAS technology is subject to uncertain and evolving regulations.</w:t>
      </w:r>
      <w:r>
        <w:rPr>
          <w:color w:val="2424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our size and operations, we may not maintain as much insurance coverage as other original equipment manufacturers, and in some cases, we may not maintain any at all. Additionally, the policies that we have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a change in our risk profile. This may require a change in our insurance purchasing philosophy and strategy which can result in the assumption of greater risks to offset insurance market fluctuations.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COVID-19 pandemic has adversely affected, and we cannot predict its ultimate impact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242424"/>
          <w:sz w:val="20"/>
        </w:rPr>
        <w:t>The COVID-19 pandemic has been a risk to our business, including through its impact on general economic conditions, manufacturing and supply chain operations, labor markets, changes in customer behavior, and global financial markets. Its continued impact on the economy, even after the pandemic has subsided, may cause our customers to defer purchases, cancel their reservations and orders for our vehicles prior to delivery. See “—</w:t>
      </w:r>
      <w:r>
        <w:rPr>
          <w:rFonts w:ascii="Times New Roman;sans-serif" w:hAnsi="Times New Roman;sans-serif"/>
          <w:b w:val="false"/>
          <w:i/>
          <w:color w:val="242424"/>
          <w:sz w:val="20"/>
        </w:rPr>
        <w:t>A global economic recession, government closures of banks and liquidity concerns at other financial institutions, or other downturn may have a material adverse impact on our business, prospects, financial condition and results of operations.</w:t>
      </w:r>
      <w:r>
        <w:rPr>
          <w:color w:val="242424"/>
        </w:rPr>
        <w:t>”</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spread of COVID-19, or the outbreak of another pandemic, can disrupt our manufacturing operations and those of our suppliers. For example, the COVID-19 outbreak in China and the resulting lockdowns caused parts supply delays with some impact on manufacturing operations in Arizona in 2022. Such disruptions to us and our suppliers have negatively impacted, and could negatively impact in the future the production volume of the Lucid Air, as well other vehicles that we may introduce from time to time. Our manufacturing operations at a limited number of facilities in Casa Grande, Arizona concentrate this risk. In addition, broader impacts of the pandemic have included inflationary pressure, which impacts our cost structure.</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pandemic has resulted in the imposition of travel bans and restrictions, quarantines and business shutdowns due to localized spikes in COVID-19 cases, which have contributed to delays in the anticipated production schedule of the Lucid Air and potential development of future</w:t>
      </w:r>
    </w:p>
    <w:p>
      <w:pPr>
        <w:pStyle w:val="TextBody"/>
        <w:bidi w:val="0"/>
        <w:spacing w:lineRule="auto" w:line="288" w:before="0" w:after="0"/>
        <w:jc w:val="left"/>
        <w:rPr>
          <w:rFonts w:ascii="Times New Roman;sans-serif" w:hAnsi="Times New Roman;sans-serif"/>
          <w:b w:val="false"/>
          <w:color w:val="242424"/>
          <w:sz w:val="20"/>
        </w:rPr>
      </w:pPr>
      <w:r>
        <w:rPr>
          <w:rFonts w:ascii="Times New Roman;sans-serif" w:hAnsi="Times New Roman;sans-serif"/>
          <w:b w:val="false"/>
          <w:color w:val="242424"/>
          <w:sz w:val="20"/>
        </w:rPr>
        <w:t>models. These measures pose numerous operational risks and logistical challenges to our business.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The transition of some of our personnel to a remote or hybrid workforce has also increased demand on our information technology resources and systems and increased data privacy and cybersecurity risks and increased risk of absenteeism.</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severity, magnitude and duration of the COVID-19 pandemic, or another pandemic, and the economic and regulatory consequences arising from it are rapidly changing and uncertain. Accordingly, we cannot predict the ultimate impact of the COVID-19 pandemic on our business, financial condition and results of operations.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scrutiny and changing expectations from global regulations, our investors, customers and employees with respect to our ESG practices may impose additional costs on us or expose us to new or additional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our stakeholders may not be satisfied with our ESG disclosures, practices, or the speed of their adoption, and our systems may not be adequate to comply with increasing global regulations on ESG topics, such as human rights and sustainability reporting.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or downgraded ratings of our company or our industries, as well as non-inclusion or removal of our stock on ESG-oriented investment funds, may lead to negative investor sentiment and the diversion of investment to other companies or industries, which could have a negative impact on our stock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Manufacturing and Supply Chain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experienced and may in the future experience significant delays in the design, manufacture, launch and financing of our vehicles, including the Lucid Air and the Lucid Gravity SUV, which could harm our business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Many of our vehicles are still in the development and/or testing phase and production of the Lucid Gravity SUV is not expected to begin until late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and ongoing constraints of semiconductor supply.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continued development of and the ability to manufacture our vehicles, including the Lucid Air and the Lucid Gravity SUV,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readiness of firmware features and functions to be integrated into the Lucid Air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finalize release candidate specifications for the Lucid Gravity SUV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or our suppliers’ ability to successfully tool their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a working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establish, implement,</w:t>
      </w:r>
      <w:r>
        <w:rPr>
          <w:color w:val="000000"/>
        </w:rPr>
        <w:t xml:space="preserve"> </w:t>
      </w:r>
      <w:r>
        <w:rPr>
          <w:rFonts w:ascii="Times New Roman;sans-serif" w:hAnsi="Times New Roman;sans-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secure neces</w:t>
      </w:r>
      <w:r>
        <w:rPr>
          <w:rFonts w:ascii="Times New Roman;sans-serif" w:hAnsi="Times New Roman;sans-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negotiate and execute definitive agreements with various suppliers for hardware, software, or services necessary to engineer or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obtain required regulatory approvals and certifications;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comply with environmental, safety, and similar regulations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delays or disruptions in our supply chain including raw material supplies;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other delays, backlog in manufacturing and research and development of new mo</w:t>
      </w:r>
      <w:r>
        <w:rPr>
          <w:rFonts w:ascii="Times New Roman;sans-serif" w:hAnsi="Times New Roman;sans-serif"/>
          <w:b w:val="false"/>
          <w:color w:val="000000"/>
          <w:sz w:val="20"/>
        </w:rPr>
        <w:t>dels, and cost overruns;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severity, magnitude and duration of the COVID-19 pandemic, including related business interruptions and other effects;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other risks identified herein.</w:t>
      </w:r>
    </w:p>
    <w:p>
      <w:pPr>
        <w:pStyle w:val="TextBody"/>
        <w:bidi w:val="0"/>
        <w:spacing w:lineRule="auto" w:line="288" w:before="240" w:after="283"/>
        <w:jc w:val="left"/>
        <w:rPr/>
      </w:pPr>
      <w:r>
        <w:rPr>
          <w:rFonts w:ascii="Times New Roman;sans-serif" w:hAnsi="Times New Roman;sans-serif"/>
          <w:b w:val="false"/>
          <w:color w:val="000000"/>
          <w:sz w:val="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color w:val="000000"/>
        </w:rPr>
        <w:t>—</w:t>
      </w:r>
      <w:r>
        <w:rPr>
          <w:rFonts w:ascii="Times New Roman;sans-serif" w:hAnsi="Times New Roman;sans-serif"/>
          <w:b w:val="false"/>
          <w:color w:val="000000"/>
          <w:sz w:val="20"/>
        </w:rPr>
        <w:t xml:space="preserve">Risks Related to Financing and Strategic Transactions </w:t>
      </w:r>
      <w:r>
        <w:rPr>
          <w:color w:val="000000"/>
        </w:rPr>
        <w:t xml:space="preserve">—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 xml:space="preserve">Our ability to continue production and our future growth depends upon our ability to </w:t>
      </w:r>
      <w:r>
        <w:rPr>
          <w:rFonts w:ascii="Times New Roman;sans-serif" w:hAnsi="Times New Roman;sans-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have been affected by ongoing, industry-wide challenges in logistics and supply chains, such as increased supplier lead times and ongoing constraints of semiconductor supply. We expect that these industry-wide trends may continue to affect the ability of us and our suppliers to obtain parts, components and manufacturing equipment, including electrical and mechanical equipment for AMP-2 and the Phase 2 expansion of AMP-1, on a timely basis for the foreseeable future, and may result in increased costs. Changes in our supply chain or production needs in order to meet our quality targets and development timelines as well as due to design changes have resulted in cost increases from our suppliers.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If we are unable to fully utilize our purchase commitments, we may potentially face fees, penalties, increased prices, excess inventory, or inventory write-offs, and there could be a material adverse effect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experienced, and in the future could continue to experience, delays if our suppliers do not meet agreed upon timelines, experience capacity constraints, or deliver components that do not meet our quality standards or other requirements.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In addition, we have not yet begun servicing vehicles at significant volumes. Accordingly, our ability to scale production and vehicle servicing and mitigate risks associated with these activities has not been thoroughly tested.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unexpected changes in business conditions, materials pricing, labor issues, wars, governmental changes, tariffs, natural disasters, health epidemics such as the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Increases in costs, disruption of supply or shortage of materials, in particular for lithium-ion battery cells or semiconductors,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 increase in the cost, or decrease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manage our supply and inventory of lithium-ion battery cells;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fluctuations in the value of any foreign currencies, in which lithium-ion battery cells and related raw material purchases are or may be denominated against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Times New Roman;sans-serif" w:hAnsi="Times New Roman;sans-serif"/>
          <w:b w:val="false"/>
          <w:color w:val="000000"/>
          <w:sz w:val="20"/>
        </w:rPr>
        <w:t xml:space="preserve">we have entered into agreements with Panasonic Energy Co., Ltd. and certain of its affiliates for the supply of lithium-ion battery cells, pursuant to which we have made certain </w:t>
      </w:r>
      <w:r>
        <w:rPr>
          <w:rFonts w:ascii="Times New Roman;sans-serif" w:hAnsi="Times New Roman;sans-serif"/>
          <w:b w:val="false"/>
          <w:color w:val="231F20"/>
          <w:sz w:val="20"/>
        </w:rPr>
        <w:t>non-can</w:t>
      </w:r>
      <w:r>
        <w:rPr>
          <w:rFonts w:ascii="Times New Roman;sans-serif" w:hAnsi="Times New Roman;sans-serif"/>
          <w:b w:val="false"/>
          <w:color w:val="000000"/>
          <w:sz w:val="20"/>
        </w:rPr>
        <w:t xml:space="preserve">celable long-term purchase commitments. If our production decreases significantly below our projections for any reason, we may not meet all of our purchase commitments. If we are unable to fully utilize our purchase commitments, we may potentially face fees, penalties, increased prices, excess inventory, or inventory write-offs, and there could be a </w:t>
      </w:r>
      <w:r>
        <w:rPr>
          <w:rFonts w:ascii="Times New Roman;sans-serif" w:hAnsi="Times New Roman;sans-serif"/>
          <w:b w:val="false"/>
          <w:color w:val="231F20"/>
          <w:sz w:val="20"/>
        </w:rPr>
        <w:t>material adverse effect on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any of which could have a material adverse effect on our business, prospects and results of operations. In addition, prices and transportation expenses for these materials fluctuate depending on many factors beyond our control, including fluctuations in supply and demand, foreign currency fluctuations, tariffs and taxes, fluctuations in energy prices and shortages in petroleum or natural gas supply, freight charges and other economic and political factors. These risks could be further magnified by geographical developments, global conflicts or other geopolitical events.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foreign currency fluctuations, tariffs or shortages in petroleum or natural gas and other economic or political conditions have contributed to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must develop complex software and technology systems, including in coordination with vendors and suppliers, in order to produce our electric vehicles, and there can be no assurance such systems will be successfully developed.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production and delivery of our vehicles, including the Lucid Air;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loss of customers or inability to attract new customers;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penalties imposed by regulatory authorities.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pPr>
      <w:r>
        <w:rPr>
          <w:rFonts w:ascii="Times New Roman;sans-serif" w:hAnsi="Times New Roman;sans-serif"/>
          <w:b w:val="false"/>
          <w:color w:val="231F20"/>
          <w:sz w:val="20"/>
        </w:rPr>
        <w:t>While we have completed the initial phase of construction at AMP-1, tooling our facilities for production of our vehicles and our future expansion plans are complicated and present significant challe</w:t>
      </w:r>
      <w:r>
        <w:rPr>
          <w:rFonts w:ascii="Times New Roman;sans-serif" w:hAnsi="Times New Roman;sans-serif"/>
          <w:b w:val="false"/>
          <w:color w:val="000000"/>
          <w:sz w:val="20"/>
        </w:rPr>
        <w:t>nges and may require us to take vehicle production offline. In addition, certain o</w:t>
      </w:r>
      <w:r>
        <w:rPr>
          <w:rFonts w:ascii="Times New Roman;sans-serif" w:hAnsi="Times New Roman;sans-serif"/>
          <w:b w:val="false"/>
          <w:color w:val="231F20"/>
          <w:sz w:val="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For example, the installation and production readiness of certain general assembly equipment for our Phase 2 expansion of AMP-1 has commenced but is expected to be delayed by supply chain issues and market conditions such as limited availability of qualified construction labor in Casa Grande, Arizona. In addition, we may encounter problems or disputes with our vendors for a variety of reasons, including for reasons beyond our control, and such disputes, with or without merit, could also cause significant delays and cost overruns.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we have hired and trained and continue to hire, retain,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Lucid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require repair or remediation to support future production volumes. We have begun to repair or remediate these issues where possible without impacting manufacturing, and we plan to address the bulk of such repairs or remediation as part of the phased build-out of our Casa Grande facility.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in the past received, and could in the future receive, results from inspections by local officials at our facilities, both existing and currently under construction, in Casa Grande, Arizona, citing failing marks. We have actively engaged with the local authorities and have retained outside experts to address all of the specific issues identified by those officials as well as to devise means and methods that ensure an ongoing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AMP-1 and the equipment we use to manufacture our vehicles will be costly to repair or replace and could require substantial lead-time to repair or replace and qualify for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such as the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in high volume manufacture of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Any failure to develop and implement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ans-serif" w:hAnsi="Times New Roman;sans-serif"/>
          <w:b w:val="false"/>
          <w:color w:val="231F20"/>
          <w:sz w:val="20"/>
        </w:rPr>
        <w:t>Our vehicles or the components installed therein have in the past and may in the future contain defects in design or manufacture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contain defects and</w:t>
      </w:r>
      <w:r>
        <w:rPr>
          <w:color w:val="000000"/>
        </w:rPr>
        <w:t xml:space="preserve"> </w:t>
      </w:r>
      <w:r>
        <w:rPr>
          <w:rFonts w:ascii="Times New Roman;sans-serif" w:hAnsi="Times New Roman;sans-serif"/>
          <w:b w:val="false"/>
          <w:color w:val="000000"/>
          <w:sz w:val="20"/>
        </w:rPr>
        <w:t>errors when first introduced. If our vehicles contain defects in design or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In addition, our over-the-air software updates may fail to achieve its intended repair and performance goals, expose our customers’ vehicles to vulnerabilities, or have unintended consequences, and may require our customers to bring their vehicles to our service centers.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w:t>
      </w:r>
      <w:r>
        <w:rPr>
          <w:rFonts w:ascii="Times New Roman;sans-serif" w:hAnsi="Times New Roman;sans-serif"/>
          <w:b w:val="false"/>
          <w:color w:val="231F20"/>
          <w:sz w:val="20"/>
        </w:rPr>
        <w:t>racteristics of our battery packs, powertrains and vehicles. There can be no assurance that we will be able to detect and fix any defects in our products prior to their sale or lease to customers.</w:t>
      </w:r>
    </w:p>
    <w:p>
      <w:pPr>
        <w:pStyle w:val="TextBody"/>
        <w:bidi w:val="0"/>
        <w:spacing w:lineRule="auto" w:line="288" w:before="240" w:after="283"/>
        <w:jc w:val="left"/>
        <w:rPr/>
      </w:pPr>
      <w:r>
        <w:rPr>
          <w:rFonts w:ascii="Times New Roman;sans-serif" w:hAnsi="Times New Roman;sans-serif"/>
          <w:b w:val="false"/>
          <w:color w:val="231F20"/>
          <w:sz w:val="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sans-serif" w:hAnsi="Times New Roman;sans-serif"/>
          <w:b w:val="false"/>
          <w:color w:val="000000"/>
          <w:sz w:val="20"/>
        </w:rPr>
        <w:t xml:space="preserve">Any such defects or noncompliance with legal requirements could also result in safety recalls. See “— Risks Related to Litigation and Regulation — </w:t>
      </w:r>
      <w:r>
        <w:rPr>
          <w:rFonts w:ascii="Times New Roman;sans-serif" w:hAnsi="Times New Roman;sans-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ans-serif" w:hAnsi="Times New Roman;sans-serif"/>
          <w:b w:val="false"/>
          <w:color w:val="231F20"/>
          <w:sz w:val="20"/>
        </w:rPr>
        <w:t>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challenges providing charging solutions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the deployment may not occur at planned levels, which could serve to limit the development of public charging infrastructure and increase the relative attractiveness to potential customers of a proprietary charging solution.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provide a new vehicle limited warranty on all vehicles and powertrain components and systems we sell. We will need to maintain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Our facilities or operations could be adversely affected by events outside of our control, such as natural disasters, wars, health epidemics or pandemics, or security incidents.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We and our suppliers may be impacted by weather events, natural disasters, wars,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In addition, the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ans-serif" w:hAnsi="Times New Roman;sans-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ans-serif" w:hAnsi="Times New Roman;sans-serif"/>
          <w:b w:val="false"/>
          <w:color w:val="000000"/>
          <w:sz w:val="20"/>
        </w:rPr>
        <w:t xml:space="preserve">In addition, global conflicts or other geopolitical events may increase the likelihood of supply chain interruptions and may impair our ability to compete in current or future markets, or otherwise subject us to potential liability. See “—Risks Related to Manufacturing and Supply Chain — </w:t>
      </w:r>
      <w:r>
        <w:rPr>
          <w:rFonts w:ascii="Times New Roman;sans-serif" w:hAnsi="Times New Roman;sans-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ans-serif" w:hAnsi="Times New Roman;sans-serif"/>
          <w:b w:val="false"/>
          <w:color w:val="000000"/>
          <w:sz w:val="20"/>
        </w:rPr>
        <w:t xml:space="preserve">and “— Risks Related to Litigation and Regulation — </w:t>
      </w:r>
      <w:r>
        <w:rPr>
          <w:rFonts w:ascii="Times New Roman;sans-serif" w:hAnsi="Times New Roman;sans-serif"/>
          <w:b w:val="false"/>
          <w:i/>
          <w:color w:val="000000"/>
          <w:sz w:val="20"/>
        </w:rPr>
        <w:t>Changes in U.S. trade policy, including the imposition of tariffs or revocation of normal trade relations and the resulting consequences, could adversely affect our business, prospects, results of operations and financial condition</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We may incur significant expenses or delays relating to such events outside of our control, which could have a material adverse impact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vehicles make use of lithium-ion battery cells, which have been observed to catch fire or vent smoke and flame.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Cybersecurity and Data Privacy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products contain complex information technology systems. For example, our vehicles are designed with built-in data connectivity to accept and install periodic remote updates to improve their functionality.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to our information technology systems and information (including personal data)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including as a result of intentional misconduct by employees, contractors, or vendors, as well as a result of software bugs, human error, or technical malfunctions.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cyber threat actors may in the future attempt to gain unauthorized access to, modify, alter and/or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vehicles, products and systems.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have been heightened in connection with ongoing global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personal data or our proprietary software code), products, and systems, resulting in a data breach, or disruption, modification or destruction to our systems and applications. As a result, we may suffer monetary losses, business interruption, and long-lasting operational issues, damage to our reputation and brand or loss of our intellectual property (including trade secrets).</w:t>
      </w:r>
    </w:p>
    <w:p>
      <w:pPr>
        <w:pStyle w:val="TextBody"/>
        <w:bidi w:val="0"/>
        <w:spacing w:lineRule="auto" w:line="288" w:before="240" w:after="283"/>
        <w:jc w:val="left"/>
        <w:rPr/>
      </w:pPr>
      <w:r>
        <w:rPr>
          <w:rFonts w:ascii="Times New Roman;sans-serif" w:hAnsi="Times New Roman;sans-serif"/>
          <w:b w:val="false"/>
          <w:color w:val="231F20"/>
          <w:sz w:val="20"/>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systems or data, as well as other factors that may result in the perception that our vehicles, systems or data are vulnerable to being “hacked,” could negatively affect our brand. Some entities within the U.S. federal government, including certain Members of Congress and the National Highway Traffic Safety Administration (“NHTSA”)</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have recently focused attention on automotive cybersecurity issues and may in the future propose or implement regulations specific to automotive cybersecurity. In addition, the United Nations Economic Commission for Europe (“UNECE”) has introduced new regulations governing connected vehicle cybersecurity, which became effective in January 2021 and apply in the European Union to all new vehicle types beginning in July 2022 and to all existing architectures/new vehicles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not have adequate insurance coverage to cover losses associated with any of the foregoing, if any.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to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pStyle w:val="TextBody"/>
        <w:bidi w:val="0"/>
        <w:spacing w:lineRule="auto" w:line="288" w:before="240" w:after="283"/>
        <w:jc w:val="left"/>
        <w:rPr/>
      </w:pPr>
      <w:r>
        <w:rPr>
          <w:rFonts w:ascii="Times New Roman;sans-serif" w:hAnsi="Times New Roman;sans-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(“GDPR”)</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which became effective in May 2018, California adopted the California Consumer Privacy Act of 2018 (“CCPA”)</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which became effective in January 2020, Canada adopted the Personal Information Protection and Electronic Documents Act (“PIPEDA”) and continues to amend the statute, the United Arab Emirates adopted the Data Protection Law (“DPL”), which became effective in January 2022, and Saudi Arabia enacted the Personal Data Protection Law (“PDPL”) which is expected to take effect in 2023. Each of the GDPR, the CCPA, the PIPEDA, the DPL and the PDPL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Legal developments in the European Economic Area (“EEA”), including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Some observers have noted that the CCPA marked the beginning of a trend toward more stringent privacy legislation in the United States. Additionally, effective in most material respects starting on January 1, 2023, the California Privacy Rights Act (“CPRA”), will significantly modify the CCPA, including by expanding California residents’ rights with respect to certain sensitive personal information. The CPRA also creates a new state agency, the California Privacy Protection Agency (“CPPA”), that will be vested with the authority to implement and enforce the CCPA (as modified by CPRA and any related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Other states, including Connecticut, Utah, Virginia, and Colorado, have enacted or are in the process of enacting, or considering similar laws. Complian</w:t>
      </w:r>
      <w:r>
        <w:rPr>
          <w:rFonts w:ascii="Times New Roman;sans-serif" w:hAnsi="Times New Roman;sans-serif"/>
          <w:b w:val="false"/>
          <w:color w:val="000000"/>
          <w:sz w:val="20"/>
        </w:rPr>
        <w:t>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Certain emerging privacy laws are still subject to a high degree of uncertainty as to their interpretation and application.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to the collection and use of data, we are impacted by regulations obligating the organization to share vehicle repair related information with third parties, including repair shops and repair tool hardware developers, in what is commonly called “right-to-repair.” Recent action by the Massachusetts Attorney General, for example, has expedited our timeline to respond to right-to-repair support requests in that state for telematics enabled vehicles. Other state, federal, and foreign jurisdictions are exploring expanding company obligations in this area as well.</w:t>
      </w:r>
    </w:p>
    <w:p>
      <w:pPr>
        <w:pStyle w:val="TextBody"/>
        <w:bidi w:val="0"/>
        <w:spacing w:lineRule="auto" w:line="288" w:before="240" w:after="283"/>
        <w:jc w:val="left"/>
        <w:rPr/>
      </w:pPr>
      <w:r>
        <w:rPr>
          <w:rFonts w:ascii="Times New Roman;sans-serif" w:hAnsi="Times New Roman;sans-serif"/>
          <w:b w:val="false"/>
          <w:color w:val="000000"/>
          <w:sz w:val="20"/>
        </w:rPr>
        <w:t>Failure to comply with applicable laws or regulations, such as the ones discussed above, or to secure personal information could result in investigations, enforcement actions and other proceedings against us, which could result in substantial fines, damages and other liability as well as damage to our reputation and credibility, which cou</w:t>
      </w:r>
      <w:r>
        <w:rPr>
          <w:rFonts w:ascii="Times New Roman;sans-serif" w:hAnsi="Times New Roman;sans-serif"/>
          <w:b w:val="false"/>
          <w:color w:val="231F20"/>
          <w:sz w:val="20"/>
        </w:rPr>
        <w:t>ld have a negative impact on revenues and profits.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Employees and Human Resources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loss of key employees or an inability to attract, retain and motivate qualified personnel may impair our ability to expand our business.</w:t>
      </w:r>
    </w:p>
    <w:p>
      <w:pPr>
        <w:pStyle w:val="TextBody"/>
        <w:bidi w:val="0"/>
        <w:spacing w:lineRule="auto" w:line="288" w:before="240" w:after="283"/>
        <w:jc w:val="left"/>
        <w:rPr/>
      </w:pPr>
      <w:r>
        <w:rPr>
          <w:rFonts w:ascii="Times New Roman;sans-serif" w:hAnsi="Times New Roman;sans-serif"/>
          <w:b w:val="false"/>
          <w:color w:val="231F20"/>
          <w:sz w:val="20"/>
        </w:rPr>
        <w:t xml:space="preserve">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It is always possible that we could lose some key employees, especially if we are unable to grant sufficient or competitive compensation, including equity awards and bonuses, or if the volatility of our stock price increases. </w:t>
      </w:r>
      <w:r>
        <w:rPr>
          <w:rFonts w:ascii="Times New Roman;sans-serif" w:hAnsi="Times New Roman;sans-serif"/>
          <w:b w:val="false"/>
          <w:color w:val="000000"/>
          <w:sz w:val="20"/>
        </w:rPr>
        <w:t xml:space="preserve">In addition, the Restructuring Plan, which involves the reduction of our employee workforce, may adversely affect our internal programs and initiatives as well as our ability to recruit and retain skilled and motivated personnel. The Restructuring Plan may also be distracting to employees and management and may negatively impact our business operations, reputation, or ability to serve customers. We also cannot provide any assurances that we will not have to undertake additional workforce reductions in the future. </w:t>
      </w:r>
      <w:r>
        <w:rPr>
          <w:rFonts w:ascii="Times New Roman;sans-serif" w:hAnsi="Times New Roman;sans-serif"/>
          <w:b w:val="false"/>
          <w:color w:val="231F20"/>
          <w:sz w:val="20"/>
        </w:rPr>
        <w:t>The replacement of any members of our senior management team or other key employees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but not limited to, in particular, engineers, and Arizona, where we have a substantial presence and a need for, among others, a large skilled repair, logistics, supply chain, and manufacturing workforce.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global conflicts or other geopolitical events. Our inability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highly dependent on the services of Peter Rawlinson, our Chief Executive Officer and Chief Technology Officer.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need to hire, retain, and train a 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ans-serif" w:hAnsi="Times New Roman;sans-serif"/>
          <w:b w:val="false"/>
          <w:color w:val="231F20"/>
          <w:sz w:val="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ans-serif" w:hAnsi="Times New Roman;sans-serif"/>
          <w:b w:val="false"/>
          <w:color w:val="000000"/>
          <w:sz w:val="20"/>
        </w:rPr>
        <w:t>ective company culture. Although the area surrounding our Casa Grande, Arizona manufacturing facilities is home to a highly trained workforce with experience in engineering and manufacturing, this workforce does not have significant experience with electric vehicle manufacturing, and related processes such as inventory management, logistics and quality control, and many jobs will require significant training and we may need to spend significant resources to ensure employees obtain and adhere to such training. Further, competition for employees in the Casa Grande, Arizona has increased and may continue to increase in the future, which may impact the ability or cost to hire in the area. If we are unsuccessful in hiring</w:t>
      </w:r>
      <w:r>
        <w:rPr>
          <w:rFonts w:ascii="Times New Roman;sans-serif" w:hAnsi="Times New Roman;sans-serif"/>
          <w:b w:val="false"/>
          <w:color w:val="231F20"/>
          <w:sz w:val="20"/>
        </w:rPr>
        <w:t xml:space="preserve">, retaining, and training a workforce in a timely and cost-effective manner, our business, financial condition and results of operations could be adversely affected.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although none of our United States based employees are currently represented by a labor union and none of our international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Misconduct by our employees and independent contractors during and before their employment with us could expose us to potentially significant legal liabilities, reputational harm and/or other damages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Litigation and Regulation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or will be subject to complex and evolving environmental, manufacturing, health and safety laws and regulations at numerous jurisdictional levels,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currently are, and expect to become, subject to laws and regulations applicable to the supply, manufacture, import, sale and service of automobiles in an increasing number of international jurisdictions. Applicable regulations in countries outside of the U.S., such as standards relating to vehicle safety, transportation of dangerous goods,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ans-serif" w:hAnsi="Times New Roman;sans-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ans-serif" w:hAnsi="Times New Roman;sans-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TextBody"/>
        <w:bidi w:val="0"/>
        <w:spacing w:lineRule="auto" w:line="288" w:before="240" w:after="283"/>
        <w:jc w:val="left"/>
        <w:rPr/>
      </w:pPr>
      <w:r>
        <w:rPr>
          <w:rFonts w:ascii="Times New Roman;sans-serif" w:hAnsi="Times New Roman;sans-serif"/>
          <w:b w:val="false"/>
          <w:color w:val="231F20"/>
          <w:sz w:val="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w:t>
      </w:r>
      <w:r>
        <w:rPr>
          <w:color w:val="000000"/>
        </w:rPr>
        <w:t xml:space="preserve"> </w:t>
      </w:r>
      <w:r>
        <w:rPr>
          <w:rFonts w:ascii="Times New Roman;sans-serif" w:hAnsi="Times New Roman;sans-serif"/>
          <w:b w:val="false"/>
          <w:color w:val="231F20"/>
          <w:sz w:val="20"/>
        </w:rPr>
        <w:t>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ans-serif" w:hAnsi="Times New Roman;sans-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w:t>
      </w:r>
      <w:r>
        <w:rPr>
          <w:color w:val="000000"/>
        </w:rPr>
        <w:t xml:space="preserve"> </w:t>
      </w:r>
      <w:r>
        <w:rPr>
          <w:rFonts w:ascii="Times New Roman;sans-serif" w:hAnsi="Times New Roman;sans-serif"/>
          <w:b w:val="false"/>
          <w:color w:val="231F20"/>
          <w:sz w:val="20"/>
        </w:rPr>
        <w:t>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business disputes, disability access, and employment matters. </w:t>
      </w:r>
    </w:p>
    <w:p>
      <w:pPr>
        <w:pStyle w:val="TextBody"/>
        <w:bidi w:val="0"/>
        <w:spacing w:lineRule="auto" w:line="288" w:before="240" w:after="283"/>
        <w:jc w:val="left"/>
        <w:rPr/>
      </w:pPr>
      <w:r>
        <w:rPr>
          <w:rFonts w:ascii="Times New Roman;sans-serif" w:hAnsi="Times New Roman;sans-serif"/>
          <w:b w:val="false"/>
          <w:color w:val="231F20"/>
          <w:sz w:val="20"/>
        </w:rPr>
        <w:t xml:space="preserve">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w:t>
      </w:r>
      <w:r>
        <w:rPr>
          <w:rFonts w:ascii="Times New Roman;sans-serif" w:hAnsi="Times New Roman;sans-serif"/>
          <w:b w:val="false"/>
          <w:color w:val="000000"/>
          <w:sz w:val="20"/>
        </w:rPr>
        <w:t>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and that motion was granted on January 11, 2023, with Plaintiffs being provided the ability to seek leave to amend. On January 30, 2023, Plaintiffs filed a Motion for Leave to Amend, which the Company opposed. On June 29, 2023, the District Court denied that motion, dismissed the lawsuit and terminated the case. It is unclear at the present time whether Plaintiffs will appeal the dismissal.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complaints name as defendants Lucid Group, Inc. and the Company’s chief executive officer and 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filed a Motion to Dismiss on February 23, 2023, which is pending before the court. The Company believes that the plaintiffs’ claims are without merit and intends to defend itself vigorously, but the Company cannot ensure that defendants’ efforts to dismiss the complaint will be successful or that it will avoid liability in these matters.</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sans-serif" w:hAnsi="Times New Roman;sans-serif"/>
          <w:b w:val="false"/>
          <w:i/>
          <w:color w:val="000000"/>
          <w:sz w:val="20"/>
        </w:rPr>
        <w:t>Floyd Taylor v. Glenn August, et al.</w:t>
      </w:r>
      <w:r>
        <w:rPr>
          <w:rFonts w:ascii="Times New Roman;sans-serif" w:hAnsi="Times New Roman;sans-serif"/>
          <w:b w:val="false"/>
          <w:color w:val="000000"/>
          <w:sz w:val="20"/>
        </w:rPr>
        <w:t xml:space="preserve">, Superior Court, Alameda County, Case No. 22CV014130. The complaint also names the Company as a nominal defendant. Based on allegations that are similar to those in the </w:t>
      </w:r>
      <w:r>
        <w:rPr>
          <w:rFonts w:ascii="Times New Roman;sans-serif" w:hAnsi="Times New Roman;sans-serif"/>
          <w:b w:val="false"/>
          <w:i/>
          <w:color w:val="000000"/>
          <w:sz w:val="20"/>
        </w:rPr>
        <w:t xml:space="preserve">In re Lucid Group, Inc. Securities Litigation </w:t>
      </w:r>
      <w:r>
        <w:rPr>
          <w:rFonts w:ascii="Times New Roman;sans-serif" w:hAnsi="Times New Roman;sans-serif"/>
          <w:b w:val="false"/>
          <w:color w:val="000000"/>
          <w:sz w:val="20"/>
        </w:rPr>
        <w:t xml:space="preserve">action, the </w:t>
      </w:r>
      <w:r>
        <w:rPr>
          <w:rFonts w:ascii="Times New Roman;sans-serif" w:hAnsi="Times New Roman;sans-serif"/>
          <w:b w:val="false"/>
          <w:i/>
          <w:color w:val="000000"/>
          <w:sz w:val="20"/>
        </w:rPr>
        <w:t xml:space="preserve">Taylor </w:t>
      </w:r>
      <w:r>
        <w:rPr>
          <w:rFonts w:ascii="Times New Roman;sans-serif" w:hAnsi="Times New Roman;sans-serif"/>
          <w:b w:val="false"/>
          <w:color w:val="000000"/>
          <w:sz w:val="20"/>
        </w:rPr>
        <w:t>complaint asserts claims for breach of fiduciary duty, unjust enrichment, waste of corporate assets and aiding and abetting breach of fiduciary duty. The complaint seeks compensatory damages, punitive damages, interest, and attorneys’ fees and expenses. The Company is advancing defendants’ fees and expenses incurred in their defense of the actions.</w:t>
      </w:r>
    </w:p>
    <w:p>
      <w:pPr>
        <w:pStyle w:val="TextBody"/>
        <w:bidi w:val="0"/>
        <w:spacing w:lineRule="auto" w:line="288" w:before="240" w:after="283"/>
        <w:jc w:val="left"/>
        <w:rPr/>
      </w:pPr>
      <w:r>
        <w:rPr>
          <w:rFonts w:ascii="Times New Roman;sans-serif" w:hAnsi="Times New Roman;sans-serif"/>
          <w:b w:val="false"/>
          <w:color w:val="000000"/>
          <w:sz w:val="20"/>
        </w:rPr>
        <w:t>Litigation and regulatory proceedings may be protracted an</w:t>
      </w:r>
      <w:r>
        <w:rPr>
          <w:rFonts w:ascii="Times New Roman;sans-serif" w:hAnsi="Times New Roman;sans-serif"/>
          <w:b w:val="false"/>
          <w:color w:val="231F20"/>
          <w:sz w:val="20"/>
        </w:rPr>
        <w:t>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w:t>
      </w:r>
      <w:r>
        <w:rPr>
          <w:rFonts w:ascii="Times New Roman;sans-serif" w:hAnsi="Times New Roman;sans-serif"/>
          <w:b w:val="false"/>
          <w:color w:val="000000"/>
          <w:sz w:val="20"/>
        </w:rPr>
        <w:t>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become subject to product liability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ans-serif" w:hAnsi="Times New Roman;sans-serif"/>
          <w:b w:val="false"/>
          <w:color w:val="231F20"/>
          <w:sz w:val="20"/>
        </w:rPr>
        <w:t>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w:t>
      </w:r>
      <w:r>
        <w:rPr>
          <w:color w:val="000000"/>
        </w:rPr>
        <w:t xml:space="preserve"> </w:t>
      </w:r>
      <w:r>
        <w:rPr>
          <w:rFonts w:ascii="Times New Roman;sans-serif" w:hAnsi="Times New Roman;sans-serif"/>
          <w:b w:val="false"/>
          <w:color w:val="231F20"/>
          <w:sz w:val="20"/>
        </w:rPr>
        <w:t>from or related to failures, claimed failures or misuse of new technologies that we expect to offer, including</w:t>
      </w:r>
      <w:r>
        <w:rPr>
          <w:color w:val="000000"/>
        </w:rPr>
        <w:t xml:space="preserve"> </w:t>
      </w:r>
      <w:r>
        <w:rPr>
          <w:rFonts w:ascii="Times New Roman;sans-serif" w:hAnsi="Times New Roman;sans-serif"/>
          <w:b w:val="false"/>
          <w:i/>
          <w:color w:val="231F20"/>
          <w:sz w:val="20"/>
        </w:rPr>
        <w:t xml:space="preserve">ADAS </w:t>
      </w:r>
      <w:r>
        <w:rPr>
          <w:rFonts w:ascii="Times New Roman;sans-serif" w:hAnsi="Times New Roman;sans-serif"/>
          <w:b w:val="false"/>
          <w:color w:val="231F20"/>
          <w:sz w:val="20"/>
        </w:rPr>
        <w:t xml:space="preserve">features in our vehicles. See “— Risks Related to Litigation and Regulation — </w:t>
      </w:r>
      <w:r>
        <w:rPr>
          <w:rFonts w:ascii="Times New Roman;sans-serif" w:hAnsi="Times New Roman;sans-serif"/>
          <w:b w:val="false"/>
          <w:i/>
          <w:color w:val="231F20"/>
          <w:sz w:val="20"/>
        </w:rPr>
        <w:t>ADAS technology is subject to uncertain and evolving regulations</w:t>
      </w:r>
      <w:r>
        <w:rPr>
          <w:rFonts w:ascii="Times New Roman;sans-serif" w:hAnsi="Times New Roman;sans-serif"/>
          <w:b w:val="false"/>
          <w:color w:val="231F20"/>
          <w:sz w:val="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pStyle w:val="TextBody"/>
        <w:bidi w:val="0"/>
        <w:spacing w:lineRule="auto" w:line="288" w:before="240" w:after="283"/>
        <w:jc w:val="left"/>
        <w:rPr/>
      </w:pPr>
      <w:r>
        <w:rPr>
          <w:rFonts w:ascii="Times New Roman;sans-serif" w:hAnsi="Times New Roman;sans-serif"/>
          <w:b w:val="false"/>
          <w:color w:val="231F20"/>
          <w:sz w:val="20"/>
        </w:rPr>
        <w:t>A successful product liability claim against us could require us to pay a substantial monetary award.</w:t>
      </w:r>
      <w:r>
        <w:rPr>
          <w:color w:val="000000"/>
        </w:rPr>
        <w:t xml:space="preserve"> </w:t>
      </w:r>
      <w:r>
        <w:rPr>
          <w:rFonts w:ascii="Times New Roman;sans-serif" w:hAnsi="Times New Roman;sans-serif"/>
          <w:b w:val="false"/>
          <w:color w:val="231F20"/>
          <w:sz w:val="20"/>
        </w:rPr>
        <w:t>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exposed to delays, limitations and risks related to the environmental permits and other operating permits required to operate our manufacturing facilities.</w:t>
      </w:r>
    </w:p>
    <w:p>
      <w:pPr>
        <w:pStyle w:val="TextBody"/>
        <w:bidi w:val="0"/>
        <w:spacing w:lineRule="auto" w:line="288" w:before="240" w:after="283"/>
        <w:jc w:val="left"/>
        <w:rPr/>
      </w:pPr>
      <w:r>
        <w:rPr>
          <w:rFonts w:ascii="Times New Roman;sans-serif" w:hAnsi="Times New Roman;sans-serif"/>
          <w:b w:val="false"/>
          <w:color w:val="231F20"/>
          <w:sz w:val="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ans-serif" w:hAnsi="Times New Roman;sans-serif"/>
          <w:b w:val="false"/>
          <w:i/>
          <w:color w:val="231F20"/>
          <w:sz w:val="20"/>
        </w:rPr>
        <w:t>We have experienced and may in the future experience significant delays in the design, manufacture, launch and financing of our vehicles, including the Lucid Air and the Lucid Gravity SUV, which could harm our business and prospects.</w:t>
      </w:r>
      <w:r>
        <w:rPr>
          <w:color w:val="231F20"/>
        </w:rPr>
        <w: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and resources to comply with them. For example, regulations regarding battery storage, recycling, disposal and processing are relatively new and the lack of uniform regulations and guidance may increase our cost of compliance.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ADAS technology is subject to uncertain and evolving regulations.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U.S. trade policy, including the imposition of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U.S. government has adopted an evolving approach to trade policy and in some cases has attempted to renegotiate or terminate certain existing bilateral or multi-lateral trade agreements. It has also imposed tariffs on certain foreign goods, including steel and certain vehicle parts,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w:t>
      </w:r>
      <w:r>
        <w:rPr>
          <w:color w:val="231F20"/>
        </w:rPr>
        <w:t xml:space="preserve"> </w:t>
      </w:r>
      <w:r>
        <w:rPr>
          <w:rFonts w:ascii="Times New Roman;sans-serif" w:hAnsi="Times New Roman;sans-serif"/>
          <w:b w:val="false"/>
          <w:color w:val="231F20"/>
          <w:sz w:val="20"/>
        </w:rPr>
        <w:t>and could have an adverse effect on our business and results of operations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enacted federal legislation that revokes normal trade relations between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Intellectual Property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misappropriation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measures we take to obtain, maintain, protect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employees, contractors or business partners may breach their confidentiality, non-disclosure and non-use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circumvent or otherwise design around our patents or other intellectual property.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pStyle w:val="TextBody"/>
        <w:bidi w:val="0"/>
        <w:spacing w:lineRule="auto" w:line="288" w:before="240" w:after="283"/>
        <w:jc w:val="left"/>
        <w:rPr/>
      </w:pPr>
      <w:r>
        <w:rPr>
          <w:rFonts w:ascii="Times New Roman;sans-serif" w:hAnsi="Times New Roman;sans-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ans-serif" w:hAnsi="Times New Roman;sans-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ans-serif" w:hAnsi="Times New Roman;sans-serif"/>
          <w:b w:val="false"/>
          <w:color w:val="231F20"/>
          <w:sz w:val="20"/>
        </w:rPr>
        <w:t>There are considerable issued patent, pending patent applications, and other intellectual property development, ownership, and activity in our industry.</w:t>
      </w:r>
      <w:r>
        <w:rPr>
          <w:color w:val="000000"/>
        </w:rPr>
        <w:t xml:space="preserve"> </w:t>
      </w:r>
      <w:r>
        <w:rPr>
          <w:rFonts w:ascii="Times New Roman;sans-serif" w:hAnsi="Times New Roman;sans-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pay substantial damages, including treble damages for willful infringement, or ongoing royalty payments;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alternative branding for our products and services.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personnel.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non-compliance, ownership of, or demanding release of, the open-source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Financing and Strategic Transactions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ans-serif" w:hAnsi="Times New Roman;sans-serif"/>
          <w:b w:val="false"/>
          <w:color w:val="231F20"/>
          <w:sz w:val="20"/>
        </w:rPr>
        <w:t xml:space="preserve">We have funded our operations since inception primarily through equity and debt financings. For example, we issued approximately $2.0 billion of 1.25% convertible senior notes due 2026 in December 2021 (the “2026 Notes”), entered into a credit agreement that provides for a $1.0 billion senior secured asset-based revolving credit facility in June 2022 (the “ABL Credit Facility”), </w:t>
      </w:r>
      <w:r>
        <w:rPr>
          <w:rFonts w:ascii="Times New Roman;sans-serif" w:hAnsi="Times New Roman;sans-serif"/>
          <w:b w:val="false"/>
          <w:color w:val="000000"/>
          <w:sz w:val="20"/>
        </w:rPr>
        <w:t>completed an “at-the-market” equity offering program for net proceeds of $594.3 million after deducting commissions and other issuance costs and consummated a private placement of common stock to Ayar for aggregate proceeds of $915.0 million in December 2022</w:t>
      </w:r>
      <w:r>
        <w:rPr>
          <w:rFonts w:ascii="Times New Roman;sans-serif" w:hAnsi="Times New Roman;sans-serif"/>
          <w:b w:val="false"/>
          <w:color w:val="231F20"/>
          <w:sz w:val="20"/>
        </w:rPr>
        <w:t xml:space="preserve">. In addition, we have, through our subsidiary, entered into a loan agreement with the Saudi Industrial Development Fund for an aggregate principal amount of up to SAR </w:t>
      </w:r>
      <w:r>
        <w:rPr>
          <w:rFonts w:ascii="Times New Roman;sans-serif" w:hAnsi="Times New Roman;sans-serif"/>
          <w:b w:val="false"/>
          <w:color w:val="000000"/>
          <w:sz w:val="20"/>
        </w:rPr>
        <w:t>5.19 billion</w:t>
      </w:r>
      <w:r>
        <w:rPr>
          <w:color w:val="231F20"/>
        </w:rPr>
        <w:t xml:space="preserve"> </w:t>
      </w:r>
      <w:r>
        <w:rPr>
          <w:rFonts w:ascii="Times New Roman;sans-serif" w:hAnsi="Times New Roman;sans-serif"/>
          <w:b w:val="false"/>
          <w:color w:val="231F20"/>
          <w:sz w:val="20"/>
        </w:rPr>
        <w:t xml:space="preserve">in February 2022 (the “SIDF Loan </w:t>
      </w:r>
      <w:r>
        <w:rPr>
          <w:rFonts w:ascii="Times New Roman;sans-serif" w:hAnsi="Times New Roman;sans-serif"/>
          <w:b w:val="false"/>
          <w:color w:val="000000"/>
          <w:sz w:val="20"/>
        </w:rPr>
        <w:t>Agreement”) and also entered into a revolving credit facility agreement with Gulf International Bank for an aggregate principal amount of SAR 1 billion in April 2022, which was amended in March 2023 (as amended, the “Amended GIB Facility Agreement”). In June 2023, we completed an underwritten public offering of common stock for aggregate net proceeds of $1.2 billion and consummated the private placement to Ayar for aggregate net proceeds of $1.8 billion, after deducting issuance costs. We anticipate that we will continue to need to raise additional funds through equity, equity-linked or debt financings. Our business is capital-intensive, and we expect the costs and expenses associated with our planned operations will continue to increase in the near term. We do not expect to achieve positive cash flo</w:t>
      </w:r>
      <w:r>
        <w:rPr>
          <w:rFonts w:ascii="Times New Roman;sans-serif" w:hAnsi="Times New Roman;sans-serif"/>
          <w:b w:val="false"/>
          <w:color w:val="231F20"/>
          <w:sz w:val="20"/>
        </w:rPr>
        <w:t xml:space="preserve">w from operations for several years, if at all. In addition, we have and we expect to settle tax withholding obligations in connection with vesting of the restricted stock units granted to Peter Rawlinson, our Chief Executive Officer and Chief Technology Officer, that were previously granted to him in March 2021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TextBody"/>
        <w:bidi w:val="0"/>
        <w:spacing w:lineRule="auto" w:line="288" w:before="240" w:after="283"/>
        <w:jc w:val="left"/>
        <w:rPr/>
      </w:pPr>
      <w:r>
        <w:rPr>
          <w:rFonts w:ascii="Times New Roman;sans-serif" w:hAnsi="Times New Roman;sans-serif"/>
          <w:b w:val="false"/>
          <w:color w:val="231F20"/>
          <w:sz w:val="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sans-serif" w:hAnsi="Times New Roman;sans-serif"/>
          <w:b w:val="false"/>
          <w:color w:val="000000"/>
          <w:sz w:val="20"/>
        </w:rPr>
        <w:t xml:space="preserve">For example, we have entered into agreements with Panasonic Energy Co., Ltd. and certain of its affiliates to purchase an aggregate of approximately $5 billion of lithium-ion battery cells, subject to certain conditions and adjustments, beginning in 2023 through 2031. </w:t>
      </w:r>
      <w:r>
        <w:rPr>
          <w:rFonts w:ascii="Times New Roman;sans-serif" w:hAnsi="Times New Roman;sans-serif"/>
          <w:b w:val="false"/>
          <w:color w:val="231F20"/>
          <w:sz w:val="20"/>
        </w:rPr>
        <w:t>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left"/>
        <w:rPr/>
      </w:pPr>
      <w:r>
        <w:rPr>
          <w:rFonts w:ascii="Times New Roman;sans-serif" w:hAnsi="Times New Roman;sans-serif"/>
          <w:b w:val="false"/>
          <w:color w:val="231F20"/>
          <w:sz w:val="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conflicts or other geopolitical events and the COVID-19 pandemic, or investor acceptance of our business model. These factors may </w:t>
      </w:r>
      <w:r>
        <w:rPr>
          <w:rFonts w:ascii="Times New Roman;sans-serif" w:hAnsi="Times New Roman;sans-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consummate our agreement with Aston Martin and even if we do, we may not be able to realize the anticipated benefits.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entered into an agreement (the “Implementation Agreement”) with Aston Martin Lagonda Global Holdings plc (together with its subsidiaries, “Aston Martin”), under which the parties will establish a long-term strategic technology partnership in which we will provide Aston Martin with powertrain and battery system technology for use in Aston Martin’s initial and certain future electric vehicles. See Item 2. Management’s Discussion and Analysis of Financial Condition and Results of Operations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commencement of the partnership as contemplated in the Implementation Agreement are subject to certain conditions, including, among other requirements, obtaining Aston Martin shareholder approval at a meeting of Aston Martin shareholders, satisfaction of regulatory approvals, and other customary conditions, and the parties may terminate the Implementation Agreement if such conditions are not met. No assurance can be given that such conditions will be satisfied on a timely basis, or at all. In addition, even if we are able to commence the partnership, we may not be able to realize the anticipated benefits of the partnership if we experience delays, fail to successfully integrate our powertrain and battery components with Aston Martin’s vehicles, or fail to enter into a supply agreement on terms acceptable to us, or if we experience delays or fail to deliver the components ordered by Aston Martin. Any such delay or failure for any reason, including for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pStyle w:val="TextBody"/>
        <w:bidi w:val="0"/>
        <w:spacing w:lineRule="auto" w:line="288" w:before="240" w:after="283"/>
        <w:jc w:val="left"/>
        <w:rPr/>
      </w:pPr>
      <w:r>
        <w:rPr>
          <w:rFonts w:ascii="Times New Roman;sans-serif" w:hAnsi="Times New Roman;sans-serif"/>
          <w:b w:val="false"/>
          <w:color w:val="000000"/>
          <w:sz w:val="20"/>
        </w:rPr>
        <w:t>In December 2021, we issued approximately $2.0 billion principal amount of 2026 Notes and have entered into several credit facilities in 2022. See Note 6 “Debt” to our condensed</w:t>
      </w:r>
      <w:r>
        <w:rPr>
          <w:color w:val="000000"/>
        </w:rPr>
        <w:t xml:space="preserve"> </w:t>
      </w:r>
      <w:r>
        <w:rPr>
          <w:rFonts w:ascii="Times New Roman;sans-serif" w:hAnsi="Times New Roman;sans-serif"/>
          <w:b w:val="false"/>
          <w:color w:val="000000"/>
          <w:sz w:val="20"/>
        </w:rPr>
        <w:t>consolidated financial statements included elsewhere in this Quarterly Report for further information on our outstanding debt obligations. Our ability to make scheduled payments of the principal of, to pay interest on or to refinance our indebtedness from time to time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indebtedness, combined with our other existing and future financial obligations and contractual commitments, could have other important consequences. For example, it could:</w:t>
      </w:r>
    </w:p>
    <w:p>
      <w:pPr>
        <w:pStyle w:val="TextBody"/>
        <w:bidi w:val="0"/>
        <w:spacing w:lineRule="auto" w:line="288" w:before="120" w:after="283"/>
        <w:ind w:left="0" w:right="0" w:hanging="360"/>
        <w:jc w:val="left"/>
        <w:rPr>
          <w:color w:val="231F20"/>
        </w:rPr>
      </w:pPr>
      <w:r>
        <w:rPr>
          <w:color w:val="231F20"/>
        </w:rPr>
        <w:t>•    </w:t>
      </w:r>
      <w:r>
        <w:rPr>
          <w:rFonts w:ascii="Times New Roman;sans-serif" w:hAnsi="Times New Roman;sans-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flexibility in planning for, or reacting to, changes in our business and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place us at a disadvantage compared to our competitors who have less debt;</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ability to borrow additional amounts to fund acquisitions, for working capital and for other general corporate purposes; and</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make an acquisition of our company less attractive or more difficult.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SIDF Loan Agreement, the Amended GIB Facility Agreement, and the ABL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shares of our common stock are subordinate in right of payment to all of our current and future debt. We cannot assure that there would be any remaining funds after the payment of all of our debt for any distribution to our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harm our business, results of operations and financial condition. In addition, if we incur additional indebtedness, the risks related to our business and our ability to service or repay our indebtedness would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and may still incur substantially more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have incurred and may be able to incur substantial additional debt in the future, subject to the restrictions contained in our debt instruments, some of which may be secured debt. The ABL Credit Facility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From and after September 15, 2026, noteholders may convert their 2026 Notes at any time at their election until the close of business on the second scheduled trading day immediately before the maturity date.</w:t>
      </w:r>
      <w:r>
        <w:rPr>
          <w:color w:val="000000"/>
        </w:rPr>
        <w:t xml:space="preserve"> </w:t>
      </w:r>
      <w:r>
        <w:rPr>
          <w:rFonts w:ascii="Times New Roman;sans-serif" w:hAnsi="Times New Roman;sans-serif"/>
          <w:b w:val="false"/>
          <w:color w:val="000000"/>
          <w:sz w:val="20"/>
        </w:rPr>
        <w:t xml:space="preserve">In the event the conditional conversion feature of the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is triggered, holders of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will be entitled under the indenture governing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to convert their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at any time during specified periods at their option. If one or more holders of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elect to convert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draw down the full amounts available under the ABL Credit Facility, the SIDF Loan Agreement and the Amended GIB Facility Agreement.</w:t>
      </w:r>
    </w:p>
    <w:p>
      <w:pPr>
        <w:pStyle w:val="TextBody"/>
        <w:bidi w:val="0"/>
        <w:spacing w:lineRule="auto" w:line="288" w:before="240" w:after="283"/>
        <w:jc w:val="left"/>
        <w:rPr/>
      </w:pPr>
      <w:r>
        <w:rPr>
          <w:rFonts w:ascii="Times New Roman;sans-serif" w:hAnsi="Times New Roman;sans-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Amended GIB Facility Agreement are only available for certain specific purposes and subject to conditions on drawdowns. Any inability to draw down the full amounts committed under these facilities, should the need arise, may have an</w:t>
      </w:r>
      <w:r>
        <w:rPr>
          <w:color w:val="231F20"/>
        </w:rPr>
        <w:t xml:space="preserve"> </w:t>
      </w:r>
      <w:r>
        <w:rPr>
          <w:rFonts w:ascii="Times New Roman;sans-serif" w:hAnsi="Times New Roman;sans-serif"/>
          <w:b w:val="false"/>
          <w:color w:val="231F20"/>
          <w:sz w:val="20"/>
        </w:rPr>
        <w:t>adverse effect on our cash flows and liquidity.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ans-serif" w:hAnsi="Times New Roman;sans-serif"/>
          <w:b w:val="false"/>
          <w:color w:val="231F20"/>
          <w:sz w:val="20"/>
        </w:rPr>
        <w:t xml:space="preserve">Strategic business relationships are and will continue to be an important factor in the growth and success of our business. From time to 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Times New Roman;sans-serif" w:hAnsi="Times New Roman;sans-serif"/>
          <w:b w:val="false"/>
          <w:color w:val="000000"/>
          <w:sz w:val="20"/>
        </w:rPr>
        <w:t xml:space="preserve">we will be able to maintain such relationships. In addition, </w:t>
      </w:r>
      <w:r>
        <w:rPr>
          <w:rFonts w:ascii="Times New Roman;sans-serif" w:hAnsi="Times New Roman;sans-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financial results may vary significantly from period to period due to fluctuations in our production levels, operating costs, product demand and other factors.</w:t>
      </w:r>
    </w:p>
    <w:p>
      <w:pPr>
        <w:pStyle w:val="TextBody"/>
        <w:bidi w:val="0"/>
        <w:spacing w:lineRule="auto" w:line="288" w:before="240" w:after="283"/>
        <w:jc w:val="left"/>
        <w:rPr/>
      </w:pPr>
      <w:r>
        <w:rPr>
          <w:rFonts w:ascii="Times New Roman;sans-serif" w:hAnsi="Times New Roman;sans-serif"/>
          <w:b w:val="false"/>
          <w:color w:val="231F20"/>
          <w:sz w:val="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w:t>
      </w:r>
      <w:r>
        <w:rPr>
          <w:rFonts w:ascii="Times New Roman;sans-serif" w:hAnsi="Times New Roman;sans-serif"/>
          <w:b w:val="false"/>
          <w:color w:val="000000"/>
          <w:sz w:val="20"/>
        </w:rPr>
        <w:t>y deliver finished vehicles to customers. Lower production and sales volumes and an inability to fully utilize our purchase commitments with suppliers may result in increased costs and excess inventory as well as potential inventory write-offs. In addition, automotive manufacturer</w:t>
      </w:r>
      <w:r>
        <w:rPr>
          <w:rFonts w:ascii="Times New Roman;sans-serif" w:hAnsi="Times New Roman;sans-serif"/>
          <w:b w:val="false"/>
          <w:color w:val="231F20"/>
          <w:sz w:val="20"/>
        </w:rPr>
        <w:t>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Tax</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ans-serif" w:hAnsi="Times New Roman;sans-serif"/>
          <w:b w:val="false"/>
          <w:color w:val="231F20"/>
          <w:sz w:val="20"/>
        </w:rPr>
        <w:t xml:space="preserve">We have accumulated U.S. federal and state net operating loss (“NOL”) carryforwards and research and development credits which may be available to offset and reduce future taxable income. While our U.S. federal NOL carryforwards arising in taxable years beginning after December 31, 2017, </w:t>
      </w:r>
      <w:r>
        <w:rPr>
          <w:rFonts w:ascii="Times New Roman;sans-serif" w:hAnsi="Times New Roman;sans-serif"/>
          <w:b w:val="false"/>
          <w:color w:val="000000"/>
          <w:sz w:val="20"/>
        </w:rPr>
        <w:t>will not be subject to expiration, some of our U.S. federal and state NOL carryforwards from taxable years prior to 2018 will begin to expire in 2031. As of June 30, 2023, we also had U.S. federal research and development credit carryforwards which will begin to expire in 2036 and state research and development credit carryforwards with no expiration. As of June 30, 2023, we maintain a full valuation allowance for our net deferred tax assets.</w:t>
      </w:r>
    </w:p>
    <w:p>
      <w:pPr>
        <w:pStyle w:val="TextBody"/>
        <w:bidi w:val="0"/>
        <w:spacing w:lineRule="auto" w:line="288" w:before="240" w:after="283"/>
        <w:jc w:val="left"/>
        <w:rPr/>
      </w:pPr>
      <w:r>
        <w:rPr>
          <w:rFonts w:ascii="Times New Roman;sans-serif" w:hAnsi="Times New Roman;sans-serif"/>
          <w:b w:val="false"/>
          <w:color w:val="000000"/>
          <w:sz w:val="20"/>
        </w:rPr>
        <w:t xml:space="preserve">Our U.S. federal and state NOL carryforwards and certain tax credits </w:t>
      </w:r>
      <w:r>
        <w:rPr>
          <w:rFonts w:ascii="Times New Roman;sans-serif" w:hAnsi="Times New Roman;sans-serif"/>
          <w:b w:val="false"/>
          <w:color w:val="231F20"/>
          <w:sz w:val="20"/>
        </w:rPr>
        <w:t>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In general, an “ownership change” will occur if there is a cumulative change in our ownership by “5-percent shareholders” that exceeds 50 percentage poin</w:t>
      </w:r>
      <w:r>
        <w:rPr>
          <w:rFonts w:ascii="Times New Roman;sans-serif" w:hAnsi="Times New Roman;sans-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pStyle w:val="TextBody"/>
        <w:bidi w:val="0"/>
        <w:spacing w:lineRule="auto" w:line="288" w:before="240" w:after="283"/>
        <w:jc w:val="left"/>
        <w:rPr/>
      </w:pPr>
      <w:r>
        <w:rPr>
          <w:rFonts w:ascii="Times New Roman;sans-serif" w:hAnsi="Times New Roman;sans-serif"/>
          <w:b w:val="false"/>
          <w:color w:val="000000"/>
          <w:sz w:val="20"/>
        </w:rPr>
        <w:t>We have not yet completed an analysis of whether the busin</w:t>
      </w:r>
      <w:r>
        <w:rPr>
          <w:rFonts w:ascii="Times New Roman;sans-serif" w:hAnsi="Times New Roman;sans-serif"/>
          <w:b w:val="false"/>
          <w:color w:val="231F20"/>
          <w:sz w:val="20"/>
        </w:rPr>
        <w:t>ess combination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possible that we will not generate taxable income in time to use any of our NOL carryforwards and research and development credits before their expiration.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Public Company Requirements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ans-serif" w:hAnsi="Times New Roman;sans-serif"/>
          <w:b w:val="false"/>
          <w:color w:val="000000"/>
          <w:sz w:val="20"/>
          <w:shd w:fill="FFFFFF" w:val="clear"/>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ans-serif" w:hAnsi="Times New Roman;sans-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ans-serif" w:hAnsi="Times New Roman;sans-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ans-serif" w:hAnsi="Times New Roman;sans-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report any control deficiencies that constitute a “material weakness”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be required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Common Stock</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price of our common stock is volatile, and this volatility may negatively impact the market price of our common stock and the trading price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Factors affecting the trading price of our securities may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the number of unit reservations, financial projections and any other guidance or metrics that we may publicly disclose from time to time;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speculation in the press or investment community;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timing of the achievement of objectives under our business plan and the timing and amount of costs we incur in connection therewith;</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volume of our common stock available for public sale;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any major change in our Board </w:t>
      </w:r>
      <w:r>
        <w:rPr>
          <w:rFonts w:ascii="Times New Roman;sans-serif" w:hAnsi="Times New Roman;sans-serif"/>
          <w:b w:val="false"/>
          <w:color w:val="000000"/>
          <w:sz w:val="20"/>
        </w:rPr>
        <w:t>or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and political conditions, such as recessions, interest rates, pandemics (such as COVID-19), inflation, government closures of banks and liquidity concerns at other financial institutions, changes in diplomatic and trade relationships, fluctuations in foreign currency exchange rates, acts of war or terrorism, and natural disasters;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risk factors listed in this section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global conflicts and other geopolitical events, natural disasters, the COVID-19 pandemic, and any other global pa</w:t>
      </w:r>
      <w:r>
        <w:rPr>
          <w:rFonts w:ascii="Times New Roman;sans-serif" w:hAnsi="Times New Roman;sans-serif"/>
          <w:b w:val="false"/>
          <w:color w:val="231F20"/>
          <w:sz w:val="20"/>
        </w:rPr>
        <w:t xml:space="preserve">ndemics, as well as general economic, political and market conditions such as recessions, inflation, </w:t>
      </w:r>
      <w:r>
        <w:rPr>
          <w:rFonts w:ascii="Times New Roman;sans-serif" w:hAnsi="Times New Roman;sans-serif"/>
          <w:b w:val="false"/>
          <w:color w:val="000000"/>
          <w:sz w:val="20"/>
        </w:rPr>
        <w:t xml:space="preserve">government closures of banks and liquidity concerns at other financial institutions, </w:t>
      </w:r>
      <w:r>
        <w:rPr>
          <w:rFonts w:ascii="Times New Roman;sans-serif" w:hAnsi="Times New Roman;sans-serif"/>
          <w:b w:val="false"/>
          <w:color w:val="231F20"/>
          <w:sz w:val="20"/>
        </w:rPr>
        <w:t>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issuance of additional shares of our common stock or other equity or equity-linked securities, or sales of a significant portion of our common stock, could depress the market price of our common stock.</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pursuant to the Investor Rights Agreement, Ayar,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 </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ans-serif" w:hAnsi="Times New Roman;sans-serif"/>
          <w:b w:val="false"/>
          <w:color w:val="231F20"/>
          <w:sz w:val="20"/>
        </w:rPr>
        <w:t>As of June 30, 2023, PIF, both directly and indirectly through Ayar, held approximate</w:t>
      </w:r>
      <w:r>
        <w:rPr>
          <w:rFonts w:ascii="Times New Roman;sans-serif" w:hAnsi="Times New Roman;sans-serif"/>
          <w:b w:val="false"/>
          <w:color w:val="000000"/>
          <w:sz w:val="20"/>
        </w:rPr>
        <w:t>ly 60.2% of our common stock. As a result, we are a “controlled company” within the meaning of the Nasdaq rules, and as a result, we qualify for exemptions from ce</w:t>
      </w:r>
      <w:r>
        <w:rPr>
          <w:rFonts w:ascii="Times New Roman;sans-serif" w:hAnsi="Times New Roman;sans-serif"/>
          <w:b w:val="false"/>
          <w:color w:val="231F20"/>
          <w:sz w:val="20"/>
        </w:rPr>
        <w:t>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PIF and Ayar beneficially own a significant equity interest in us and may take actions that conflict with your interests.</w:t>
      </w:r>
    </w:p>
    <w:p>
      <w:pPr>
        <w:pStyle w:val="TextBody"/>
        <w:bidi w:val="0"/>
        <w:spacing w:lineRule="auto" w:line="288" w:before="240" w:after="283"/>
        <w:jc w:val="left"/>
        <w:rPr/>
      </w:pPr>
      <w:r>
        <w:rPr>
          <w:rFonts w:ascii="Times New Roman;sans-serif" w:hAnsi="Times New Roman;sans-serif"/>
          <w:b w:val="false"/>
          <w:color w:val="231F20"/>
          <w:sz w:val="20"/>
        </w:rPr>
        <w:t>The interests of PIF and Ayar may not align with our interests and the interests of our other stockholders or securityholders. PIF and Ayar are each in the business of making investments in companies and may acquire and hold interests in businesses that compete directly or indirectly with us. PIF and Ayar and their respective affiliates, may also pursue acquisition opportunities that may be c</w:t>
      </w:r>
      <w:r>
        <w:rPr>
          <w:rFonts w:ascii="Times New Roman;sans-serif" w:hAnsi="Times New Roman;sans-serif"/>
          <w:b w:val="false"/>
          <w:color w:val="000000"/>
          <w:sz w:val="20"/>
        </w:rPr>
        <w:t>omplementary to our business and, as a result, those acquisition opportunities may not be available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anticipate paying any cash dividends for the foreseeable future.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pStyle w:val="TextBody"/>
        <w:bidi w:val="0"/>
        <w:spacing w:lineRule="auto" w:line="288" w:before="240" w:after="283"/>
        <w:jc w:val="left"/>
        <w:rPr/>
      </w:pPr>
      <w:r>
        <w:rPr>
          <w:rFonts w:ascii="Times New Roman;sans-serif" w:hAnsi="Times New Roman;sans-serif"/>
          <w:b w:val="false"/>
          <w:color w:val="231F20"/>
          <w:sz w:val="20"/>
        </w:rPr>
        <w:t>Se</w:t>
      </w:r>
      <w:r>
        <w:rPr>
          <w:rFonts w:ascii="Times New Roman;sans-serif" w:hAnsi="Times New Roman;sans-serif"/>
          <w:b w:val="false"/>
          <w:color w:val="000000"/>
          <w:sz w:val="20"/>
        </w:rPr>
        <w:t>e the section titled “Management’s Discussion and Analysis of Financial Condition and Results of Operations — Liquidity and Capital Resources” in this Quarterly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lineRule="auto" w:line="288" w:before="240" w:after="283"/>
        <w:jc w:val="left"/>
        <w:rPr/>
      </w:pPr>
      <w:r>
        <w:rPr>
          <w:rFonts w:ascii="Times New Roman;sans-serif" w:hAnsi="Times New Roman;sans-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ans-serif" w:hAnsi="Times New Roman;sans-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derivative action or proceeding brought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governed by the internal affairs doctrine.</w:t>
      </w:r>
    </w:p>
    <w:p>
      <w:pPr>
        <w:pStyle w:val="TextBody"/>
        <w:bidi w:val="0"/>
        <w:spacing w:lineRule="auto" w:line="288" w:before="240" w:after="283"/>
        <w:jc w:val="left"/>
        <w:rPr/>
      </w:pPr>
      <w:r>
        <w:rPr>
          <w:rFonts w:ascii="Times New Roman;sans-serif" w:hAnsi="Times New Roman;sans-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w:t>
      </w:r>
      <w:r>
        <w:rPr>
          <w:color w:val="000000"/>
        </w:rPr>
        <w:t xml:space="preserve"> </w:t>
      </w:r>
      <w:r>
        <w:rPr>
          <w:rFonts w:ascii="Times New Roman;sans-serif" w:hAnsi="Times New Roman;sans-serif"/>
          <w:b w:val="false"/>
          <w:color w:val="231F20"/>
          <w:sz w:val="20"/>
        </w:rPr>
        <w:t>be no assurance that such provisions will be enforced by a court in those other jurisdictions.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Some provisions of Delaware law and our current certificate of incorporation and our current bylaws may deter third parties from acquiring us and diminish the value of our common stock and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subject to the Investor Rights Agreement, advance notice for nominations of directors by stockholders and for stockholders to include matters to be considered at stockholder meetings;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limitations on convening special stockholder meetings.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quarter ended June 30, 2023,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Exhibits.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on the Exhibit Index to this Form 10-Q are filed herewith or incorporated by reference herein: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5"/>
        <w:gridCol w:w="233"/>
        <w:gridCol w:w="234"/>
        <w:gridCol w:w="109"/>
        <w:gridCol w:w="109"/>
        <w:gridCol w:w="109"/>
        <w:gridCol w:w="2010"/>
        <w:gridCol w:w="1795"/>
        <w:gridCol w:w="1802"/>
        <w:gridCol w:w="170"/>
        <w:gridCol w:w="170"/>
        <w:gridCol w:w="171"/>
        <w:gridCol w:w="250"/>
        <w:gridCol w:w="250"/>
        <w:gridCol w:w="251"/>
        <w:gridCol w:w="271"/>
        <w:gridCol w:w="240"/>
        <w:gridCol w:w="243"/>
        <w:gridCol w:w="230"/>
        <w:gridCol w:w="230"/>
        <w:gridCol w:w="231"/>
        <w:gridCol w:w="242"/>
        <w:gridCol w:w="242"/>
        <w:gridCol w:w="348"/>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w:t>
              <w:br/>
              <w:t>Number</w:t>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Filing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Third Amended and Restated Certificate of Incorporation of Lucid Group,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Second Amended and Restated Bylaws of 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Lucid Group, Inc. Second Amended and Restated 2021 Stock Incentive Plan (including the Lucid Group, Inc. 2021 Employee Stock Purchase Plan, attached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Subscription Agreement, dated May 31, 2023, between Lucid Group, Inc. and Ayar Third Investment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 xml:space="preserve">Amendment No. 2 to the Investor Rights Agreement, dated May 31, 2023, between Lucid Group, Inc., Ayar Third Investment Company and the other parties thereto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310q-ex104.htm">
              <w:r>
                <w:rPr>
                  <w:rStyle w:val="InternetLink"/>
                  <w:rFonts w:ascii="Times New Roman;sans-serif" w:hAnsi="Times New Roman;sans-serif"/>
                  <w:b w:val="false"/>
                  <w:color w:val="0000FF"/>
                  <w:sz w:val="18"/>
                  <w:u w:val="single"/>
                </w:rPr>
                <w:t>Implementation Agreement, dated June 26, 2023, by and among Lucid Group, Inc., Atieva, Inc., Lucid Group Technologies, LLC, Aston Martin Lagonda Global Holdings plc and Aston Martin Lagonda Limited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310q-ex311.htm">
              <w:r>
                <w:rPr>
                  <w:rStyle w:val="InternetLink"/>
                  <w:rFonts w:ascii="Times New Roman;sans-serif" w:hAnsi="Times New Roman;sans-serif"/>
                  <w:b w:val="false"/>
                  <w:color w:val="0000FF"/>
                  <w:sz w:val="18"/>
                  <w:u w:val="single"/>
                </w:rPr>
                <w:t>Certification of Principal Executive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310q-ex312.htm">
              <w:r>
                <w:rPr>
                  <w:rStyle w:val="InternetLink"/>
                  <w:rFonts w:ascii="Times New Roman;sans-serif" w:hAnsi="Times New Roman;sans-serif"/>
                  <w:b w:val="false"/>
                  <w:color w:val="0000FF"/>
                  <w:sz w:val="18"/>
                  <w:u w:val="single"/>
                </w:rPr>
                <w:t>Certification of Chief Financial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310q-ex321.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310q-e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Schema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Labels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before="60" w:after="283"/>
        <w:ind w:left="0" w:right="0" w:hanging="720"/>
        <w:jc w:val="left"/>
        <w:rPr/>
      </w:pPr>
      <w:r>
        <w:rPr/>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have been redacted in compliance with Regulation S-K Item 601(b)(10)(iv)</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778" w:type="dxa"/>
        <w:jc w:val="left"/>
        <w:tblInd w:w="0" w:type="dxa"/>
        <w:tblLayout w:type="fixed"/>
        <w:tblCellMar>
          <w:top w:w="28" w:type="dxa"/>
          <w:left w:w="28" w:type="dxa"/>
          <w:bottom w:w="28" w:type="dxa"/>
          <w:right w:w="28" w:type="dxa"/>
        </w:tblCellMar>
      </w:tblPr>
      <w:tblGrid>
        <w:gridCol w:w="667"/>
        <w:gridCol w:w="587"/>
        <w:gridCol w:w="590"/>
        <w:gridCol w:w="308"/>
        <w:gridCol w:w="308"/>
        <w:gridCol w:w="308"/>
        <w:gridCol w:w="587"/>
        <w:gridCol w:w="587"/>
        <w:gridCol w:w="8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LUCID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42424"/>
                <w:sz w:val="20"/>
              </w:rPr>
            </w:pPr>
            <w:r>
              <w:rPr>
                <w:rFonts w:ascii="Times New Roman;sans-serif" w:hAnsi="Times New Roman;sans-serif"/>
                <w:b w:val="false"/>
                <w:color w:val="242424"/>
                <w:sz w:val="20"/>
              </w:rPr>
              <w:t>Date: August 7, 2023</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88" w:before="0" w:after="0"/>
        <w:jc w:val="right"/>
        <w:rPr>
          <w:rFonts w:ascii="Times New Roman;sans-serif" w:hAnsi="Times New Roman;sans-serif"/>
          <w:b/>
          <w:color w:val="000000"/>
          <w:sz w:val="20"/>
        </w:rPr>
      </w:pPr>
      <w:r>
        <w:rPr>
          <w:rFonts w:ascii="Times New Roman;sans-serif" w:hAnsi="Times New Roman;sans-serif"/>
          <w:b/>
          <w:color w:val="000000"/>
          <w:sz w:val="20"/>
        </w:rPr>
        <w:t>Exhibit 10.4</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40"/>
        <w:jc w:val="left"/>
        <w:rPr>
          <w:rFonts w:ascii="Times New Roman;sans-serif" w:hAnsi="Times New Roman;sans-serif"/>
          <w:b/>
          <w:color w:val="000000"/>
          <w:sz w:val="22"/>
        </w:rPr>
      </w:pPr>
      <w:r>
        <w:rPr>
          <w:rFonts w:ascii="Times New Roman;sans-serif" w:hAnsi="Times New Roman;sans-serif"/>
          <w:b/>
          <w:color w:val="000000"/>
          <w:sz w:val="22"/>
        </w:rPr>
        <w:t>Certain identified information has been omitted from this document because it is not material and is the type that the Company customarily and actually treats as private or confidential, and has been marked with “[***]” to indicate where omissions have been made.</w:t>
        <w:br/>
        <w:br/>
        <w:br/>
      </w:r>
    </w:p>
    <w:p>
      <w:pPr>
        <w:pStyle w:val="TextBody"/>
        <w:bidi w:val="0"/>
        <w:spacing w:lineRule="auto" w:line="355" w:before="0" w:after="1320"/>
        <w:jc w:val="center"/>
        <w:rPr>
          <w:rFonts w:ascii="Times New Roman;sans-serif" w:hAnsi="Times New Roman;sans-serif"/>
          <w:b/>
          <w:color w:val="000000"/>
          <w:sz w:val="22"/>
        </w:rPr>
      </w:pPr>
      <w:r>
        <w:rPr>
          <w:rFonts w:ascii="Times New Roman;sans-serif" w:hAnsi="Times New Roman;sans-serif"/>
          <w:b/>
          <w:color w:val="000000"/>
          <w:sz w:val="22"/>
        </w:rPr>
        <w:t>26 June 2023</w:t>
      </w:r>
    </w:p>
    <w:p>
      <w:pPr>
        <w:pStyle w:val="TextBody"/>
        <w:bidi w:val="0"/>
        <w:spacing w:lineRule="auto" w:line="355" w:before="0" w:after="480"/>
        <w:jc w:val="center"/>
        <w:rPr>
          <w:rFonts w:ascii="Times New Roman;sans-serif" w:hAnsi="Times New Roman;sans-serif"/>
          <w:b/>
          <w:color w:val="000000"/>
          <w:sz w:val="22"/>
        </w:rPr>
      </w:pPr>
      <w:r>
        <w:rPr>
          <w:rFonts w:ascii="Times New Roman;sans-serif" w:hAnsi="Times New Roman;sans-serif"/>
          <w:b/>
          <w:color w:val="000000"/>
          <w:sz w:val="22"/>
        </w:rPr>
        <w:t>ASTON MARTIN LAGONDA GLOBAL HOLDINGS PLC</w:t>
      </w:r>
    </w:p>
    <w:p>
      <w:pPr>
        <w:pStyle w:val="TextBody"/>
        <w:bidi w:val="0"/>
        <w:spacing w:lineRule="auto" w:line="355" w:before="0" w:after="480"/>
        <w:jc w:val="center"/>
        <w:rPr>
          <w:rFonts w:ascii="Times New Roman;sans-serif" w:hAnsi="Times New Roman;sans-serif"/>
          <w:b/>
          <w:color w:val="000000"/>
          <w:sz w:val="22"/>
        </w:rPr>
      </w:pPr>
      <w:r>
        <w:rPr>
          <w:rFonts w:ascii="Times New Roman;sans-serif" w:hAnsi="Times New Roman;sans-serif"/>
          <w:b/>
          <w:color w:val="000000"/>
          <w:sz w:val="22"/>
        </w:rPr>
        <w:t>ATIEVA, INC.</w:t>
      </w:r>
    </w:p>
    <w:p>
      <w:pPr>
        <w:pStyle w:val="TextBody"/>
        <w:bidi w:val="0"/>
        <w:spacing w:lineRule="auto" w:line="355" w:before="0" w:after="480"/>
        <w:jc w:val="center"/>
        <w:rPr>
          <w:rFonts w:ascii="Times New Roman;sans-serif" w:hAnsi="Times New Roman;sans-serif"/>
          <w:b/>
          <w:color w:val="000000"/>
          <w:sz w:val="22"/>
        </w:rPr>
      </w:pPr>
      <w:r>
        <w:rPr>
          <w:rFonts w:ascii="Times New Roman;sans-serif" w:hAnsi="Times New Roman;sans-serif"/>
          <w:b/>
          <w:color w:val="000000"/>
          <w:sz w:val="22"/>
        </w:rPr>
        <w:t>LUCID GROUP TECHNOLOGIES, LLC</w:t>
      </w:r>
    </w:p>
    <w:p>
      <w:pPr>
        <w:pStyle w:val="TextBody"/>
        <w:bidi w:val="0"/>
        <w:spacing w:lineRule="auto" w:line="355" w:before="0" w:after="480"/>
        <w:jc w:val="center"/>
        <w:rPr>
          <w:rFonts w:ascii="Times New Roman;sans-serif" w:hAnsi="Times New Roman;sans-serif"/>
          <w:b/>
          <w:color w:val="000000"/>
          <w:sz w:val="22"/>
        </w:rPr>
      </w:pPr>
      <w:r>
        <w:rPr>
          <w:rFonts w:ascii="Times New Roman;sans-serif" w:hAnsi="Times New Roman;sans-serif"/>
          <w:b/>
          <w:color w:val="000000"/>
          <w:sz w:val="22"/>
        </w:rPr>
        <w:t>LUCID GROUP, INC.</w:t>
      </w:r>
    </w:p>
    <w:p>
      <w:pPr>
        <w:pStyle w:val="TextBody"/>
        <w:bidi w:val="0"/>
        <w:spacing w:lineRule="auto" w:line="355" w:before="0" w:after="48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lineRule="auto" w:line="355" w:before="0" w:after="480"/>
        <w:jc w:val="center"/>
        <w:rPr>
          <w:rFonts w:ascii="Times New Roman;sans-serif" w:hAnsi="Times New Roman;sans-serif"/>
          <w:b/>
          <w:color w:val="000000"/>
          <w:sz w:val="22"/>
        </w:rPr>
      </w:pPr>
      <w:r>
        <w:rPr>
          <w:rFonts w:ascii="Times New Roman;sans-serif" w:hAnsi="Times New Roman;sans-serif"/>
          <w:b/>
          <w:color w:val="000000"/>
          <w:sz w:val="22"/>
        </w:rPr>
        <w:t>ASTON MARTIN LAGONDA LIMITED</w:t>
      </w:r>
    </w:p>
    <w:p>
      <w:pPr>
        <w:pStyle w:val="TextBody"/>
        <w:bidi w:val="0"/>
        <w:spacing w:before="0" w:after="480"/>
        <w:jc w:val="center"/>
        <w:rPr/>
      </w:pPr>
      <w:r>
        <w:rPr/>
      </w:r>
    </w:p>
    <w:tbl>
      <w:tblPr>
        <w:tblW w:w="3870" w:type="dxa"/>
        <w:jc w:val="left"/>
        <w:tblInd w:w="0" w:type="dxa"/>
        <w:tblLayout w:type="fixed"/>
        <w:tblCellMar>
          <w:top w:w="28" w:type="dxa"/>
          <w:left w:w="28" w:type="dxa"/>
          <w:bottom w:w="28" w:type="dxa"/>
          <w:right w:w="28" w:type="dxa"/>
        </w:tblCellMar>
      </w:tblPr>
      <w:tblGrid>
        <w:gridCol w:w="1239"/>
        <w:gridCol w:w="1090"/>
        <w:gridCol w:w="1541"/>
      </w:tblGrid>
      <w:tr>
        <w:trPr/>
        <w:tc>
          <w:tcPr>
            <w:tcW w:w="123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double" w:sz="6" w:space="0" w:color="000000"/>
              <w:bottom w:val="double" w:sz="6" w:space="0" w:color="000000"/>
            </w:tcBorders>
            <w:tcMar>
              <w:top w:w="30" w:type="dxa"/>
              <w:left w:w="0" w:type="dxa"/>
              <w:bottom w:w="30" w:type="dxa"/>
              <w:right w:w="0" w:type="dxa"/>
            </w:tcMar>
            <w:vAlign w:val="center"/>
          </w:tcPr>
          <w:p>
            <w:pPr>
              <w:pStyle w:val="TableContents"/>
              <w:bidi w:val="0"/>
              <w:spacing w:lineRule="auto" w:line="355" w:before="0" w:after="180"/>
              <w:jc w:val="center"/>
              <w:rPr>
                <w:rFonts w:ascii="Times New Roman;sans-serif" w:hAnsi="Times New Roman;sans-serif"/>
                <w:b/>
                <w:color w:val="000000"/>
                <w:sz w:val="22"/>
              </w:rPr>
            </w:pPr>
            <w:r>
              <w:rPr>
                <w:rFonts w:ascii="Times New Roman;sans-serif" w:hAnsi="Times New Roman;sans-serif"/>
                <w:b/>
                <w:color w:val="000000"/>
                <w:sz w:val="22"/>
              </w:rPr>
              <w:t>IMPLEMENTATION AGREEMENT</w:t>
            </w:r>
          </w:p>
        </w:tc>
      </w:tr>
    </w:tbl>
    <w:p>
      <w:pPr>
        <w:pStyle w:val="TextBody"/>
        <w:bidi w:val="0"/>
        <w:spacing w:before="0" w:after="180"/>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35"/>
        <w:gridCol w:w="118"/>
        <w:gridCol w:w="118"/>
        <w:gridCol w:w="3055"/>
        <w:gridCol w:w="3039"/>
        <w:gridCol w:w="3047"/>
        <w:gridCol w:w="202"/>
        <w:gridCol w:w="202"/>
        <w:gridCol w:w="289"/>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Definitions and interpretation</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Conditions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Satisfaction of the Conditions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Entry into the commercial agreements and consideration payments to be made by Aston Martin in connection therewith</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Lock-up</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Covenants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Lucid anti-dilution protection and provision of information</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Exclusivity</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of control</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Warranties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Termination</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Limitation and exclusion of liability</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Inadequacy of damages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Assignment</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Announcements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Confidentiality</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Enforcement by third parties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Entire agreement and reliance on representations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Conflict with other agreements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 assurance</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Notices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partnership</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Variation</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VAT and withholding</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Waiver</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Severability</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Counterparts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Governing Law</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3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Arbitration</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951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 1 Definitions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951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 2 Warranties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A    Warranties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B    Limitations on Liability</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951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 3 Consideration Shares Valuation Report</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951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 4 Integration Agreement</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951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 5 Supply Agreement Terms</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56590"/>
                <wp:effectExtent l="0" t="0" r="0" b="0"/>
                <wp:wrapNone/>
                <wp:docPr id="97" name="Frame97"/>
                <a:graphic xmlns:a="http://schemas.openxmlformats.org/drawingml/2006/main">
                  <a:graphicData uri="http://schemas.microsoft.com/office/word/2010/wordprocessingShape">
                    <wps:wsp>
                      <wps:cNvSpPr txBox="1"/>
                      <wps:spPr>
                        <a:xfrm>
                          <a:off x="0" y="0"/>
                          <a:ext cx="6480175" cy="65659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487"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7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487"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355" w:before="0" w:after="180"/>
        <w:jc w:val="both"/>
        <w:rPr/>
      </w:pPr>
      <w:r>
        <w:rPr>
          <w:rFonts w:ascii="Times New Roman;sans-serif" w:hAnsi="Times New Roman;sans-serif"/>
          <w:b/>
          <w:color w:val="000000"/>
          <w:sz w:val="20"/>
        </w:rPr>
        <w:t>This Agreement</w:t>
      </w:r>
      <w:r>
        <w:rPr>
          <w:color w:val="000000"/>
        </w:rPr>
        <w:t xml:space="preserve"> </w:t>
      </w:r>
      <w:r>
        <w:rPr>
          <w:rFonts w:ascii="Times New Roman;sans-serif" w:hAnsi="Times New Roman;sans-serif"/>
          <w:b w:val="false"/>
          <w:color w:val="000000"/>
          <w:sz w:val="20"/>
        </w:rPr>
        <w:t>is dated 26 June 2023</w: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PARTIES:</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(1)</w:t>
      </w:r>
      <w:r>
        <w:rPr>
          <w:rFonts w:ascii="Times New Roman;sans-serif" w:hAnsi="Times New Roman;sans-serif"/>
          <w:b/>
          <w:color w:val="000000"/>
          <w:sz w:val="20"/>
        </w:rPr>
        <w:t>ASTON MARTIN LAGONDA GLOBAL HOLDINGS PLC</w:t>
      </w:r>
      <w:r>
        <w:rPr>
          <w:rFonts w:ascii="Times New Roman;sans-serif" w:hAnsi="Times New Roman;sans-serif"/>
          <w:b w:val="false"/>
          <w:color w:val="000000"/>
          <w:sz w:val="20"/>
        </w:rPr>
        <w:t>, incorporated in England and Wales (registered number 11488166) and having its registered office at Aston Martin, Banbury Road, Gaydon, Warwick CV35 0DB (</w:t>
      </w:r>
      <w:r>
        <w:rPr>
          <w:rFonts w:ascii="Times New Roman;sans-serif" w:hAnsi="Times New Roman;sans-serif"/>
          <w:b/>
          <w:i/>
          <w:color w:val="000000"/>
          <w:sz w:val="20"/>
        </w:rPr>
        <w:t>Aston Martin</w:t>
      </w:r>
      <w:r>
        <w:rPr>
          <w:rFonts w:ascii="Times New Roman;sans-serif" w:hAnsi="Times New Roman;sans-serif"/>
          <w:b w:val="false"/>
          <w:color w:val="000000"/>
          <w:sz w:val="20"/>
        </w:rPr>
        <w:t>); and</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(2)</w:t>
      </w:r>
      <w:r>
        <w:rPr>
          <w:rFonts w:ascii="Times New Roman;sans-serif" w:hAnsi="Times New Roman;sans-serif"/>
          <w:b/>
          <w:color w:val="000000"/>
          <w:sz w:val="20"/>
        </w:rPr>
        <w:t>ATIEVA, INC.</w:t>
      </w:r>
      <w:r>
        <w:rPr>
          <w:rFonts w:ascii="Times New Roman;sans-serif" w:hAnsi="Times New Roman;sans-serif"/>
          <w:b w:val="false"/>
          <w:color w:val="000000"/>
          <w:sz w:val="20"/>
        </w:rPr>
        <w:t>, incorporated in the state of Delaware and with a place of business at 7373 Gateway Blvd, Newark, California, 94560, USA (</w:t>
      </w:r>
      <w:r>
        <w:rPr>
          <w:rFonts w:ascii="Times New Roman;sans-serif" w:hAnsi="Times New Roman;sans-serif"/>
          <w:b/>
          <w:i/>
          <w:color w:val="000000"/>
          <w:sz w:val="20"/>
        </w:rPr>
        <w:t>Lucid</w:t>
      </w:r>
      <w:r>
        <w:rPr>
          <w:rFonts w:ascii="Times New Roman;sans-serif" w:hAnsi="Times New Roman;sans-serif"/>
          <w:b w:val="false"/>
          <w:color w:val="000000"/>
          <w:sz w:val="20"/>
        </w:rPr>
        <w:t>),</w:t>
      </w:r>
    </w:p>
    <w:p>
      <w:pPr>
        <w:pStyle w:val="TextBody"/>
        <w:bidi w:val="0"/>
        <w:spacing w:lineRule="auto" w:line="355" w:before="0" w:after="180"/>
        <w:jc w:val="both"/>
        <w:rPr/>
      </w:pPr>
      <w:r>
        <w:rPr>
          <w:rFonts w:ascii="Times New Roman;sans-serif" w:hAnsi="Times New Roman;sans-serif"/>
          <w:b w:val="false"/>
          <w:color w:val="000000"/>
          <w:sz w:val="20"/>
        </w:rPr>
        <w:t xml:space="preserve">each of Aston Martin and Lucid a </w:t>
      </w:r>
      <w:r>
        <w:rPr>
          <w:rFonts w:ascii="Times New Roman;sans-serif" w:hAnsi="Times New Roman;sans-serif"/>
          <w:b/>
          <w:i/>
          <w:color w:val="000000"/>
          <w:sz w:val="20"/>
        </w:rPr>
        <w:t>Party</w:t>
      </w:r>
      <w:r>
        <w:rPr>
          <w:color w:val="000000"/>
        </w:rPr>
        <w:t xml:space="preserve"> </w:t>
      </w:r>
      <w:r>
        <w:rPr>
          <w:rFonts w:ascii="Times New Roman;sans-serif" w:hAnsi="Times New Roman;sans-serif"/>
          <w:b w:val="false"/>
          <w:color w:val="000000"/>
          <w:sz w:val="20"/>
        </w:rPr>
        <w:t xml:space="preserve">and together the </w:t>
      </w:r>
      <w:r>
        <w:rPr>
          <w:rFonts w:ascii="Times New Roman;sans-serif" w:hAnsi="Times New Roman;sans-serif"/>
          <w:b/>
          <w:i/>
          <w:color w:val="000000"/>
          <w:sz w:val="20"/>
        </w:rPr>
        <w:t>Parties</w:t>
      </w:r>
      <w:r>
        <w:rPr>
          <w:rFonts w:ascii="Times New Roman;sans-serif" w:hAnsi="Times New Roman;sans-serif"/>
          <w:b w:val="false"/>
          <w:color w:val="000000"/>
          <w:sz w:val="20"/>
        </w:rPr>
        <w:t>;</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(3)</w:t>
      </w:r>
      <w:r>
        <w:rPr>
          <w:rFonts w:ascii="Times New Roman;sans-serif" w:hAnsi="Times New Roman;sans-serif"/>
          <w:b/>
          <w:color w:val="000000"/>
          <w:sz w:val="20"/>
        </w:rPr>
        <w:t xml:space="preserve">LUCID GROUP TECHNOLOGIES, LLC, </w:t>
      </w:r>
      <w:r>
        <w:rPr>
          <w:rFonts w:ascii="Times New Roman;sans-serif" w:hAnsi="Times New Roman;sans-serif"/>
          <w:b w:val="false"/>
          <w:color w:val="000000"/>
          <w:sz w:val="20"/>
        </w:rPr>
        <w:t>incorporated in the state of Delaware and with a place of business at 7373 Gateway Blvd, Newark, California, 94560, USA (</w:t>
      </w:r>
      <w:r>
        <w:rPr>
          <w:rFonts w:ascii="Times New Roman;sans-serif" w:hAnsi="Times New Roman;sans-serif"/>
          <w:b/>
          <w:i/>
          <w:color w:val="000000"/>
          <w:sz w:val="20"/>
        </w:rPr>
        <w:t>LGT</w:t>
      </w:r>
      <w:r>
        <w:rPr>
          <w:rFonts w:ascii="Times New Roman;sans-serif" w:hAnsi="Times New Roman;sans-serif"/>
          <w:b w:val="false"/>
          <w:color w:val="000000"/>
          <w:sz w:val="20"/>
        </w:rPr>
        <w:t>);</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(4)</w:t>
      </w:r>
      <w:r>
        <w:rPr>
          <w:rFonts w:ascii="Times New Roman;sans-serif" w:hAnsi="Times New Roman;sans-serif"/>
          <w:b/>
          <w:color w:val="000000"/>
          <w:sz w:val="20"/>
        </w:rPr>
        <w:t xml:space="preserve">LUCID GROUP, INC., </w:t>
      </w:r>
      <w:r>
        <w:rPr>
          <w:rFonts w:ascii="Times New Roman;sans-serif" w:hAnsi="Times New Roman;sans-serif"/>
          <w:b w:val="false"/>
          <w:color w:val="000000"/>
          <w:sz w:val="20"/>
        </w:rPr>
        <w:t>incorporated in the state of Delaware and with a place of business at 7373 Gateway Blvd, Newark, California, 94560, USA</w:t>
      </w:r>
      <w:r>
        <w:rPr>
          <w:color w:val="000000"/>
        </w:rPr>
        <w:t xml:space="preserve"> </w:t>
      </w:r>
      <w:r>
        <w:rPr>
          <w:rFonts w:ascii="Times New Roman;sans-serif" w:hAnsi="Times New Roman;sans-serif"/>
          <w:b/>
          <w:color w:val="000000"/>
          <w:sz w:val="20"/>
        </w:rPr>
        <w:t>(</w:t>
      </w:r>
      <w:r>
        <w:rPr>
          <w:rFonts w:ascii="Times New Roman;sans-serif" w:hAnsi="Times New Roman;sans-serif"/>
          <w:b/>
          <w:i/>
          <w:color w:val="000000"/>
          <w:sz w:val="20"/>
        </w:rPr>
        <w:t>Lucid Parent</w:t>
      </w:r>
      <w:r>
        <w:rPr>
          <w:rFonts w:ascii="Times New Roman;sans-serif" w:hAnsi="Times New Roman;sans-serif"/>
          <w:b w:val="false"/>
          <w:color w:val="000000"/>
          <w:sz w:val="20"/>
        </w:rPr>
        <w:t>); and</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(5)</w:t>
      </w:r>
      <w:r>
        <w:rPr>
          <w:rFonts w:ascii="Times New Roman;sans-serif" w:hAnsi="Times New Roman;sans-serif"/>
          <w:b/>
          <w:color w:val="000000"/>
          <w:sz w:val="20"/>
        </w:rPr>
        <w:t>ASTON MARTIN LAGONDA LIMITED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incorporated in England and Wales (registered number 01199255) and having its registered office at Aston Martin, Banbury Road, Gaydon, Warwick CV35 0DB </w:t>
      </w:r>
      <w:r>
        <w:rPr>
          <w:rFonts w:ascii="Times New Roman;sans-serif" w:hAnsi="Times New Roman;sans-serif"/>
          <w:b/>
          <w:color w:val="000000"/>
          <w:sz w:val="20"/>
        </w:rPr>
        <w:t>(</w:t>
      </w:r>
      <w:r>
        <w:rPr>
          <w:rFonts w:ascii="Times New Roman;sans-serif" w:hAnsi="Times New Roman;sans-serif"/>
          <w:b/>
          <w:i/>
          <w:color w:val="000000"/>
          <w:sz w:val="20"/>
        </w:rPr>
        <w:t>AML</w:t>
      </w:r>
      <w:r>
        <w:rPr>
          <w:rFonts w:ascii="Times New Roman;sans-serif" w:hAnsi="Times New Roman;sans-serif"/>
          <w:b w:val="false"/>
          <w:color w:val="000000"/>
          <w:sz w:val="20"/>
        </w:rPr>
        <w:t xml:space="preserve">), </w:t>
      </w:r>
    </w:p>
    <w:p>
      <w:pPr>
        <w:pStyle w:val="TextBody"/>
        <w:bidi w:val="0"/>
        <w:spacing w:lineRule="auto" w:line="355" w:before="0" w:after="180"/>
        <w:jc w:val="both"/>
        <w:rPr/>
      </w:pPr>
      <w:r>
        <w:rPr>
          <w:rFonts w:ascii="Times New Roman;sans-serif" w:hAnsi="Times New Roman;sans-serif"/>
          <w:b w:val="false"/>
          <w:color w:val="000000"/>
          <w:sz w:val="20"/>
        </w:rPr>
        <w:t xml:space="preserve">the Parties, LGT, Lucid Parent and AML, each an </w:t>
      </w:r>
      <w:r>
        <w:rPr>
          <w:rFonts w:ascii="Times New Roman;sans-serif" w:hAnsi="Times New Roman;sans-serif"/>
          <w:b/>
          <w:i/>
          <w:color w:val="000000"/>
          <w:sz w:val="20"/>
        </w:rPr>
        <w:t>Extended Party</w:t>
      </w:r>
      <w:r>
        <w:rPr>
          <w:color w:val="000000"/>
        </w:rPr>
        <w:t xml:space="preserve"> </w:t>
      </w:r>
      <w:r>
        <w:rPr>
          <w:rFonts w:ascii="Times New Roman;sans-serif" w:hAnsi="Times New Roman;sans-serif"/>
          <w:b w:val="false"/>
          <w:color w:val="000000"/>
          <w:sz w:val="20"/>
        </w:rPr>
        <w:t xml:space="preserve">and together the </w:t>
      </w:r>
      <w:r>
        <w:rPr>
          <w:rFonts w:ascii="Times New Roman;sans-serif" w:hAnsi="Times New Roman;sans-serif"/>
          <w:b/>
          <w:i/>
          <w:color w:val="000000"/>
          <w:sz w:val="20"/>
        </w:rPr>
        <w:t>Extended Parties</w:t>
      </w:r>
      <w:r>
        <w:rPr>
          <w:rFonts w:ascii="Times New Roman;sans-serif" w:hAnsi="Times New Roman;sans-serif"/>
          <w:b w:val="false"/>
          <w:color w:val="000000"/>
          <w:sz w:val="20"/>
        </w:rPr>
        <w:t>.</w: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 xml:space="preserve">Lucid has, among other things, developed certain proprietary powertrain and battery components for automobiles with an electric motor that is fully powered by batteries (a </w:t>
      </w:r>
      <w:r>
        <w:rPr>
          <w:rFonts w:ascii="Times New Roman;sans-serif" w:hAnsi="Times New Roman;sans-serif"/>
          <w:b/>
          <w:i/>
          <w:color w:val="000000"/>
          <w:sz w:val="20"/>
          <w:shd w:fill="FFFFFF" w:val="clear"/>
        </w:rPr>
        <w:t>BEV</w:t>
      </w:r>
      <w:r>
        <w:rPr>
          <w:rFonts w:ascii="Times New Roman;sans-serif" w:hAnsi="Times New Roman;sans-serif"/>
          <w:b w:val="false"/>
          <w:color w:val="000000"/>
          <w:sz w:val="20"/>
          <w:shd w:fill="FFFFFF" w:val="clear"/>
        </w:rPr>
        <w:t>), and manufactures and sells such components. Aston Martin, among other things, designs, manufactures and sells high-performance luxury sports cars.</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shd w:fill="FFFFFF" w:val="clear"/>
        </w:rPr>
        <w:t>Aston Martin desires to design, manufacture and sell a BEV that incorporates Lucid’s proprietary powertrain components. Accordingly, the parties intend to enter into a commercial relationship pursuant to which: (i) they will collaborate to integrate certain of Lucid’s proprietary powertrain and battery components in Aston Martin Vehicles, and (ii) once developed, Lucid will supply such components to Aston Martin.</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This Agreement sets out, among other things, the Conditions that must be satisfied before such commercial relationship may be commenced, each Party’s obligations with respect to the satisfaction of such Conditions and, on satisfaction of the Conditions, the entry into the primary Operational Agreements governing the commercial relationship and certain consideration payments to be made by Aston Martin in connection therewith.</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shd w:fill="FFFFFF" w:val="clear"/>
        </w:rPr>
        <w:t>The parties acknowledge that, on the date of this Agreement, Aston Martin is also entering into (a) the MBAG Irrevocable Undertaking; (b) the Yew Tree Irrevocable Undertaking; (c) the Geely Irrevocable Undertaking, and (d) the MBAG Amendment and Restatement Deed.</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shd w:fill="FFFFFF" w:val="clear"/>
        </w:rPr>
        <w:t>LGT, Lucid Parent and AML are party to this Agreement solely for the purposes of Clauses 4.1 to 4.4, Clause 28, Clause 29 and Clause 30 (and, only in respect of the definitions that are used in and the interpretation of such Clauses, Clause 1), and Schedule 5. For the avoidance of doubt, no other provision of this Agreement shall apply to, or give rise to a right of, or obligation on, LGT, Lucid Parent or AML.</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both"/>
                        <w:rPr>
                          <w:color w:val="000000"/>
                        </w:rPr>
                      </w:pPr>
                      <w:r>
                        <w:rPr>
                          <w:color w:val="000000"/>
                        </w:rPr>
                        <w:t>    </w:t>
                      </w:r>
                    </w:p>
                  </w:txbxContent>
                </v:textbox>
                <w10:wrap type="none"/>
              </v:rect>
            </w:pict>
          </mc:Fallback>
        </mc:AlternateConten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the mutual covenants and agreements contained herein, and intending to be legally bound hereby, the parties hereby agree as follows.</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1.Definitions and interpretation</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will be construed in accordance with the provisions of Schedule 1, unless provided otherwise herein.</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2.Conditions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2.1The obligations of the Parties under Clause 4 of this Agreement shall be conditional on the satisfaction of each of the following conditions:</w: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Conditions in respect of the Aston Martin shareholder meeting and circular</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(a)the Circular having been approved in writing by the FCA (the </w:t>
      </w:r>
      <w:r>
        <w:rPr>
          <w:rFonts w:ascii="Times New Roman;sans-serif" w:hAnsi="Times New Roman;sans-serif"/>
          <w:b/>
          <w:i/>
          <w:color w:val="000000"/>
          <w:sz w:val="20"/>
        </w:rPr>
        <w:t>Circular Condition</w:t>
      </w:r>
      <w:r>
        <w:rPr>
          <w:rFonts w:ascii="Times New Roman;sans-serif" w:hAnsi="Times New Roman;sans-serif"/>
          <w:b w:val="false"/>
          <w:color w:val="000000"/>
          <w:sz w:val="20"/>
        </w:rPr>
        <w:t>);</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(b)the passing by the requisite majorities at the General Meeting of the Shareholder Resolutions (the </w:t>
      </w:r>
      <w:r>
        <w:rPr>
          <w:rFonts w:ascii="Times New Roman;sans-serif" w:hAnsi="Times New Roman;sans-serif"/>
          <w:b/>
          <w:i/>
          <w:color w:val="000000"/>
          <w:sz w:val="20"/>
        </w:rPr>
        <w:t>Shareholder Approval Condition</w:t>
      </w:r>
      <w:r>
        <w:rPr>
          <w:rFonts w:ascii="Times New Roman;sans-serif" w:hAnsi="Times New Roman;sans-serif"/>
          <w:b w:val="false"/>
          <w:color w:val="000000"/>
          <w:sz w:val="20"/>
        </w:rPr>
        <w:t>);</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(c)a valuation report pursuant to section 593 of the Act in respect of the non-cash consideration to be provided by Lucid for the allotment and issue to it of the Consideration Shares, substantially in the form </w:t>
      </w:r>
      <w:r>
        <w:rPr>
          <w:rFonts w:ascii="Times New Roman;sans-serif" w:hAnsi="Times New Roman;sans-serif"/>
          <w:b w:val="false"/>
          <w:color w:val="000000"/>
          <w:sz w:val="20"/>
          <w:shd w:fill="FFFFFF" w:val="clear"/>
        </w:rPr>
        <w:t xml:space="preserve">set out at </w:t>
      </w:r>
      <w:r>
        <w:rPr>
          <w:rFonts w:ascii="Times New Roman;sans-serif" w:hAnsi="Times New Roman;sans-serif"/>
          <w:b w:val="false"/>
          <w:color w:val="000000"/>
          <w:sz w:val="20"/>
        </w:rPr>
        <w:t xml:space="preserve">Schedule 3, having been obtained by Aston Martin and provided to Lucid (the </w:t>
      </w:r>
      <w:r>
        <w:rPr>
          <w:rFonts w:ascii="Times New Roman;sans-serif" w:hAnsi="Times New Roman;sans-serif"/>
          <w:b/>
          <w:i/>
          <w:color w:val="000000"/>
          <w:sz w:val="20"/>
        </w:rPr>
        <w:t>Valuation Condition</w:t>
      </w:r>
      <w:r>
        <w:rPr>
          <w:rFonts w:ascii="Times New Roman;sans-serif" w:hAnsi="Times New Roman;sans-serif"/>
          <w:b w:val="false"/>
          <w:color w:val="000000"/>
          <w:sz w:val="20"/>
        </w:rPr>
        <w:t xml:space="preserve">); </w: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Antitrust, regulatory and contractual consents </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(d)the following antitrust conditions (together, the </w:t>
      </w:r>
      <w:r>
        <w:rPr>
          <w:rFonts w:ascii="Times New Roman;sans-serif" w:hAnsi="Times New Roman;sans-serif"/>
          <w:b/>
          <w:i/>
          <w:color w:val="000000"/>
          <w:sz w:val="20"/>
        </w:rPr>
        <w:t>Antitrust Conditions</w:t>
      </w:r>
      <w:r>
        <w:rPr>
          <w:rFonts w:ascii="Times New Roman;sans-serif" w:hAnsi="Times New Roman;sans-serif"/>
          <w:b w:val="false"/>
          <w:color w:val="000000"/>
          <w:sz w:val="20"/>
        </w:rPr>
        <w:t>) having been satisfied or waived:</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(i)after notification of this Agreement to the Japan Fair Trade Commission (</w:t>
      </w:r>
      <w:r>
        <w:rPr>
          <w:rFonts w:ascii="Times New Roman;sans-serif" w:hAnsi="Times New Roman;sans-serif"/>
          <w:b/>
          <w:i/>
          <w:color w:val="000000"/>
          <w:sz w:val="20"/>
        </w:rPr>
        <w:t>JFTC</w:t>
      </w:r>
      <w:r>
        <w:rPr>
          <w:rFonts w:ascii="Times New Roman;sans-serif" w:hAnsi="Times New Roman;sans-serif"/>
          <w:b w:val="false"/>
          <w:color w:val="000000"/>
          <w:sz w:val="20"/>
        </w:rPr>
        <w: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JFTC has notified Lucid, the relevant member of Lucid’s Group or PIF (or their advisers) that this Agreement or any matters arising therefrom does not constitute a notifiable transaction; or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JFTC has cleared the transaction by issuing a notice that this Agreement or any matters arising therefrom will not be prohibited, on terms satisfactory to the Parties;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(ii)after any other notification that is required under Antitrust Laws or foreign investment laws has been made to any Regulatory Authority (other than the JFTC):</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Regulatory Authority has notified Lucid, the relevant member of Lucid’s Group or PIF (or their advisers) that this Agreement or any matters arising therefrom does not constitute a notifiable transaction; or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Regulatory Authority has cleared the transaction by issuing a notice that this Agreement or any matters arising therefrom will not be prohibited, on terms satisfactory to the Parties; or</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(C)this Agreement or any matters arising therefrom is deemed to be cleared because the applicable waiting period pursuant applicable Antitrust Laws has expired.</w: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No order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(e)no order, injunction, decree or other legal restraint by any Regulatory Authority shall have been entered and shall continue to be in effect and no Applicable Law shall have been adopted or be effective, in each case that, in the reasonable opinion of both Parties, prohibits, prevents, restrains or renders illegal the consummation of the transactions contemplated by this Agreement, a Supply Agreement or the Integration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(f)no Regulatory Authority shall have commenced and not withdrawn any proceeding seeking to enjoin, restrain or otherwise prohibit the consummation of the transactions contemplated by this Agreement, a Supply Agreement or the Integration Agreement;</w: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No material breach</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(g)no Aston Martin Material Warranty Breach having occurred;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(h)no Lucid Material Warranty Breach having occurred;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(i)Aston Martin shall, in all material respects, have performed all obligations and complied with all covenants contained in this Agreement that are to be performed or complied with by Aston Martin prior to the Allotment Date; and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(j)Lucid shall, in all material respects, have performed all obligations and complied with all covenants contained in this Agreement that are to be performed or complied with by Lucid prior to the Allotment Date,</w:t>
      </w:r>
    </w:p>
    <w:p>
      <w:pPr>
        <w:pStyle w:val="TextBody"/>
        <w:bidi w:val="0"/>
        <w:spacing w:lineRule="auto" w:line="355" w:before="0" w:after="180"/>
        <w:jc w:val="both"/>
        <w:rPr/>
      </w:pPr>
      <w:r>
        <w:rPr>
          <w:rFonts w:ascii="Times New Roman;sans-serif" w:hAnsi="Times New Roman;sans-serif"/>
          <w:b w:val="false"/>
          <w:color w:val="000000"/>
          <w:sz w:val="20"/>
        </w:rPr>
        <w:t xml:space="preserve">together, the </w:t>
      </w:r>
      <w:r>
        <w:rPr>
          <w:rFonts w:ascii="Times New Roman;sans-serif" w:hAnsi="Times New Roman;sans-serif"/>
          <w:b/>
          <w:i/>
          <w:color w:val="000000"/>
          <w:sz w:val="20"/>
        </w:rPr>
        <w:t>Conditions</w:t>
      </w:r>
      <w:r>
        <w:rPr>
          <w:rFonts w:ascii="Times New Roman;sans-serif" w:hAnsi="Times New Roman;sans-serif"/>
          <w:b w:val="false"/>
          <w:color w:val="000000"/>
          <w:sz w:val="20"/>
        </w:rPr>
        <w: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2.2The following Conditions may be waived or deemed satisfied (as applicable) at any time on or before 17.00 (London time) on the Longstop Date by written notice from Lucid to Aston Martin: Clause 2.1(g) and Clause 2.1(i).</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2.3The following Conditions may be waived or deemed satisfied (as applicable) at any time on or before 17.00 (London time) on the Longstop Date by written notice from Aston Martin to Lucid: Clause 2.1(h) and Clause 2.1(j).</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2.4The following Conditions may be waived or deemed satisfied (as applicable) at any time on or before 17.00 (London time) on the Longstop Date by written agreement between Lucid and Aston Martin: Clause 2.1(e) and Clause 2.1(f).</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2.5If, at any time, any Party becomes aware of a fact, matter or circumstance that could reasonably be expected to prevent or delay the satisfaction of a Condition, it shall inform the other in writing of the fact, matter or circumstance as soon as reasonably practicable, except where disclosure by a Party is prevented by Applicable Law.</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2.6If a Condition has not been satisfied or (if capable of waiver) waived by 17.00 (London time) on the Longstop Date, either Lucid or Aston Martin may terminate this Agreement by notice in writing to that effect to the other, provided that:</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(a)Aston Martin may not rely, either as basis for not consummating the transactions contemplated by this Agreement or terminating this Agreement, on the failure of any of the Conditions at Clause 2.1(g) or Clause 2.1(i) to be satisfied;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(b)Lucid may not rely, either as basis for not consummating the transactions contemplated by this Agreement or terminating this Agreement, on the failure of any of the Conditions at Clause 2.1(h) or Clause 2.1(j) to be satisfied;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(c)without prejudice to Clause 2.6(a) or Clause 2.6(b) (as applicable), neither Lucid nor Aston Martin may rely, either as basis for not consummating the transactions contemplated by this Agreement or terminating this Agreement, on the failure of any other Condition to be satisfied if such failure is due to the breach by such Party of any Warranty, covenant or other agreement of such Party set forth in this Agreement.</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3.Satisfaction of the Conditions</w: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Undertakings in respect of the Circular Condition and Shareholder Approval Condition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3.1Aston Martin shall use reasonable best efforts to ensure the satisfaction of the Shareholder Approval Condition and the Circular Condition as soon as reasonably practicable after the date of this Agreement and in any event on or before the Longstop Date.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3.2Notwithstanding Clause 3.1, Aston Martin shall:</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(a)without prejudice to Clause 3.2(b), prepare and finalise the Circular as soon as reasonably practicable following the date of this Agreement (and, if applicable, any Supplementary Circular as soon as reasonably practicable following the matter or circumstance giving rise to the requirement to publish that Supplementary Circular arising) in accordance with the requirements of all Applicable Laws, in each case subject to Lucid providing any approvals required under Clause 3.2(f);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(b)by no later than 21 July 2023 (or such later date as Aston Martin and Lucid may agree in writing, acting reasonably and in good faith), file the preliminary Circular with the FCA for review;</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(c)use reasonable best efforts to obtain the approval of the Circular (or Supplementary Circular, if applicable) from the FCA under Listing Rule 13.2.1(2) R, as soon as reasonably practicable (or, in respect of a Supplementary Circular, as soon as reasonably practicable following the matter or circumstance giving rise to the requirement to publish that Supplementary Circular arising);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(d)promptly (and in any event within no more than 3 Business Days) following the Circular (or, if applicable, Supplementary Circular) being approved by the FCA, publish and dispatch the Circular (or Supplementary Circular) to the Aston Martin Shareholders in accordance with Applicable Law;</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(e)hold and conclude the General Meeting by no later than 21 clear days following dispatch of the Circular to the Aston Martin Shareholders (or such other date as Aston Martin may, with Lucid’s prior written consent (such consent not to be unreasonably withheld, conditioned or delayed), reasonably determine);</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(f)to the extent reasonably practicable, consult with Lucid as to the form and content of the Circular (and, if applicable, any Supplementary Circular) (including, in each case, any drafts thereof that are being submitted to the FCA for review) and consider Lucid’s reasonable comments thereon, provided that Aston Martin shall ensure that the Circular (and, if applicable, any Supplementary Circular) does not contain any reference to or information relating to Lucid or any member of Lucid’s Group or a description of the Lucid Group which has not been approved in writing by or on behalf of Lucid;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(g)procure that the Circular (and, if applicable, any Supplementary Circular) incorporates the Aston Martin Independent Directors’ Recommendation;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(h)take all necessary steps and exercise all rights available to it under each Irrevocable Undertaking to procure that each Relevant Shareholder shall:</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(i)exercise all voting rights attaching to the Ordinary Shares that are the subject of its Irrevocable Undertaking to vote in favor of the Shareholder Resolutions at the General Meeting;</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(ii)not exercise the voting rights attaching to the Ordinary Shares that are the subject of its Irrevocable Undertaking in any manner which would delay, prevent or otherwise frustrate the passing of the Shareholder Resolutions at the General Meeting;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(iii)do, execute and perform or, so far as the Relevant Shareholder is able, procure the doing, execution and performance of all such further deeds, documents, assurances, acts and things as Lucid may reasonably require from such Relevant Shareholder to give effect to the undertakings at Clauses 3.2(h)(i) and 3.2(h)(ii);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(i)not terminate or cause to lapse, or permit a Relevant Shareholder to terminate, an Irrevocable Undertaking ahead of the conclusion of the General Meeting other than in circumstances where Lucid is in material breach of this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(j)not waive or vary any of its rights or obligations under an Irrevocable Undertaking or allow a Relevant Shareholder to waive or vary any of its rights or obligations under an Irrevocable Undertaking in a manner inconsistent with the undertakings at Clauses 3.2(h)(i) and 3.2(h)(ii);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(k)keep Lucid informed of all material document submission dates and other relevant dates in respect of the actions contemplated by Clause 3.2(c), promptly upon Aston Martin becoming aware of the same;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(l)permit any director, officer, employee or legal or financial adviser of Lucid whose identity has been notified in writing to Aston Martin at least two Business Days in advance of the General Meeting to attend the General Meeting as an observer.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3.3Aston Martin shall, at all relevant times use its reasonable best efforts to keep Lucid promptly and reasonably informed of its discussions and correspondence with, and submissions to, the FCA in connection with the Circular (and, if applicable, any Supplementary Circular).</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3.4Aston Martin shall use its reasonable best efforts to procure that the Aston Martin Independent Directors do not withdraw, modify or qualify the Aston Martin Independent Directors’ Recommendation (any of the foregoing being an </w:t>
      </w:r>
      <w:r>
        <w:rPr>
          <w:rFonts w:ascii="Times New Roman;sans-serif" w:hAnsi="Times New Roman;sans-serif"/>
          <w:b/>
          <w:i/>
          <w:color w:val="000000"/>
          <w:sz w:val="20"/>
        </w:rPr>
        <w:t>Adverse Recommendation Change</w:t>
      </w:r>
      <w:r>
        <w:rPr>
          <w:rFonts w:ascii="Times New Roman;sans-serif" w:hAnsi="Times New Roman;sans-serif"/>
          <w:b w:val="false"/>
          <w:color w:val="000000"/>
          <w:sz w:val="20"/>
        </w:rPr>
        <w:t xml:space="preserve">) or make any announcement or public statement regarding such Adverse Recommendation Change, unless the Aston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5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5 | 50</w:t>
                      </w:r>
                    </w:p>
                  </w:txbxContent>
                </v:textbox>
                <w10:wrap type="none"/>
              </v:rect>
            </w:pict>
          </mc:Fallback>
        </mc:AlternateConten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Martin Independent Directors, acting reasonably and having regard to their fiduciary duties, conclude that approval of the Shareholder Resolutions would not promote the success of Aston Martin for the benefit of its members as a whole.</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3.5Aston Martin shall not seek to amend the Shareholder Resolutions after dispatch of the Circular in a way that is material to the transaction contemplated under this Agreement without Lucid’s prior written consent.</w:t>
      </w:r>
    </w:p>
    <w:p>
      <w:pPr>
        <w:pStyle w:val="TextBody"/>
        <w:bidi w:val="0"/>
        <w:spacing w:lineRule="auto" w:line="355" w:before="0" w:after="180"/>
        <w:jc w:val="both"/>
        <w:rPr/>
      </w:pPr>
      <w:r>
        <w:rPr>
          <w:rFonts w:ascii="Times New Roman;sans-serif" w:hAnsi="Times New Roman;sans-serif"/>
          <w:b/>
          <w:color w:val="000000"/>
          <w:sz w:val="20"/>
        </w:rPr>
        <w:t>Undertakings in respect</w:t>
      </w:r>
      <w:r>
        <w:rPr>
          <w:color w:val="000000"/>
        </w:rPr>
        <w:t xml:space="preserve"> </w:t>
      </w:r>
      <w:r>
        <w:rPr>
          <w:rFonts w:ascii="Times New Roman;sans-serif" w:hAnsi="Times New Roman;sans-serif"/>
          <w:b/>
          <w:color w:val="000000"/>
          <w:sz w:val="20"/>
        </w:rPr>
        <w:t>of the Antitrust Condition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3.6The Parties shall use reasonable best efforts to ensure the satisfaction of the Antitrust Conditions as soon as reasonably practicable; in particular, the Parties shall not, and shall cause any of their Affiliates not to (and, in the case of Lucid, shall take all steps reasonably practicable to cause PIF not to), take any action that might reasonably be expected to render it more difficult to satisfy the Antitrust Conditions. For the avoidance of doubt, no Party shall be required to offer any commitments, undertakings or other remedies or take any actions or satisfy any conditions, obligations or requirements that may be required by any Regulatory Authority to secure any merger control or other antitrust or foreign investment clearance.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3.7Subject to Aston Martin providing all information, documents and assistance reasonably requested by Lucid or PIF, Lucid shall take all steps reasonably practicable to cause PIF to submit a notification to the JFTC and any relevant Regulatory Authority as soon as reasonably practicable following the date of this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3.8Lucid shall take all steps reasonably practicable to cause PIF to promptly respond to any requests for information from the JFTC and any relevant Regulatory Authority and ensure that the JFTC and any relevant Regulatory Authority is able to reach a decision as soon as reasonably practicable.</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3.9Lucid shall take all steps reasonably practicable to cause PIF to keep Aston Martin promptly informed in relation to all steps being taken to ensure the satisfaction of the Antitrust Conditions, including by providing Aston Martin with draft copies of all submissions and material communications intended to be sent to the JFTC and any relevant Regulatory Authority, and take all steps reasonably practicable to cause PIF to allow Aston Martin a reasonable opportunity to provide comments on such submissions or communications before they are submitted or sent (and to take due consideration of any reasonable and timely comments or suggested amendments which Aston Martin may have in relation to any such submissions or communications), and provide Aston Martin with copies of all such submissions and communications in the form submitted, to the extent shared with Lucid by PIF, provided however that Lucid shall not be required to provide copies of any Confidential Information directly to Aston Martin where such copies have been provided to Aston Martin’s advisers on an “external counsel only” basis.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3.10Aston Martin and its advisers shall fully and promptly co-operate with Lucid and PIF to satisfy the Antitrust Conditions, and shall in particular provide Lucid and PIF with all information, documents and assistance as reasonably requested in writing (including by e-mail) by Lucid or PIF in pursuit of satisfying the Antitrust Conditions.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3.11Lucid shall give notice in writing to Aston Martin as soon as reasonably practicable and in any event within one Business Day of Lucid becoming aware of receipt of any decision or notification from the JFTC and any relevant Regulatory Authority in relation to this Agreement.</w: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Undertakings in respect of the Valuation Condition</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6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6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3.12Aston Martin shall use reasonable best efforts to ensure the satisfaction of the Valuation Condition as soon as reasonably practicable after the date of this Agreement and in any event on or before the Longstop Date.</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4.Entry into the commercial agreements and consideration payments to be made by Aston Martin in connection therewith</w:t>
      </w:r>
    </w:p>
    <w:p>
      <w:pPr>
        <w:pStyle w:val="TextBody"/>
        <w:bidi w:val="0"/>
        <w:spacing w:lineRule="auto" w:line="355"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Supply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4.1LGT and Lucid Parent, solely as guarantor for LGT, and AML hereby agree to, by no later than [***] (or such other date as may be agreed between LGT, Lucid Parent and AML in writing) and by no earlier than Admission, enter into the Full Form Supply Agreement providing for AML to purchase powertrain components from LGT, and for LGT to supply such powertrain components to AML, such agreement incorporating the terms set forth in Schedule 5.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4.2If immediately prior to Admission the terms of the Full Form Supply Agreement are not in an agreed form as between LGT, Lucid Parent and AML pursuant to Clause 4.1 and 4.3, with effect from the date of Admission until LGT, Lucid Parent and AML enter into the Full Form Supply Agreement, the terms set forth in Schedule 5 shall be valid, binding and effective on LGT, Lucid Parent (solely as guarantor for LGT) and AML. For the avoidance of doubt, (a) the obligations set forth in Schedule 5 may be terminated as set forth in Section 11 of Schedule 5 if a termination event set forth therein arises prior to the entry into the Full Form Supply Agreement; and (b) the limitations of liability set forth in Section 16 of Schedule 5, and not the provisions of Clause 12 hereof, shall apply to LGT’s, Lucid Parent’s and AML’s liabilities under Schedule 5. In no event shall a breach of the obligations set forth in Schedule 5 constitute a breach of or create liability under this Agreement, and in no event shall a breach of this Agreement (excluding Schedule 5) constitute a breach of or create liability under Schedule 5.</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4.3LGT, Lucid Parent and AML shall in good faith continue to use reasonable best efforts to negotiate and enter into the Full Form Supply Agreement, even if they have not done so by [***] (or such other date as may be agreed between them in writing). For clarity, LGT, Lucid Parent and AML intend for the terms set forth in Schedule 5 to be binding and enforceable, with effect from the date of Admission only, even if LGT, Lucid Parent and AML fail to enter into the Full Form Supply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4.4In the event of any inconsistency between the terms of this Agreement and the terms of Schedule 5, for the purposes of interpreting Schedule 5 only, the terms of Schedule 5 shall prevail.</w:t>
      </w:r>
    </w:p>
    <w:p>
      <w:pPr>
        <w:pStyle w:val="TextBody"/>
        <w:bidi w:val="0"/>
        <w:spacing w:lineRule="auto" w:line="355" w:before="0" w:after="180"/>
        <w:jc w:val="both"/>
        <w:rPr>
          <w:rFonts w:ascii="Times New Roman;sans-serif" w:hAnsi="Times New Roman;sans-serif"/>
          <w:b/>
          <w:i/>
          <w:color w:val="000000"/>
          <w:sz w:val="20"/>
        </w:rPr>
      </w:pPr>
      <w:r>
        <w:rPr>
          <w:rFonts w:ascii="Times New Roman;sans-serif" w:hAnsi="Times New Roman;sans-serif"/>
          <w:b/>
          <w:i/>
          <w:color w:val="000000"/>
          <w:sz w:val="20"/>
        </w:rPr>
        <w:t>Closing</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4.5As soon as reasonably practicable and by no later than 10 Business Days following the date on which all Conditions have been satisfied or, if capable of waiver, waived (or on such other date as may be agreed between the Parties in writing), the Parties shall, provided that on such date all Conditions remain satisfied or, if capable of waiver, waived, enter into, and shall procure that their relevant respective Group members enter into, the Integration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4.6In consideration for Lucid (or the relevant member of its Group) entering into the Full Form Supply Agreement or the Interim Supply Agreement (as applicable) and the Integration Agreement, Aston Martin shall:</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(a)on the date of entry by the Parties into the Integration Agreement pursuant to Clause 4.5, allot to Lucid the Consideration Shares conditional only on Admission;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7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7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(b)conditional on Admission of the Consideration Shares having occurred: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(i)on the date of Admission of the Consideration Shares, pay Lucid the amount of US$ 33,000,000;</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(ii)by no later than [***], pay Lucid a further amount of US$[***]; and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(iii)by no later than the earlier of: (A) [***], and (B) [***] following the First Delivery (which shall be promptly confirmed by Aston Martin to Lucid in writing), pay Lucid a further amount of US$ [***],</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provided that the payments under this Clause 4.6(b)(ii) and (iii) shall: be accelerated and become immediately due and payable in the event Aston Martin suffers an Insolvency Event;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(c)subject to Clause 4.7, conditional on Admission of the Consideration Shares having occurred, pay Lucid: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(i)the amount of US$ [***] on or before [***];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(ii)the amount of US$ [***] on or before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(iii)the amount of US$ [***] on or before [***];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(iv)the amount of US$ [***] within [***],</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provided that no payment under this Clause 4.6(c) shall be due or payable if, at the time such payment would otherwise fall due (A) Lucid is in material breach of the Integration Agreement; or (B) the Integration Agreement has been terminated in accordance with its terms in circumstances where AML is not at fault (including, for the avoidance of doubt, following an Aston Martin Change of Control) unless Lucid can reasonably demonstrate at that time that it has incurred such further sums (in addition to any sums already paid by Aston Martin under this Clause 4.6(c)) in respect of capacity or tooling that would otherwise have been needed to manufacture goods for supply to Aston Martin under a Supply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4.7If Lucid or Aston Martin suffers an Insolvency Event, no further payments due after the date of such Insolvency Event under Clause 4.6(c) shall be due or payable after such time, except to the extent that (i) Lucid can reasonably demonstrate at that time that it has incurred such further sums (in addition to any sums already paid by Aston Martin under Clause 4.6(c)) in respect of capacity or tooling that would otherwise have been needed to manufacture goods for supply to Aston Martin under a Supply Agreement; or (ii) in the event of a Lucid Insolvency Event only, Lucid recovers from such Insolvency Event and resumes ordinary course business operations on a solvent and going concern basis, in which case the Parties shall in good faith discuss the timing of such payments, taking into account the duration of such Lucid Insolvency Event.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4.8All payments pursuant to Clause 4.6 shall be made in accordance with Clause 25.</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4.9The Consideration Shares will, from the date of their allotment, rank pari passu in all respects with the Ordinary Shares then in issue including the right to receive all dividends declared, made or paid after their allotment to Lucid (except that Consideration Shares will not rank for or be entitled to the benefit of any dividend or other distribution or right declared, paid, made or granted prior to (or by reference to a record date prior to) their allotment to Lucid). The Consideration Shares shall be allotted and issued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8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8 | 50</w:t>
                      </w:r>
                    </w:p>
                  </w:txbxContent>
                </v:textbox>
                <w10:wrap type="none"/>
              </v:rect>
            </w:pict>
          </mc:Fallback>
        </mc:AlternateConten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provisions of the Act and shall comply with all applicable regulations related to the issuance of securities under the laws of England and Wales including FSMA, FSMA (Financial Promotion) Order 2005 and other ancillary FSMA legislation including any promulgated by the FCA and any applicable Listing Rules so that the Consideration Shares shall be freely tradable under the laws of England and Wales.</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4.10Aston Martin shall comply with the requirements of sections 593-597 of the Act in respect of the allotment and issuance of the Consideration Shares under this Agreement and shall promptly deliver a copy of the valuation report, substantially in the form </w:t>
      </w:r>
      <w:r>
        <w:rPr>
          <w:rFonts w:ascii="Times New Roman;sans-serif" w:hAnsi="Times New Roman;sans-serif"/>
          <w:b w:val="false"/>
          <w:color w:val="000000"/>
          <w:sz w:val="20"/>
          <w:shd w:fill="FFFFFF" w:val="clear"/>
        </w:rPr>
        <w:t xml:space="preserve">set out at </w:t>
      </w:r>
      <w:r>
        <w:rPr>
          <w:rFonts w:ascii="Times New Roman;sans-serif" w:hAnsi="Times New Roman;sans-serif"/>
          <w:b w:val="false"/>
          <w:color w:val="000000"/>
          <w:sz w:val="20"/>
        </w:rPr>
        <w:t>Schedule 3, produced in connection with such issuance pursuant to section 593(1)(c) of the Act to Lucid.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4.11Aston Martin shall procure that a Board meeting (or a meeting of a duly constituted and authorized committee of the Board) of Aston Martin is held at which, conditional only upon the Admission of the Consideration Shares, the allotment and issue of the Consideration Shares is approved, and shall deliver to Lucid a copy of an extract of the minutes of such meeting evidencing such approval prior to the Allotment Date.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4.12As soon as reasonably practicable following the allotment of the Consideration Shares pursuant to Clause 4.6, Aston Martin shall, at its own expense, make an application to the FCA and the LSE for the Admission of the Consideration Shares, and ensure that such Admission shall take place by no later than 2 Business Days after the allotment of the Consideration Shares pursuant to Clause 4.6.</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4.13Aston Martin shall ensure that the Consideration Shares are issued to Lucid and, if Lucid elects by written notice to Aston Martin to hold the Consideration Shares in uncertificated form, are credited to the Lucid CREST Account through the facilities of and in accordance with the procedures of CREST, not later than 8.00 a.m. (London time) on the date of Admission of the Consideration Shares, and that the name of Lucid is entered in the register of members of Aston Martin as the holder of the Consideration Shares (and, in the case the Consideration Shares are in certificated form, a share certificate is issued and dispatched to Lucid without delay).</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 xml:space="preserve">5.Lock-up </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5.1Subject to Clause 5.2, Lucid agrees that during the period commencing on the Allotment Date and ending on, and including, the date that is the earlier of: (a) 365 days after the Allotment Date; and (b) the termination of this Agreement in accordance with its terms (the </w:t>
      </w:r>
      <w:r>
        <w:rPr>
          <w:rFonts w:ascii="Times New Roman;sans-serif" w:hAnsi="Times New Roman;sans-serif"/>
          <w:b/>
          <w:i/>
          <w:color w:val="000000"/>
          <w:sz w:val="20"/>
        </w:rPr>
        <w:t>Lock-Up Period</w:t>
      </w:r>
      <w:r>
        <w:rPr>
          <w:rFonts w:ascii="Times New Roman;sans-serif" w:hAnsi="Times New Roman;sans-serif"/>
          <w:b w:val="false"/>
          <w:color w:val="000000"/>
          <w:sz w:val="20"/>
        </w:rPr>
        <w:t xml:space="preserve">), it will not, without the prior written consent of Aston Martin: </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(a)directly or indirectly, offer, sell, contract to sell, transfer, charge, lend, pledge (other than in connection with any pledge required in connection with the Lucid ABL),</w:t>
      </w:r>
      <w:r>
        <w:rPr>
          <w:color w:val="000000"/>
        </w:rPr>
        <w:t xml:space="preserve"> </w:t>
      </w:r>
      <w:r>
        <w:rPr>
          <w:rFonts w:ascii="Times New Roman;sans-serif" w:hAnsi="Times New Roman;sans-serif"/>
          <w:b w:val="false"/>
          <w:color w:val="000000"/>
          <w:sz w:val="20"/>
        </w:rPr>
        <w:t xml:space="preserve">distribute, grant any option, right or warrant to purchase or otherwise dispose, directly or indirectly, of any Consideration Shares;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(b)otherwise enter into any transaction (including any derivative transaction) directly or indirectly, permanently or temporarily, to dispose of any Consideration Shares;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(c)undertake any swap or other transaction with the same economic effect as any of the foregoing or announce an offering of any Consideration Shares or any interest therein;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(d)announce publicly any intention to enter into any transaction described in Clauses 5.1(a) to 5.1(c) above,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9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9 | 50</w:t>
                      </w:r>
                    </w:p>
                  </w:txbxContent>
                </v:textbox>
                <w10:wrap type="none"/>
              </v:rect>
            </w:pict>
          </mc:Fallback>
        </mc:AlternateContent>
      </w:r>
    </w:p>
    <w:p>
      <w:pPr>
        <w:pStyle w:val="TextBody"/>
        <w:bidi w:val="0"/>
        <w:spacing w:lineRule="auto" w:line="355" w:before="0" w:after="180"/>
        <w:jc w:val="both"/>
        <w:rPr/>
      </w:pPr>
      <w:r>
        <w:rPr>
          <w:rFonts w:ascii="Times New Roman;sans-serif" w:hAnsi="Times New Roman;sans-serif"/>
          <w:b w:val="false"/>
          <w:color w:val="000000"/>
          <w:sz w:val="20"/>
        </w:rPr>
        <w:t xml:space="preserve">(each such action in Clauses 5.1(a) to 5.1(d), a </w:t>
      </w:r>
      <w:r>
        <w:rPr>
          <w:rFonts w:ascii="Times New Roman;sans-serif" w:hAnsi="Times New Roman;sans-serif"/>
          <w:b/>
          <w:i/>
          <w:color w:val="000000"/>
          <w:sz w:val="20"/>
        </w:rPr>
        <w:t>Disposal</w:t>
      </w:r>
      <w:r>
        <w:rPr>
          <w:rFonts w:ascii="Times New Roman;sans-serif" w:hAnsi="Times New Roman;sans-serif"/>
          <w:b w:val="false"/>
          <w:color w:val="000000"/>
          <w:sz w:val="20"/>
        </w:rPr>
        <w: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5.2The restriction contained in Clause 5 shall not apply to any of the following:</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 acceptance of a Takeover Offer for Aston Martin or any merger or consolidation by Aston Martin with a third party;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execution of an irrevocable undertaking or letter of intent to accept or vote in favour of a Takeover Offer for Aston Martin;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(c)any Disposal if, prior to such Disposal, a person has (or persons acting in concert (as defined in the Code) have) acquired 50 per cent. or more of the Ordinary Shares;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(d)any Disposal pursuant to any compromise or arrangement under Part 26 of the Companies Act;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(e)any Disposal pursuant to an offer by Aston Martin to purchase its own Ordinary Shares which is made on identical terms to and is open for acceptance by all holders of Ordinary Shares and otherwise complies with all Applicable Law;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(f)any Disposal pursuant to a scheme of reconstruction under Section 110 of the Insolvency Act 1986 in relation to Aston Martin;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 Disposal in accordance with any order made by a court of competent jurisdiction or as required by Applicable Law; or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(h)any title to or interest in any Consideration Shares being disposed of by Lucid to any of its wholly-owned subsidiaries or Lucid Parent, provided that prior to the making of any Disposal pursuant to this Clause 5.2(h) the transferee shall have agreed to and be bound by the restrictions of Clause 5.1 (subject to the carve-outs provided in this Clause 5.2) as if it were Lucid.</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6.Interim Covenants</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undertakes that from the date of this Agreement until the Allotment Date, except (i) as is expressly permitted or specifically contemplated by this Agreement, or (ii) as may be required by Applicable Law or the regulations or requirements of any stock exchange or regulatory organization applicable to its Group:</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(a)other than with prior consultation with Lucid, it shall carry on its business and shall procure that the business of each other member of its Group is carried on in the ordinary course;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(b)other than with Lucid’s prior written consent (not to be unreasonably withheld, conditioned or delayed), it shall not:</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(i)sub-divide, consolidate, reclassify or amend the rights attaching to its Ordinary Shares (each such event an </w:t>
      </w:r>
      <w:r>
        <w:rPr>
          <w:rFonts w:ascii="Times New Roman;sans-serif" w:hAnsi="Times New Roman;sans-serif"/>
          <w:b/>
          <w:i/>
          <w:color w:val="000000"/>
          <w:sz w:val="20"/>
        </w:rPr>
        <w:t>Adjustment Event</w:t>
      </w:r>
      <w:r>
        <w:rPr>
          <w:rFonts w:ascii="Times New Roman;sans-serif" w:hAnsi="Times New Roman;sans-serif"/>
          <w:b w:val="false"/>
          <w:color w:val="000000"/>
          <w:sz w:val="20"/>
        </w:rPr>
        <w:t>), without adjusting (with Lucid’s written consent) the number of Consideration Shares to be issued to Lucid under this Agreement so as to ensure that, immediately following their issue, the Consideration Shares represent the same percentage of Aston Martin’s overall issued share capital and have the same economic and voting entitlements as they would have done had the Adjustment Event not taken place;</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10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10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(ii)recommend, declare, pay or make: any bonus issue (or other capitalization issue), dividend or other distribution (whether payable in cash or otherwise);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(iii)adopt a plan of complete or partial liquidation, dissolution, consolidation, restructuring, recapitalization or other reorganization;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(iv)authorize any of the foregoing, or enter into or modify any contractual arrangement to do any of the foregoing. </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 xml:space="preserve">7.Lucid anti-dilution protection and provision of information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7.1For as long as the Ordinary Shares held by Lucid amount to at least 3 per cent. of the overall issued share capital of Aston Martin, in the event that Aston Martin proposes to, or undertakes any, pre-emptive offer of its equity securities for cash following the Allotment Date, Aston Martin undertakes to ensure that Lucid (or any member of its Group that holds Consideration Shares, if applicable) is offered such equity securities in proportion to its holding of Ordinary Shares at such time, and any limits or restrictions that Aston Martin may be entitled to impose, by Applicable Law or otherwise, on any such offer to deal with legal, regulatory or practical problems in, or under the laws of, any territory shall not be exercised to restrict or exclude Lucid (or any member of its Group that holds Consideration Shares, if applicable) from participating in such offer provided that Lucid (or any member of its Group that holds Consideration Shares, if applicable) provides any confirmations that Aston Martin may reasonably request as to its investor status, ability to participate in such pre-emptive offer under applicable legal and regulatory frameworks (including under US securities laws) and compliance with any applicable restrictions on resale thereunder.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7.2Aston Martin shall, to the extent permitted by Applicable Law (including, without limitation, the Listing Rules, the Disclosure Guidance and Transparency Rules, FSMA, the Financial Services Act, and the UK Market Abuse Regulation) procure that Lucid is promptly provided with any information relating to the business or the affairs of Aston Martin or any member of its Group as is reasonably requested by Lucid: (i) in connection with the financial, accounting or tax reporting or other legal or regulatory requirements of Lucid (or of the Lucid Group); and (ii) to enable Lucid (or the Lucid Group) to account appropriately for its investment in Aston Martin in Lucid’s (or the Lucid Group’s) accounts, other financial records and forecasts. Lucid shall use such information solely for the purpose for which it was disclosed.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7.3Aston Martin agrees to, not less than four times per calendar year, present an update on the performance of the Aston Martin Group to representatives of Lucid. Such presentations shall contain sufficient information to enable the representatives of Lucid to understand and evaluate all material matters relating to such performance of the Aston Martin Group and its published targets and objectives.</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8.Exclusivity</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Lucid shall not, and shall ensure that its Affiliates shall not: </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(a)provide Commercial Volumes of any Goods (or similar goods) to any of [***] (each an </w:t>
      </w:r>
      <w:r>
        <w:rPr>
          <w:rFonts w:ascii="Times New Roman;sans-serif" w:hAnsi="Times New Roman;sans-serif"/>
          <w:b/>
          <w:i/>
          <w:color w:val="000000"/>
          <w:sz w:val="20"/>
        </w:rPr>
        <w:t>Aston Martin Competitor</w:t>
      </w:r>
      <w:r>
        <w:rPr>
          <w:rFonts w:ascii="Times New Roman;sans-serif" w:hAnsi="Times New Roman;sans-serif"/>
          <w:b w:val="false"/>
          <w:color w:val="000000"/>
          <w:sz w:val="20"/>
        </w:rPr>
        <w:t xml:space="preserve">) before the earlier of (i) three months after Aston Martin’s start of commercial production of an Aston Martin Vehicle incorporating powertrain components supplied by Lucid, or (ii) 1 April 2026; and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11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11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(b)announce any partnership, or any other similar arrangement, with any Aston Martin Competitor before 1 December 2023. </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9.Change of control</w:t>
      </w:r>
    </w:p>
    <w:p>
      <w:pPr>
        <w:pStyle w:val="TextBody"/>
        <w:bidi w:val="0"/>
        <w:spacing w:lineRule="auto" w:line="355"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Aston Martin Change of Control</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9.1If, prior to the Allotment Date, there is an Aston Martin Change of Control, Lucid may at its sole discretion, within 15 Business Days after being made aware of the Aston Martin Change of Control in accordance with Clause 9.2, by written notice delivered to Aston Martin within that 15 Business Day period, terminate this Agreement.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9.2Aston Martin shall notify Lucid in writing of an Aston Martin Change of Control promptly, and by no later than 2 Business Days, following an Aston Martin Change of Control.</w:t>
      </w:r>
    </w:p>
    <w:p>
      <w:pPr>
        <w:pStyle w:val="TextBody"/>
        <w:bidi w:val="0"/>
        <w:spacing w:lineRule="auto" w:line="355"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Lucid Change of Control</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9.3If, prior to the Allotment Date, there is a Lucid Change of Control, Aston Martin may at its sole discretion, within 15 Business Days after being made aware of the Lucid Change of Control in accordance with Clause 9.4, by written notice delivered to Lucid within that 15 Business Day period, terminate this Agreement.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9.4Lucid shall notify Aston Martin in writing of a Lucid Change of Control promptly, and by no later than 2 Business Days, following a Lucid Change of Control.</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10.Warranties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10.1Each Party warrants to the other Party that the Warranties that are stated as being given by such Party are true, accurate and not misleading as at the date of this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10.2Immediately prior to the Allotment Date:</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(a)Lucid is deemed to warrant to Aston Martin that the Fundamental Warranties that are stated as being given by Lucid are true, accurate and not misleading;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(b)Aston Martin is deemed to warrant to Lucid that the Fundamental Warranties that are stated as being given by Aston Martin are true, accurate and not misleading,</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each case by reference to the facts and circumstances immediately prior to the Allotment Date. For this purpose only, where there is an express or implied reference in such Warranty to the date of this Agreement, that reference is to be construed as a reference to the Allotment Date.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10.3Each Party acknowledges and agrees that the other Party has entered into this Agreement in reliance upon the Warranties provided by it.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10.4Each Warranty is a separate and independent statement and is not limited or otherwise affected by any other Warranty or by any other provision of this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10.5The provisions of Part B of Schedule 2 apply to impose certain limitations on the liability of each Party under the Warranties.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10.6Each Party shall promptly notify the other if it becomes aware of the existence or occurrence of any event, fact, matter or circumstance which constitutes, or could reasonably be expected to constitute, a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12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12 | 50</w:t>
                      </w:r>
                    </w:p>
                  </w:txbxContent>
                </v:textbox>
                <w10:wrap type="none"/>
              </v:rect>
            </w:pict>
          </mc:Fallback>
        </mc:AlternateConten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breach of a Warranty given by that Party (or which would constitute a breach of a Warranty given by that Party if that warranty was repeated any time before the Allotment Date).</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 xml:space="preserve">11.Termination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11.1Either Lucid or Aston Martin may by written notice served on the other terminate this Agreement immediately if:</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the case of a termination by Lucid: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(i)Admission of the Consideration Shares has not occurred within 10 Business Days (or such later date as Aston Martin and Lucid may agree in writing, acting reasonably and in good faith) of their conditional allotment pursuant to Clause 4.6(a);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(ii)if the Circular does not include the Aston Martin Independent Directors’ Recommendation when published or if, following the publication of the Circular (or, if applicable, any Supplementary Circular), the Aston Martin Independent Directors’ Recommendation is withdrawn or qualified;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(iii)if Aston Martin is in material breach of this Agreement and such breach is incapable of remedy or, where the breach is capable of remedy, it is not remedied within 30 Business Days after receipt of a written notice from Lucid setting out particulars of the breach in reasonable detail and requiring the breach to be remedied;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(iv)Aston Martin or a member of its Group suffers or is subject to an Insolvency Event;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the case of a termination by Aston Martin: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(i)Lucid is in material breach of this Agreement and such breach is incapable of remedy or, where the breach is capable of remedy, it is not remedied within 30 Business Days after receipt of a written notice from Aston Martin setting out particulars of the breach in reasonable detail and requiring the breach to be remedied;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(ii)Lucid or a member of its Group suffers or is subject to an Insolvency Event;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(c)Lucid or Aston Martin (as applicable) is permitted to do so pursuant to Clause 2.6 or Clause 9.</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11.2Lucid and Aston Martin may terminate this Agreement by mutual written consent.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11.3The termination of this Agreement howsoever arising is without prejudice to the rights, duties and liabilities of any Party accrued before termination under this Agreement. </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11.4On termination of this Agreement howsoever arising Clauses 11, 12, 13, 14, 15, 16, 17, 18, 19, 20, 22, 24, 25, 26, 27, 29 and 30 will remain in effect. If on termination of this Agreement the Interim Supply Agreement is in force, Clauses</w:t>
      </w:r>
      <w:r>
        <w:rPr>
          <w:color w:val="000000"/>
          <w:shd w:fill="FFFFFF" w:val="clear"/>
        </w:rPr>
        <w:t xml:space="preserve"> </w:t>
      </w:r>
      <w:r>
        <w:rPr>
          <w:rFonts w:ascii="Times New Roman;sans-serif" w:hAnsi="Times New Roman;sans-serif"/>
          <w:b w:val="false"/>
          <w:color w:val="000000"/>
          <w:sz w:val="20"/>
          <w:shd w:fill="FFFFFF" w:val="clear"/>
        </w:rPr>
        <w:t>4.1 to 4.4, Clause 28, Clause 29 and Clause 30 (and, only in respect of the definitions that are used in and the interpretation of such Clauses, Clause 1)</w:t>
      </w:r>
      <w:r>
        <w:rPr>
          <w:color w:val="000000"/>
        </w:rPr>
        <w:t xml:space="preserve"> </w:t>
      </w:r>
      <w:r>
        <w:rPr>
          <w:rFonts w:ascii="Times New Roman;sans-serif" w:hAnsi="Times New Roman;sans-serif"/>
          <w:b w:val="false"/>
          <w:color w:val="000000"/>
          <w:sz w:val="20"/>
        </w:rPr>
        <w:t xml:space="preserve">will remain in effect.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11.5In the event that either a Supply Agreement or the Integration Agreement is terminated in accordance with its terms, Clause 5, Clause 7 and Clause 8 shall each terminate and cease to have effect (without prejudice to any rights, duties and liabilities of any Party accrued in respect of such Clauses before such termination).</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13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13 | 50</w:t>
                      </w:r>
                    </w:p>
                  </w:txbxContent>
                </v:textbox>
                <w10:wrap type="none"/>
              </v:rect>
            </w:pict>
          </mc:Fallback>
        </mc:AlternateConten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12.Limitation and exclusion of liability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12.1This Agreement does not exclude or limit liability (if any) of a Party: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(a)for any matter for which it would be illegal to exclude or limit or to attempt to exclude or limit its liability; or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(b)for actual and intentional fraud.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12.2Subject to Clauses 12.1 and 12.3 each Party’s aggregate liability in respect of all and any loss or damage under this Agreement (other than Aston Martin’s obligations under Clause 4.6) will be limited to [***].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12.3No Party will have any liability whatsoever to another Party under this Agreement (whether in contract (by way of indemnity or otherwise), tort (including negligence), breach of statutory duty, restitution or otherwise) for any of the following types of loss, damage, injury or expense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(a)loss of profits;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special, indirect, consequential or punitive damage or loss,</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provided that, for the avoidance of doubt, this limitation shall not apply to any direct losses, damages, injuries or expenses of any Party.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12.4For the avoidance of doubt, the limitations and exclusions set forth in this Clause 12 shall not restrict or limit the obligations of the relevant parties to a Supply Agreement and the Integration Agreement upon the execution or coming into force (as applicable) thereof.</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13.Inadequacy of damages</w:t>
      </w:r>
    </w:p>
    <w:p>
      <w:pPr>
        <w:pStyle w:val="TextBody"/>
        <w:bidi w:val="0"/>
        <w:spacing w:lineRule="auto" w:line="355"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Without prejudice to any other rights, powers or remedies that a Party may have (whether provided by law, equity or this Agreement), the other Parties acknowledge and agree that: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(a)damages alone may not be an adequate remedy for any threatened or actual breach of the provisions of this Agreement; and, accordingly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non-defaulting Party may be entitled, without proof of special damages, to seek the remedies of injunction, specific performance or other equitable relief, or any combinations of these remedies, for any threatened or actual breach of the provisions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14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14 | 50</w:t>
                      </w:r>
                    </w:p>
                  </w:txbxContent>
                </v:textbox>
                <w10:wrap type="none"/>
              </v:rect>
            </w:pict>
          </mc:Fallback>
        </mc:AlternateConten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14.Assignment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14.1Subject to Clauses 14.2 and 14.3 neither Party may assign, transfer, charge or deal in any other manner with this Agreement or any of its respective rights arising out of it, nor purport to do so, nor subcontract any or all of its obligations arising out of this Agreement without having obtained the prior written consent of the other Party. Any purported assignment, transfer, charge or dealing in contravention of this Clause 14.1 will be null and void and of no force or effect.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14.2Aston Martin will be entitled to assign its rights arising out of this Agreement to any of its Affiliates provided that Aston Martin: (i) ensures that any such Affiliate to which it assigns any of its rights arising out of this Agreement will assign such rights back to a member of its Group immediately before such Affiliate ceases to be a member of its Group; and (ii) shall retain responsibility for ensuring compliance by it and the relevant Affiliate with this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14.3Lucid will be entitled to assign its rights arising out of this Agreement to any of its Affiliates provided that Lucid: (i) ensures that any such Affiliate to which it assigns any of its rights arising out of this Agreement will assign such rights back to a member of the Lucid Group immediately before such Affiliate ceases to be a member of the Lucid Group; and (ii) shall retain responsibility for ensuring compliance by it and the relevant Affiliate with this Agreement.</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15.Announcements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15.1Subject to Clause 15.2, no announcement or statement concerning this Agreement or the subject matter of, or any matter referred to in, this Agreement will be made or issued by or on behalf of either Party (or any member of its Group) without the prior written approval of the other Party, such approval not to be unreasonably withheld or delayed.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15.2Clause 15.1 does not apply to any announcement or statement required by law, court order (or, to the extent relevant, the regulations of any stock exchange or listing authority or the UK Panel on Takeovers and Mergers (or equivalent body in any other applicable jurisdictions)), or any other government or regulatory organization, provided: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Party (or member of its Group) making the announcement or statement shall, as far as reasonably practicable and lawful to do so:</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(i)consult with the other Party in advance and take into account its reasonable comments;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(ii)announce and/or disclose (as applicable) only the minimum amount of information relating to this Agreement or the subject matter of, or any matter referred to in, this Agreement that in the reasonable opinion of the disclosing Party (or member of its Group) is required to be announced and/or disclosed (as applicable);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Parties shall mutually agree the form of announcement to be made by the Parties in connection with the entry into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15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15 | 50</w:t>
                      </w:r>
                    </w:p>
                  </w:txbxContent>
                </v:textbox>
                <w10:wrap type="none"/>
              </v:rect>
            </w:pict>
          </mc:Fallback>
        </mc:AlternateConten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16.Confidentiality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16.1Save as otherwise provided for in this Clause 16, each Party will (and will procure that any person to whom a Party discloses information pursuant to Clause 16.2 or Clause 16.3 (as applicable) will) keep confidential and not disclose to any person: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terms of this Agreement;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Confidential Information of the other Party.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16.2Lucid may disclose the terms of this Agreement and the Confidential Information of Aston Martin to any member of the Lucid Group (and their officers, employees and advisers) who they determine reasonably needs to know such information for the purposes and performance of this Agreement, provided that Lucid shall ensure the confidential treatment of the terms of this Agreement and of any Confidential Information disclosed pursuant to this Clause 16.2, and shall be responsible for any disclosure or use of any such information that is disclosed pursuant to this Clause 16.2 by any member of the Lucid Group (or their officers, employees and advisers) in breach of the terms of this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16.3Aston Martin may disclose the terms of this Agreement and the Confidential Information of Lucid to any member of the Aston Martin Group (and their officers, employees and advisers) who they determine reasonably needs to know such information for the purposes and performance of this Agreement, provided that Aston Martin shall ensure the confidential treatment of the terms of this Agreement and of any Confidential Information disclosed pursuant to this Clause 16.3, and shall be responsible for any disclosure or use of any such information that is disclosed pursuant to this Clause 16.3 by any member of the Aston Martin Group (or their officers, employees and advisers) in breach of the terms of this Agreement.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16.4Neither Party, nor any person to whom a Party discloses information pursuant to Clause 16.2 or Clause 16.3 (as applicable), shall use the other Party’s Confidential Information for any purpose other than to perform its obligations under this Agreement.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16.5The Parties may disclose the Disclosable Information to the extent reasonably necessary in connection with procuring the satisfaction of the Conditions, including disclosure by Aston Martin in the Circular pursuant to Clauses 2.1(a) and 2.1(b).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16.6The Parties acknowledge that Lucid and Lucid Parent may be required under U.S. securities laws and related rules and regulations and/or accounting rules to disclose the existence and material terms or file the full text of this Agreement with the U.S. Securities and Exchange Commission. If such a disclosure is necessary under the applicable requirements or is requested by the U.S. Securities and Exchange Commission, Lucid shall use reasonable best efforts to ensure that any confidential and/or commercially sensitive provisions of this Agreement (as agreed with Aston Martin) are redacted to the extent permitted by the applicable requirements or request prior to the disclosure being made.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16.7The obligations of confidentiality of this Clause 16 will not apply any term of this Agreement or any part of the Confidential Information which is: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(a)or was already, or has subsequently become, published or publicly available for use or otherwise in the public domain other than as a result of a breach of this Agreement or of any confidentiality obligation owed by the recipient Party to the other Party;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16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16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(b)required to be disclosed by law, order of any court of competent jurisdiction, or the rules or requirements of any relevant regulatory or governmental body, including any relevant stock exchange and applicable legal, accounting or regulatory requirement, provided that, without prejudice to Clause 16.5 or Clause 16.6, before disclosing any such information the relevant Party (or any member of its Group) will, as far as reasonably practicable and lawful to do so, consult with the other Party in advance and take into account its reasonable comments and disclose only the minimum amount of information that is required to be disclosed;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(c)already in the recipient Party’s possession at the time of disclosure by the disclosing Party which the recipient Party can show from reasonable written records other than as a result of a breach of this Agreement or of any confidentiality obligation owed by the recipient Party to the other Party;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to a Tax Authority where such disclosure was reasonably necessary in order to facilitate the efficient management of the Tax affairs of the disclosing Party or those of its Affiliates;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(e)disclosed with the other Party’s prior written consent.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16.8Each Party, respectively, acknowledges that certain of the information that may be provided to it by the other Party in the course of this Agreement (including software, component, design, manufacturing and operational information and standards and other know-how) will be highly confidential and of a commercially sensitive nature. It is further acknowledged that if such information came into the hands of competitors, Lucid or Aston Martin (or both) would likely suffer damage which would be difficult to quantify. As a result each Party, respectively, acknowledges and agrees that Lucid and Aston Martin (or either of them) shall be entitled to seek an injunction restraining any such breach or threatened breach of this Agreement without showing any actual damage suffered by them.</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16.9On termination of this Agreement howsoever arising each Party (the </w:t>
      </w:r>
      <w:r>
        <w:rPr>
          <w:rFonts w:ascii="Times New Roman;sans-serif" w:hAnsi="Times New Roman;sans-serif"/>
          <w:b/>
          <w:i/>
          <w:color w:val="000000"/>
          <w:sz w:val="20"/>
        </w:rPr>
        <w:t>recipient Party</w:t>
      </w:r>
      <w:r>
        <w:rPr>
          <w:rFonts w:ascii="Times New Roman;sans-serif" w:hAnsi="Times New Roman;sans-serif"/>
          <w:b w:val="false"/>
          <w:color w:val="000000"/>
          <w:sz w:val="20"/>
        </w:rPr>
        <w:t>) will:</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(a)immediately return to the requesting Party or destroy (at the recipient Party’s option) all the Confidential Information of the requesting Party which the recipient Party or any member of its Group holds in written or graphic form (save to the extent that such information is reasonably required for the proper operation of any Operational Agreement and its confidentiality is protected by the confidentiality provisions of any such Operational Agreement);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(b)on request from the requesting Party, each recipient Party will confirm in writing to the requesting Party that the recipient Party has complied with the requirements of this Clause 16.9.</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17.Costs and expenses</w:t>
      </w:r>
    </w:p>
    <w:p>
      <w:pPr>
        <w:pStyle w:val="TextBody"/>
        <w:bidi w:val="0"/>
        <w:spacing w:lineRule="auto" w:line="355"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Save as expressly provided otherwise in this Agreement, each Party shall bear its own costs in relation to the negotiation, preparation, execution, completion and implementation of this Agreement, the Operational Agreements and any ancillary agreements thereto, including the fees and disbursements of their respective legal and other professional advisers.</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17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17 | 50</w:t>
                      </w:r>
                    </w:p>
                  </w:txbxContent>
                </v:textbox>
                <w10:wrap type="none"/>
              </v:rect>
            </w:pict>
          </mc:Fallback>
        </mc:AlternateConten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18.Enforcement by third parties</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person who is not an Extended Party to this Agreement shall have no right to enforce any of its terms and nothing in this Agreement, express or implied, is intended to or shall be construed to confer upon any other person (other than each party’s successors or permitted assigns) any legal or equitable rights, benefits or remedies of any nature whatsoever.</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19.Entire agreement and reliance on representations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19.1This Agreement and the documents to be executed pursuant to or in connection with it, including the Operational Agreements, contain or will contain all the terms which the Parties have agreed in relation to the subject matter of this Agreement and supersedes any prior written or oral agreements, representations or understandings between the Parties in relation to such subject matter.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19.2Each Party agrees and acknowledges that it has not relied on or been induced to enter into this Agreement by a warranty, statement, promise, representation or undertaking which is not expressly included in this Agreement and the documents referred to in Clause 19.1.</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20.Conflict with other agreements</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there is any conflict between the terms of this Agreement and any Operational Agreement, the relevant Operational Agreement shall prevail unless such other agreement expressly states that this Agreement overrides that other agreement in the relevant respect.</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21.Further assurance</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21.1Each Party shall do or ensure the doing of all acts and things and execute or ensure the execution of all such documents as are reasonably necessary to give full effect to the terms of this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21.2Each Party shall ensure that its Affiliates comply with all obligations under this Agreement which are expressed to apply to any such Affiliates.</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22.Notices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22.1A notice, permission or other communication under or in connection with this Agreement must be:</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in writing;</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shd w:fill="FFFFFF" w:val="clear"/>
        </w:rPr>
        <w:t>in English;</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signed by or on behalf of the person giving it; and</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shd w:fill="FFFFFF" w:val="clear"/>
        </w:rPr>
        <w:t>delivered by hand or sent by recorded delivery post or by email to the relevant Party to the contact, address and email address set out in Clause 22.6 (or if otherwise notified by the relevant person under Clause 22.5 to such other contact, address or email address as has been so notified).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22.2Unless there is evidence that it was received earlier, a notice or other communication that complies with Clause 22.1 is deemed given:</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if delivered by hand, at the time of delivery, except as provided in Clause 22.3;</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18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18 | 50</w:t>
                      </w:r>
                    </w:p>
                  </w:txbxContent>
                </v:textbox>
                <w10:wrap type="none"/>
              </v:rect>
            </w:pict>
          </mc:Fallback>
        </mc:AlternateConten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shd w:fill="FFFFFF" w:val="clear"/>
        </w:rPr>
        <w:t>if sent by recorded delivery post, at 9.00 am on the second Business Day after the day of posting; or</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if sent by email, at the time of transmission by the sender (as recorded on the device from which the sender sent the email), except as provided in Clause 22.3.</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22.3If deemed delivery under Clause 22.2 of a notice or other communication delivered by hand or sent by email occurs before 9.00 am on a Business Day, the notice or other communication is deemed delivered at 9.00 am on that day. If deemed delivery under Clause 22.2 of a notice or other communication delivered by hand or sent by email occurs after 6.00 pm on a Business Day or on a day which is not a Business Day, the notice or communication is deemed to have been given at 9.00 am on the next Business Day.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22.4In this Clause 22, a reference to time is to local time in the country in which the recipient of the notice or communication is located.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22.5A Party may notify the other Party of a change to any of the details for it or its copy recipient. The notice must comply with the terms of Clause 22.1 and must state the date on which the change is to occur. That date must be on or after the fifth Business Day after the date on which the notice is delivered.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22.6All notices, demands or other communications given under this Agreement, shall be given to the following addresses:</w:t>
      </w:r>
    </w:p>
    <w:p>
      <w:pPr>
        <w:pStyle w:val="TextBody"/>
        <w:bidi w:val="0"/>
        <w:spacing w:lineRule="auto" w:line="355" w:before="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the case of Lucid:</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7373 Gateway Blvd</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Newark, CA 94560</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Attention:     General Counsel;</w:t>
      </w:r>
    </w:p>
    <w:p>
      <w:pPr>
        <w:pStyle w:val="TextBody"/>
        <w:bidi w:val="0"/>
        <w:spacing w:lineRule="auto" w:line="355"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a copy to (which </w:t>
        <w:br/>
        <w:t xml:space="preserve">shall not be necessary for, </w:t>
        <w:br/>
        <w:t>or constitute, notice):                 Davis Polk &amp; Wardwell London LLP</w:t>
      </w:r>
    </w:p>
    <w:p>
      <w:pPr>
        <w:pStyle w:val="TextBody"/>
        <w:bidi w:val="0"/>
        <w:spacing w:lineRule="auto" w:line="355"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Aldermanbury Square</w:t>
      </w:r>
    </w:p>
    <w:p>
      <w:pPr>
        <w:pStyle w:val="TextBody"/>
        <w:bidi w:val="0"/>
        <w:spacing w:lineRule="auto" w:line="355"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London EC2V 7HR</w:t>
      </w:r>
    </w:p>
    <w:p>
      <w:pPr>
        <w:pStyle w:val="TextBody"/>
        <w:bidi w:val="0"/>
        <w:spacing w:lineRule="auto" w:line="355"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Attention:    Dan Hirschovits;</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Attention:    Emily Roberts;</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Attention:    Joseph Scrace;</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19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19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the case of Aston Martin:</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Lagonda Global Holdings PLC</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Banbury Road</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Gaydon</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Warwick CV35 0DB</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United Kingdom</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Attention:    Company Secretary;</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Email:    </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Attention:    Michael Marecki;</w:t>
      </w:r>
    </w:p>
    <w:p>
      <w:pPr>
        <w:pStyle w:val="TextBody"/>
        <w:bidi w:val="0"/>
        <w:spacing w:lineRule="auto" w:line="355"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a copy to (which </w:t>
        <w:br/>
        <w:t>shall not be necessary for,</w:t>
        <w:br/>
        <w:t>or constitute, notice):    Freshfields Bruckhaus Deringer LLP</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100 Bishopsgate</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London EC2P 2SR</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United Kingdom</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Attention:    Giles Pratt;</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p>
      <w:pPr>
        <w:pStyle w:val="TextBody"/>
        <w:bidi w:val="0"/>
        <w:spacing w:lineRule="auto" w:line="355"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Egor Marisin </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23.No partnership</w:t>
      </w:r>
    </w:p>
    <w:p>
      <w:pPr>
        <w:pStyle w:val="TextBody"/>
        <w:bidi w:val="0"/>
        <w:spacing w:lineRule="auto" w:line="355"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Nothing in this Agreement, and no action taken by the Parties pursuant to this Agreement, will be deemed to constitute a relationship between the Parties of partnership, joint venture, principal and agent or employer and employee. No Party will have the authority or power to bind another or to contract in the name of or create liability against another in any way or for any purpose.</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24.Variation</w:t>
      </w:r>
    </w:p>
    <w:p>
      <w:pPr>
        <w:pStyle w:val="TextBody"/>
        <w:bidi w:val="0"/>
        <w:spacing w:lineRule="auto" w:line="355"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variation of or amendment to this Agreement is only valid if it is in writing and signed by a duly authorized officer of each of Aston Martin and Lucid.</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25.Payments, VAT and withholding</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25.1All payments to be made by a Party pursuant to this Agreement shall be paid in immediately available funds by electronic transfer to the recipient Party’s bank account as notified to the paying Party before the relevant payment is made. Receipt of the amount due shall be an effective discharge of the relevant payment obligation.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25.2All payments to be made (in cash or in kind) by a Party pursuant to this Agreement shall (except where otherwise expressly stated) be exclusive of VAT, and any VAT which is required to be accounted for to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20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20 | 50</w:t>
                      </w:r>
                    </w:p>
                  </w:txbxContent>
                </v:textbox>
                <w10:wrap type="none"/>
              </v:rect>
            </w:pict>
          </mc:Fallback>
        </mc:AlternateConten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Tax Authority by the payee in respect of the supply or supplies for which such payments are the consideration for VAT purposes shall, subject to the receipt of a valid VAT invoice, be added to the amount of such payments and paid in addition to such payments. The invoice shall meet all relevant legal requirements.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25.3The Parties shall use reasonable efforts in order to obtain necessary proof of VAT exemption or other available VAT mitigation wherever required or requested, to the extent applicable.</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25.4All sums payable in cash or in kind by Aston Martin under this Agreement shall be paid free and clear of all deductions or withholdings whatsoever unless the deduction or withholding of Taxes is required by law, in which case: </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(a)the amount of the payment due from Aston Martin shall be increased (such increase, an </w:t>
      </w:r>
      <w:r>
        <w:rPr>
          <w:rFonts w:ascii="Times New Roman;sans-serif" w:hAnsi="Times New Roman;sans-serif"/>
          <w:b/>
          <w:i/>
          <w:color w:val="000000"/>
          <w:sz w:val="20"/>
        </w:rPr>
        <w:t>Additional Amount</w:t>
      </w:r>
      <w:r>
        <w:rPr>
          <w:rFonts w:ascii="Times New Roman;sans-serif" w:hAnsi="Times New Roman;sans-serif"/>
          <w:b w:val="false"/>
          <w:color w:val="000000"/>
          <w:sz w:val="20"/>
        </w:rPr>
        <w:t>) to an amount which after any withholding or deduction leaves the payee with an amount equal to the amount which it would have received if no such deduction or withholding had been required;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(b)Aston Martin shall provide the payee in respect of the relevant payment, without undue delay, with a statement under section 975 of Income Tax Act 2007 or other equivalent documents that evidence calculation and payment of the tax;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(c)to the extent that any withholding or deduction in respect of which an Additional Amount has been paid results in the payee or an Affiliate, in their absolute discretion, obtaining a Relief, the payee shall pay to the payer, within 10 Business Days of obtaining and utilizing the benefit of the Relief, an amount equal to the lesser of the value of the Relief obtained and the Additional Amount.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25.5The Parties shall cooperate in good faith to reduce or eliminate Taxes for which an Additional Amount would otherwise be payable under Clause 25.4.</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25.6Lucid warrants to Aston Martin, at the date of this Agreement and at the date on which each payment to Lucid (in cash or in kind) under this Agreement falls due, that: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(a)it is resident for tax purposes in the United States for the purposes of the UK-US Treaty;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(b)it is a “qualified person” for the purposes of Article 23 of the UK-US Treaty;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(c)it does not carry on any business in the UK through a UK permanent establishment to which the sums payable to it pursuant to Clause 4.6(b)(i), Clause 4.6(b)(ii), Clause 4.6(b)(iii) and Clause 4.6(c), and the Consideration Shares issuable to it pursuant to Clause 4.6(a), are attributable;</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(d)it is beneficially entitled to the sums payable to it pursuant to Clause 4.6(b)(i), Clause 4.6(b)(ii), Clause 4.6(b)(iii) and Clause 4.6(c), and to the Consideration Shares issuable to it pursuant to Clause 4.6(a); and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(e)any payment due to it under this Agreement will not be received by it under, or as part of, a “conduit arrangement”, as defined in Article 3(n) of the UK-US Treaty.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25.7Aston Martin warrants to Lucid that it is resident for tax purposes solely in the United Kingdom.</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25.8Each Party undertakes to the other promptly to notify the other party in writing if the representations contained in Clause 25.6 or 25.7 cease to be true during the life of this Agreement. In the event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21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21 | 50</w:t>
                      </w:r>
                    </w:p>
                  </w:txbxContent>
                </v:textbox>
                <w10:wrap type="none"/>
              </v:rect>
            </w:pict>
          </mc:Fallback>
        </mc:AlternateConten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assignment by a Party to an Affiliate in accordance with Clause 14, the assigning Party shall procure that its Affiliate gives a warranty to the other Party on equivalent terms to those contained in (i) Clause 25.6 or 25.7 respectively, and (ii) this Clause 25.8 (with any necessary modifications).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25.9Aston Martin’s obligation under Clause 25.4(a) above shall not apply to the extent that the deduction or withholding required to be made in respect of a payment would not have arisen but for: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warranty given by Lucid pursuant to Clause 25.6 above (or any equivalent warranty given by an Affiliate of Lucid in accordance with Clause 25.8 above) being incorrect as at the date that the relevant payment falls due otherwise than pursuant to a change of law after the date of this Agreement; or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 assignment by the payee of any of its rights under this Agreement.</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26.Waiver</w:t>
      </w:r>
    </w:p>
    <w:p>
      <w:pPr>
        <w:pStyle w:val="TextBody"/>
        <w:bidi w:val="0"/>
        <w:spacing w:lineRule="auto" w:line="355"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Failure by a Party to exercise, or a delay in exercising, a right or remedy provided by this Agreement or by Applicable Law does not constitute a waiver of the right or remedy or a waiver of any other rights or remedies. No single or partial exercise of a right or remedy by a Party provided by this Agreement or by law prevents the further exercise of the right or remedy or the exercise of another right or remedy. A waiver by a Party of a breach of this Agreement does not constitute a waiver of a subsequent or prior breach of this Agreement.</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27.Severability</w:t>
      </w:r>
    </w:p>
    <w:p>
      <w:pPr>
        <w:pStyle w:val="TextBody"/>
        <w:bidi w:val="0"/>
        <w:spacing w:lineRule="auto" w:line="355"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 provision of this Agreement is found to be illegal, invalid or unenforceable, then to the extent it is illegal, invalid or unenforceable, that provision will be given no effect and will be treated as though it were not included in this Agreement, but the validity or enforceability of the remaining provisions or parts of such provisions of this Agreement will not be affected. Upon a determination that any provision of this Agreement is illegal, invalid or unenforceable, the Parties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under Applicable Law.</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28.Counterparts</w:t>
      </w:r>
    </w:p>
    <w:p>
      <w:pPr>
        <w:pStyle w:val="TextBody"/>
        <w:bidi w:val="0"/>
        <w:spacing w:lineRule="auto" w:line="355"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may be entered into in any number of counterparts, each of which will be deemed to be an original and all of which, when taken together, will be deemed to be one and the same agreement. Any Extended Party may enter into this Agreement by executing any counterpart. A counterpart constitutes an original of this Agreement and all executed counterparts together have the same effect as if each Extended Party had executed the same document. A signed copy of this Agreement transmitted by facsimile, email or other means of electronic transmission will be deemed to have the same legal effect as delivery of an original executed copy of this Agreement for all purposes.</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22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22 | 50</w:t>
                      </w:r>
                    </w:p>
                  </w:txbxContent>
                </v:textbox>
                <w10:wrap type="none"/>
              </v:rect>
            </w:pict>
          </mc:Fallback>
        </mc:AlternateConten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 xml:space="preserve">29.Governing Law </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Agreement (including any non-contractual obligation, dispute, controversy or claim of whatever nature arising out of or in any way relating to the Agreement or its formation) shall be governed by and construed in accordance with the Laws of the state of New York, without giving effect to its principles of conflicts of laws. </w:t>
      </w:r>
    </w:p>
    <w:p>
      <w:pPr>
        <w:pStyle w:val="TextBody"/>
        <w:bidi w:val="0"/>
        <w:spacing w:lineRule="auto" w:line="355"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30.Arbitration</w:t>
      </w:r>
    </w:p>
    <w:p>
      <w:pPr>
        <w:pStyle w:val="TextBody"/>
        <w:bidi w:val="0"/>
        <w:spacing w:lineRule="auto" w:line="355" w:before="0" w:after="180"/>
        <w:ind w:left="0" w:right="0" w:hanging="720"/>
        <w:jc w:val="both"/>
        <w:rPr/>
      </w:pPr>
      <w:r>
        <w:rPr>
          <w:rFonts w:ascii="Times New Roman;sans-serif" w:hAnsi="Times New Roman;sans-serif"/>
          <w:b w:val="false"/>
          <w:color w:val="000000"/>
          <w:sz w:val="20"/>
        </w:rPr>
        <w:t xml:space="preserve">30.1Any dispute, controversy or claim arising out of, relating to this Agreement or the breach thereof (a </w:t>
      </w:r>
      <w:r>
        <w:rPr>
          <w:rFonts w:ascii="Times New Roman;sans-serif" w:hAnsi="Times New Roman;sans-serif"/>
          <w:b/>
          <w:i/>
          <w:color w:val="000000"/>
          <w:sz w:val="20"/>
        </w:rPr>
        <w:t>Dispute</w:t>
      </w:r>
      <w:r>
        <w:rPr>
          <w:rFonts w:ascii="Times New Roman;sans-serif" w:hAnsi="Times New Roman;sans-serif"/>
          <w:b w:val="false"/>
          <w:color w:val="000000"/>
          <w:sz w:val="20"/>
        </w:rPr>
        <w:t>), whether such Dispute arises before or after the termination of this Agreement, shall attempt to be settled by discussion and mutual accord within 60 Business Days after the date an Extended Party notifies the others in a writing specifying such Dispute. If the Dispute cannot be settled within that timeframe, or within an extended timeframe as mutually agreed by the Extended Parties, the Dispute shall be settled by arbitration administered by the International Centre for Dispute Resolution (</w:t>
      </w:r>
      <w:r>
        <w:rPr>
          <w:rFonts w:ascii="Times New Roman;sans-serif" w:hAnsi="Times New Roman;sans-serif"/>
          <w:b/>
          <w:i/>
          <w:color w:val="000000"/>
          <w:sz w:val="20"/>
        </w:rPr>
        <w:t>ICDR</w:t>
      </w:r>
      <w:r>
        <w:rPr>
          <w:rFonts w:ascii="Times New Roman;sans-serif" w:hAnsi="Times New Roman;sans-serif"/>
          <w:b w:val="false"/>
          <w:color w:val="000000"/>
          <w:sz w:val="20"/>
        </w:rPr>
        <w:t xml:space="preserve">) in accordance with its International Arbitration Rules (the </w:t>
      </w:r>
      <w:r>
        <w:rPr>
          <w:rFonts w:ascii="Times New Roman;sans-serif" w:hAnsi="Times New Roman;sans-serif"/>
          <w:b/>
          <w:i/>
          <w:color w:val="000000"/>
          <w:sz w:val="20"/>
        </w:rPr>
        <w:t>Rules</w:t>
      </w:r>
      <w:r>
        <w:rPr>
          <w:rFonts w:ascii="Times New Roman;sans-serif" w:hAnsi="Times New Roman;sans-serif"/>
          <w:b w:val="false"/>
          <w:color w:val="000000"/>
          <w:sz w:val="20"/>
        </w:rPr>
        <w:t xml:space="preserve">) and as set forth in this Agreement (the </w:t>
      </w:r>
      <w:r>
        <w:rPr>
          <w:rFonts w:ascii="Times New Roman;sans-serif" w:hAnsi="Times New Roman;sans-serif"/>
          <w:b/>
          <w:i/>
          <w:color w:val="000000"/>
          <w:sz w:val="20"/>
        </w:rPr>
        <w:t>Arbitration</w:t>
      </w:r>
      <w:r>
        <w:rPr>
          <w:rFonts w:ascii="Times New Roman;sans-serif" w:hAnsi="Times New Roman;sans-serif"/>
          <w:b w:val="false"/>
          <w:color w:val="000000"/>
          <w:sz w:val="20"/>
        </w:rPr>
        <w: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30.2The Arbitration shall be conducted by a panel of three arbitrators of whom one arbitrator shall be appointed by Lucid, one by Aston Martin and a third, the chairperson, by the two arbitrators so appointed. If a Party fails to appoint its arbitrator within 30 Business Days after the other Party’s arbitrator is appointed and such Party is served written notice of such appointment, or if the two arbitrators so appointed are unable to agree upon the appointment of the third arbitrator within 30 Business Days from the appointment of the second arbitrator, then the missing arbitrator shall be a New York law-qualified attorney with over 15 years of experience with arbitrations and shall be appointed by the ICDR.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30.3The legal seat of the Arbitration shall be New York, New York, United States.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30.4The arbitrators shall have exclusive jurisdiction over the entire matter in dispute, including any question as to its arbitrability; but shall not have the power to award any exemplary or punitive damages, however denominated, whether or not multiplied. The arbitrators shall not have power to alter, amend or add to the provisions of this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30.5The decision of the arbitrators shall be that made by the majority of the arbitrators, based upon a hearing, in which evidence may be introduced without following the strict rules of evidence, and in which cross-examination and rebuttal will be allowed. The decision of the arbitrators shall be accompanied by a reasoned opinion, which shall be in writing, signed by a majority of the arbitrators and including findings of fact and conclusions of law. The arbitrators will render their decision within 90 Business Days following the termination of the hearing, unless the Extended Parties consent to an extension.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30.6The decision of the arbitrators shall be final and binding on the Extended Parties. Judgment upon any award rendered by the arbitrators pursuant to their decision may be entered in any court having jurisdiction thereof, and shall be enforceable against the Extended Parties.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30.7Except as may be required by law or this Agreement, no Extended Party may disclose the existence, content, or results of the Arbitration without the prior written consent of all Extended Parties, and the Extended Parties will use their reasonable best efforts to cause the arbitrators to maintain the confidentiality of the Arbitration.</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23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23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30.8The tribunal shall have the power to apportion costs to the prevailing Extended Party.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30.9Upon the request of any Extended Party, the arbitration tribunal may, at any time before the first oral hearing of evidence, consolidate the arbitral proceeding with any other arbitration proceeding between or among the Extended Parties arising from or related to the Project Agreements, where (i) the proceedings involve common questions of law or fact or arise out of the same or similar events or circumstances such that a failure to consolidate the arbitrations would create a substantial risk of inconsistent results and (ii) the consolidation complies with the Rules.</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24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24 | 50</w:t>
                      </w:r>
                    </w:p>
                  </w:txbxContent>
                </v:textbox>
                <w10:wrap type="none"/>
              </v:rect>
            </w:pict>
          </mc:Fallback>
        </mc:AlternateContent>
      </w:r>
    </w:p>
    <w:p>
      <w:pPr>
        <w:pStyle w:val="TextBody"/>
        <w:bidi w:val="0"/>
        <w:spacing w:lineRule="auto" w:line="304" w:before="0" w:after="240"/>
        <w:jc w:val="both"/>
        <w:rPr/>
      </w:pPr>
      <w:r>
        <w:rPr>
          <w:rFonts w:ascii="Times New Roman;sans-serif" w:hAnsi="Times New Roman;sans-serif"/>
          <w:b/>
          <w:color w:val="000000"/>
          <w:sz w:val="20"/>
        </w:rPr>
        <w:t>Schedule 1</w:t>
      </w:r>
      <w:r>
        <w:rPr>
          <w:rFonts w:ascii="Times New Roman;sans-serif" w:hAnsi="Times New Roman;sans-serif"/>
          <w:b/>
          <w:color w:val="000000"/>
          <w:sz w:val="20"/>
        </w:rPr>
        <w:br/>
        <w:t>Definitions</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1.In this Agreement:</w:t>
      </w:r>
    </w:p>
    <w:p>
      <w:pPr>
        <w:pStyle w:val="TextBody"/>
        <w:bidi w:val="0"/>
        <w:spacing w:lineRule="auto" w:line="355" w:before="0" w:after="180"/>
        <w:jc w:val="both"/>
        <w:rPr/>
      </w:pPr>
      <w:r>
        <w:rPr>
          <w:rFonts w:ascii="Times New Roman;sans-serif" w:hAnsi="Times New Roman;sans-serif"/>
          <w:b/>
          <w:i/>
          <w:color w:val="000000"/>
          <w:sz w:val="20"/>
        </w:rPr>
        <w:t>Act</w:t>
      </w:r>
      <w:r>
        <w:rPr>
          <w:color w:val="000000"/>
        </w:rPr>
        <w:t xml:space="preserve"> </w:t>
      </w:r>
      <w:r>
        <w:rPr>
          <w:rFonts w:ascii="Times New Roman;sans-serif" w:hAnsi="Times New Roman;sans-serif"/>
          <w:b w:val="false"/>
          <w:color w:val="000000"/>
          <w:sz w:val="20"/>
        </w:rPr>
        <w:t>means the Companies Act 2006;</w:t>
      </w:r>
    </w:p>
    <w:p>
      <w:pPr>
        <w:pStyle w:val="TextBody"/>
        <w:bidi w:val="0"/>
        <w:spacing w:lineRule="auto" w:line="355" w:before="0" w:after="180"/>
        <w:jc w:val="both"/>
        <w:rPr/>
      </w:pPr>
      <w:r>
        <w:rPr>
          <w:rFonts w:ascii="Times New Roman;sans-serif" w:hAnsi="Times New Roman;sans-serif"/>
          <w:b/>
          <w:i/>
          <w:color w:val="000000"/>
          <w:sz w:val="20"/>
        </w:rPr>
        <w:t xml:space="preserve">Additional Amount </w:t>
      </w:r>
      <w:r>
        <w:rPr>
          <w:rFonts w:ascii="Times New Roman;sans-serif" w:hAnsi="Times New Roman;sans-serif"/>
          <w:b w:val="false"/>
          <w:color w:val="000000"/>
          <w:sz w:val="20"/>
        </w:rPr>
        <w:t>has the meaning given in Clause 25.4;</w:t>
      </w:r>
    </w:p>
    <w:p>
      <w:pPr>
        <w:pStyle w:val="TextBody"/>
        <w:bidi w:val="0"/>
        <w:spacing w:lineRule="auto" w:line="355" w:before="0" w:after="180"/>
        <w:jc w:val="both"/>
        <w:rPr/>
      </w:pPr>
      <w:r>
        <w:rPr>
          <w:rFonts w:ascii="Times New Roman;sans-serif" w:hAnsi="Times New Roman;sans-serif"/>
          <w:b/>
          <w:i/>
          <w:color w:val="000000"/>
          <w:sz w:val="20"/>
        </w:rPr>
        <w:t>Adjustment Event</w:t>
      </w:r>
      <w:r>
        <w:rPr>
          <w:color w:val="000000"/>
        </w:rPr>
        <w:t xml:space="preserve"> </w:t>
      </w:r>
      <w:r>
        <w:rPr>
          <w:rFonts w:ascii="Times New Roman;sans-serif" w:hAnsi="Times New Roman;sans-serif"/>
          <w:b w:val="false"/>
          <w:color w:val="000000"/>
          <w:sz w:val="20"/>
        </w:rPr>
        <w:t>has the meaning given in Clause 6(b)(i);</w:t>
      </w:r>
    </w:p>
    <w:p>
      <w:pPr>
        <w:pStyle w:val="TextBody"/>
        <w:bidi w:val="0"/>
        <w:spacing w:lineRule="auto" w:line="355" w:before="0" w:after="180"/>
        <w:jc w:val="both"/>
        <w:rPr/>
      </w:pPr>
      <w:r>
        <w:rPr>
          <w:rFonts w:ascii="Times New Roman;sans-serif" w:hAnsi="Times New Roman;sans-serif"/>
          <w:b/>
          <w:i/>
          <w:color w:val="000000"/>
          <w:sz w:val="20"/>
        </w:rPr>
        <w:t>Admission</w:t>
      </w:r>
      <w:r>
        <w:rPr>
          <w:color w:val="000000"/>
        </w:rPr>
        <w:t xml:space="preserve"> </w:t>
      </w:r>
      <w:r>
        <w:rPr>
          <w:rFonts w:ascii="Times New Roman;sans-serif" w:hAnsi="Times New Roman;sans-serif"/>
          <w:b w:val="false"/>
          <w:color w:val="000000"/>
          <w:sz w:val="20"/>
        </w:rPr>
        <w:t>means the admission to listing on the premium listing segment of the Official List and to trading on the LSE’s main market for listed securities becoming effective in accordance with, respectively, the Listing Rules and Admission and Disclosure Standards;</w:t>
      </w:r>
    </w:p>
    <w:p>
      <w:pPr>
        <w:pStyle w:val="TextBody"/>
        <w:bidi w:val="0"/>
        <w:spacing w:lineRule="auto" w:line="355" w:before="0" w:after="180"/>
        <w:jc w:val="both"/>
        <w:rPr/>
      </w:pPr>
      <w:r>
        <w:rPr>
          <w:rFonts w:ascii="Times New Roman;sans-serif" w:hAnsi="Times New Roman;sans-serif"/>
          <w:b/>
          <w:i/>
          <w:color w:val="000000"/>
          <w:sz w:val="20"/>
        </w:rPr>
        <w:t>Admission and Disclosure Standards</w:t>
      </w:r>
      <w:r>
        <w:rPr>
          <w:color w:val="000000"/>
        </w:rPr>
        <w:t xml:space="preserve"> </w:t>
      </w:r>
      <w:r>
        <w:rPr>
          <w:rFonts w:ascii="Times New Roman;sans-serif" w:hAnsi="Times New Roman;sans-serif"/>
          <w:b w:val="false"/>
          <w:color w:val="000000"/>
          <w:sz w:val="20"/>
        </w:rPr>
        <w:t>means the rules issued by the LSE in relation to the admission to trading of, and continuing requirements for, securities admitted to the Official List;</w:t>
      </w:r>
    </w:p>
    <w:p>
      <w:pPr>
        <w:pStyle w:val="TextBody"/>
        <w:bidi w:val="0"/>
        <w:spacing w:lineRule="auto" w:line="355" w:before="0" w:after="180"/>
        <w:jc w:val="both"/>
        <w:rPr/>
      </w:pPr>
      <w:r>
        <w:rPr>
          <w:rFonts w:ascii="Times New Roman;sans-serif" w:hAnsi="Times New Roman;sans-serif"/>
          <w:b/>
          <w:i/>
          <w:color w:val="000000"/>
          <w:sz w:val="20"/>
        </w:rPr>
        <w:t>Adverse Recommendation Change</w:t>
      </w:r>
      <w:r>
        <w:rPr>
          <w:color w:val="000000"/>
        </w:rPr>
        <w:t xml:space="preserve"> </w:t>
      </w:r>
      <w:r>
        <w:rPr>
          <w:rFonts w:ascii="Times New Roman;sans-serif" w:hAnsi="Times New Roman;sans-serif"/>
          <w:b w:val="false"/>
          <w:color w:val="000000"/>
          <w:sz w:val="20"/>
        </w:rPr>
        <w:t>has the meaning given in Clause 3.4;</w:t>
      </w:r>
    </w:p>
    <w:p>
      <w:pPr>
        <w:pStyle w:val="TextBody"/>
        <w:bidi w:val="0"/>
        <w:spacing w:lineRule="auto" w:line="355" w:before="0" w:after="180"/>
        <w:jc w:val="both"/>
        <w:rPr/>
      </w:pP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means: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(a)with respect to Lucid, any person that directly, or indirectly through one or more intermediaries, is Controlled by Lucid Parent;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(b)with respect to Aston Martin, any person that directly, or indirectly through one or more intermediaries, is Controlled by Aston Martin;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(c)with respect to any other person, any person that directly, or indirectly through one or more intermediaries, Controls or is Controlled by or is under common Control with that person; </w:t>
      </w:r>
    </w:p>
    <w:p>
      <w:pPr>
        <w:pStyle w:val="TextBody"/>
        <w:bidi w:val="0"/>
        <w:spacing w:lineRule="auto" w:line="355" w:before="0" w:after="180"/>
        <w:jc w:val="both"/>
        <w:rPr/>
      </w:pPr>
      <w:r>
        <w:rPr>
          <w:rFonts w:ascii="Times New Roman;sans-serif" w:hAnsi="Times New Roman;sans-serif"/>
          <w:b/>
          <w:i/>
          <w:color w:val="000000"/>
          <w:sz w:val="20"/>
        </w:rPr>
        <w:t>Allotment Date</w:t>
      </w:r>
      <w:r>
        <w:rPr>
          <w:color w:val="000000"/>
        </w:rPr>
        <w:t xml:space="preserve"> </w:t>
      </w:r>
      <w:r>
        <w:rPr>
          <w:rFonts w:ascii="Times New Roman;sans-serif" w:hAnsi="Times New Roman;sans-serif"/>
          <w:b w:val="false"/>
          <w:color w:val="000000"/>
          <w:sz w:val="20"/>
        </w:rPr>
        <w:t>means the date on which the Integration Agreement is entered into pursuant to Clause 4.5 and on which the Consideration Shares are allotted pursuant to Clause 4.6(a);</w:t>
      </w:r>
    </w:p>
    <w:p>
      <w:pPr>
        <w:pStyle w:val="TextBody"/>
        <w:bidi w:val="0"/>
        <w:spacing w:lineRule="auto" w:line="355" w:before="0" w:after="180"/>
        <w:jc w:val="both"/>
        <w:rPr/>
      </w:pPr>
      <w:r>
        <w:rPr>
          <w:rFonts w:ascii="Times New Roman;sans-serif" w:hAnsi="Times New Roman;sans-serif"/>
          <w:b/>
          <w:i/>
          <w:color w:val="000000"/>
          <w:sz w:val="20"/>
        </w:rPr>
        <w:t>Anti-Bribery Laws</w:t>
      </w:r>
      <w:r>
        <w:rPr>
          <w:color w:val="000000"/>
        </w:rPr>
        <w:t xml:space="preserve"> </w:t>
      </w:r>
      <w:r>
        <w:rPr>
          <w:rFonts w:ascii="Times New Roman;sans-serif" w:hAnsi="Times New Roman;sans-serif"/>
          <w:b w:val="false"/>
          <w:color w:val="000000"/>
          <w:sz w:val="20"/>
        </w:rPr>
        <w:t>has the meaning given in paragraph 12(a) of Part A of Schedule 2;</w:t>
      </w:r>
    </w:p>
    <w:p>
      <w:pPr>
        <w:pStyle w:val="TextBody"/>
        <w:bidi w:val="0"/>
        <w:spacing w:lineRule="auto" w:line="355" w:before="0" w:after="180"/>
        <w:jc w:val="both"/>
        <w:rPr/>
      </w:pPr>
      <w:r>
        <w:rPr>
          <w:rFonts w:ascii="Times New Roman;sans-serif" w:hAnsi="Times New Roman;sans-serif"/>
          <w:b/>
          <w:i/>
          <w:color w:val="000000"/>
          <w:sz w:val="20"/>
        </w:rPr>
        <w:t>Antitrust Condition</w:t>
      </w:r>
      <w:r>
        <w:rPr>
          <w:color w:val="000000"/>
        </w:rPr>
        <w:t xml:space="preserve"> </w:t>
      </w:r>
      <w:r>
        <w:rPr>
          <w:rFonts w:ascii="Times New Roman;sans-serif" w:hAnsi="Times New Roman;sans-serif"/>
          <w:b w:val="false"/>
          <w:color w:val="000000"/>
          <w:sz w:val="20"/>
        </w:rPr>
        <w:t>has the meaning given in Clause 2.1(d);</w:t>
      </w:r>
    </w:p>
    <w:p>
      <w:pPr>
        <w:pStyle w:val="TextBody"/>
        <w:bidi w:val="0"/>
        <w:spacing w:lineRule="auto" w:line="355" w:before="0" w:after="180"/>
        <w:jc w:val="both"/>
        <w:rPr/>
      </w:pPr>
      <w:r>
        <w:rPr>
          <w:rFonts w:ascii="Times New Roman;sans-serif" w:hAnsi="Times New Roman;sans-serif"/>
          <w:b/>
          <w:i/>
          <w:color w:val="000000"/>
          <w:sz w:val="20"/>
        </w:rPr>
        <w:t>Antitrust Laws</w:t>
      </w:r>
      <w:r>
        <w:rPr>
          <w:color w:val="000000"/>
        </w:rPr>
        <w:t xml:space="preserve"> </w:t>
      </w:r>
      <w:r>
        <w:rPr>
          <w:rFonts w:ascii="Times New Roman;sans-serif" w:hAnsi="Times New Roman;sans-serif"/>
          <w:b w:val="false"/>
          <w:color w:val="000000"/>
          <w:sz w:val="20"/>
        </w:rPr>
        <w:t>means any applicable laws in effect from time to time that are designed or intended to prohibit, restrict or regulate actions having the purpose or effect of monopolization or restraint of trade.</w:t>
      </w:r>
    </w:p>
    <w:p>
      <w:pPr>
        <w:pStyle w:val="TextBody"/>
        <w:bidi w:val="0"/>
        <w:spacing w:lineRule="auto" w:line="355" w:before="0" w:after="180"/>
        <w:jc w:val="both"/>
        <w:rPr/>
      </w:pPr>
      <w:r>
        <w:rPr>
          <w:rFonts w:ascii="Times New Roman;sans-serif" w:hAnsi="Times New Roman;sans-serif"/>
          <w:b/>
          <w:i/>
          <w:color w:val="000000"/>
          <w:sz w:val="20"/>
        </w:rPr>
        <w:t xml:space="preserve">Applicable Law </w:t>
      </w:r>
      <w:r>
        <w:rPr>
          <w:rFonts w:ascii="Times New Roman;sans-serif" w:hAnsi="Times New Roman;sans-serif"/>
          <w:b w:val="false"/>
          <w:color w:val="000000"/>
          <w:sz w:val="20"/>
        </w:rPr>
        <w:t>means, in respect of a person, all applicable civil and common law, statute, subordinate legislation, treaty, regulations, directive, decision, by-law, ordinance, code, regulatory license, regulatory consent, direction, request, order, decree, injunction or judgment of any competent Regulatory Authority to which it is subject and by which it is bound;</w:t>
      </w:r>
    </w:p>
    <w:p>
      <w:pPr>
        <w:pStyle w:val="TextBody"/>
        <w:bidi w:val="0"/>
        <w:spacing w:lineRule="auto" w:line="355" w:before="0" w:after="180"/>
        <w:jc w:val="both"/>
        <w:rPr/>
      </w:pPr>
      <w:r>
        <w:rPr>
          <w:rFonts w:ascii="Times New Roman;sans-serif" w:hAnsi="Times New Roman;sans-serif"/>
          <w:b/>
          <w:i/>
          <w:color w:val="000000"/>
          <w:sz w:val="20"/>
        </w:rPr>
        <w:t>Articles of Association</w:t>
      </w:r>
      <w:r>
        <w:rPr>
          <w:color w:val="000000"/>
        </w:rPr>
        <w:t xml:space="preserve"> </w:t>
      </w:r>
      <w:r>
        <w:rPr>
          <w:rFonts w:ascii="Times New Roman;sans-serif" w:hAnsi="Times New Roman;sans-serif"/>
          <w:b w:val="false"/>
          <w:color w:val="000000"/>
          <w:sz w:val="20"/>
        </w:rPr>
        <w:t xml:space="preserve">means the articles of association of Aston Martin, as amended from time to time, and any reference to an </w:t>
      </w:r>
      <w:r>
        <w:rPr>
          <w:rFonts w:ascii="Times New Roman;sans-serif" w:hAnsi="Times New Roman;sans-serif"/>
          <w:b/>
          <w:i/>
          <w:color w:val="000000"/>
          <w:sz w:val="20"/>
        </w:rPr>
        <w:t>Article</w:t>
      </w:r>
      <w:r>
        <w:rPr>
          <w:color w:val="000000"/>
        </w:rPr>
        <w:t xml:space="preserve"> </w:t>
      </w:r>
      <w:r>
        <w:rPr>
          <w:rFonts w:ascii="Times New Roman;sans-serif" w:hAnsi="Times New Roman;sans-serif"/>
          <w:b w:val="false"/>
          <w:color w:val="000000"/>
          <w:sz w:val="20"/>
        </w:rPr>
        <w:t>shall be a reference to that article of the Articles of Association;</w:t>
      </w:r>
    </w:p>
    <w:p>
      <w:pPr>
        <w:pStyle w:val="TextBody"/>
        <w:bidi w:val="0"/>
        <w:spacing w:lineRule="auto" w:line="355" w:before="0" w:after="180"/>
        <w:jc w:val="both"/>
        <w:rPr/>
      </w:pPr>
      <w:r>
        <w:rPr>
          <w:rFonts w:ascii="Times New Roman;sans-serif" w:hAnsi="Times New Roman;sans-serif"/>
          <w:b/>
          <w:i/>
          <w:color w:val="000000"/>
          <w:sz w:val="20"/>
        </w:rPr>
        <w:t xml:space="preserve">Aston Martin Change of Control </w:t>
      </w:r>
      <w:r>
        <w:rPr>
          <w:rFonts w:ascii="Times New Roman;sans-serif" w:hAnsi="Times New Roman;sans-serif"/>
          <w:b w:val="false"/>
          <w:color w:val="000000"/>
          <w:sz w:val="20"/>
        </w:rPr>
        <w:t>means each of the following events: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person (or any persons acting in concert (as defined in the Code)): (i) becomes interested (within the meaning of Part 22 of the Act) in, or (ii) announces or makes a recommended firm offer (as defined in the Code), or enters into a binding agreement, in connection with becoming so interested in: (A) more than 50 per cent. of the issued or allotted Ordinary Shares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25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25 | 50</w:t>
                      </w:r>
                    </w:p>
                  </w:txbxContent>
                </v:textbox>
                <w10:wrap type="none"/>
              </v:rect>
            </w:pict>
          </mc:Fallback>
        </mc:AlternateConten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Aston Martin, or (B) shares in the capital of Aston Martin carrying more than 50 per cent. of the voting rights normally exercisable on a poll at a general meeting of Aston Martin;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person that is not a member of the Aston Martin Group (or any persons acting in concert (as defined in the Code) that are not members of the Aston Martin Group) enters into a binding agreement to acquire Control over AML or purchases or is the transferee of all or substantially all (in one or a series of transactions) of AML’s assets;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(c)Aston Martin enters into a binding agreement to sell or transfer, or sells or transfers, all or substantially all (in one or a series of transactions) of Aston Martin’s and its Group’s assets (taken as a whole) to another person (or to persons acting together pursuant to an agreement or understanding in connection with the transaction) other than a wholly-owned direct or indirect subsidiary of Aston Martin;</w:t>
      </w:r>
    </w:p>
    <w:p>
      <w:pPr>
        <w:pStyle w:val="TextBody"/>
        <w:bidi w:val="0"/>
        <w:spacing w:lineRule="auto" w:line="355" w:before="0" w:after="180"/>
        <w:jc w:val="both"/>
        <w:rPr/>
      </w:pPr>
      <w:r>
        <w:rPr>
          <w:rFonts w:ascii="Times New Roman;sans-serif" w:hAnsi="Times New Roman;sans-serif"/>
          <w:b/>
          <w:i/>
          <w:color w:val="000000"/>
          <w:sz w:val="20"/>
        </w:rPr>
        <w:t xml:space="preserve">Aston Martin Competitor </w:t>
      </w:r>
      <w:r>
        <w:rPr>
          <w:rFonts w:ascii="Times New Roman;sans-serif" w:hAnsi="Times New Roman;sans-serif"/>
          <w:b w:val="false"/>
          <w:color w:val="000000"/>
          <w:sz w:val="20"/>
        </w:rPr>
        <w:t>has the meaning given in Clause 8;</w:t>
      </w:r>
    </w:p>
    <w:p>
      <w:pPr>
        <w:pStyle w:val="TextBody"/>
        <w:bidi w:val="0"/>
        <w:spacing w:lineRule="auto" w:line="355" w:before="0" w:after="180"/>
        <w:jc w:val="both"/>
        <w:rPr/>
      </w:pPr>
      <w:r>
        <w:rPr>
          <w:rFonts w:ascii="Times New Roman;sans-serif" w:hAnsi="Times New Roman;sans-serif"/>
          <w:b/>
          <w:i/>
          <w:color w:val="000000"/>
          <w:sz w:val="20"/>
        </w:rPr>
        <w:t xml:space="preserve">Aston Martin Directors </w:t>
      </w:r>
      <w:r>
        <w:rPr>
          <w:rFonts w:ascii="Times New Roman;sans-serif" w:hAnsi="Times New Roman;sans-serif"/>
          <w:b w:val="false"/>
          <w:color w:val="000000"/>
          <w:sz w:val="20"/>
        </w:rPr>
        <w:t>means the directors of Aston Martin from time to time;</w:t>
      </w:r>
    </w:p>
    <w:p>
      <w:pPr>
        <w:pStyle w:val="TextBody"/>
        <w:bidi w:val="0"/>
        <w:spacing w:lineRule="auto" w:line="355" w:before="0" w:after="180"/>
        <w:jc w:val="both"/>
        <w:rPr/>
      </w:pPr>
      <w:r>
        <w:rPr>
          <w:rFonts w:ascii="Times New Roman;sans-serif" w:hAnsi="Times New Roman;sans-serif"/>
          <w:b/>
          <w:i/>
          <w:color w:val="000000"/>
          <w:sz w:val="20"/>
        </w:rPr>
        <w:t xml:space="preserve">Aston Martin Independent Directors </w:t>
      </w:r>
      <w:r>
        <w:rPr>
          <w:rFonts w:ascii="Times New Roman;sans-serif" w:hAnsi="Times New Roman;sans-serif"/>
          <w:b w:val="false"/>
          <w:color w:val="000000"/>
          <w:sz w:val="20"/>
        </w:rPr>
        <w:t>means the Aston Martin Directors other than the Related Party Directors;</w:t>
      </w:r>
    </w:p>
    <w:p>
      <w:pPr>
        <w:pStyle w:val="TextBody"/>
        <w:bidi w:val="0"/>
        <w:spacing w:lineRule="auto" w:line="355" w:before="0" w:after="180"/>
        <w:jc w:val="both"/>
        <w:rPr/>
      </w:pPr>
      <w:r>
        <w:rPr>
          <w:rFonts w:ascii="Times New Roman;sans-serif" w:hAnsi="Times New Roman;sans-serif"/>
          <w:b/>
          <w:i/>
          <w:color w:val="000000"/>
          <w:sz w:val="20"/>
        </w:rPr>
        <w:t>Aston Martin Independent Directors’ Recommendation</w:t>
      </w:r>
      <w:r>
        <w:rPr>
          <w:color w:val="000000"/>
        </w:rPr>
        <w:t xml:space="preserve"> </w:t>
      </w:r>
      <w:r>
        <w:rPr>
          <w:rFonts w:ascii="Times New Roman;sans-serif" w:hAnsi="Times New Roman;sans-serif"/>
          <w:b w:val="false"/>
          <w:color w:val="000000"/>
          <w:sz w:val="20"/>
        </w:rPr>
        <w:t>means a unanimous and unqualified recommendation from the Aston Martin Independent Directors to the Aston Martin Shareholders to vote in favour of the Shareholder Resolutions to be proposed at the General Meeting;</w:t>
      </w:r>
    </w:p>
    <w:p>
      <w:pPr>
        <w:pStyle w:val="TextBody"/>
        <w:bidi w:val="0"/>
        <w:spacing w:lineRule="auto" w:line="355" w:before="0" w:after="180"/>
        <w:jc w:val="both"/>
        <w:rPr/>
      </w:pPr>
      <w:r>
        <w:rPr>
          <w:rFonts w:ascii="Times New Roman;sans-serif" w:hAnsi="Times New Roman;sans-serif"/>
          <w:b/>
          <w:i/>
          <w:color w:val="000000"/>
          <w:sz w:val="20"/>
        </w:rPr>
        <w:t>Aston Martin Material Warranty Breach</w:t>
      </w:r>
      <w:r>
        <w:rPr>
          <w:color w:val="000000"/>
        </w:rPr>
        <w:t xml:space="preserve"> </w:t>
      </w:r>
      <w:r>
        <w:rPr>
          <w:rFonts w:ascii="Times New Roman;sans-serif" w:hAnsi="Times New Roman;sans-serif"/>
          <w:b w:val="false"/>
          <w:color w:val="000000"/>
          <w:sz w:val="20"/>
        </w:rPr>
        <w:t>means: (a) a breach by Aston Martin of a Fundamental Warranty, or (b) a breach by Aston Martin of a Warranty which is not a Fundamental Warranty and which, individually or together with any other such breach by Aston Martin of a Warranty, is material in the context of the Aston Martin Group as a whole;</w:t>
      </w:r>
    </w:p>
    <w:p>
      <w:pPr>
        <w:pStyle w:val="TextBody"/>
        <w:bidi w:val="0"/>
        <w:spacing w:lineRule="auto" w:line="355" w:before="0" w:after="180"/>
        <w:jc w:val="both"/>
        <w:rPr/>
      </w:pPr>
      <w:r>
        <w:rPr>
          <w:rFonts w:ascii="Times New Roman;sans-serif" w:hAnsi="Times New Roman;sans-serif"/>
          <w:b/>
          <w:i/>
          <w:color w:val="000000"/>
          <w:sz w:val="20"/>
        </w:rPr>
        <w:t>Aston Martin Public Documents</w:t>
      </w:r>
      <w:r>
        <w:rPr>
          <w:color w:val="000000"/>
        </w:rPr>
        <w:t xml:space="preserve"> </w:t>
      </w:r>
      <w:r>
        <w:rPr>
          <w:rFonts w:ascii="Times New Roman;sans-serif" w:hAnsi="Times New Roman;sans-serif"/>
          <w:b w:val="false"/>
          <w:color w:val="000000"/>
          <w:sz w:val="20"/>
        </w:rPr>
        <w:t>means all public filings and/or announcements by (or on behalf of) Aston Martin which have been released through a Regulatory Information Service, and all documents made publicly available in accordance with the Act, the Disclosure and Transparency Rules, the Prospectus Regulation, the Listing Rules and the Market Abuse Regulation, in each case prior to the date of this Agreement;</w:t>
      </w:r>
    </w:p>
    <w:p>
      <w:pPr>
        <w:pStyle w:val="TextBody"/>
        <w:bidi w:val="0"/>
        <w:spacing w:lineRule="auto" w:line="355" w:before="0" w:after="180"/>
        <w:jc w:val="both"/>
        <w:rPr/>
      </w:pPr>
      <w:r>
        <w:rPr>
          <w:rFonts w:ascii="Times New Roman;sans-serif" w:hAnsi="Times New Roman;sans-serif"/>
          <w:b/>
          <w:i/>
          <w:color w:val="000000"/>
          <w:sz w:val="20"/>
        </w:rPr>
        <w:t>Aston Martin Shareholders</w:t>
      </w:r>
      <w:r>
        <w:rPr>
          <w:color w:val="000000"/>
        </w:rPr>
        <w:t xml:space="preserve"> </w:t>
      </w:r>
      <w:r>
        <w:rPr>
          <w:rFonts w:ascii="Times New Roman;sans-serif" w:hAnsi="Times New Roman;sans-serif"/>
          <w:b w:val="false"/>
          <w:color w:val="000000"/>
          <w:sz w:val="20"/>
        </w:rPr>
        <w:t>means the holders of Ordinary Shares from time to time;</w:t>
      </w:r>
    </w:p>
    <w:p>
      <w:pPr>
        <w:pStyle w:val="TextBody"/>
        <w:bidi w:val="0"/>
        <w:spacing w:lineRule="auto" w:line="355" w:before="0" w:after="180"/>
        <w:jc w:val="both"/>
        <w:rPr/>
      </w:pPr>
      <w:r>
        <w:rPr>
          <w:rFonts w:ascii="Times New Roman;sans-serif" w:hAnsi="Times New Roman;sans-serif"/>
          <w:b/>
          <w:i/>
          <w:color w:val="000000"/>
          <w:sz w:val="20"/>
        </w:rPr>
        <w:t>Aston Martin Vehicles</w:t>
      </w:r>
      <w:r>
        <w:rPr>
          <w:color w:val="000000"/>
        </w:rPr>
        <w:t xml:space="preserve"> </w:t>
      </w:r>
      <w:r>
        <w:rPr>
          <w:rFonts w:ascii="Times New Roman;sans-serif" w:hAnsi="Times New Roman;sans-serif"/>
          <w:b w:val="false"/>
          <w:color w:val="000000"/>
          <w:sz w:val="20"/>
        </w:rPr>
        <w:t>means battery electric vehicles under an Aston Martin Group brand;</w:t>
      </w:r>
    </w:p>
    <w:p>
      <w:pPr>
        <w:pStyle w:val="TextBody"/>
        <w:bidi w:val="0"/>
        <w:spacing w:lineRule="auto" w:line="355" w:before="0" w:after="180"/>
        <w:jc w:val="both"/>
        <w:rPr/>
      </w:pPr>
      <w:r>
        <w:rPr>
          <w:rFonts w:ascii="Times New Roman;sans-serif" w:hAnsi="Times New Roman;sans-serif"/>
          <w:b/>
          <w:i/>
          <w:color w:val="000000"/>
          <w:sz w:val="20"/>
        </w:rPr>
        <w:t>Board</w:t>
      </w:r>
      <w:r>
        <w:rPr>
          <w:color w:val="000000"/>
        </w:rPr>
        <w:t xml:space="preserve"> </w:t>
      </w:r>
      <w:r>
        <w:rPr>
          <w:rFonts w:ascii="Times New Roman;sans-serif" w:hAnsi="Times New Roman;sans-serif"/>
          <w:b w:val="false"/>
          <w:color w:val="000000"/>
          <w:sz w:val="20"/>
        </w:rPr>
        <w:t>means Aston Martin’s board of directors from time to time;</w:t>
      </w:r>
    </w:p>
    <w:p>
      <w:pPr>
        <w:pStyle w:val="TextBody"/>
        <w:bidi w:val="0"/>
        <w:spacing w:lineRule="auto" w:line="355" w:before="0" w:after="180"/>
        <w:jc w:val="both"/>
        <w:rPr/>
      </w:pPr>
      <w:r>
        <w:rPr>
          <w:rFonts w:ascii="Times New Roman;sans-serif" w:hAnsi="Times New Roman;sans-serif"/>
          <w:b/>
          <w:i/>
          <w:color w:val="000000"/>
          <w:sz w:val="20"/>
        </w:rPr>
        <w:t>Business Day</w:t>
      </w:r>
      <w:r>
        <w:rPr>
          <w:color w:val="000000"/>
        </w:rPr>
        <w:t xml:space="preserve"> </w:t>
      </w:r>
      <w:r>
        <w:rPr>
          <w:rFonts w:ascii="Times New Roman;sans-serif" w:hAnsi="Times New Roman;sans-serif"/>
          <w:b w:val="false"/>
          <w:color w:val="000000"/>
          <w:sz w:val="20"/>
        </w:rPr>
        <w:t>means any day (except a Saturday or Sunday) on which banks are generally open for business in both England and California;</w:t>
      </w:r>
    </w:p>
    <w:p>
      <w:pPr>
        <w:pStyle w:val="TextBody"/>
        <w:bidi w:val="0"/>
        <w:spacing w:lineRule="auto" w:line="355" w:before="0" w:after="180"/>
        <w:jc w:val="both"/>
        <w:rPr/>
      </w:pPr>
      <w:r>
        <w:rPr>
          <w:rFonts w:ascii="Times New Roman;sans-serif" w:hAnsi="Times New Roman;sans-serif"/>
          <w:b/>
          <w:i/>
          <w:color w:val="000000"/>
          <w:sz w:val="20"/>
        </w:rPr>
        <w:t xml:space="preserve">Circular </w:t>
      </w:r>
      <w:r>
        <w:rPr>
          <w:rFonts w:ascii="Times New Roman;sans-serif" w:hAnsi="Times New Roman;sans-serif"/>
          <w:b w:val="false"/>
          <w:color w:val="000000"/>
          <w:sz w:val="20"/>
        </w:rPr>
        <w:t xml:space="preserve">means the circular to be approved by the FCA pursuant to the Listing Rules and published and made available by Aston Martin in accordance with the Applicable Laws, including to Aston Martin Shareholders, in relation to the transactions contemplated by this Agreement, enclosing a notice of the General Meeting containing the Shareholder Resolutions and incorporating the Aston Martin Independent Directors’ Recommendation; </w:t>
      </w:r>
    </w:p>
    <w:p>
      <w:pPr>
        <w:pStyle w:val="TextBody"/>
        <w:bidi w:val="0"/>
        <w:spacing w:lineRule="auto" w:line="355" w:before="0" w:after="180"/>
        <w:jc w:val="both"/>
        <w:rPr/>
      </w:pPr>
      <w:r>
        <w:rPr>
          <w:rFonts w:ascii="Times New Roman;sans-serif" w:hAnsi="Times New Roman;sans-serif"/>
          <w:b/>
          <w:i/>
          <w:color w:val="000000"/>
          <w:sz w:val="20"/>
        </w:rPr>
        <w:t xml:space="preserve">Circular Condition </w:t>
      </w:r>
      <w:r>
        <w:rPr>
          <w:rFonts w:ascii="Times New Roman;sans-serif" w:hAnsi="Times New Roman;sans-serif"/>
          <w:b w:val="false"/>
          <w:color w:val="000000"/>
          <w:sz w:val="20"/>
        </w:rPr>
        <w:t>has the meaning given in Clause 2.1(a);</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26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26 | 50</w:t>
                      </w:r>
                    </w:p>
                  </w:txbxContent>
                </v:textbox>
                <w10:wrap type="none"/>
              </v:rect>
            </w:pict>
          </mc:Fallback>
        </mc:AlternateContent>
      </w:r>
    </w:p>
    <w:p>
      <w:pPr>
        <w:pStyle w:val="TextBody"/>
        <w:bidi w:val="0"/>
        <w:spacing w:lineRule="auto" w:line="355" w:before="0" w:after="180"/>
        <w:jc w:val="both"/>
        <w:rPr/>
      </w:pPr>
      <w:r>
        <w:rPr>
          <w:rFonts w:ascii="Times New Roman;sans-serif" w:hAnsi="Times New Roman;sans-serif"/>
          <w:b/>
          <w:i/>
          <w:color w:val="000000"/>
          <w:sz w:val="20"/>
        </w:rPr>
        <w:t>Code</w:t>
      </w:r>
      <w:r>
        <w:rPr>
          <w:color w:val="000000"/>
        </w:rPr>
        <w:t xml:space="preserve"> </w:t>
      </w:r>
      <w:r>
        <w:rPr>
          <w:rFonts w:ascii="Times New Roman;sans-serif" w:hAnsi="Times New Roman;sans-serif"/>
          <w:b w:val="false"/>
          <w:color w:val="000000"/>
          <w:sz w:val="20"/>
        </w:rPr>
        <w:t>means the UK City Code on Takeovers and Mergers;</w:t>
      </w:r>
    </w:p>
    <w:p>
      <w:pPr>
        <w:pStyle w:val="TextBody"/>
        <w:bidi w:val="0"/>
        <w:spacing w:lineRule="auto" w:line="355" w:before="0" w:after="180"/>
        <w:jc w:val="both"/>
        <w:rPr/>
      </w:pPr>
      <w:r>
        <w:rPr>
          <w:rFonts w:ascii="Times New Roman;sans-serif" w:hAnsi="Times New Roman;sans-serif"/>
          <w:b/>
          <w:i/>
          <w:color w:val="000000"/>
          <w:sz w:val="20"/>
        </w:rPr>
        <w:t>Commercial Volumes</w:t>
      </w:r>
      <w:r>
        <w:rPr>
          <w:color w:val="000000"/>
        </w:rPr>
        <w:t xml:space="preserve"> </w:t>
      </w:r>
      <w:r>
        <w:rPr>
          <w:rFonts w:ascii="Times New Roman;sans-serif" w:hAnsi="Times New Roman;sans-serif"/>
          <w:b w:val="false"/>
          <w:color w:val="000000"/>
          <w:sz w:val="20"/>
        </w:rPr>
        <w:t xml:space="preserve">means any volume of Goods (or similar goods) intended for incorporation into production vehicles, and for the avoidance of doubt fewer than 50 samples of Goods not intended for use in production vehicles for sale shall not be deemed </w:t>
      </w:r>
      <w:r>
        <w:rPr>
          <w:rFonts w:ascii="Times New Roman;sans-serif" w:hAnsi="Times New Roman;sans-serif"/>
          <w:b/>
          <w:i/>
          <w:color w:val="000000"/>
          <w:sz w:val="20"/>
        </w:rPr>
        <w:t>Commercial Volumes</w:t>
      </w:r>
      <w:r>
        <w:rPr>
          <w:rFonts w:ascii="Times New Roman;sans-serif" w:hAnsi="Times New Roman;sans-serif"/>
          <w:b w:val="false"/>
          <w:color w:val="000000"/>
          <w:sz w:val="20"/>
        </w:rPr>
        <w:t xml:space="preserve">; </w:t>
      </w:r>
    </w:p>
    <w:p>
      <w:pPr>
        <w:pStyle w:val="TextBody"/>
        <w:bidi w:val="0"/>
        <w:spacing w:lineRule="auto" w:line="355" w:before="0" w:after="180"/>
        <w:jc w:val="both"/>
        <w:rPr/>
      </w:pPr>
      <w:r>
        <w:rPr>
          <w:rFonts w:ascii="Times New Roman;sans-serif" w:hAnsi="Times New Roman;sans-serif"/>
          <w:b/>
          <w:i/>
          <w:color w:val="000000"/>
          <w:sz w:val="20"/>
        </w:rPr>
        <w:t>Conditions</w:t>
      </w:r>
      <w:r>
        <w:rPr>
          <w:color w:val="000000"/>
        </w:rPr>
        <w:t xml:space="preserve"> </w:t>
      </w:r>
      <w:r>
        <w:rPr>
          <w:rFonts w:ascii="Times New Roman;sans-serif" w:hAnsi="Times New Roman;sans-serif"/>
          <w:b w:val="false"/>
          <w:color w:val="000000"/>
          <w:sz w:val="20"/>
        </w:rPr>
        <w:t>has the meaning given in Clause 2.1;</w:t>
      </w:r>
    </w:p>
    <w:p>
      <w:pPr>
        <w:pStyle w:val="TextBody"/>
        <w:bidi w:val="0"/>
        <w:spacing w:lineRule="auto" w:line="355" w:before="0" w:after="180"/>
        <w:jc w:val="both"/>
        <w:rPr/>
      </w:pPr>
      <w:r>
        <w:rPr>
          <w:rFonts w:ascii="Times New Roman;sans-serif" w:hAnsi="Times New Roman;sans-serif"/>
          <w:b/>
          <w:i/>
          <w:color w:val="000000"/>
          <w:sz w:val="20"/>
        </w:rPr>
        <w:t>Confidential Information</w:t>
      </w:r>
      <w:r>
        <w:rPr>
          <w:color w:val="000000"/>
        </w:rPr>
        <w:t xml:space="preserve"> </w:t>
      </w:r>
      <w:r>
        <w:rPr>
          <w:rFonts w:ascii="Times New Roman;sans-serif" w:hAnsi="Times New Roman;sans-serif"/>
          <w:b w:val="false"/>
          <w:color w:val="000000"/>
          <w:sz w:val="20"/>
        </w:rPr>
        <w:t>means all information (including all oral and visual information, and all information recorded in writing or electronically, or in any other medium or by any other method) disclosed to, or obtained by, one Party from another Party or a person acting on that other Party’s behalf under or in connection with this Agreement including without limitation the following information:</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(a)any information relating to the business of a Party (or member of its Group) including, without limitation, any ideas; business methods; finance; price, business, financial, marketing, development or manpower plans; customer lists or details; computer systems and software; products or services; know-how or other trade secrets; processes; marketing opportunities; other matters connected with the products or services manufactured, marketed, provided or obtained by a Party (or member of its Group); information concerning a Party’s (or member of its Group’s) relationships with actual or potential clients, customers or suppliers and the needs and requirements of a Party (or member of its Group) and of such persons;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other information which, if disclosed, would be liable to cause harm to the Party (or member of its Group) whose information is disclosed; and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(c)information of a confidential nature which is expressly indicated by a Party (or member of its Group) to be confidential in relation to that Party or any of its Affiliates;</w:t>
      </w:r>
    </w:p>
    <w:p>
      <w:pPr>
        <w:pStyle w:val="TextBody"/>
        <w:bidi w:val="0"/>
        <w:spacing w:lineRule="auto" w:line="355" w:before="0" w:after="180"/>
        <w:jc w:val="both"/>
        <w:rPr/>
      </w:pPr>
      <w:r>
        <w:rPr>
          <w:rFonts w:ascii="Times New Roman;sans-serif" w:hAnsi="Times New Roman;sans-serif"/>
          <w:b/>
          <w:i/>
          <w:color w:val="000000"/>
          <w:sz w:val="20"/>
        </w:rPr>
        <w:t>Consideration Shares</w:t>
      </w:r>
      <w:r>
        <w:rPr>
          <w:color w:val="000000"/>
        </w:rPr>
        <w:t xml:space="preserve"> </w:t>
      </w:r>
      <w:r>
        <w:rPr>
          <w:rFonts w:ascii="Times New Roman;sans-serif" w:hAnsi="Times New Roman;sans-serif"/>
          <w:b w:val="false"/>
          <w:color w:val="000000"/>
          <w:sz w:val="20"/>
        </w:rPr>
        <w:t>means 28,352,273 Ordinary Shares to be issued to Lucid pursuant to this Agreement, being US$ 100,000,000 in value of Ordinary Shares calculated in accordance with the following formula: (100,000,000 * 0.7866) / 2.774381;</w:t>
      </w:r>
    </w:p>
    <w:p>
      <w:pPr>
        <w:pStyle w:val="TextBody"/>
        <w:bidi w:val="0"/>
        <w:spacing w:lineRule="auto" w:line="355" w:before="0" w:after="180"/>
        <w:jc w:val="both"/>
        <w:rPr/>
      </w:pPr>
      <w:r>
        <w:rPr>
          <w:rFonts w:ascii="Times New Roman;sans-serif" w:hAnsi="Times New Roman;sans-serif"/>
          <w:b/>
          <w:i/>
          <w:color w:val="000000"/>
          <w:sz w:val="20"/>
        </w:rPr>
        <w:t>Control</w:t>
      </w:r>
      <w:r>
        <w:rPr>
          <w:color w:val="000000"/>
        </w:rPr>
        <w:t xml:space="preserve"> </w:t>
      </w:r>
      <w:r>
        <w:rPr>
          <w:rFonts w:ascii="Times New Roman;sans-serif" w:hAnsi="Times New Roman;sans-serif"/>
          <w:b w:val="false"/>
          <w:color w:val="000000"/>
          <w:sz w:val="20"/>
        </w:rPr>
        <w:t>(including the terms Controlling, Controlled by and under common Control with) means (i) possession, direct or indirect, of the power to direct or cause the direction of the management and policies of a person, whether through the ownership of voting securities, by contract, or otherwise; (ii) the power to appoint or elect a majority of the board of directors (or other similar governing body), by constitutional arrangement or otherwise; or (iii) the power to serve as or appoint or elect the sole managing member, partner, trustee or similar position, by constitutional arrangement or otherwise;</w:t>
      </w:r>
    </w:p>
    <w:p>
      <w:pPr>
        <w:pStyle w:val="TextBody"/>
        <w:bidi w:val="0"/>
        <w:spacing w:lineRule="auto" w:line="355" w:before="0" w:after="180"/>
        <w:jc w:val="both"/>
        <w:rPr/>
      </w:pPr>
      <w:r>
        <w:rPr>
          <w:rFonts w:ascii="Times New Roman;sans-serif" w:hAnsi="Times New Roman;sans-serif"/>
          <w:b/>
          <w:i/>
          <w:color w:val="000000"/>
          <w:sz w:val="20"/>
        </w:rPr>
        <w:t>CREST</w:t>
      </w:r>
      <w:r>
        <w:rPr>
          <w:color w:val="000000"/>
        </w:rPr>
        <w:t xml:space="preserve"> </w:t>
      </w:r>
      <w:r>
        <w:rPr>
          <w:rFonts w:ascii="Times New Roman;sans-serif" w:hAnsi="Times New Roman;sans-serif"/>
          <w:b w:val="false"/>
          <w:color w:val="000000"/>
          <w:sz w:val="20"/>
        </w:rPr>
        <w:t>means the relevant system (as defined in the CREST Regulations) in respect of which Euroclear UK &amp; Ireland Limited is the operator (as defined in the CREST Regulations);</w:t>
      </w:r>
    </w:p>
    <w:p>
      <w:pPr>
        <w:pStyle w:val="TextBody"/>
        <w:bidi w:val="0"/>
        <w:spacing w:lineRule="auto" w:line="240" w:before="0" w:after="240"/>
        <w:jc w:val="left"/>
        <w:rPr/>
      </w:pPr>
      <w:r>
        <w:rPr>
          <w:rFonts w:ascii="Times New Roman;sans-serif" w:hAnsi="Times New Roman;sans-serif"/>
          <w:b/>
          <w:i/>
          <w:color w:val="000000"/>
          <w:sz w:val="20"/>
        </w:rPr>
        <w:t>CREST Regulations</w:t>
      </w:r>
      <w:r>
        <w:rPr>
          <w:color w:val="000000"/>
        </w:rPr>
        <w:t xml:space="preserve"> </w:t>
      </w:r>
      <w:r>
        <w:rPr>
          <w:rFonts w:ascii="Times New Roman;sans-serif" w:hAnsi="Times New Roman;sans-serif"/>
          <w:b w:val="false"/>
          <w:color w:val="000000"/>
          <w:sz w:val="20"/>
        </w:rPr>
        <w:t>means the Uncertificated Securities Regulations 2001 (SI 2001 No. 01/378), as amended;</w:t>
      </w:r>
    </w:p>
    <w:p>
      <w:pPr>
        <w:pStyle w:val="TextBody"/>
        <w:bidi w:val="0"/>
        <w:spacing w:lineRule="auto" w:line="355" w:before="0" w:after="240"/>
        <w:jc w:val="both"/>
        <w:rPr/>
      </w:pPr>
      <w:r>
        <w:rPr>
          <w:rFonts w:ascii="Times New Roman;sans-serif" w:hAnsi="Times New Roman;sans-serif"/>
          <w:b/>
          <w:i/>
          <w:color w:val="000000"/>
          <w:sz w:val="20"/>
        </w:rPr>
        <w:t>Disclosable Information</w:t>
      </w:r>
      <w:r>
        <w:rPr>
          <w:color w:val="000000"/>
        </w:rPr>
        <w:t xml:space="preserve"> </w:t>
      </w:r>
      <w:r>
        <w:rPr>
          <w:rFonts w:ascii="Times New Roman;sans-serif" w:hAnsi="Times New Roman;sans-serif"/>
          <w:b w:val="false"/>
          <w:color w:val="000000"/>
          <w:sz w:val="20"/>
        </w:rPr>
        <w:t>means in relation to this Agreement and any Operational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parties to the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date of the agreement;</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principal matters covered by the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27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27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duration of the agreement;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(e)the circumstances in which the agreement may be terminated,</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but shall not include any pricing information or information from which pricing information (or other commercially sensitive information) could be reverse engineered or the main terms and conditions of any supply or technical relationship;</w:t>
      </w:r>
    </w:p>
    <w:p>
      <w:pPr>
        <w:pStyle w:val="TextBody"/>
        <w:bidi w:val="0"/>
        <w:spacing w:lineRule="auto" w:line="355" w:before="0" w:after="180"/>
        <w:jc w:val="both"/>
        <w:rPr/>
      </w:pPr>
      <w:r>
        <w:rPr>
          <w:rFonts w:ascii="Times New Roman;sans-serif" w:hAnsi="Times New Roman;sans-serif"/>
          <w:b/>
          <w:i/>
          <w:color w:val="000000"/>
          <w:sz w:val="20"/>
        </w:rPr>
        <w:t>Disclosure and Transparency Rules</w:t>
      </w:r>
      <w:r>
        <w:rPr>
          <w:color w:val="000000"/>
        </w:rPr>
        <w:t xml:space="preserve"> </w:t>
      </w:r>
      <w:r>
        <w:rPr>
          <w:rFonts w:ascii="Times New Roman;sans-serif" w:hAnsi="Times New Roman;sans-serif"/>
          <w:b w:val="false"/>
          <w:color w:val="000000"/>
          <w:sz w:val="20"/>
        </w:rPr>
        <w:t>means the disclosure and transparency rules made by the FCA under Part VI of FSMA as amended from time to time;</w:t>
      </w:r>
    </w:p>
    <w:p>
      <w:pPr>
        <w:pStyle w:val="TextBody"/>
        <w:bidi w:val="0"/>
        <w:spacing w:lineRule="auto" w:line="355" w:before="0" w:after="180"/>
        <w:jc w:val="both"/>
        <w:rPr/>
      </w:pPr>
      <w:r>
        <w:rPr>
          <w:rFonts w:ascii="Times New Roman;sans-serif" w:hAnsi="Times New Roman;sans-serif"/>
          <w:b/>
          <w:i/>
          <w:color w:val="000000"/>
          <w:sz w:val="20"/>
        </w:rPr>
        <w:t>Disposal</w:t>
      </w:r>
      <w:r>
        <w:rPr>
          <w:color w:val="000000"/>
        </w:rPr>
        <w:t xml:space="preserve"> </w:t>
      </w:r>
      <w:r>
        <w:rPr>
          <w:rFonts w:ascii="Times New Roman;sans-serif" w:hAnsi="Times New Roman;sans-serif"/>
          <w:b w:val="false"/>
          <w:color w:val="000000"/>
          <w:sz w:val="20"/>
        </w:rPr>
        <w:t>has the meaning given in Clause 5;</w:t>
      </w:r>
    </w:p>
    <w:p>
      <w:pPr>
        <w:pStyle w:val="TextBody"/>
        <w:bidi w:val="0"/>
        <w:spacing w:lineRule="auto" w:line="355" w:before="0" w:after="180"/>
        <w:jc w:val="both"/>
        <w:rPr/>
      </w:pPr>
      <w:r>
        <w:rPr>
          <w:rFonts w:ascii="Times New Roman;sans-serif" w:hAnsi="Times New Roman;sans-serif"/>
          <w:b/>
          <w:i/>
          <w:color w:val="000000"/>
          <w:sz w:val="20"/>
        </w:rPr>
        <w:t xml:space="preserve">Dispute </w:t>
      </w:r>
      <w:r>
        <w:rPr>
          <w:rFonts w:ascii="Times New Roman;sans-serif" w:hAnsi="Times New Roman;sans-serif"/>
          <w:b w:val="false"/>
          <w:color w:val="000000"/>
          <w:sz w:val="20"/>
        </w:rPr>
        <w:t>has the meaning given in Clause 30.1;</w:t>
      </w:r>
    </w:p>
    <w:p>
      <w:pPr>
        <w:pStyle w:val="TextBody"/>
        <w:bidi w:val="0"/>
        <w:spacing w:lineRule="auto" w:line="355" w:before="0" w:after="180"/>
        <w:jc w:val="both"/>
        <w:rPr/>
      </w:pPr>
      <w:r>
        <w:rPr>
          <w:rFonts w:ascii="Times New Roman;sans-serif" w:hAnsi="Times New Roman;sans-serif"/>
          <w:b/>
          <w:i/>
          <w:color w:val="000000"/>
          <w:sz w:val="20"/>
        </w:rPr>
        <w:t xml:space="preserve">Employees’ Share Scheme </w:t>
      </w:r>
      <w:r>
        <w:rPr>
          <w:rFonts w:ascii="Times New Roman;sans-serif" w:hAnsi="Times New Roman;sans-serif"/>
          <w:b w:val="false"/>
          <w:color w:val="000000"/>
          <w:sz w:val="20"/>
        </w:rPr>
        <w:t>has the meaning given to such term in section 1166 of the Act;</w:t>
      </w:r>
    </w:p>
    <w:p>
      <w:pPr>
        <w:pStyle w:val="TextBody"/>
        <w:bidi w:val="0"/>
        <w:spacing w:lineRule="auto" w:line="355" w:before="0" w:after="180"/>
        <w:jc w:val="both"/>
        <w:rPr/>
      </w:pPr>
      <w:r>
        <w:rPr>
          <w:rFonts w:ascii="Times New Roman;sans-serif" w:hAnsi="Times New Roman;sans-serif"/>
          <w:b/>
          <w:i/>
          <w:color w:val="000000"/>
          <w:sz w:val="20"/>
        </w:rPr>
        <w:t xml:space="preserve">Encumbrance </w:t>
      </w:r>
      <w:r>
        <w:rPr>
          <w:rFonts w:ascii="Times New Roman;sans-serif" w:hAnsi="Times New Roman;sans-serif"/>
          <w:b w:val="false"/>
          <w:color w:val="000000"/>
          <w:sz w:val="20"/>
        </w:rPr>
        <w:t>means a lien, charge, option, pledge, right of pre-emption or first refusal or other encumbrance or right exercisable by a third party having similar effect;</w:t>
      </w:r>
    </w:p>
    <w:p>
      <w:pPr>
        <w:pStyle w:val="TextBody"/>
        <w:bidi w:val="0"/>
        <w:spacing w:lineRule="auto" w:line="355" w:before="0" w:after="180"/>
        <w:jc w:val="both"/>
        <w:rPr/>
      </w:pPr>
      <w:r>
        <w:rPr>
          <w:rFonts w:ascii="Times New Roman;sans-serif" w:hAnsi="Times New Roman;sans-serif"/>
          <w:b/>
          <w:i/>
          <w:color w:val="000000"/>
          <w:sz w:val="20"/>
        </w:rPr>
        <w:t xml:space="preserve">Engineering Support Services </w:t>
      </w:r>
      <w:r>
        <w:rPr>
          <w:rFonts w:ascii="Times New Roman;sans-serif" w:hAnsi="Times New Roman;sans-serif"/>
          <w:b w:val="false"/>
          <w:color w:val="000000"/>
          <w:sz w:val="20"/>
        </w:rPr>
        <w:t xml:space="preserve">means the engineering support services to be agreed by Aston Martin and Lucid under the Integration Agreement or any other relevant Operational Agreement; </w:t>
      </w:r>
    </w:p>
    <w:p>
      <w:pPr>
        <w:pStyle w:val="TextBody"/>
        <w:bidi w:val="0"/>
        <w:spacing w:lineRule="auto" w:line="355" w:before="0" w:after="180"/>
        <w:jc w:val="both"/>
        <w:rPr/>
      </w:pPr>
      <w:r>
        <w:rPr>
          <w:rFonts w:ascii="Times New Roman;sans-serif" w:hAnsi="Times New Roman;sans-serif"/>
          <w:b/>
          <w:i/>
          <w:color w:val="000000"/>
          <w:sz w:val="20"/>
        </w:rPr>
        <w:t>FCA</w:t>
      </w:r>
      <w:r>
        <w:rPr>
          <w:color w:val="000000"/>
        </w:rPr>
        <w:t xml:space="preserve"> </w:t>
      </w:r>
      <w:r>
        <w:rPr>
          <w:rFonts w:ascii="Times New Roman;sans-serif" w:hAnsi="Times New Roman;sans-serif"/>
          <w:b w:val="false"/>
          <w:color w:val="000000"/>
          <w:sz w:val="20"/>
        </w:rPr>
        <w:t>means the Financial Conduct Authority acting in its capacity as the competent authority for the purposes of Part VI of FSMA;</w:t>
      </w:r>
    </w:p>
    <w:p>
      <w:pPr>
        <w:pStyle w:val="TextBody"/>
        <w:bidi w:val="0"/>
        <w:spacing w:lineRule="auto" w:line="355" w:before="0" w:after="180"/>
        <w:jc w:val="both"/>
        <w:rPr/>
      </w:pPr>
      <w:r>
        <w:rPr>
          <w:rFonts w:ascii="Times New Roman;sans-serif" w:hAnsi="Times New Roman;sans-serif"/>
          <w:b/>
          <w:i/>
          <w:color w:val="000000"/>
          <w:sz w:val="20"/>
        </w:rPr>
        <w:t>First Delivery</w:t>
      </w:r>
      <w:r>
        <w:rPr>
          <w:color w:val="000000"/>
        </w:rPr>
        <w:t xml:space="preserve"> </w:t>
      </w:r>
      <w:r>
        <w:rPr>
          <w:rFonts w:ascii="Times New Roman;sans-serif" w:hAnsi="Times New Roman;sans-serif"/>
          <w:b w:val="false"/>
          <w:color w:val="000000"/>
          <w:sz w:val="20"/>
        </w:rPr>
        <w:t>means the delivery by Aston Martin to a customer or dealer of the first Aston Martin Vehicle incorporating powertrain components supplied by Lucid, as evidenced in writing by Aston Martin by way of an itemized delivery receipt in the usual form used by the Aston Martin Group for such purposes;</w:t>
      </w:r>
    </w:p>
    <w:p>
      <w:pPr>
        <w:pStyle w:val="TextBody"/>
        <w:bidi w:val="0"/>
        <w:spacing w:lineRule="auto" w:line="355" w:before="0" w:after="180"/>
        <w:jc w:val="both"/>
        <w:rPr/>
      </w:pPr>
      <w:r>
        <w:rPr>
          <w:rFonts w:ascii="Times New Roman;sans-serif" w:hAnsi="Times New Roman;sans-serif"/>
          <w:b/>
          <w:i/>
          <w:color w:val="000000"/>
          <w:sz w:val="20"/>
        </w:rPr>
        <w:t>FSMA</w:t>
      </w:r>
      <w:r>
        <w:rPr>
          <w:color w:val="000000"/>
        </w:rPr>
        <w:t xml:space="preserve"> </w:t>
      </w:r>
      <w:r>
        <w:rPr>
          <w:rFonts w:ascii="Times New Roman;sans-serif" w:hAnsi="Times New Roman;sans-serif"/>
          <w:b w:val="false"/>
          <w:color w:val="000000"/>
          <w:sz w:val="20"/>
        </w:rPr>
        <w:t>means the Financial Services and Markets Act 2000 (as amended from time to time);</w:t>
      </w:r>
    </w:p>
    <w:p>
      <w:pPr>
        <w:pStyle w:val="TextBody"/>
        <w:bidi w:val="0"/>
        <w:spacing w:lineRule="auto" w:line="355" w:before="0" w:after="180"/>
        <w:jc w:val="both"/>
        <w:rPr/>
      </w:pPr>
      <w:r>
        <w:rPr>
          <w:rFonts w:ascii="Times New Roman;sans-serif" w:hAnsi="Times New Roman;sans-serif"/>
          <w:b/>
          <w:i/>
          <w:color w:val="000000"/>
          <w:sz w:val="20"/>
        </w:rPr>
        <w:t>Full Form Supply Agreement</w:t>
      </w:r>
      <w:r>
        <w:rPr>
          <w:color w:val="000000"/>
        </w:rPr>
        <w:t xml:space="preserve"> </w:t>
      </w:r>
      <w:r>
        <w:rPr>
          <w:rFonts w:ascii="Times New Roman;sans-serif" w:hAnsi="Times New Roman;sans-serif"/>
          <w:b w:val="false"/>
          <w:color w:val="000000"/>
          <w:sz w:val="20"/>
        </w:rPr>
        <w:t>means the full form supply agreement as may be entered into between LGT, Lucid Parent and AML in accordance with Clauses 4.1 and 4.3;</w:t>
      </w:r>
    </w:p>
    <w:p>
      <w:pPr>
        <w:pStyle w:val="TextBody"/>
        <w:bidi w:val="0"/>
        <w:spacing w:lineRule="auto" w:line="355" w:before="0" w:after="180"/>
        <w:jc w:val="both"/>
        <w:rPr/>
      </w:pPr>
      <w:r>
        <w:rPr>
          <w:rFonts w:ascii="Times New Roman;sans-serif" w:hAnsi="Times New Roman;sans-serif"/>
          <w:b/>
          <w:i/>
          <w:color w:val="000000"/>
          <w:sz w:val="20"/>
        </w:rPr>
        <w:t>Fundamental Warranties</w:t>
      </w:r>
      <w:r>
        <w:rPr>
          <w:color w:val="000000"/>
        </w:rPr>
        <w:t xml:space="preserve"> </w:t>
      </w:r>
      <w:r>
        <w:rPr>
          <w:rFonts w:ascii="Times New Roman;sans-serif" w:hAnsi="Times New Roman;sans-serif"/>
          <w:b w:val="false"/>
          <w:color w:val="000000"/>
          <w:sz w:val="20"/>
        </w:rPr>
        <w:t xml:space="preserve">means the statements contained in paragraphs 1, 3, 5, and, in respect of Aston Martin only, 7(a), 7(b), 7(c) and 7(d) of Part A of Schedule 2; </w:t>
      </w:r>
    </w:p>
    <w:p>
      <w:pPr>
        <w:pStyle w:val="TextBody"/>
        <w:bidi w:val="0"/>
        <w:spacing w:lineRule="auto" w:line="355" w:before="0" w:after="180"/>
        <w:jc w:val="both"/>
        <w:rPr/>
      </w:pPr>
      <w:r>
        <w:rPr>
          <w:rFonts w:ascii="Times New Roman;sans-serif" w:hAnsi="Times New Roman;sans-serif"/>
          <w:b/>
          <w:i/>
          <w:color w:val="000000"/>
          <w:sz w:val="20"/>
        </w:rPr>
        <w:t>Geely Irrevocable Undertaking</w:t>
      </w:r>
      <w:r>
        <w:rPr>
          <w:color w:val="000000"/>
        </w:rPr>
        <w:t xml:space="preserve"> </w:t>
      </w:r>
      <w:r>
        <w:rPr>
          <w:rFonts w:ascii="Times New Roman;sans-serif" w:hAnsi="Times New Roman;sans-serif"/>
          <w:b w:val="false"/>
          <w:color w:val="000000"/>
          <w:sz w:val="20"/>
        </w:rPr>
        <w:t xml:space="preserve">means the irrevocable undertaking to be entered into on the date of this Agreement between Aston Martin and each of Geely International (Hong Kong) Limited and Geely Group Limited, pursuant to which each of Geely International (Hong Kong) Limited and Geely Group Limited will undertake to vote in favour of the Shareholder Resolutions at the General Meeting; </w:t>
      </w:r>
    </w:p>
    <w:p>
      <w:pPr>
        <w:pStyle w:val="TextBody"/>
        <w:bidi w:val="0"/>
        <w:spacing w:lineRule="auto" w:line="355" w:before="0" w:after="180"/>
        <w:jc w:val="both"/>
        <w:rPr/>
      </w:pPr>
      <w:r>
        <w:rPr>
          <w:rFonts w:ascii="Times New Roman;sans-serif" w:hAnsi="Times New Roman;sans-serif"/>
          <w:b/>
          <w:i/>
          <w:color w:val="000000"/>
          <w:sz w:val="20"/>
        </w:rPr>
        <w:t>General Meeting</w:t>
      </w:r>
      <w:r>
        <w:rPr>
          <w:color w:val="000000"/>
        </w:rPr>
        <w:t xml:space="preserve"> </w:t>
      </w:r>
      <w:r>
        <w:rPr>
          <w:rFonts w:ascii="Times New Roman;sans-serif" w:hAnsi="Times New Roman;sans-serif"/>
          <w:b w:val="false"/>
          <w:color w:val="000000"/>
          <w:sz w:val="20"/>
        </w:rPr>
        <w:t>means the general meeting of Aston Martin (and any adjournment of such meeting) to be duly convened to consider and, if thought fit, pass the Shareholder Resolutions;</w:t>
      </w:r>
    </w:p>
    <w:p>
      <w:pPr>
        <w:pStyle w:val="TextBody"/>
        <w:bidi w:val="0"/>
        <w:spacing w:lineRule="auto" w:line="355" w:before="0" w:after="180"/>
        <w:jc w:val="both"/>
        <w:rPr/>
      </w:pPr>
      <w:r>
        <w:rPr>
          <w:rFonts w:ascii="Times New Roman;sans-serif" w:hAnsi="Times New Roman;sans-serif"/>
          <w:b/>
          <w:i/>
          <w:color w:val="000000"/>
          <w:sz w:val="20"/>
        </w:rPr>
        <w:t>Goods</w:t>
      </w:r>
      <w:r>
        <w:rPr>
          <w:color w:val="000000"/>
        </w:rPr>
        <w:t xml:space="preserve"> </w:t>
      </w:r>
      <w:r>
        <w:rPr>
          <w:rFonts w:ascii="Times New Roman;sans-serif" w:hAnsi="Times New Roman;sans-serif"/>
          <w:b w:val="false"/>
          <w:color w:val="000000"/>
          <w:sz w:val="20"/>
        </w:rPr>
        <w:t>means the goods to be manufactured and supplied by Lucid to Aston Martin under a Supply Agreement or any other Operational Agreement;</w:t>
      </w:r>
    </w:p>
    <w:p>
      <w:pPr>
        <w:pStyle w:val="TextBody"/>
        <w:bidi w:val="0"/>
        <w:spacing w:lineRule="auto" w:line="355" w:before="0" w:after="180"/>
        <w:jc w:val="both"/>
        <w:rPr/>
      </w:pPr>
      <w:r>
        <w:rPr>
          <w:rFonts w:ascii="Times New Roman;sans-serif" w:hAnsi="Times New Roman;sans-serif"/>
          <w:b/>
          <w:i/>
          <w:color w:val="000000"/>
          <w:sz w:val="20"/>
        </w:rPr>
        <w:t>Group</w:t>
      </w:r>
      <w:r>
        <w:rPr>
          <w:color w:val="000000"/>
        </w:rPr>
        <w:t xml:space="preserve"> </w:t>
      </w:r>
      <w:r>
        <w:rPr>
          <w:rFonts w:ascii="Times New Roman;sans-serif" w:hAnsi="Times New Roman;sans-serif"/>
          <w:b w:val="false"/>
          <w:color w:val="000000"/>
          <w:sz w:val="20"/>
        </w:rPr>
        <w:t xml:space="preserve">means in relation to a body corporate, that body corporate and each of its Affiliates and </w:t>
      </w:r>
      <w:r>
        <w:rPr>
          <w:rFonts w:ascii="Times New Roman;sans-serif" w:hAnsi="Times New Roman;sans-serif"/>
          <w:b/>
          <w:i/>
          <w:color w:val="000000"/>
          <w:sz w:val="20"/>
        </w:rPr>
        <w:t>member of the Group</w:t>
      </w:r>
      <w:r>
        <w:rPr>
          <w:color w:val="000000"/>
        </w:rPr>
        <w:t xml:space="preserve"> </w:t>
      </w:r>
      <w:r>
        <w:rPr>
          <w:rFonts w:ascii="Times New Roman;sans-serif" w:hAnsi="Times New Roman;sans-serif"/>
          <w:b w:val="false"/>
          <w:color w:val="000000"/>
          <w:sz w:val="20"/>
        </w:rPr>
        <w:t>shall be construed accordingly;</w:t>
      </w:r>
    </w:p>
    <w:p>
      <w:pPr>
        <w:pStyle w:val="TextBody"/>
        <w:bidi w:val="0"/>
        <w:spacing w:lineRule="auto" w:line="355" w:before="0" w:after="180"/>
        <w:jc w:val="both"/>
        <w:rPr/>
      </w:pPr>
      <w:r>
        <w:rPr>
          <w:rFonts w:ascii="Times New Roman;sans-serif" w:hAnsi="Times New Roman;sans-serif"/>
          <w:b/>
          <w:i/>
          <w:color w:val="000000"/>
          <w:sz w:val="20"/>
        </w:rPr>
        <w:t xml:space="preserve">ICDR </w:t>
      </w:r>
      <w:r>
        <w:rPr>
          <w:rFonts w:ascii="Times New Roman;sans-serif" w:hAnsi="Times New Roman;sans-serif"/>
          <w:b w:val="false"/>
          <w:color w:val="000000"/>
          <w:sz w:val="20"/>
        </w:rPr>
        <w:t>has the meaning given in Clause 30.1;</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28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28 | 50</w:t>
                      </w:r>
                    </w:p>
                  </w:txbxContent>
                </v:textbox>
                <w10:wrap type="none"/>
              </v:rect>
            </w:pict>
          </mc:Fallback>
        </mc:AlternateContent>
      </w:r>
    </w:p>
    <w:p>
      <w:pPr>
        <w:pStyle w:val="TextBody"/>
        <w:bidi w:val="0"/>
        <w:spacing w:lineRule="auto" w:line="355" w:before="0" w:after="180"/>
        <w:jc w:val="both"/>
        <w:rPr/>
      </w:pPr>
      <w:r>
        <w:rPr>
          <w:rFonts w:ascii="Times New Roman;sans-serif" w:hAnsi="Times New Roman;sans-serif"/>
          <w:b/>
          <w:i/>
          <w:color w:val="000000"/>
          <w:sz w:val="20"/>
        </w:rPr>
        <w:t>IFRS</w:t>
      </w:r>
      <w:r>
        <w:rPr>
          <w:color w:val="000000"/>
        </w:rPr>
        <w:t xml:space="preserve"> </w:t>
      </w:r>
      <w:r>
        <w:rPr>
          <w:rFonts w:ascii="Times New Roman;sans-serif" w:hAnsi="Times New Roman;sans-serif"/>
          <w:b w:val="false"/>
          <w:color w:val="000000"/>
          <w:sz w:val="20"/>
        </w:rPr>
        <w:t>means the body of pronouncements issued by the International Accounting Standards Board, including International Financial Reporting Standards and interpretations approved by the International Accounting Standards Board, International Accounting Standards and Standing Interpretations Committee interpretations approved by the predecessor International Accounting Standards Committee;</w:t>
      </w:r>
    </w:p>
    <w:p>
      <w:pPr>
        <w:pStyle w:val="TextBody"/>
        <w:bidi w:val="0"/>
        <w:spacing w:lineRule="auto" w:line="355" w:before="0" w:after="180"/>
        <w:jc w:val="both"/>
        <w:rPr/>
      </w:pPr>
      <w:r>
        <w:rPr>
          <w:rFonts w:ascii="Times New Roman;sans-serif" w:hAnsi="Times New Roman;sans-serif"/>
          <w:b/>
          <w:i/>
          <w:color w:val="000000"/>
          <w:sz w:val="20"/>
        </w:rPr>
        <w:t>Insolvency Event</w:t>
      </w:r>
      <w:r>
        <w:rPr>
          <w:color w:val="000000"/>
        </w:rPr>
        <w:t xml:space="preserve"> </w:t>
      </w:r>
      <w:r>
        <w:rPr>
          <w:rFonts w:ascii="Times New Roman;sans-serif" w:hAnsi="Times New Roman;sans-serif"/>
          <w:b w:val="false"/>
          <w:color w:val="000000"/>
          <w:sz w:val="20"/>
        </w:rPr>
        <w:t>means: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respect of Aston Martin or any member of its Group, that it or any member of its Group:</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(i)is declared by a court to be unable to pay its debts by virtue of Section 123 of the Insolvency Act 1986 (other than Section 123(1)(a)), or stops, suspends or threatens to stop or suspend payment of its debts;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(ii)by reason of actual or anticipated financial difficulties, suspends making payments generally;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(iii)a moratorium is declared or takes effect in respect of all or a substantial part of its indebtedness;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(iv)has a court order made for its winding-up;</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(v)receives notice of dissolution from the UK registrar of companies;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(vi)enters into any composition, compromise, assignment or arrangement with or for the benefit of its creditors in respect of all or a substantial part of its debts;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(vii)a liquidator, receiver, administrative receiver, administrator, compulsory manager or other similar officer is appointed in respect of it or any of its assets;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(viii)ceases or threatens to cease to carry on all or substantially all of the business or operations of the Group;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(ix)any analogous or equivalent formal procedure or formal step is taken by it, any of its direct or indirect subsidiaries or by a person in relation to it in any jurisdiction,</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but this definition will not include a solvent winding-up, dissolution, reconstruction or amalgamation;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respect of Lucid or any member of its Group, that it or any member of its Group, pursuant to or within the meaning of any US Bankruptcy Law, either: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(i)commences a voluntary case or proceeding;</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(ii)consents to the entry of an order for relief against it in an involuntary case or proceeding or any such involuntary case or proceeding remains undismissed for 14 days;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(iii)consents to the appointment of a custodian of it or for any substantial part of its property or fails to contest such an appointment for 14 days;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(iv)makes any assignment for the benefit of its creditors;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(v)takes any comparable action under any foreign US Bankruptcy Law;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29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29 | 50</w:t>
                      </w:r>
                    </w:p>
                  </w:txbxContent>
                </v:textbox>
                <w10:wrap type="none"/>
              </v:rect>
            </w:pict>
          </mc:Fallback>
        </mc:AlternateConten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(vi)generally is not paying its debts as they become due;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(vii)a court of competent jurisdiction enters an order or decree under any US Bankruptcy Law that either: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(A)is for relief against it in an involuntary case or proceeding;</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(B)appoints a custodian of it, or for any substantial part of its property;</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(C)orders its winding up or liquidation;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(D)grants any similar relief under any foreign US Bankruptcy Law;</w:t>
      </w:r>
    </w:p>
    <w:p>
      <w:pPr>
        <w:pStyle w:val="TextBody"/>
        <w:bidi w:val="0"/>
        <w:spacing w:lineRule="auto" w:line="355" w:before="0" w:after="180"/>
        <w:jc w:val="both"/>
        <w:rPr/>
      </w:pPr>
      <w:r>
        <w:rPr>
          <w:rFonts w:ascii="Times New Roman;sans-serif" w:hAnsi="Times New Roman;sans-serif"/>
          <w:b/>
          <w:i/>
          <w:color w:val="000000"/>
          <w:sz w:val="20"/>
        </w:rPr>
        <w:t>Integration Agreement</w:t>
      </w:r>
      <w:r>
        <w:rPr>
          <w:color w:val="000000"/>
        </w:rPr>
        <w:t xml:space="preserve"> </w:t>
      </w:r>
      <w:r>
        <w:rPr>
          <w:rFonts w:ascii="Times New Roman;sans-serif" w:hAnsi="Times New Roman;sans-serif"/>
          <w:b w:val="false"/>
          <w:color w:val="000000"/>
          <w:sz w:val="20"/>
        </w:rPr>
        <w:t>means the Integration Agreement in the agreed form between a member of the Aston Martin Group and a member of the Lucid Group under which the obligations of the parties to it are conditional upon Admission of the Consideration Shares, as set out in Schedule 4;</w:t>
      </w:r>
    </w:p>
    <w:p>
      <w:pPr>
        <w:pStyle w:val="TextBody"/>
        <w:bidi w:val="0"/>
        <w:spacing w:lineRule="auto" w:line="355" w:before="0" w:after="180"/>
        <w:jc w:val="both"/>
        <w:rPr/>
      </w:pPr>
      <w:r>
        <w:rPr>
          <w:rFonts w:ascii="Times New Roman;sans-serif" w:hAnsi="Times New Roman;sans-serif"/>
          <w:b/>
          <w:i/>
          <w:color w:val="000000"/>
          <w:sz w:val="20"/>
        </w:rPr>
        <w:t>Interim Statement</w:t>
      </w:r>
      <w:r>
        <w:rPr>
          <w:color w:val="000000"/>
        </w:rPr>
        <w:t xml:space="preserve"> </w:t>
      </w:r>
      <w:r>
        <w:rPr>
          <w:rFonts w:ascii="Times New Roman;sans-serif" w:hAnsi="Times New Roman;sans-serif"/>
          <w:b w:val="false"/>
          <w:color w:val="000000"/>
          <w:sz w:val="20"/>
        </w:rPr>
        <w:t xml:space="preserve">means the unaudited consolidated financial statements of the Aston Martin Group as at and for the three month period ended 31 March 2023; </w:t>
      </w:r>
    </w:p>
    <w:p>
      <w:pPr>
        <w:pStyle w:val="TextBody"/>
        <w:bidi w:val="0"/>
        <w:spacing w:lineRule="auto" w:line="355" w:before="0" w:after="180"/>
        <w:jc w:val="both"/>
        <w:rPr/>
      </w:pPr>
      <w:r>
        <w:rPr>
          <w:rFonts w:ascii="Times New Roman;sans-serif" w:hAnsi="Times New Roman;sans-serif"/>
          <w:b/>
          <w:i/>
          <w:color w:val="000000"/>
          <w:sz w:val="20"/>
        </w:rPr>
        <w:t>Interim Supply Agreement</w:t>
      </w:r>
      <w:r>
        <w:rPr>
          <w:color w:val="000000"/>
        </w:rPr>
        <w:t xml:space="preserve"> </w:t>
      </w:r>
      <w:r>
        <w:rPr>
          <w:rFonts w:ascii="Times New Roman;sans-serif" w:hAnsi="Times New Roman;sans-serif"/>
          <w:b w:val="false"/>
          <w:color w:val="000000"/>
          <w:sz w:val="20"/>
        </w:rPr>
        <w:t>means the supply agreement that, in lieu of an agreed form Full Form Supply Agreement at such time, takes effect from the date of Admission, in accordance with Clause 4.2 between LGT, Lucid Parent and AML on the terms set forth in Schedule 5;</w:t>
      </w:r>
    </w:p>
    <w:p>
      <w:pPr>
        <w:pStyle w:val="TextBody"/>
        <w:bidi w:val="0"/>
        <w:spacing w:lineRule="auto" w:line="355" w:before="0" w:after="180"/>
        <w:jc w:val="both"/>
        <w:rPr/>
      </w:pPr>
      <w:r>
        <w:rPr>
          <w:rFonts w:ascii="Times New Roman;sans-serif" w:hAnsi="Times New Roman;sans-serif"/>
          <w:b/>
          <w:i/>
          <w:color w:val="000000"/>
          <w:sz w:val="20"/>
        </w:rPr>
        <w:t>Irrevocable Undertaking</w:t>
      </w:r>
      <w:r>
        <w:rPr>
          <w:color w:val="000000"/>
        </w:rPr>
        <w:t xml:space="preserve"> </w:t>
      </w:r>
      <w:r>
        <w:rPr>
          <w:rFonts w:ascii="Times New Roman;sans-serif" w:hAnsi="Times New Roman;sans-serif"/>
          <w:b w:val="false"/>
          <w:color w:val="000000"/>
          <w:sz w:val="20"/>
        </w:rPr>
        <w:t>means each of the Yew Tree Irrevocable Undertaking, MBAG Irrevocable Undertaking and the Geely Irrevocable Undertaking;</w:t>
      </w:r>
    </w:p>
    <w:p>
      <w:pPr>
        <w:pStyle w:val="TextBody"/>
        <w:bidi w:val="0"/>
        <w:spacing w:lineRule="auto" w:line="355" w:before="0" w:after="180"/>
        <w:jc w:val="both"/>
        <w:rPr/>
      </w:pPr>
      <w:r>
        <w:rPr>
          <w:rFonts w:ascii="Times New Roman;sans-serif" w:hAnsi="Times New Roman;sans-serif"/>
          <w:b/>
          <w:i/>
          <w:color w:val="000000"/>
          <w:sz w:val="20"/>
        </w:rPr>
        <w:t>JFTC</w:t>
      </w:r>
      <w:r>
        <w:rPr>
          <w:color w:val="000000"/>
        </w:rPr>
        <w:t xml:space="preserve"> </w:t>
      </w:r>
      <w:r>
        <w:rPr>
          <w:rFonts w:ascii="Times New Roman;sans-serif" w:hAnsi="Times New Roman;sans-serif"/>
          <w:b w:val="false"/>
          <w:color w:val="000000"/>
          <w:sz w:val="20"/>
        </w:rPr>
        <w:t>has the meaning given in Clause 2.1(d);</w:t>
      </w:r>
    </w:p>
    <w:p>
      <w:pPr>
        <w:pStyle w:val="TextBody"/>
        <w:bidi w:val="0"/>
        <w:spacing w:lineRule="auto" w:line="355" w:before="0" w:after="180"/>
        <w:jc w:val="both"/>
        <w:rPr/>
      </w:pPr>
      <w:r>
        <w:rPr>
          <w:rFonts w:ascii="Times New Roman;sans-serif" w:hAnsi="Times New Roman;sans-serif"/>
          <w:b/>
          <w:i/>
          <w:color w:val="000000"/>
          <w:sz w:val="20"/>
        </w:rPr>
        <w:t>Listing Rules</w:t>
      </w:r>
      <w:r>
        <w:rPr>
          <w:color w:val="000000"/>
        </w:rPr>
        <w:t xml:space="preserve"> </w:t>
      </w:r>
      <w:r>
        <w:rPr>
          <w:rFonts w:ascii="Times New Roman;sans-serif" w:hAnsi="Times New Roman;sans-serif"/>
          <w:b w:val="false"/>
          <w:color w:val="000000"/>
          <w:sz w:val="20"/>
        </w:rPr>
        <w:t>means the Listing Rules of the FCA;</w:t>
      </w:r>
    </w:p>
    <w:p>
      <w:pPr>
        <w:pStyle w:val="TextBody"/>
        <w:bidi w:val="0"/>
        <w:spacing w:lineRule="auto" w:line="355" w:before="0" w:after="180"/>
        <w:jc w:val="both"/>
        <w:rPr/>
      </w:pPr>
      <w:r>
        <w:rPr>
          <w:rFonts w:ascii="Times New Roman;sans-serif" w:hAnsi="Times New Roman;sans-serif"/>
          <w:b/>
          <w:i/>
          <w:color w:val="000000"/>
          <w:sz w:val="20"/>
        </w:rPr>
        <w:t>Lock-Up Period</w:t>
      </w:r>
      <w:r>
        <w:rPr>
          <w:color w:val="000000"/>
        </w:rPr>
        <w:t xml:space="preserve"> </w:t>
      </w:r>
      <w:r>
        <w:rPr>
          <w:rFonts w:ascii="Times New Roman;sans-serif" w:hAnsi="Times New Roman;sans-serif"/>
          <w:b w:val="false"/>
          <w:color w:val="000000"/>
          <w:sz w:val="20"/>
        </w:rPr>
        <w:t>has the meaning given in Clause 5;</w:t>
      </w:r>
    </w:p>
    <w:p>
      <w:pPr>
        <w:pStyle w:val="TextBody"/>
        <w:bidi w:val="0"/>
        <w:spacing w:lineRule="auto" w:line="355" w:before="0" w:after="180"/>
        <w:jc w:val="both"/>
        <w:rPr/>
      </w:pPr>
      <w:r>
        <w:rPr>
          <w:rFonts w:ascii="Times New Roman;sans-serif" w:hAnsi="Times New Roman;sans-serif"/>
          <w:b/>
          <w:i/>
          <w:color w:val="000000"/>
          <w:sz w:val="20"/>
        </w:rPr>
        <w:t xml:space="preserve">Longstop Date </w:t>
      </w:r>
      <w:r>
        <w:rPr>
          <w:rFonts w:ascii="Times New Roman;sans-serif" w:hAnsi="Times New Roman;sans-serif"/>
          <w:b w:val="false"/>
          <w:color w:val="000000"/>
          <w:sz w:val="20"/>
        </w:rPr>
        <w:t>means 31 December 2023, or such later date as may be agreed between the Parties in writing;</w:t>
      </w:r>
    </w:p>
    <w:p>
      <w:pPr>
        <w:pStyle w:val="TextBody"/>
        <w:bidi w:val="0"/>
        <w:spacing w:lineRule="auto" w:line="355" w:before="0" w:after="180"/>
        <w:jc w:val="both"/>
        <w:rPr/>
      </w:pPr>
      <w:r>
        <w:rPr>
          <w:rFonts w:ascii="Times New Roman;sans-serif" w:hAnsi="Times New Roman;sans-serif"/>
          <w:b/>
          <w:i/>
          <w:color w:val="000000"/>
          <w:sz w:val="20"/>
        </w:rPr>
        <w:t>LSE</w:t>
      </w:r>
      <w:r>
        <w:rPr>
          <w:color w:val="000000"/>
        </w:rPr>
        <w:t xml:space="preserve"> </w:t>
      </w:r>
      <w:r>
        <w:rPr>
          <w:rFonts w:ascii="Times New Roman;sans-serif" w:hAnsi="Times New Roman;sans-serif"/>
          <w:b w:val="false"/>
          <w:color w:val="000000"/>
          <w:sz w:val="20"/>
        </w:rPr>
        <w:t>means the London Stock Exchange plc;</w:t>
      </w:r>
    </w:p>
    <w:p>
      <w:pPr>
        <w:pStyle w:val="TextBody"/>
        <w:bidi w:val="0"/>
        <w:spacing w:lineRule="auto" w:line="355" w:before="0" w:after="180"/>
        <w:jc w:val="both"/>
        <w:rPr/>
      </w:pPr>
      <w:r>
        <w:rPr>
          <w:rFonts w:ascii="Times New Roman;sans-serif" w:hAnsi="Times New Roman;sans-serif"/>
          <w:b/>
          <w:i/>
          <w:color w:val="000000"/>
          <w:sz w:val="20"/>
        </w:rPr>
        <w:t xml:space="preserve">Lucid ABL </w:t>
      </w:r>
      <w:r>
        <w:rPr>
          <w:rFonts w:ascii="Times New Roman;sans-serif" w:hAnsi="Times New Roman;sans-serif"/>
          <w:b w:val="false"/>
          <w:color w:val="000000"/>
          <w:sz w:val="20"/>
        </w:rPr>
        <w:t>means the credit agreement entered into on 9 June 2022 among Lucid Parent., as borrower representative and a borrower, certain lenders and issuing banks from time to time, and Bank of America, N.A. as administrative agent (as it may be amended, restated, supplemented or otherwise modified from time to time);</w:t>
      </w:r>
    </w:p>
    <w:p>
      <w:pPr>
        <w:pStyle w:val="TextBody"/>
        <w:bidi w:val="0"/>
        <w:spacing w:lineRule="auto" w:line="355" w:before="0" w:after="180"/>
        <w:jc w:val="both"/>
        <w:rPr/>
      </w:pPr>
      <w:r>
        <w:rPr>
          <w:rFonts w:ascii="Times New Roman;sans-serif" w:hAnsi="Times New Roman;sans-serif"/>
          <w:b/>
          <w:i/>
          <w:color w:val="000000"/>
          <w:sz w:val="20"/>
        </w:rPr>
        <w:t xml:space="preserve">Lucid Change of Control </w:t>
      </w:r>
      <w:r>
        <w:rPr>
          <w:rFonts w:ascii="Times New Roman;sans-serif" w:hAnsi="Times New Roman;sans-serif"/>
          <w:b w:val="false"/>
          <w:color w:val="000000"/>
          <w:sz w:val="20"/>
        </w:rPr>
        <w:t>means each of the following events:</w:t>
      </w:r>
      <w:r>
        <w:rPr>
          <w:color w:val="000000"/>
        </w:rPr>
        <w:t xml:space="preserve">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transfer to or acquisition by (whether by tender offer, merger, consolidation, division or other similar transaction), in one transaction or a series of related transactions, a person or group of Affiliates (other than an underwriter pursuant to an offering), of Lucid Parent’s voting securities if, after such transfer or acquisition, such person or group of Affiliates would beneficially own (as defined in Rule 13d-3 promulgated under the Securities Exchange Act of 1934, as amended) more than 50 per cent. of the outstanding voting securities of Lucid Parent, or Lucid Parent. enters into a binding agreement in relation thereto; provided that the acquisition by Ayar Third Investment Company, PIF or any of their wholly-owned direct or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30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30 | 50</w:t>
                      </w:r>
                    </w:p>
                  </w:txbxContent>
                </v:textbox>
                <w10:wrap type="none"/>
              </v:rect>
            </w:pict>
          </mc:Fallback>
        </mc:AlternateConten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indirect subsidiaries of voting securities of Lucid Group, Inc. shall not constitute a Lucid Change of Control; </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person that is not (i) a member of the Lucid Group (or group of Affiliates that are not members of the Lucid Group) or (ii) Ayar Third Investment Company, PIF or any of their wholly-owned direct or indirect subsidiaries, enters into a binding agreement to acquire Control over Lucid; or</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(c)Lucid enters into a binding agreement to sell or transfer, or sells or transfers, all or substantially all (in one or a series of transactions) of Lucid’s and its Group’s assets (taken as a whole) to another person or group of Affiliates other than (i) a wholly-owned direct or indirect subsidiary of Lucid or (ii) Ayar Third Investment Company, PIF or any of their wholly-owned direct or indirect subsidiaries;</w:t>
      </w:r>
    </w:p>
    <w:p>
      <w:pPr>
        <w:pStyle w:val="TextBody"/>
        <w:bidi w:val="0"/>
        <w:spacing w:lineRule="auto" w:line="355" w:before="0" w:after="180"/>
        <w:jc w:val="both"/>
        <w:rPr/>
      </w:pPr>
      <w:r>
        <w:rPr>
          <w:rFonts w:ascii="Times New Roman;sans-serif" w:hAnsi="Times New Roman;sans-serif"/>
          <w:b/>
          <w:i/>
          <w:color w:val="000000"/>
          <w:sz w:val="20"/>
        </w:rPr>
        <w:t>Lucid CREST Account</w:t>
      </w:r>
      <w:r>
        <w:rPr>
          <w:color w:val="000000"/>
        </w:rPr>
        <w:t xml:space="preserve"> </w:t>
      </w:r>
      <w:r>
        <w:rPr>
          <w:rFonts w:ascii="Times New Roman;sans-serif" w:hAnsi="Times New Roman;sans-serif"/>
          <w:b w:val="false"/>
          <w:color w:val="000000"/>
          <w:sz w:val="20"/>
        </w:rPr>
        <w:t>means such account(s) set up in CREST as Lucid may notify in writing to Aston Martin;</w:t>
      </w:r>
    </w:p>
    <w:p>
      <w:pPr>
        <w:pStyle w:val="TextBody"/>
        <w:bidi w:val="0"/>
        <w:spacing w:lineRule="auto" w:line="355" w:before="0" w:after="180"/>
        <w:jc w:val="both"/>
        <w:rPr/>
      </w:pPr>
      <w:r>
        <w:rPr>
          <w:rFonts w:ascii="Times New Roman;sans-serif" w:hAnsi="Times New Roman;sans-serif"/>
          <w:b/>
          <w:i/>
          <w:color w:val="000000"/>
          <w:sz w:val="20"/>
        </w:rPr>
        <w:t xml:space="preserve">Lucid Material Warranty Breach </w:t>
      </w:r>
      <w:r>
        <w:rPr>
          <w:rFonts w:ascii="Times New Roman;sans-serif" w:hAnsi="Times New Roman;sans-serif"/>
          <w:b w:val="false"/>
          <w:color w:val="000000"/>
          <w:sz w:val="20"/>
        </w:rPr>
        <w:t>means a breach by Lucid of a Fundamental Warranty;</w:t>
      </w:r>
    </w:p>
    <w:p>
      <w:pPr>
        <w:pStyle w:val="TextBody"/>
        <w:bidi w:val="0"/>
        <w:spacing w:lineRule="auto" w:line="355" w:before="0" w:after="180"/>
        <w:jc w:val="both"/>
        <w:rPr/>
      </w:pPr>
      <w:r>
        <w:rPr>
          <w:rFonts w:ascii="Times New Roman;sans-serif" w:hAnsi="Times New Roman;sans-serif"/>
          <w:b/>
          <w:i/>
          <w:color w:val="000000"/>
          <w:sz w:val="20"/>
        </w:rPr>
        <w:t xml:space="preserve">Lucid Public Documents </w:t>
      </w:r>
      <w:r>
        <w:rPr>
          <w:rFonts w:ascii="Times New Roman;sans-serif" w:hAnsi="Times New Roman;sans-serif"/>
          <w:b w:val="false"/>
          <w:color w:val="000000"/>
          <w:sz w:val="20"/>
        </w:rPr>
        <w:t>means all filings made by Lucid Parent. which have been released with the Securities and Exchange Commission that are available on EDGAR, in each case prior to the date of this Agreement;</w:t>
      </w:r>
    </w:p>
    <w:p>
      <w:pPr>
        <w:pStyle w:val="TextBody"/>
        <w:bidi w:val="0"/>
        <w:spacing w:lineRule="auto" w:line="355" w:before="0" w:after="180"/>
        <w:jc w:val="both"/>
        <w:rPr/>
      </w:pPr>
      <w:r>
        <w:rPr>
          <w:rFonts w:ascii="Times New Roman;sans-serif" w:hAnsi="Times New Roman;sans-serif"/>
          <w:b/>
          <w:i/>
          <w:color w:val="000000"/>
          <w:sz w:val="20"/>
        </w:rPr>
        <w:t>Market Abuse Regulation</w:t>
      </w:r>
      <w:r>
        <w:rPr>
          <w:color w:val="000000"/>
        </w:rPr>
        <w:t xml:space="preserve"> </w:t>
      </w:r>
      <w:r>
        <w:rPr>
          <w:rFonts w:ascii="Times New Roman;sans-serif" w:hAnsi="Times New Roman;sans-serif"/>
          <w:b w:val="false"/>
          <w:color w:val="000000"/>
          <w:sz w:val="20"/>
        </w:rPr>
        <w:t>means the Regulation (EU) No 596/2014 of the European Parliament and of the Council of 16 April 2014 on market abuse as it forms part of UK domestic law by virtue of the European Union (Withdrawal) Act 2018;</w:t>
      </w:r>
    </w:p>
    <w:p>
      <w:pPr>
        <w:pStyle w:val="TextBody"/>
        <w:bidi w:val="0"/>
        <w:spacing w:lineRule="auto" w:line="355" w:before="0" w:after="180"/>
        <w:jc w:val="both"/>
        <w:rPr/>
      </w:pPr>
      <w:r>
        <w:rPr>
          <w:rFonts w:ascii="Times New Roman;sans-serif" w:hAnsi="Times New Roman;sans-serif"/>
          <w:b/>
          <w:i/>
          <w:color w:val="000000"/>
          <w:sz w:val="20"/>
        </w:rPr>
        <w:t xml:space="preserve">MBAG Amendment and Restatement Deed </w:t>
      </w:r>
      <w:r>
        <w:rPr>
          <w:rFonts w:ascii="Times New Roman;sans-serif" w:hAnsi="Times New Roman;sans-serif"/>
          <w:b w:val="false"/>
          <w:color w:val="000000"/>
          <w:sz w:val="20"/>
        </w:rPr>
        <w:t>means the deed entered into on the date of this Agreement between MBAG and Aston Martin, pursuant to which MBAG has agreed to amend and restate the SCA and waive any termination right under the amended and restated SCA or any other Operational Agreement (as such term is defined in the amended and restated SCA) which may arise as a result of or in connection with the transactions contemplated by this Agreement;</w:t>
      </w:r>
    </w:p>
    <w:p>
      <w:pPr>
        <w:pStyle w:val="TextBody"/>
        <w:bidi w:val="0"/>
        <w:spacing w:lineRule="auto" w:line="355" w:before="0" w:after="180"/>
        <w:jc w:val="both"/>
        <w:rPr/>
      </w:pPr>
      <w:r>
        <w:rPr>
          <w:rFonts w:ascii="Times New Roman;sans-serif" w:hAnsi="Times New Roman;sans-serif"/>
          <w:b/>
          <w:i/>
          <w:color w:val="000000"/>
          <w:sz w:val="20"/>
        </w:rPr>
        <w:t>MBAG</w:t>
      </w:r>
      <w:r>
        <w:rPr>
          <w:color w:val="000000"/>
        </w:rPr>
        <w:t xml:space="preserve"> </w:t>
      </w:r>
      <w:r>
        <w:rPr>
          <w:rFonts w:ascii="Times New Roman;sans-serif" w:hAnsi="Times New Roman;sans-serif"/>
          <w:b w:val="false"/>
          <w:color w:val="000000"/>
          <w:sz w:val="20"/>
        </w:rPr>
        <w:t>means Mercedes-Benz AG;</w:t>
      </w:r>
    </w:p>
    <w:p>
      <w:pPr>
        <w:pStyle w:val="TextBody"/>
        <w:bidi w:val="0"/>
        <w:spacing w:lineRule="auto" w:line="355" w:before="0" w:after="180"/>
        <w:jc w:val="both"/>
        <w:rPr/>
      </w:pPr>
      <w:r>
        <w:rPr>
          <w:rFonts w:ascii="Times New Roman;sans-serif" w:hAnsi="Times New Roman;sans-serif"/>
          <w:b/>
          <w:i/>
          <w:color w:val="000000"/>
          <w:sz w:val="20"/>
        </w:rPr>
        <w:t>MBAG Irrevocable Undertaking</w:t>
      </w:r>
      <w:r>
        <w:rPr>
          <w:color w:val="000000"/>
        </w:rPr>
        <w:t xml:space="preserve"> </w:t>
      </w:r>
      <w:r>
        <w:rPr>
          <w:rFonts w:ascii="Times New Roman;sans-serif" w:hAnsi="Times New Roman;sans-serif"/>
          <w:b w:val="false"/>
          <w:color w:val="000000"/>
          <w:sz w:val="20"/>
        </w:rPr>
        <w:t>means the irrevocable undertaking to be entered into on the date of this Agreement between Aston Martin and MBAG, pursuant to which MBAG will undertake to vote in favour of the Shareholder Resolutions at the General Meeting;</w:t>
      </w:r>
    </w:p>
    <w:p>
      <w:pPr>
        <w:pStyle w:val="TextBody"/>
        <w:bidi w:val="0"/>
        <w:spacing w:lineRule="auto" w:line="355" w:before="0" w:after="180"/>
        <w:jc w:val="both"/>
        <w:rPr/>
      </w:pPr>
      <w:r>
        <w:rPr>
          <w:rFonts w:ascii="Times New Roman;sans-serif" w:hAnsi="Times New Roman;sans-serif"/>
          <w:b/>
          <w:i/>
          <w:color w:val="000000"/>
          <w:sz w:val="20"/>
        </w:rPr>
        <w:t>Official List</w:t>
      </w:r>
      <w:r>
        <w:rPr>
          <w:color w:val="000000"/>
        </w:rPr>
        <w:t xml:space="preserve"> </w:t>
      </w:r>
      <w:r>
        <w:rPr>
          <w:rFonts w:ascii="Times New Roman;sans-serif" w:hAnsi="Times New Roman;sans-serif"/>
          <w:b w:val="false"/>
          <w:color w:val="000000"/>
          <w:sz w:val="20"/>
        </w:rPr>
        <w:t>means the Official List of the FCA;</w:t>
      </w:r>
    </w:p>
    <w:p>
      <w:pPr>
        <w:pStyle w:val="TextBody"/>
        <w:bidi w:val="0"/>
        <w:spacing w:lineRule="auto" w:line="355" w:before="0" w:after="180"/>
        <w:jc w:val="both"/>
        <w:rPr/>
      </w:pPr>
      <w:r>
        <w:rPr>
          <w:rFonts w:ascii="Times New Roman;sans-serif" w:hAnsi="Times New Roman;sans-serif"/>
          <w:b/>
          <w:i/>
          <w:color w:val="000000"/>
          <w:sz w:val="20"/>
        </w:rPr>
        <w:t xml:space="preserve">Operational Agreement </w:t>
      </w:r>
      <w:r>
        <w:rPr>
          <w:rFonts w:ascii="Times New Roman;sans-serif" w:hAnsi="Times New Roman;sans-serif"/>
          <w:b w:val="false"/>
          <w:color w:val="000000"/>
          <w:sz w:val="20"/>
        </w:rPr>
        <w:t xml:space="preserve">means any operational, technical or commercial agreement entered into by Lucid (or a member of the Lucid Group) and Aston Martin (or a member of its Group) relating to the provision by Lucid, by itself or through a member of the Lucid Group, of, and Aston Martin’s access to, the Goods, the services required for integration of the Goods into Aston Martin products and/or the Engineering Support Services, including a Supply Agreement and the Integration Agreement; </w:t>
      </w:r>
    </w:p>
    <w:p>
      <w:pPr>
        <w:pStyle w:val="TextBody"/>
        <w:bidi w:val="0"/>
        <w:spacing w:lineRule="auto" w:line="355" w:before="0" w:after="180"/>
        <w:jc w:val="both"/>
        <w:rPr/>
      </w:pPr>
      <w:r>
        <w:rPr>
          <w:rFonts w:ascii="Times New Roman;sans-serif" w:hAnsi="Times New Roman;sans-serif"/>
          <w:b/>
          <w:i/>
          <w:color w:val="000000"/>
          <w:sz w:val="20"/>
        </w:rPr>
        <w:t>Ordinary Shares</w:t>
      </w:r>
      <w:r>
        <w:rPr>
          <w:color w:val="000000"/>
        </w:rPr>
        <w:t xml:space="preserve"> </w:t>
      </w:r>
      <w:r>
        <w:rPr>
          <w:rFonts w:ascii="Times New Roman;sans-serif" w:hAnsi="Times New Roman;sans-serif"/>
          <w:b w:val="false"/>
          <w:color w:val="000000"/>
          <w:sz w:val="20"/>
        </w:rPr>
        <w:t>means ordinary shares of £0.10 each in the capital of Aston Martin, the rights attaching to which are set out in the Articles of Association;</w:t>
      </w:r>
    </w:p>
    <w:p>
      <w:pPr>
        <w:pStyle w:val="TextBody"/>
        <w:bidi w:val="0"/>
        <w:spacing w:lineRule="auto" w:line="355" w:before="0" w:after="180"/>
        <w:jc w:val="both"/>
        <w:rPr/>
      </w:pPr>
      <w:r>
        <w:rPr>
          <w:rFonts w:ascii="Times New Roman;sans-serif" w:hAnsi="Times New Roman;sans-serif"/>
          <w:b/>
          <w:i/>
          <w:color w:val="000000"/>
          <w:sz w:val="20"/>
        </w:rPr>
        <w:t xml:space="preserve">PIF </w:t>
      </w:r>
      <w:r>
        <w:rPr>
          <w:rFonts w:ascii="Times New Roman;sans-serif" w:hAnsi="Times New Roman;sans-serif"/>
          <w:b w:val="false"/>
          <w:color w:val="000000"/>
          <w:sz w:val="20"/>
        </w:rPr>
        <w:t xml:space="preserve">means the Public Investment Fund; </w:t>
      </w:r>
    </w:p>
    <w:p>
      <w:pPr>
        <w:pStyle w:val="TextBody"/>
        <w:bidi w:val="0"/>
        <w:spacing w:lineRule="auto" w:line="355" w:before="0" w:after="180"/>
        <w:jc w:val="both"/>
        <w:rPr/>
      </w:pPr>
      <w:r>
        <w:rPr>
          <w:rFonts w:ascii="Times New Roman;sans-serif" w:hAnsi="Times New Roman;sans-serif"/>
          <w:b/>
          <w:i/>
          <w:color w:val="000000"/>
          <w:sz w:val="20"/>
        </w:rPr>
        <w:t xml:space="preserve">Project Agreements </w:t>
      </w:r>
      <w:r>
        <w:rPr>
          <w:rFonts w:ascii="Times New Roman;sans-serif" w:hAnsi="Times New Roman;sans-serif"/>
          <w:b w:val="false"/>
          <w:color w:val="000000"/>
          <w:sz w:val="20"/>
        </w:rPr>
        <w:t>means this Agreement, a Supply Agreement and the Integration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31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31 | 50</w:t>
                      </w:r>
                    </w:p>
                  </w:txbxContent>
                </v:textbox>
                <w10:wrap type="none"/>
              </v:rect>
            </w:pict>
          </mc:Fallback>
        </mc:AlternateContent>
      </w:r>
    </w:p>
    <w:p>
      <w:pPr>
        <w:pStyle w:val="TextBody"/>
        <w:bidi w:val="0"/>
        <w:spacing w:lineRule="auto" w:line="355" w:before="0" w:after="180"/>
        <w:jc w:val="both"/>
        <w:rPr/>
      </w:pPr>
      <w:r>
        <w:rPr>
          <w:rFonts w:ascii="Times New Roman;sans-serif" w:hAnsi="Times New Roman;sans-serif"/>
          <w:b/>
          <w:i/>
          <w:color w:val="000000"/>
          <w:sz w:val="20"/>
        </w:rPr>
        <w:t>Prospectus Regulation</w:t>
      </w:r>
      <w:r>
        <w:rPr>
          <w:color w:val="000000"/>
        </w:rPr>
        <w:t xml:space="preserve"> </w:t>
      </w:r>
      <w:r>
        <w:rPr>
          <w:rFonts w:ascii="Times New Roman;sans-serif" w:hAnsi="Times New Roman;sans-serif"/>
          <w:b w:val="false"/>
          <w:color w:val="000000"/>
          <w:sz w:val="20"/>
        </w:rPr>
        <w:t>means the Regulation (EU) No 2017/1129 of the European Parliament and of the Council of 14 June 2017 on the prospectus to be published when securities are offered to the public or admitted to trading on a regulated market, and repealing Directive 2003/71/EC as it forms part of UK domestic law by virtue of the European Union (Withdrawal) Act 2018;</w:t>
      </w:r>
    </w:p>
    <w:p>
      <w:pPr>
        <w:pStyle w:val="TextBody"/>
        <w:bidi w:val="0"/>
        <w:spacing w:lineRule="auto" w:line="355" w:before="0" w:after="180"/>
        <w:jc w:val="both"/>
        <w:rPr/>
      </w:pPr>
      <w:r>
        <w:rPr>
          <w:rFonts w:ascii="Times New Roman;sans-serif" w:hAnsi="Times New Roman;sans-serif"/>
          <w:b/>
          <w:i/>
          <w:color w:val="000000"/>
          <w:sz w:val="20"/>
        </w:rPr>
        <w:t>Regulatory Authority</w:t>
      </w:r>
      <w:r>
        <w:rPr>
          <w:color w:val="000000"/>
        </w:rPr>
        <w:t xml:space="preserve"> </w:t>
      </w:r>
      <w:r>
        <w:rPr>
          <w:rFonts w:ascii="Times New Roman;sans-serif" w:hAnsi="Times New Roman;sans-serif"/>
          <w:b w:val="false"/>
          <w:color w:val="000000"/>
          <w:sz w:val="20"/>
        </w:rPr>
        <w:t>means any national, state, municipal or local or any supra-national or other governmental, quasi-governmental, administrative, antitrust or regulatory authority, agency, body or commission, or any court, tribunal, or judicial or arbitral body, including, for the avoidance of doubt, any Tax Authority, the FCA, the LSE, the United States Securities Exchange Commission and The Nasdaq Stock Market LLC;</w:t>
      </w:r>
    </w:p>
    <w:p>
      <w:pPr>
        <w:pStyle w:val="TextBody"/>
        <w:bidi w:val="0"/>
        <w:spacing w:lineRule="auto" w:line="355" w:before="0" w:after="180"/>
        <w:jc w:val="both"/>
        <w:rPr/>
      </w:pPr>
      <w:r>
        <w:rPr>
          <w:rFonts w:ascii="Times New Roman;sans-serif" w:hAnsi="Times New Roman;sans-serif"/>
          <w:b/>
          <w:i/>
          <w:color w:val="000000"/>
          <w:sz w:val="20"/>
        </w:rPr>
        <w:t>Related Party Directors</w:t>
      </w:r>
      <w:r>
        <w:rPr>
          <w:color w:val="000000"/>
        </w:rPr>
        <w:t xml:space="preserve"> </w:t>
      </w:r>
      <w:r>
        <w:rPr>
          <w:rFonts w:ascii="Times New Roman;sans-serif" w:hAnsi="Times New Roman;sans-serif"/>
          <w:b w:val="false"/>
          <w:color w:val="000000"/>
          <w:sz w:val="20"/>
        </w:rPr>
        <w:t>means the Aston Martin Directors nominated for appointment to the Board by PIF;</w:t>
      </w:r>
    </w:p>
    <w:p>
      <w:pPr>
        <w:pStyle w:val="TextBody"/>
        <w:bidi w:val="0"/>
        <w:spacing w:lineRule="auto" w:line="355" w:before="0" w:after="180"/>
        <w:jc w:val="both"/>
        <w:rPr/>
      </w:pPr>
      <w:r>
        <w:rPr>
          <w:rFonts w:ascii="Times New Roman;sans-serif" w:hAnsi="Times New Roman;sans-serif"/>
          <w:b/>
          <w:i/>
          <w:color w:val="000000"/>
          <w:sz w:val="20"/>
        </w:rPr>
        <w:t xml:space="preserve">Relief </w:t>
      </w:r>
      <w:r>
        <w:rPr>
          <w:rFonts w:ascii="Times New Roman;sans-serif" w:hAnsi="Times New Roman;sans-serif"/>
          <w:b w:val="false"/>
          <w:color w:val="000000"/>
          <w:sz w:val="20"/>
        </w:rPr>
        <w:t>includes any allowance, credit, deduction, exemption or set off in respect of any Tax or relevant to the computation of any income, profits or gains for the purposes of any Tax, any right to or actual repayment of or saving of Tax (including any repayment supplement, fee or interest in respect of Tax), or any credit or other amount payable or paid by a Tax Authority;</w:t>
      </w:r>
    </w:p>
    <w:p>
      <w:pPr>
        <w:pStyle w:val="TextBody"/>
        <w:bidi w:val="0"/>
        <w:spacing w:lineRule="auto" w:line="355" w:before="0" w:after="180"/>
        <w:jc w:val="both"/>
        <w:rPr/>
      </w:pPr>
      <w:r>
        <w:rPr>
          <w:rFonts w:ascii="Times New Roman;sans-serif" w:hAnsi="Times New Roman;sans-serif"/>
          <w:b/>
          <w:i/>
          <w:color w:val="000000"/>
          <w:sz w:val="20"/>
        </w:rPr>
        <w:t>Relevant Shareholder</w:t>
      </w:r>
      <w:r>
        <w:rPr>
          <w:color w:val="000000"/>
        </w:rPr>
        <w:t xml:space="preserve"> </w:t>
      </w:r>
      <w:r>
        <w:rPr>
          <w:rFonts w:ascii="Times New Roman;sans-serif" w:hAnsi="Times New Roman;sans-serif"/>
          <w:b w:val="false"/>
          <w:color w:val="000000"/>
          <w:sz w:val="20"/>
        </w:rPr>
        <w:t>means each of: Yew Tree Overseas Limited, Saint James Invest SA, J.C.B.Research, RRRR Investments LLC, John Idol, FrancInvest Holding Corporation, Omega Funds I Limited, ErsteAM Ltd, MBAG, Geely International (Hong Kong) Limited and Geely Group Limited;</w:t>
      </w:r>
    </w:p>
    <w:p>
      <w:pPr>
        <w:pStyle w:val="TextBody"/>
        <w:bidi w:val="0"/>
        <w:spacing w:lineRule="auto" w:line="355" w:before="0" w:after="180"/>
        <w:jc w:val="both"/>
        <w:rPr/>
      </w:pPr>
      <w:r>
        <w:rPr>
          <w:rFonts w:ascii="Times New Roman;sans-serif" w:hAnsi="Times New Roman;sans-serif"/>
          <w:b/>
          <w:i/>
          <w:color w:val="000000"/>
          <w:sz w:val="20"/>
        </w:rPr>
        <w:t xml:space="preserve">Rules </w:t>
      </w:r>
      <w:r>
        <w:rPr>
          <w:rFonts w:ascii="Times New Roman;sans-serif" w:hAnsi="Times New Roman;sans-serif"/>
          <w:b w:val="false"/>
          <w:color w:val="000000"/>
          <w:sz w:val="20"/>
        </w:rPr>
        <w:t>has the meaning given in Clause 30.1;</w:t>
      </w:r>
    </w:p>
    <w:p>
      <w:pPr>
        <w:pStyle w:val="TextBody"/>
        <w:bidi w:val="0"/>
        <w:spacing w:lineRule="auto" w:line="355" w:before="0" w:after="180"/>
        <w:jc w:val="both"/>
        <w:rPr/>
      </w:pPr>
      <w:r>
        <w:rPr>
          <w:rFonts w:ascii="Times New Roman;sans-serif" w:hAnsi="Times New Roman;sans-serif"/>
          <w:b/>
          <w:i/>
          <w:color w:val="000000"/>
          <w:sz w:val="20"/>
        </w:rPr>
        <w:t xml:space="preserve">Sanctioned Person </w:t>
      </w:r>
      <w:r>
        <w:rPr>
          <w:rFonts w:ascii="Times New Roman;sans-serif" w:hAnsi="Times New Roman;sans-serif"/>
          <w:b w:val="false"/>
          <w:color w:val="000000"/>
          <w:sz w:val="20"/>
        </w:rPr>
        <w:t>means a person or entity: (a) included on the United Nations Security Council Consolidated List, or any equivalent list maintained by the United Nations; (b) designated on the lists of Specially Designated Nationals and Blocked Persons or “Foreign Sanctions Evaders” maintained by the Office of Foreign Assets Control of the US Department of Treasury (</w:t>
      </w:r>
      <w:r>
        <w:rPr>
          <w:rFonts w:ascii="Times New Roman;sans-serif" w:hAnsi="Times New Roman;sans-serif"/>
          <w:b/>
          <w:i/>
          <w:color w:val="000000"/>
          <w:sz w:val="20"/>
        </w:rPr>
        <w:t>OFAC</w:t>
      </w:r>
      <w:r>
        <w:rPr>
          <w:rFonts w:ascii="Times New Roman;sans-serif" w:hAnsi="Times New Roman;sans-serif"/>
          <w:b w:val="false"/>
          <w:color w:val="000000"/>
          <w:sz w:val="20"/>
        </w:rPr>
        <w:t>), the US Department of Commerce, the US Department of State and any other agency of the US government; (c) designated on the Consolidated List of Persons, Groups and Entities Subject to EU Financial Sanctions maintained by the European Commission, the Consolidated List of Asset Freeze Targets and the list of persons named in relation to financial and investment restrictions each maintained by His Majesty’s Treasury of the United Kingdom, or any equivalent list maintained by the competent sanctions authority of any EU Member State or the UK; (d) that is, or is part of, a government of a Sanctioned Territory; (e) directly or indirectly owned or Controlled by any of the foregoing; (f) that is incorporated in, domiciled in, operating from, located or residing in any Sanctioned Territory; or (g) otherwise subject to or targeted under any Sanctions Law or designated in any other list of targeted persons issued under applicable Sanctions Law in any relevant country or territory;</w:t>
      </w:r>
    </w:p>
    <w:p>
      <w:pPr>
        <w:pStyle w:val="TextBody"/>
        <w:bidi w:val="0"/>
        <w:spacing w:lineRule="auto" w:line="355" w:before="0" w:after="180"/>
        <w:jc w:val="both"/>
        <w:rPr/>
      </w:pPr>
      <w:r>
        <w:rPr>
          <w:rFonts w:ascii="Times New Roman;sans-serif" w:hAnsi="Times New Roman;sans-serif"/>
          <w:b/>
          <w:i/>
          <w:color w:val="000000"/>
          <w:sz w:val="20"/>
        </w:rPr>
        <w:t>Sanctioned Territory</w:t>
      </w:r>
      <w:r>
        <w:rPr>
          <w:color w:val="000000"/>
        </w:rPr>
        <w:t xml:space="preserve"> </w:t>
      </w:r>
      <w:r>
        <w:rPr>
          <w:rFonts w:ascii="Times New Roman;sans-serif" w:hAnsi="Times New Roman;sans-serif"/>
          <w:b w:val="false"/>
          <w:color w:val="000000"/>
          <w:sz w:val="20"/>
        </w:rPr>
        <w:t>means any country or other territory subject to a comprehensive export, import, financial or investment embargo under any Sanctions Law, which are, as of the date of this Agreement, Cuba, Iran, North Korea, Syria, the Crimea and separatist-controlled portions of the Luhansk and Donetsk regions of Ukraine;</w:t>
      </w:r>
    </w:p>
    <w:p>
      <w:pPr>
        <w:pStyle w:val="TextBody"/>
        <w:bidi w:val="0"/>
        <w:spacing w:lineRule="auto" w:line="355" w:before="0" w:after="180"/>
        <w:jc w:val="both"/>
        <w:rPr/>
      </w:pPr>
      <w:r>
        <w:rPr>
          <w:rFonts w:ascii="Times New Roman;sans-serif" w:hAnsi="Times New Roman;sans-serif"/>
          <w:b/>
          <w:i/>
          <w:color w:val="000000"/>
          <w:sz w:val="20"/>
        </w:rPr>
        <w:t>Sanctions Law</w:t>
      </w:r>
      <w:r>
        <w:rPr>
          <w:color w:val="000000"/>
        </w:rPr>
        <w:t xml:space="preserve"> </w:t>
      </w:r>
      <w:r>
        <w:rPr>
          <w:rFonts w:ascii="Times New Roman;sans-serif" w:hAnsi="Times New Roman;sans-serif"/>
          <w:b w:val="false"/>
          <w:color w:val="000000"/>
          <w:sz w:val="20"/>
        </w:rPr>
        <w:t>means any applicable export control and economic, financial or other trade-related sanctions laws and regulations thereunder of the United States of America, the United Nations or its Security Council, the European Union, any member state of the European Union and the United Kingdom;</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32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32 | 50</w:t>
                      </w:r>
                    </w:p>
                  </w:txbxContent>
                </v:textbox>
                <w10:wrap type="none"/>
              </v:rect>
            </w:pict>
          </mc:Fallback>
        </mc:AlternateContent>
      </w:r>
    </w:p>
    <w:p>
      <w:pPr>
        <w:pStyle w:val="TextBody"/>
        <w:bidi w:val="0"/>
        <w:spacing w:lineRule="auto" w:line="355" w:before="0" w:after="180"/>
        <w:jc w:val="both"/>
        <w:rPr/>
      </w:pPr>
      <w:r>
        <w:rPr>
          <w:rFonts w:ascii="Times New Roman;sans-serif" w:hAnsi="Times New Roman;sans-serif"/>
          <w:b/>
          <w:i/>
          <w:color w:val="000000"/>
          <w:sz w:val="20"/>
        </w:rPr>
        <w:t xml:space="preserve">SCA </w:t>
      </w:r>
      <w:r>
        <w:rPr>
          <w:rFonts w:ascii="Times New Roman;sans-serif" w:hAnsi="Times New Roman;sans-serif"/>
          <w:b w:val="false"/>
          <w:color w:val="000000"/>
          <w:sz w:val="20"/>
        </w:rPr>
        <w:t>means the strategic cooperation agreement entered into between MBAG and Aston Martin on 27 October 2020, as amended;</w:t>
      </w:r>
    </w:p>
    <w:p>
      <w:pPr>
        <w:pStyle w:val="TextBody"/>
        <w:bidi w:val="0"/>
        <w:spacing w:lineRule="auto" w:line="355" w:before="0" w:after="180"/>
        <w:jc w:val="both"/>
        <w:rPr/>
      </w:pPr>
      <w:r>
        <w:rPr>
          <w:rFonts w:ascii="Times New Roman;sans-serif" w:hAnsi="Times New Roman;sans-serif"/>
          <w:b/>
          <w:i/>
          <w:color w:val="000000"/>
          <w:sz w:val="20"/>
        </w:rPr>
        <w:t>Shareholder Approval Condition</w:t>
      </w:r>
      <w:r>
        <w:rPr>
          <w:color w:val="000000"/>
        </w:rPr>
        <w:t xml:space="preserve"> </w:t>
      </w:r>
      <w:r>
        <w:rPr>
          <w:rFonts w:ascii="Times New Roman;sans-serif" w:hAnsi="Times New Roman;sans-serif"/>
          <w:b w:val="false"/>
          <w:color w:val="000000"/>
          <w:sz w:val="20"/>
        </w:rPr>
        <w:t>has the meaning given in Clause 2.1(b);</w:t>
      </w:r>
    </w:p>
    <w:p>
      <w:pPr>
        <w:pStyle w:val="TextBody"/>
        <w:bidi w:val="0"/>
        <w:spacing w:lineRule="auto" w:line="355" w:before="0" w:after="180"/>
        <w:jc w:val="both"/>
        <w:rPr/>
      </w:pPr>
      <w:r>
        <w:rPr>
          <w:rFonts w:ascii="Times New Roman;sans-serif" w:hAnsi="Times New Roman;sans-serif"/>
          <w:b/>
          <w:i/>
          <w:color w:val="000000"/>
          <w:sz w:val="20"/>
        </w:rPr>
        <w:t>Shareholder Resolutions</w:t>
      </w:r>
      <w:r>
        <w:rPr>
          <w:color w:val="000000"/>
        </w:rPr>
        <w:t xml:space="preserve"> </w:t>
      </w:r>
      <w:r>
        <w:rPr>
          <w:rFonts w:ascii="Times New Roman;sans-serif" w:hAnsi="Times New Roman;sans-serif"/>
          <w:b w:val="false"/>
          <w:color w:val="000000"/>
          <w:sz w:val="20"/>
        </w:rPr>
        <w:t>means those ordinary resolutions of Aston Martin as may be necessary or incidental to:</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(a)approve, implement and effect the transactions contemplated by this Agreement, the Supply Agreement and the Integration Agreement, including as required under Listing Rule 11.1.7R;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(b)authorize the Aston Martin Directors to allot and issue the Consideration Shares to Lucid.</w:t>
      </w:r>
    </w:p>
    <w:p>
      <w:pPr>
        <w:pStyle w:val="TextBody"/>
        <w:bidi w:val="0"/>
        <w:spacing w:lineRule="auto" w:line="355" w:before="0" w:after="180"/>
        <w:jc w:val="both"/>
        <w:rPr/>
      </w:pPr>
      <w:r>
        <w:rPr>
          <w:rFonts w:ascii="Times New Roman;sans-serif" w:hAnsi="Times New Roman;sans-serif"/>
          <w:b/>
          <w:i/>
          <w:color w:val="000000"/>
          <w:sz w:val="20"/>
        </w:rPr>
        <w:t xml:space="preserve">Statutory Accounts </w:t>
      </w:r>
      <w:r>
        <w:rPr>
          <w:rFonts w:ascii="Times New Roman;sans-serif" w:hAnsi="Times New Roman;sans-serif"/>
          <w:b w:val="false"/>
          <w:color w:val="000000"/>
          <w:sz w:val="20"/>
        </w:rPr>
        <w:t>means the audited consolidated accounts for the Aston Martin Group as of and for the period ended 31 December 2022, together with the related schedules and notes included therein;</w:t>
      </w:r>
    </w:p>
    <w:p>
      <w:pPr>
        <w:pStyle w:val="TextBody"/>
        <w:bidi w:val="0"/>
        <w:spacing w:lineRule="auto" w:line="355" w:before="0" w:after="180"/>
        <w:jc w:val="both"/>
        <w:rPr/>
      </w:pPr>
      <w:r>
        <w:rPr>
          <w:rFonts w:ascii="Times New Roman;sans-serif" w:hAnsi="Times New Roman;sans-serif"/>
          <w:b/>
          <w:i/>
          <w:color w:val="000000"/>
          <w:sz w:val="20"/>
        </w:rPr>
        <w:t>Supplementary Circular</w:t>
      </w:r>
      <w:r>
        <w:rPr>
          <w:color w:val="000000"/>
        </w:rPr>
        <w:t xml:space="preserve"> </w:t>
      </w:r>
      <w:r>
        <w:rPr>
          <w:rFonts w:ascii="Times New Roman;sans-serif" w:hAnsi="Times New Roman;sans-serif"/>
          <w:b w:val="false"/>
          <w:color w:val="000000"/>
          <w:sz w:val="20"/>
        </w:rPr>
        <w:t xml:space="preserve">means any supplementary circular that may be required to be issued by Aston Martin to Aston Martin Shareholders pursuant to the Listing Rules in relation to the transactions contemplated by this Agreement; </w:t>
      </w:r>
    </w:p>
    <w:p>
      <w:pPr>
        <w:pStyle w:val="TextBody"/>
        <w:bidi w:val="0"/>
        <w:spacing w:lineRule="auto" w:line="355" w:before="0" w:after="180"/>
        <w:jc w:val="both"/>
        <w:rPr/>
      </w:pPr>
      <w:r>
        <w:rPr>
          <w:rFonts w:ascii="Times New Roman;sans-serif" w:hAnsi="Times New Roman;sans-serif"/>
          <w:b/>
          <w:i/>
          <w:color w:val="000000"/>
          <w:sz w:val="20"/>
        </w:rPr>
        <w:t>Supply Agreement</w:t>
      </w:r>
      <w:r>
        <w:rPr>
          <w:color w:val="000000"/>
        </w:rPr>
        <w:t xml:space="preserve"> </w:t>
      </w:r>
      <w:r>
        <w:rPr>
          <w:rFonts w:ascii="Times New Roman;sans-serif" w:hAnsi="Times New Roman;sans-serif"/>
          <w:b w:val="false"/>
          <w:color w:val="000000"/>
          <w:sz w:val="20"/>
        </w:rPr>
        <w:t>means each of the Interim Supply Agreement and the Full Form Supply Agreement;</w:t>
      </w:r>
    </w:p>
    <w:p>
      <w:pPr>
        <w:pStyle w:val="TextBody"/>
        <w:bidi w:val="0"/>
        <w:spacing w:lineRule="auto" w:line="355" w:before="0" w:after="180"/>
        <w:jc w:val="both"/>
        <w:rPr/>
      </w:pPr>
      <w:r>
        <w:rPr>
          <w:rFonts w:ascii="Times New Roman;sans-serif" w:hAnsi="Times New Roman;sans-serif"/>
          <w:b/>
          <w:i/>
          <w:color w:val="000000"/>
          <w:sz w:val="20"/>
        </w:rPr>
        <w:t>Takeover Offer</w:t>
      </w:r>
      <w:r>
        <w:rPr>
          <w:color w:val="000000"/>
        </w:rPr>
        <w:t xml:space="preserve"> </w:t>
      </w:r>
      <w:r>
        <w:rPr>
          <w:rFonts w:ascii="Times New Roman;sans-serif" w:hAnsi="Times New Roman;sans-serif"/>
          <w:b w:val="false"/>
          <w:color w:val="000000"/>
          <w:sz w:val="20"/>
        </w:rPr>
        <w:t>an offer (as defined in the Code) made in accordance with the Code (including, for the avoidance of doubt, by way of a scheme of arrangement or contractual offer);</w:t>
      </w:r>
    </w:p>
    <w:p>
      <w:pPr>
        <w:pStyle w:val="TextBody"/>
        <w:bidi w:val="0"/>
        <w:spacing w:lineRule="auto" w:line="355" w:before="0" w:after="180"/>
        <w:jc w:val="both"/>
        <w:rPr/>
      </w:pPr>
      <w:r>
        <w:rPr>
          <w:rFonts w:ascii="Times New Roman;sans-serif" w:hAnsi="Times New Roman;sans-serif"/>
          <w:b/>
          <w:i/>
          <w:color w:val="000000"/>
          <w:sz w:val="20"/>
        </w:rPr>
        <w:t>Tax</w:t>
      </w:r>
      <w:r>
        <w:rPr>
          <w:color w:val="000000"/>
        </w:rPr>
        <w:t xml:space="preserve"> </w:t>
      </w:r>
      <w:r>
        <w:rPr>
          <w:rFonts w:ascii="Times New Roman;sans-serif" w:hAnsi="Times New Roman;sans-serif"/>
          <w:b w:val="false"/>
          <w:color w:val="000000"/>
          <w:sz w:val="20"/>
        </w:rPr>
        <w:t>means:</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forms of tax, levy, impost, contribution, duty, liability and charge in the nature of taxation and all related withholdings or deductions of any nature (including, for the avoidance of doubt, National Insurance contribution liabilities in the United Kingdom and corresponding obligations elsewhere); and</w:t>
      </w:r>
    </w:p>
    <w:p>
      <w:pPr>
        <w:pStyle w:val="TextBody"/>
        <w:bidi w:val="0"/>
        <w:spacing w:lineRule="auto" w:line="355"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(b)all related fines, penalties, charges and interest,</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whether directly or primarily chargeable against, recoverable from or attributable to the relevant person or another person;</w:t>
      </w:r>
    </w:p>
    <w:p>
      <w:pPr>
        <w:pStyle w:val="TextBody"/>
        <w:bidi w:val="0"/>
        <w:spacing w:lineRule="auto" w:line="355" w:before="0" w:after="180"/>
        <w:jc w:val="both"/>
        <w:rPr/>
      </w:pPr>
      <w:r>
        <w:rPr>
          <w:rFonts w:ascii="Times New Roman;sans-serif" w:hAnsi="Times New Roman;sans-serif"/>
          <w:b/>
          <w:i/>
          <w:color w:val="000000"/>
          <w:sz w:val="20"/>
        </w:rPr>
        <w:t>Tax Authority</w:t>
      </w:r>
      <w:r>
        <w:rPr>
          <w:color w:val="000000"/>
        </w:rPr>
        <w:t xml:space="preserve"> </w:t>
      </w:r>
      <w:r>
        <w:rPr>
          <w:rFonts w:ascii="Times New Roman;sans-serif" w:hAnsi="Times New Roman;sans-serif"/>
          <w:b w:val="false"/>
          <w:color w:val="000000"/>
          <w:sz w:val="20"/>
        </w:rPr>
        <w:t>means a taxing or other governmental (local or central), state or municipal authority (whether within or outside the United Kingdom) competent to collect or administer a liability for Tax;</w:t>
      </w:r>
    </w:p>
    <w:p>
      <w:pPr>
        <w:pStyle w:val="TextBody"/>
        <w:bidi w:val="0"/>
        <w:spacing w:lineRule="auto" w:line="355" w:before="0" w:after="180"/>
        <w:jc w:val="both"/>
        <w:rPr/>
      </w:pPr>
      <w:r>
        <w:rPr>
          <w:rFonts w:ascii="Times New Roman;sans-serif" w:hAnsi="Times New Roman;sans-serif"/>
          <w:b/>
          <w:i/>
          <w:color w:val="000000"/>
          <w:sz w:val="20"/>
        </w:rPr>
        <w:t xml:space="preserve">UK-US Treaty </w:t>
      </w:r>
      <w:r>
        <w:rPr>
          <w:rFonts w:ascii="Times New Roman;sans-serif" w:hAnsi="Times New Roman;sans-serif"/>
          <w:b w:val="false"/>
          <w:color w:val="000000"/>
          <w:sz w:val="20"/>
        </w:rPr>
        <w:t>means the UK/USA double taxation convention which entered into force on 31 March 2003 (as amended from time to time);</w:t>
      </w:r>
    </w:p>
    <w:p>
      <w:pPr>
        <w:pStyle w:val="TextBody"/>
        <w:bidi w:val="0"/>
        <w:spacing w:lineRule="auto" w:line="355" w:before="0" w:after="180"/>
        <w:jc w:val="both"/>
        <w:rPr/>
      </w:pPr>
      <w:r>
        <w:rPr>
          <w:rFonts w:ascii="Times New Roman;sans-serif" w:hAnsi="Times New Roman;sans-serif"/>
          <w:b/>
          <w:i/>
          <w:color w:val="000000"/>
          <w:sz w:val="20"/>
        </w:rPr>
        <w:t>United Kingdom</w:t>
      </w:r>
      <w:r>
        <w:rPr>
          <w:color w:val="000000"/>
        </w:rPr>
        <w:t xml:space="preserve"> </w:t>
      </w:r>
      <w:r>
        <w:rPr>
          <w:rFonts w:ascii="Times New Roman;sans-serif" w:hAnsi="Times New Roman;sans-serif"/>
          <w:b w:val="false"/>
          <w:color w:val="000000"/>
          <w:sz w:val="20"/>
        </w:rPr>
        <w:t>means the United Kingdom of Great Britain and Northern Ireland;</w:t>
      </w:r>
    </w:p>
    <w:p>
      <w:pPr>
        <w:pStyle w:val="TextBody"/>
        <w:bidi w:val="0"/>
        <w:spacing w:lineRule="auto" w:line="355" w:before="0" w:after="180"/>
        <w:jc w:val="both"/>
        <w:rPr/>
      </w:pPr>
      <w:r>
        <w:rPr>
          <w:rFonts w:ascii="Times New Roman;sans-serif" w:hAnsi="Times New Roman;sans-serif"/>
          <w:b/>
          <w:i/>
          <w:color w:val="000000"/>
          <w:sz w:val="20"/>
        </w:rPr>
        <w:t>United States</w:t>
      </w:r>
      <w:r>
        <w:rPr>
          <w:color w:val="000000"/>
        </w:rPr>
        <w:t xml:space="preserve"> </w:t>
      </w:r>
      <w:r>
        <w:rPr>
          <w:rFonts w:ascii="Times New Roman;sans-serif" w:hAnsi="Times New Roman;sans-serif"/>
          <w:b w:val="false"/>
          <w:color w:val="000000"/>
          <w:sz w:val="20"/>
        </w:rPr>
        <w:t>means the United States of America, its territories and possessions, any state of the United States and the District of Columbia;</w:t>
      </w:r>
    </w:p>
    <w:p>
      <w:pPr>
        <w:pStyle w:val="TextBody"/>
        <w:bidi w:val="0"/>
        <w:spacing w:lineRule="auto" w:line="355" w:before="0" w:after="180"/>
        <w:jc w:val="both"/>
        <w:rPr/>
      </w:pPr>
      <w:r>
        <w:rPr>
          <w:rFonts w:ascii="Times New Roman;sans-serif" w:hAnsi="Times New Roman;sans-serif"/>
          <w:b/>
          <w:i/>
          <w:color w:val="000000"/>
          <w:sz w:val="20"/>
        </w:rPr>
        <w:t>US Bankruptcy Law</w:t>
      </w:r>
      <w:r>
        <w:rPr>
          <w:color w:val="000000"/>
        </w:rPr>
        <w:t xml:space="preserve"> </w:t>
      </w:r>
      <w:r>
        <w:rPr>
          <w:rFonts w:ascii="Times New Roman;sans-serif" w:hAnsi="Times New Roman;sans-serif"/>
          <w:b w:val="false"/>
          <w:color w:val="000000"/>
          <w:sz w:val="20"/>
        </w:rPr>
        <w:t>means Title 11, United States Code, or any similar U.S. federal or state or non-U.S. law for the relief of debtors;</w:t>
      </w:r>
    </w:p>
    <w:p>
      <w:pPr>
        <w:pStyle w:val="TextBody"/>
        <w:bidi w:val="0"/>
        <w:spacing w:lineRule="auto" w:line="355" w:before="0" w:after="180"/>
        <w:jc w:val="both"/>
        <w:rPr/>
      </w:pPr>
      <w:r>
        <w:rPr>
          <w:rFonts w:ascii="Times New Roman;sans-serif" w:hAnsi="Times New Roman;sans-serif"/>
          <w:b/>
          <w:i/>
          <w:color w:val="000000"/>
          <w:sz w:val="20"/>
        </w:rPr>
        <w:t>Valuation Condition</w:t>
      </w:r>
      <w:r>
        <w:rPr>
          <w:color w:val="000000"/>
        </w:rPr>
        <w:t xml:space="preserve"> </w:t>
      </w:r>
      <w:r>
        <w:rPr>
          <w:rFonts w:ascii="Times New Roman;sans-serif" w:hAnsi="Times New Roman;sans-serif"/>
          <w:b w:val="false"/>
          <w:color w:val="000000"/>
          <w:sz w:val="20"/>
        </w:rPr>
        <w:t>has the meaning given in Clause 2.1(c);</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33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33 | 50</w:t>
                      </w:r>
                    </w:p>
                  </w:txbxContent>
                </v:textbox>
                <w10:wrap type="none"/>
              </v:rect>
            </w:pict>
          </mc:Fallback>
        </mc:AlternateContent>
      </w:r>
    </w:p>
    <w:p>
      <w:pPr>
        <w:pStyle w:val="TextBody"/>
        <w:bidi w:val="0"/>
        <w:spacing w:lineRule="auto" w:line="355" w:before="0" w:after="180"/>
        <w:jc w:val="both"/>
        <w:rPr/>
      </w:pPr>
      <w:r>
        <w:rPr>
          <w:rFonts w:ascii="Times New Roman;sans-serif" w:hAnsi="Times New Roman;sans-serif"/>
          <w:b/>
          <w:i/>
          <w:color w:val="000000"/>
          <w:sz w:val="20"/>
        </w:rPr>
        <w:t>VAT</w:t>
      </w:r>
      <w:r>
        <w:rPr>
          <w:color w:val="000000"/>
        </w:rPr>
        <w:t xml:space="preserve"> </w:t>
      </w:r>
      <w:r>
        <w:rPr>
          <w:rFonts w:ascii="Times New Roman;sans-serif" w:hAnsi="Times New Roman;sans-serif"/>
          <w:b w:val="false"/>
          <w:color w:val="000000"/>
          <w:sz w:val="20"/>
        </w:rPr>
        <w:t>means any value added tax imposed by the Value Added Tax Act 1994; (b) any value added tax imposed in compliance with Council Directive of 28 November 2006 on the common system of value added tax (EC Directive 2006/112) as implemented in a member state of the European Union; and (c) any other tax of a similar nature, whether imposed in the United Kingdom or in a member state of the European Union in substitution for, or levied in addition to, such tax referred to in paragraph (a) or (b) above, or imposed elsewhere;</w:t>
      </w:r>
    </w:p>
    <w:p>
      <w:pPr>
        <w:pStyle w:val="TextBody"/>
        <w:bidi w:val="0"/>
        <w:spacing w:lineRule="auto" w:line="355" w:before="0" w:after="180"/>
        <w:jc w:val="both"/>
        <w:rPr/>
      </w:pPr>
      <w:r>
        <w:rPr>
          <w:rFonts w:ascii="Times New Roman;sans-serif" w:hAnsi="Times New Roman;sans-serif"/>
          <w:b/>
          <w:i/>
          <w:color w:val="000000"/>
          <w:sz w:val="20"/>
        </w:rPr>
        <w:t>Warrant Instrument</w:t>
      </w:r>
      <w:r>
        <w:rPr>
          <w:color w:val="000000"/>
        </w:rPr>
        <w:t xml:space="preserve"> </w:t>
      </w:r>
      <w:r>
        <w:rPr>
          <w:rFonts w:ascii="Times New Roman;sans-serif" w:hAnsi="Times New Roman;sans-serif"/>
          <w:b w:val="false"/>
          <w:color w:val="000000"/>
          <w:sz w:val="20"/>
        </w:rPr>
        <w:t>means the warrant instrument dated 7 December 2020, as amended on 28 September 2022, pursuant to which Aston Martin issued 126,647,852 warrants granting rights to subscribe for up to 37,994,356 Ordinary Shares;</w:t>
      </w:r>
    </w:p>
    <w:p>
      <w:pPr>
        <w:pStyle w:val="TextBody"/>
        <w:bidi w:val="0"/>
        <w:spacing w:lineRule="auto" w:line="355" w:before="0" w:after="180"/>
        <w:jc w:val="both"/>
        <w:rPr/>
      </w:pPr>
      <w:r>
        <w:rPr>
          <w:rFonts w:ascii="Times New Roman;sans-serif" w:hAnsi="Times New Roman;sans-serif"/>
          <w:b/>
          <w:i/>
          <w:color w:val="000000"/>
          <w:sz w:val="20"/>
        </w:rPr>
        <w:t>Warranties</w:t>
      </w:r>
      <w:r>
        <w:rPr>
          <w:color w:val="000000"/>
        </w:rPr>
        <w:t xml:space="preserve"> </w:t>
      </w:r>
      <w:r>
        <w:rPr>
          <w:rFonts w:ascii="Times New Roman;sans-serif" w:hAnsi="Times New Roman;sans-serif"/>
          <w:b w:val="false"/>
          <w:color w:val="000000"/>
          <w:sz w:val="20"/>
        </w:rPr>
        <w:t xml:space="preserve">means the warranty statements contained in Part A of Schedule 2 of this Agreement; </w:t>
      </w:r>
    </w:p>
    <w:p>
      <w:pPr>
        <w:pStyle w:val="TextBody"/>
        <w:bidi w:val="0"/>
        <w:spacing w:lineRule="auto" w:line="355" w:before="0" w:after="180"/>
        <w:jc w:val="both"/>
        <w:rPr/>
      </w:pPr>
      <w:r>
        <w:rPr>
          <w:rFonts w:ascii="Times New Roman;sans-serif" w:hAnsi="Times New Roman;sans-serif"/>
          <w:b/>
          <w:i/>
          <w:color w:val="000000"/>
          <w:sz w:val="20"/>
        </w:rPr>
        <w:t>Warranty Claim</w:t>
      </w:r>
      <w:r>
        <w:rPr>
          <w:color w:val="000000"/>
        </w:rPr>
        <w:t xml:space="preserve"> </w:t>
      </w:r>
      <w:r>
        <w:rPr>
          <w:rFonts w:ascii="Times New Roman;sans-serif" w:hAnsi="Times New Roman;sans-serif"/>
          <w:b w:val="false"/>
          <w:color w:val="000000"/>
          <w:sz w:val="20"/>
        </w:rPr>
        <w:t xml:space="preserve">means a claim by either Party in relation to a Warranty; and </w:t>
      </w:r>
    </w:p>
    <w:p>
      <w:pPr>
        <w:pStyle w:val="TextBody"/>
        <w:bidi w:val="0"/>
        <w:spacing w:lineRule="auto" w:line="355" w:before="0" w:after="180"/>
        <w:jc w:val="both"/>
        <w:rPr/>
      </w:pPr>
      <w:r>
        <w:rPr>
          <w:rFonts w:ascii="Times New Roman;sans-serif" w:hAnsi="Times New Roman;sans-serif"/>
          <w:b/>
          <w:i/>
          <w:color w:val="000000"/>
          <w:sz w:val="20"/>
        </w:rPr>
        <w:t>Yew Tree Irrevocable Undertaking</w:t>
      </w:r>
      <w:r>
        <w:rPr>
          <w:color w:val="000000"/>
        </w:rPr>
        <w:t xml:space="preserve"> </w:t>
      </w:r>
      <w:r>
        <w:rPr>
          <w:rFonts w:ascii="Times New Roman;sans-serif" w:hAnsi="Times New Roman;sans-serif"/>
          <w:b w:val="false"/>
          <w:color w:val="000000"/>
          <w:sz w:val="20"/>
        </w:rPr>
        <w:t>means the irrevocable undertaking to be entered into on the date of this Agreement between Aston Martin and Yew Tree Overseas Limited (for itself and on behalf of Saint James Invest SA, J.C.B. Research, RRRR Investments LLC, John Idol, FrancInvest Holding Corporation, Omega Funds I Limited, John Idol and ErsteAM Ltd) pursuant to which Yew Tree Overseas Limited will undertake to vote in favour of the Shareholder Resolutions at the General Meeting.</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2.In this Agreement:</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reference to a Clause, paragraph or Schedule is, unless stated otherwise, a reference to a Clause or paragraph of, or Schedule to, this Agreement. The Appendices and Schedules form part of this Agreement and a reference to “this Agreement” includes its Schedules. The recitals and headings in this Agreement do not affect its interpretation;</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reference to this Agreement or any other agreement or document will be construed as a reference to this Agreement or, as the case may be, that other agreement or document, as it may have been, or may from time to time be, amended, varied, supplemented, substituted, novated or assigned;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 reference to a statute or statutory provision includes a reference to any subordinate legislation and is a reference to that statute, statutory provision or subordinate legislation as modified, consolidated, superseded, re-enacted or replaced (whether with or without modification) from time to time after the date of this Agreement to the extent only that it does not impose any new or extended obligation, liability or restriction on, or otherwise adversely affect the rights of, any Party arising out of this Agreement;</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 xml:space="preserve">(d)a reference to a </w:t>
      </w:r>
      <w:r>
        <w:rPr>
          <w:rFonts w:ascii="Times New Roman;sans-serif" w:hAnsi="Times New Roman;sans-serif"/>
          <w:b/>
          <w:i/>
          <w:color w:val="000000"/>
          <w:sz w:val="20"/>
        </w:rPr>
        <w:t>person</w:t>
      </w:r>
      <w:r>
        <w:rPr>
          <w:color w:val="000000"/>
        </w:rPr>
        <w:t xml:space="preserve"> </w:t>
      </w:r>
      <w:r>
        <w:rPr>
          <w:rFonts w:ascii="Times New Roman;sans-serif" w:hAnsi="Times New Roman;sans-serif"/>
          <w:b w:val="false"/>
          <w:color w:val="000000"/>
          <w:sz w:val="20"/>
        </w:rPr>
        <w:t>includes any individual, organization, company, corporation, firm, partnership, joint venture, association, state, state agency, institution, foundation or trust (whether or not having a separate legal personality);</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 reference to one gender is a reference to all or any genders, and references to the singular include the plural and vice versa;</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(f)references to £, GBP or sterling are references to the lawful currency from time to time of the United Kingdom;</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(g)references to €, EUR or euro are references to the lawful currency from time to time of the Eurozone;</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(h)references to US$, USD or dollars are references to the lawful currency from time to time of the United State of America;</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34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34 | 50</w:t>
                      </w:r>
                    </w:p>
                  </w:txbxContent>
                </v:textbox>
                <w10:wrap type="none"/>
              </v:rect>
            </w:pict>
          </mc:Fallback>
        </mc:AlternateConten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 reference to an English legal term for a legal document, court, judicial process, action, remedy, legal status, official or any other legal concept or thing is, in respect of a jurisdiction other than England, deemed to be a reference to whatever most closely equates to the English legal term in that jurisdiction;</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 xml:space="preserve">(j)a reference to </w:t>
      </w:r>
      <w:r>
        <w:rPr>
          <w:rFonts w:ascii="Times New Roman;sans-serif" w:hAnsi="Times New Roman;sans-serif"/>
          <w:b/>
          <w:i/>
          <w:color w:val="000000"/>
          <w:sz w:val="20"/>
        </w:rPr>
        <w:t>including</w:t>
      </w:r>
      <w:r>
        <w:rPr>
          <w:rFonts w:ascii="Times New Roman;sans-serif" w:hAnsi="Times New Roman;sans-serif"/>
          <w:b w:val="false"/>
          <w:color w:val="000000"/>
          <w:sz w:val="20"/>
        </w:rPr>
        <w:t xml:space="preserve">, </w:t>
      </w:r>
      <w:r>
        <w:rPr>
          <w:rFonts w:ascii="Times New Roman;sans-serif" w:hAnsi="Times New Roman;sans-serif"/>
          <w:b/>
          <w:i/>
          <w:color w:val="000000"/>
          <w:sz w:val="20"/>
        </w:rPr>
        <w:t>includes</w:t>
      </w:r>
      <w:r>
        <w:rPr>
          <w:rFonts w:ascii="Times New Roman;sans-serif" w:hAnsi="Times New Roman;sans-serif"/>
          <w:b w:val="false"/>
          <w:color w:val="000000"/>
          <w:sz w:val="20"/>
        </w:rPr>
        <w:t xml:space="preserve">, </w:t>
      </w:r>
      <w:r>
        <w:rPr>
          <w:rFonts w:ascii="Times New Roman;sans-serif" w:hAnsi="Times New Roman;sans-serif"/>
          <w:b/>
          <w:i/>
          <w:color w:val="000000"/>
          <w:sz w:val="20"/>
        </w:rPr>
        <w:t>in particular</w:t>
      </w:r>
      <w:r>
        <w:rPr>
          <w:color w:val="000000"/>
        </w:rPr>
        <w:t xml:space="preserve"> </w:t>
      </w:r>
      <w:r>
        <w:rPr>
          <w:rFonts w:ascii="Times New Roman;sans-serif" w:hAnsi="Times New Roman;sans-serif"/>
          <w:b w:val="false"/>
          <w:color w:val="000000"/>
          <w:sz w:val="20"/>
        </w:rPr>
        <w:t>or any similar expression will be construed as illustrating and does not limit the scope of the meaning of the words preceding it;</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 xml:space="preserve">(k)a reference to a document </w:t>
      </w:r>
      <w:r>
        <w:rPr>
          <w:rFonts w:ascii="Times New Roman;sans-serif" w:hAnsi="Times New Roman;sans-serif"/>
          <w:b/>
          <w:i/>
          <w:color w:val="000000"/>
          <w:sz w:val="20"/>
        </w:rPr>
        <w:t>in the agreed form</w:t>
      </w:r>
      <w:r>
        <w:rPr>
          <w:color w:val="000000"/>
        </w:rPr>
        <w:t xml:space="preserve"> </w:t>
      </w:r>
      <w:r>
        <w:rPr>
          <w:rFonts w:ascii="Times New Roman;sans-serif" w:hAnsi="Times New Roman;sans-serif"/>
          <w:b w:val="false"/>
          <w:color w:val="000000"/>
          <w:sz w:val="20"/>
        </w:rPr>
        <w:t>is a reference to a document in the form agreed by or on behalf of each party to that document on or before the making of this Agreement;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(l)a reference to a time of day are references to the time in London, England, and when a point in time occurs and when a period of time begins and ends will be determined with reference to the time in London, England.</w:t>
      </w:r>
    </w:p>
    <w:p>
      <w:pPr>
        <w:pStyle w:val="TextBody"/>
        <w:bidi w:val="0"/>
        <w:spacing w:before="0" w:after="18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35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35 | 50</w:t>
                      </w:r>
                    </w:p>
                  </w:txbxContent>
                </v:textbox>
                <w10:wrap type="none"/>
              </v:rect>
            </w:pict>
          </mc:Fallback>
        </mc:AlternateContent>
      </w:r>
    </w:p>
    <w:p>
      <w:pPr>
        <w:pStyle w:val="TextBody"/>
        <w:bidi w:val="0"/>
        <w:spacing w:lineRule="auto" w:line="304" w:before="0" w:after="240"/>
        <w:jc w:val="both"/>
        <w:rPr/>
      </w:pPr>
      <w:r>
        <w:rPr>
          <w:rFonts w:ascii="Times New Roman;sans-serif" w:hAnsi="Times New Roman;sans-serif"/>
          <w:b/>
          <w:color w:val="000000"/>
          <w:sz w:val="20"/>
        </w:rPr>
        <w:t>Schedule 2</w:t>
      </w:r>
      <w:r>
        <w:rPr>
          <w:rFonts w:ascii="Times New Roman;sans-serif" w:hAnsi="Times New Roman;sans-serif"/>
          <w:b/>
          <w:color w:val="000000"/>
          <w:sz w:val="20"/>
        </w:rPr>
        <w:br/>
        <w:t>Warranties</w:t>
      </w:r>
    </w:p>
    <w:p>
      <w:pPr>
        <w:pStyle w:val="TextBody"/>
        <w:bidi w:val="0"/>
        <w:spacing w:lineRule="auto" w:line="304"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Part AWarranties</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1.</w:t>
      </w:r>
      <w:r>
        <w:rPr>
          <w:rFonts w:ascii="Times New Roman;sans-serif" w:hAnsi="Times New Roman;sans-serif"/>
          <w:b/>
          <w:color w:val="000000"/>
          <w:sz w:val="20"/>
        </w:rPr>
        <w:t>Right, power, authority and action</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Party warrants that:</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(a)it is on the date of this Agreement properly constituted and incorporated and validly existing under the laws of the jurisdiction of its incorporation;</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(b)it has all necessary right, authority, power and capacity to enter into and perform this Agreement and that all necessary actions have been taken to execute, deliver, enter into, and exercise its rights and perform its obligations under this Agreement properly and lawfully;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(c)its obligations under this Agreement, when executed, constitute obligations binding and enforceable on that Party in accordance with its terms (subject to applicable bankruptcy, insolvency, fraudulent transfer, reorganization, moratorium and other laws affecting creditors’ rights generally and general principles of equity).</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2.</w:t>
      </w:r>
      <w:r>
        <w:rPr>
          <w:rFonts w:ascii="Times New Roman;sans-serif" w:hAnsi="Times New Roman;sans-serif"/>
          <w:b/>
          <w:color w:val="000000"/>
          <w:sz w:val="20"/>
        </w:rPr>
        <w:t>No approvals</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Party warrants in relation to itself and each member of its Group that no consent, approval, waiver, registration, consultation or notification is required to be obtained or made by it in connection with the execution, performance or enforceability of this Agreement, except (a) where such consent, approval, waiver, registration, consultation or notification is required in connection with the Conditions or is otherwise expressly set out in this Agreement, or (b) where the failure to obtain or make such consent, approval, waiver, registration, consultation or notification would not have, individually or in the aggregate, a material adverse effect on the warranting Party.</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3.</w:t>
      </w:r>
      <w:r>
        <w:rPr>
          <w:rFonts w:ascii="Times New Roman;sans-serif" w:hAnsi="Times New Roman;sans-serif"/>
          <w:b/>
          <w:color w:val="000000"/>
          <w:sz w:val="20"/>
        </w:rPr>
        <w:t>No breach</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Party warrants that neither the entry by it into this Agreement nor the performance by it of any of its obligations under this Agreement will result in a breach of, violate, constitute a default under, or conflict with (as applicable):</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provision in its constitutional documents or the constitutional documents of any other member of its Group; or</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provision in an instrument which is binding on it or any other member of its Group, except where such breach, violation, default or conflict would not have, individually or in the aggregate, a material adverse effect on the warranting Party; or</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(c)any order, judgment, award, injunction, decree, ordinance or regulation or any other restriction of any kind or character, or any material Applicable Law, by which it or any member of its Group is bound or to which it submits.</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4.</w:t>
      </w:r>
      <w:r>
        <w:rPr>
          <w:rFonts w:ascii="Times New Roman;sans-serif" w:hAnsi="Times New Roman;sans-serif"/>
          <w:b/>
          <w:color w:val="000000"/>
          <w:sz w:val="20"/>
        </w:rPr>
        <w:t xml:space="preserve">Litigation </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warrants that:</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(a)neither it nor any member of its Group has any claims outstanding against it or is engaged in, or has within the last 12 months immediately preceding the date of this Agreement been engaged in, any litigation or arbitration or similar proceedings or in any governmental, regulatory or similar investigation or enquiry, which singly or in the aggregate, would be material in the context of its Group taken as a whole, and, so far as it is aware, there are no circumstances known to it which are likely to give rise to any such claim, litigation, proceeding, investigation or enquiry; and</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36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36 | 50</w:t>
                      </w:r>
                    </w:p>
                  </w:txbxContent>
                </v:textbox>
                <w10:wrap type="none"/>
              </v:rect>
            </w:pict>
          </mc:Fallback>
        </mc:AlternateConten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(b)neither it nor any member of its Group has received notice from any regulator of any ongoing investigation, enquiry, disciplinary proceedings, prohibition, order, penalty or recent censure nor, so far as it is aware, are there any circumstances which are reasonably likely to give rise to such investigation, enquiry, disciplinary proceeding, prohibition, order, penalty or censure, which singly or in the aggregate, would be material in the context of its Group taken as a whole.</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5.</w:t>
      </w:r>
      <w:r>
        <w:rPr>
          <w:rFonts w:ascii="Times New Roman;sans-serif" w:hAnsi="Times New Roman;sans-serif"/>
          <w:b/>
          <w:color w:val="000000"/>
          <w:sz w:val="20"/>
        </w:rPr>
        <w:t>Winding up, insolvency, etc.</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Party warrants that in respect of it or (if applicable) any part of its assets or undertaking:</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(a)no receiver or administrative receiver has been appointed;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 administration order has been made;</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(c)no order for winding up has been made;</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(d)no material unsatisfied judgment, order or award of any court is outstanding;</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(e)no material distress or execution or other process has been levied;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(f)no arrangement with creditors (within the meaning of applicable insolvency laws) has been made;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(g)it is not unable to pay its debts as they fall due,</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no circumstances exist which are reasonably likely to give rise to any of the matters listed above.</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6.</w:t>
      </w:r>
      <w:r>
        <w:rPr>
          <w:rFonts w:ascii="Times New Roman;sans-serif" w:hAnsi="Times New Roman;sans-serif"/>
          <w:b/>
          <w:color w:val="000000"/>
          <w:sz w:val="20"/>
        </w:rPr>
        <w:t>Compliance</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Party warrants that:</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(a)so far as it is aware, no governmental, Regulatory Authority or official investigation or inquiry specifically concerning any member of its Group, or order, decree or judgment, is threatened, in progress, outstanding or pending; </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(b)so far as it is aware, it has in the last 18 months dealt with its assets, and conducted its business and corporate affairs, in all material respects, in compliance with:</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(i)all applicable material laws and regulations (in the United Kingdom, United States and elsewhere), including (if applicable) the requirements of Euroclear UK and Ireland Limited and the Uncertificated Securities Regulations 2001;</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(ii)its constitutional documents;</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(iii)each material license, registration and permit issued by a governmental or regulatory body and held by it;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(iv)any order or judgement of a court or governmental or Regulatory Authority affecting it;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(c)it is not party to any agreement, arrangement or concerted practice, and is not carrying on any practice, which in whole or in part contravenes or is invalidated by any antitrust, anti-monopoly, fair trading, competition, consumer protection or similar Applicable Law in any jurisdiction in which it has assets or carries on business.</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warrants that:</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(d)save for the transactions contemplated by this Agreement it is not aware of any non-public fact or circumstance: (i) that, if made public, would or might reasonably be expected to have a significant effect on the market price of the Ordinary Shares or on Aston Martin or on the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37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37 | 50</w:t>
                      </w:r>
                    </w:p>
                  </w:txbxContent>
                </v:textbox>
                <w10:wrap type="none"/>
              </v:rect>
            </w:pict>
          </mc:Fallback>
        </mc:AlternateConten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Group taken as a whole, or (ii) which is required by Applicable Law to be disclosed to the public.</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7.</w:t>
      </w:r>
      <w:r>
        <w:rPr>
          <w:rFonts w:ascii="Times New Roman;sans-serif" w:hAnsi="Times New Roman;sans-serif"/>
          <w:b/>
          <w:color w:val="000000"/>
          <w:sz w:val="20"/>
        </w:rPr>
        <w:t xml:space="preserve">Ordinary Shares </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warrants that:</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(a)each Ordinary Share and Consideration Share:</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(i)is, or will be when issued, duly authorized, validly issued, fully paid or credited as fully paid and free and clear of all Encumbrances;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(ii)is not, or will not when issued, have been issued in violation of any statutory pre-emption rights;</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 xml:space="preserve">(b)each Consideration Share will rank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all respects with the Ordinary Shares in issue at the date of its allotment and issue and will have the right to receive in full all distributions and dividends declared on the Ordinary Shares after the Allotment Date;</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(c)the issue of the Consideration Shares, and the valuation report prepared pursuant to section 593 of the Act to be provided to Lucid in connection therewith, will comply with all Applicable Laws (including the statutory requirements as set out under sections 593-597 of the Act); </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(d)the Ordinary Shares are “Participating Securities” in, and have not been suspended from, CREST; </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(e)the issued share capital of Aston Martin at the date of this Agreement is 728,074,580 Ordinary Shares;</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(f)other than pursuant to an Employees’ Share Scheme or the Warrant Instrument, there are no outstanding securities, warrants, options or other rights convertible into or exchangeable for Ordinary Shares;</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(g)save as set out in this Agreement, there are no restrictions on the subsequent transfer of the Consideration Shares;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(h)subject to Applicable Law, neither Aston Martin nor any member of its Group is prohibited, directly or indirectly, from declaring or paying any dividends on Ordinary Shares or making any other such distributions on Ordinary Shares.</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8.</w:t>
      </w:r>
      <w:r>
        <w:rPr>
          <w:rFonts w:ascii="Times New Roman;sans-serif" w:hAnsi="Times New Roman;sans-serif"/>
          <w:b/>
          <w:color w:val="000000"/>
          <w:sz w:val="20"/>
        </w:rPr>
        <w:t>Accounts and Interim Statement</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warrants that:</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Statutory Accounts have been prepared in accordance and comply with IFRS, the Act and all Applicable Laws in force at the relevant date to which such accounts were first published;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Statutory Accounts:</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(i)give a true and fair view of the state of affairs and financial condition of its Group, and of the results, profit, loss, cash flow and changes in equity of its Group, as at the end of the relevant financial period and for the relevant financial period;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(ii)make proper provision for all liabilities, whether actual, deferred, contingent or disputed, required by IFRS;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(iii)have been prepared with due care on the basis of preparation set out therein and after due and careful enquiry by Aston Martin and, where applicable, its Group members; and</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38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38 | 50</w:t>
                      </w:r>
                    </w:p>
                  </w:txbxContent>
                </v:textbox>
                <w10:wrap type="none"/>
              </v:rect>
            </w:pict>
          </mc:Fallback>
        </mc:AlternateConten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Interim Statement has (except to the extent (if any) disclosed therein):</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(i)been prepared in accordance with and complies with the Listing Rules, the Disclosure and Transparency Rules, the Act and all Applicable Laws;</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(ii)been prepared in accordance with IFRS on bases consistent, except as stated therein, with the bases on which the Statutory Accounts were prepared;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(iii)been prepared after due and careful enquiry by Aston Martin; and </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(iv)presents fairly the state of affairs and financial condition of its Group, and of the results, profit, loss, cash flow and changes in equity of its Group, as at and for the three month period ended 31 March 2023;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(d)it has established procedures which provide a reasonable basis for the Aston Martin Directors to make proper judgements on an ongoing basis as to the financial position and prospects of the Aston Martin Group.</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9.</w:t>
      </w:r>
      <w:r>
        <w:rPr>
          <w:rFonts w:ascii="Times New Roman;sans-serif" w:hAnsi="Times New Roman;sans-serif"/>
          <w:b/>
          <w:color w:val="000000"/>
          <w:sz w:val="20"/>
        </w:rPr>
        <w:t>Changes Since Last Accounting Date</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Aston Martin warrants that since 31 December 2022: </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business of its Group has been carried on in the ordinary course;</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(b)there has been no significant change in the financial or trading position of the Group and there has been no material impairment of any asset of any member of its Group; </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(c)there have been no transactions entered into by Aston Martin or any member of its Group which are material in the context of the Group taken as a whole (other than those in the ordinary course of business);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(d)no change has occurred in the accounting methods, principles or practices applied by a member of its Group.</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10.</w:t>
      </w:r>
      <w:r>
        <w:rPr>
          <w:rFonts w:ascii="Times New Roman;sans-serif" w:hAnsi="Times New Roman;sans-serif"/>
          <w:b/>
          <w:color w:val="000000"/>
          <w:sz w:val="20"/>
        </w:rPr>
        <w:t>Undisclosed Liabilities</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warrants that no member of its Group has any liabilities or obligations of any nature that are material in the context of the Group, whether or not accrued, contingent or otherwise, except for: (a) liabilities and obligations that are disclosed in the Statutory Accounts; or (b) liabilities and obligations incurred in the ordinary course of business since 31 December 2022 that have been disclosed in the Aston Martin Public Documents.</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11.</w:t>
      </w:r>
      <w:r>
        <w:rPr>
          <w:rFonts w:ascii="Times New Roman;sans-serif" w:hAnsi="Times New Roman;sans-serif"/>
          <w:b/>
          <w:color w:val="000000"/>
          <w:sz w:val="20"/>
        </w:rPr>
        <w:t>Compliance with Disclosure Obligations</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warrants that each Aston Martin Public Document published or made available after 31 December 2022, as of its date (or, if amended and re-published prior to the date of this Agreement, as of the date of such amendment and re-publication) did not contain any untrue or inaccurate statement of a material fact or omit to state a material fact necessary to make the statements therein, in light of the circumstances under which they were made, not misleading.</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39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39 | 50</w:t>
                      </w:r>
                    </w:p>
                  </w:txbxContent>
                </v:textbox>
                <w10:wrap type="none"/>
              </v:rect>
            </w:pict>
          </mc:Fallback>
        </mc:AlternateConten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12.</w:t>
      </w:r>
      <w:r>
        <w:rPr>
          <w:rFonts w:ascii="Times New Roman;sans-serif" w:hAnsi="Times New Roman;sans-serif"/>
          <w:b/>
          <w:color w:val="000000"/>
          <w:sz w:val="20"/>
        </w:rPr>
        <w:t>Compliance with Anti-Bribery, Anti-Money Laundering and Sanction Laws</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Party warrants in relation to itself and each member of its Group:</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(a)neither it nor any of its Affiliates, nor, so far as it is aware, any of their respective officers or directors or employees has engaged in any conduct, or given authorization to engage in any conduct, nor has made, or given authorization to make, with respect to its Group, any offer, payment, gift, promise or anything of value, whether directly or indirectly, to or for the use or benefit of any public or government official (including, but not limited to, any individual holding a legislative, administrative, judicial or appointed office, including any individual employed by or acting on behalf of a public agency, a state owned or Controlled entity, a public enterprise, a public international organization or anyone who exercises a public function on behalf of a country) or any political party or political party official or candidate for office, where such conduct, payment, gift, promise or advantage would violate: </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Applicable Law of England (including the Bribery Act 2010);</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(ii)the Convention on Combating Bribery of Foreign Public Officials in International Business Transactions, signed in Paris on December 17, 1997 which entered into force on February 15, 1999;</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(iii)the United States Foreign Corrupt Practices Act of 1977 (as amended by the Foreign Corrupt Practices Act Amendments of 1988 and 1998); or</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(iv)any other applicable anti-bribery or anti-corruption laws,</w: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 xml:space="preserve">(altogether referred to herein as </w:t>
      </w:r>
      <w:r>
        <w:rPr>
          <w:rFonts w:ascii="Times New Roman;sans-serif" w:hAnsi="Times New Roman;sans-serif"/>
          <w:b/>
          <w:i/>
          <w:color w:val="000000"/>
          <w:sz w:val="20"/>
        </w:rPr>
        <w:t>Anti-Bribery Laws</w:t>
      </w:r>
      <w:r>
        <w:rPr>
          <w:rFonts w:ascii="Times New Roman;sans-serif" w:hAnsi="Times New Roman;sans-serif"/>
          <w:b w:val="false"/>
          <w:color w:val="000000"/>
          <w:sz w:val="20"/>
        </w:rPr>
        <w:t>);</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(b)neither it nor any of its Affiliates, nor, so far as it is aware, any of their respective officers or directors or employees is or has been in the past two years subject to any actual or threatened litigation, legal action, claim, demand, suit, arbitration, investigation, inquiry, hearing, order or other proceedings or administrative act related to any offence or alleged offence under any Anti-Bribery Laws;</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(c)neither it nor any of its Affiliates, nor, so far as it is aware, any of their respective officers or directors or employees is or has engaged in, or given authorization to engage in, with respect to its Group, any activity or conduct that has resulted, or will result in, a violation of any applicable money laundering statutes of any jurisdiction in which a member of its Group conducts business, the rules and regulations thereunder and any related or similar applicable rules, regulations or binding guidelines issued, administered or enforced by any Regulatory Authority prohibiting money laundering or terrorism financing, including, but not limited to, 18 U.S.C. §§ 1956 and 1957, the UK Proceeds of Crime Act 2002 and the UK Money Laundering, Terrorist Financing and Transfer of Funds (Information on the Payer) Regulations 2017;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(d)neither it nor any of its Affiliates, nor, so far as it is aware, any of their respective officers or directors or employees is a Sanctioned Person, nor owned or Controlled by a Sanctioned Person.</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40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40 | 50</w:t>
                      </w:r>
                    </w:p>
                  </w:txbxContent>
                </v:textbox>
                <w10:wrap type="none"/>
              </v:rect>
            </w:pict>
          </mc:Fallback>
        </mc:AlternateContent>
      </w:r>
    </w:p>
    <w:p>
      <w:pPr>
        <w:pStyle w:val="TextBody"/>
        <w:bidi w:val="0"/>
        <w:spacing w:lineRule="auto" w:line="304" w:before="0" w:after="180"/>
        <w:ind w:left="0" w:right="0" w:hanging="720"/>
        <w:jc w:val="both"/>
        <w:rPr/>
      </w:pPr>
      <w:r>
        <w:rPr>
          <w:rFonts w:ascii="Times New Roman;sans-serif" w:hAnsi="Times New Roman;sans-serif"/>
          <w:b w:val="false"/>
          <w:color w:val="000000"/>
          <w:sz w:val="20"/>
        </w:rPr>
        <w:t>13.</w:t>
      </w:r>
      <w:r>
        <w:rPr>
          <w:rFonts w:ascii="Times New Roman;sans-serif" w:hAnsi="Times New Roman;sans-serif"/>
          <w:b/>
          <w:color w:val="000000"/>
          <w:sz w:val="20"/>
        </w:rPr>
        <w:t>Circular and Supplementary Circular</w:t>
      </w:r>
    </w:p>
    <w:p>
      <w:pPr>
        <w:pStyle w:val="TextBody"/>
        <w:bidi w:val="0"/>
        <w:spacing w:lineRule="auto" w:line="304"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Aston Martin warrants that:</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Circular and any Supplementary Circular (if applicable) will, in all material respects, comply with, or will when published comply with the Articles of Association, the Listing Rules, the Disclosure and Transparency Rules, the Act, FSMA, the Market Abuse Regulation, all applicable rules and requirements of the LSE and the FCA, and all other Applicable Laws;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Circular and any Supplementary Circular (if applicable) following publication does not and will not contain any untrue or inaccurate statement of a material fact or omit to state any material fact necessary to make the statements therein, in the light of the circumstances under which they were made, not misleading.</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41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41 | 50</w:t>
                      </w:r>
                    </w:p>
                  </w:txbxContent>
                </v:textbox>
                <w10:wrap type="none"/>
              </v:rect>
            </w:pict>
          </mc:Fallback>
        </mc:AlternateContent>
      </w:r>
    </w:p>
    <w:p>
      <w:pPr>
        <w:pStyle w:val="TextBody"/>
        <w:bidi w:val="0"/>
        <w:spacing w:lineRule="auto" w:line="304"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Part BLimitations on Liability</w:t>
      </w:r>
    </w:p>
    <w:p>
      <w:pPr>
        <w:pStyle w:val="TextBody"/>
        <w:bidi w:val="0"/>
        <w:spacing w:lineRule="auto" w:line="304"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1.No double recovery</w:t>
      </w:r>
    </w:p>
    <w:p>
      <w:pPr>
        <w:pStyle w:val="TextBody"/>
        <w:bidi w:val="0"/>
        <w:spacing w:lineRule="auto" w:line="304"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Neither Party will be liable in respect of a Warranty Claim to the extent that the loss that is the subject of the Warranty Claim has already been fully recovered in respect of another Warranty Claim or otherwise.</w:t>
      </w:r>
    </w:p>
    <w:p>
      <w:pPr>
        <w:pStyle w:val="TextBody"/>
        <w:bidi w:val="0"/>
        <w:spacing w:lineRule="auto" w:line="304"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2.Warranties qualified by disclosure</w:t>
      </w:r>
    </w:p>
    <w:p>
      <w:pPr>
        <w:pStyle w:val="TextBody"/>
        <w:bidi w:val="0"/>
        <w:spacing w:lineRule="auto" w:line="304"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Neither Party is entitled to claim that a fact, matter or circumstance causes a Warranty that is not a Fundamental Warranty to be untrue, inaccurate or misleading, if that fact, matter or circumstance has, in respect of Warranty Claims by Lucid, been fairly disclosed by Aston Martin in the Aston Martin Public Documents or, in respect of Warranty Claims by Aston Martin, by Lucid in the Lucid Public Documents.</w:t>
      </w:r>
    </w:p>
    <w:p>
      <w:pPr>
        <w:pStyle w:val="TextBody"/>
        <w:bidi w:val="0"/>
        <w:spacing w:lineRule="auto" w:line="304"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3.Knowledge</w:t>
      </w:r>
    </w:p>
    <w:p>
      <w:pPr>
        <w:pStyle w:val="TextBody"/>
        <w:bidi w:val="0"/>
        <w:spacing w:lineRule="auto" w:line="304"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Where a Warranty is qualified by the expression “so far as it is aware” or a similar expression, the Party giving such Warranty is deemed to have knowledge only of the actual knowledge at the date on which that Warranty is given of:</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the case of Aston Martin, [***]; and</w:t>
      </w:r>
    </w:p>
    <w:p>
      <w:pPr>
        <w:pStyle w:val="TextBody"/>
        <w:bidi w:val="0"/>
        <w:spacing w:lineRule="auto" w:line="304"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the case of Lucid, [***].</w:t>
      </w:r>
    </w:p>
    <w:p>
      <w:pPr>
        <w:pStyle w:val="TextBody"/>
        <w:bidi w:val="0"/>
        <w:spacing w:lineRule="auto" w:line="304" w:before="24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4.General</w:t>
      </w:r>
    </w:p>
    <w:p>
      <w:pPr>
        <w:pStyle w:val="TextBody"/>
        <w:bidi w:val="0"/>
        <w:spacing w:lineRule="auto" w:line="304" w:before="24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Nothing in this Schedule 2 has the effect of limiting or restricting any liability of either Party in respect of a Warranty Claim arising as a result of any fraud or willful misconduct.</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42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42 | 50</w:t>
                      </w:r>
                    </w:p>
                  </w:txbxContent>
                </v:textbox>
                <w10:wrap type="none"/>
              </v:rect>
            </w:pict>
          </mc:Fallback>
        </mc:AlternateContent>
      </w:r>
    </w:p>
    <w:p>
      <w:pPr>
        <w:pStyle w:val="TextBody"/>
        <w:bidi w:val="0"/>
        <w:spacing w:lineRule="auto" w:line="304" w:before="0" w:after="240"/>
        <w:jc w:val="both"/>
        <w:rPr/>
      </w:pPr>
      <w:r>
        <w:rPr>
          <w:rFonts w:ascii="Times New Roman;sans-serif" w:hAnsi="Times New Roman;sans-serif"/>
          <w:b/>
          <w:color w:val="000000"/>
          <w:sz w:val="20"/>
        </w:rPr>
        <w:t>Schedule 3</w:t>
      </w:r>
      <w:r>
        <w:rPr>
          <w:rFonts w:ascii="Times New Roman;sans-serif" w:hAnsi="Times New Roman;sans-serif"/>
          <w:b/>
          <w:color w:val="000000"/>
          <w:sz w:val="20"/>
        </w:rPr>
        <w:br/>
        <w:t>Consideration Shares Valuation Report</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43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43 | 50</w:t>
                      </w:r>
                    </w:p>
                  </w:txbxContent>
                </v:textbox>
                <w10:wrap type="none"/>
              </v:rect>
            </w:pict>
          </mc:Fallback>
        </mc:AlternateContent>
      </w:r>
    </w:p>
    <w:p>
      <w:pPr>
        <w:pStyle w:val="TextBody"/>
        <w:bidi w:val="0"/>
        <w:spacing w:lineRule="auto" w:line="304" w:before="0" w:after="240"/>
        <w:jc w:val="both"/>
        <w:rPr/>
      </w:pPr>
      <w:r>
        <w:rPr>
          <w:rFonts w:ascii="Times New Roman;sans-serif" w:hAnsi="Times New Roman;sans-serif"/>
          <w:b/>
          <w:color w:val="000000"/>
          <w:sz w:val="20"/>
        </w:rPr>
        <w:t>Schedule 4</w:t>
      </w:r>
      <w:r>
        <w:rPr>
          <w:rFonts w:ascii="Times New Roman;sans-serif" w:hAnsi="Times New Roman;sans-serif"/>
          <w:b/>
          <w:color w:val="000000"/>
          <w:sz w:val="20"/>
        </w:rPr>
        <w:br/>
        <w:t>Integration Agreement</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44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44 | 50</w:t>
                      </w:r>
                    </w:p>
                  </w:txbxContent>
                </v:textbox>
                <w10:wrap type="none"/>
              </v:rect>
            </w:pict>
          </mc:Fallback>
        </mc:AlternateContent>
      </w:r>
    </w:p>
    <w:p>
      <w:pPr>
        <w:pStyle w:val="TextBody"/>
        <w:bidi w:val="0"/>
        <w:spacing w:lineRule="auto" w:line="304" w:before="0" w:after="240"/>
        <w:jc w:val="both"/>
        <w:rPr/>
      </w:pPr>
      <w:r>
        <w:rPr>
          <w:rFonts w:ascii="Times New Roman;sans-serif" w:hAnsi="Times New Roman;sans-serif"/>
          <w:b/>
          <w:color w:val="000000"/>
          <w:sz w:val="20"/>
        </w:rPr>
        <w:t>Schedule 5</w:t>
      </w:r>
      <w:r>
        <w:rPr>
          <w:rFonts w:ascii="Times New Roman;sans-serif" w:hAnsi="Times New Roman;sans-serif"/>
          <w:b/>
          <w:color w:val="000000"/>
          <w:sz w:val="20"/>
        </w:rPr>
        <w:br/>
        <w:t xml:space="preserve">Supply Agreement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8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45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right"/>
                        <w:rPr>
                          <w:color w:val="000000"/>
                        </w:rPr>
                      </w:pPr>
                      <w:r>
                        <w:rPr>
                          <w:color w:val="000000"/>
                        </w:rPr>
                        <w:t>    </w:t>
                      </w:r>
                      <w:r>
                        <w:rPr>
                          <w:rFonts w:ascii="Times New Roman;sans-serif" w:hAnsi="Times New Roman;sans-serif"/>
                          <w:b w:val="false"/>
                          <w:color w:val="000000"/>
                          <w:sz w:val="16"/>
                        </w:rPr>
                        <w:t>45 | 50</w:t>
                      </w:r>
                    </w:p>
                  </w:txbxContent>
                </v:textbox>
                <w10:wrap type="none"/>
              </v:rect>
            </w:pict>
          </mc:Fallback>
        </mc:AlternateContent>
      </w:r>
    </w:p>
    <w:p>
      <w:pPr>
        <w:pStyle w:val="TextBody"/>
        <w:bidi w:val="0"/>
        <w:spacing w:lineRule="auto" w:line="355" w:before="0" w:after="180"/>
        <w:jc w:val="both"/>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55"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has been executed by the Extended Parties on the date stated at the beginning of this Agreement, as follows:</w:t>
      </w:r>
    </w:p>
    <w:tbl>
      <w:tblPr>
        <w:tblW w:w="7513" w:type="dxa"/>
        <w:jc w:val="left"/>
        <w:tblInd w:w="0" w:type="dxa"/>
        <w:tblLayout w:type="fixed"/>
        <w:tblCellMar>
          <w:top w:w="28" w:type="dxa"/>
          <w:left w:w="28" w:type="dxa"/>
          <w:bottom w:w="28" w:type="dxa"/>
          <w:right w:w="28" w:type="dxa"/>
        </w:tblCellMar>
      </w:tblPr>
      <w:tblGrid>
        <w:gridCol w:w="1825"/>
        <w:gridCol w:w="1601"/>
        <w:gridCol w:w="1613"/>
        <w:gridCol w:w="314"/>
        <w:gridCol w:w="314"/>
        <w:gridCol w:w="316"/>
        <w:gridCol w:w="448"/>
        <w:gridCol w:w="448"/>
        <w:gridCol w:w="634"/>
      </w:tblGrid>
      <w:tr>
        <w:trPr/>
        <w:tc>
          <w:tcPr>
            <w:tcW w:w="182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SIGNED</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val="false"/>
                <w:color w:val="000000"/>
                <w:sz w:val="20"/>
              </w:rPr>
            </w:pPr>
            <w:r>
              <w:rPr>
                <w:rFonts w:ascii="Times New Roman;sans-serif" w:hAnsi="Times New Roman;sans-serif"/>
                <w:b w:val="false"/>
                <w:color w:val="000000"/>
                <w:sz w:val="20"/>
              </w:rPr>
              <w:t>for and on behalf of</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ASTON MARTIN LAGONDA GLOBAL HOLDINGS PLC</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1530" w:type="dxa"/>
            <w:gridSpan w:val="3"/>
            <w:tcBorders/>
            <w:tcMar>
              <w:top w:w="0" w:type="dxa"/>
              <w:left w:w="0" w:type="dxa"/>
              <w:bottom w:w="0" w:type="dxa"/>
              <w:right w:w="0" w:type="dxa"/>
            </w:tcMar>
            <w:vAlign w:val="center"/>
          </w:tcPr>
          <w:p>
            <w:pPr>
              <w:pStyle w:val="TableContents"/>
              <w:bidi w:val="0"/>
              <w:spacing w:lineRule="auto" w:line="300"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/s/ Doug Lafferty</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30" w:type="dxa"/>
            <w:gridSpan w:val="3"/>
            <w:tcBorders/>
            <w:tcMar>
              <w:top w:w="0" w:type="dxa"/>
              <w:left w:w="0" w:type="dxa"/>
              <w:bottom w:w="0" w:type="dxa"/>
              <w:right w:w="0" w:type="dxa"/>
            </w:tcMar>
            <w:vAlign w:val="center"/>
          </w:tcPr>
          <w:p>
            <w:pPr>
              <w:pStyle w:val="TableContents"/>
              <w:bidi w:val="0"/>
              <w:spacing w:lineRule="auto" w:line="300"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Doug Lafferty</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jc w:val="both"/>
        <w:rPr/>
      </w:pPr>
      <w:r>
        <w:rPr/>
      </w:r>
    </w:p>
    <w:p>
      <w:pPr>
        <w:pStyle w:val="TextBody"/>
        <w:bidi w:val="0"/>
        <w:spacing w:lineRule="auto" w:line="355" w:before="0" w:after="480"/>
        <w:jc w:val="both"/>
        <w:rPr>
          <w:rFonts w:ascii="Times New Roman;sans-serif" w:hAnsi="Times New Roman;sans-serif"/>
          <w:b/>
          <w:color w:val="000000"/>
          <w:sz w:val="22"/>
        </w:rPr>
      </w:pPr>
      <w:r>
        <w:rPr>
          <w:rFonts w:ascii="Times New Roman;sans-serif" w:hAnsi="Times New Roman;sans-serif"/>
          <w:b/>
          <w:color w:val="000000"/>
          <w:sz w:val="22"/>
        </w:rPr>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43"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p>
                  </w:txbxContent>
                </v:textbox>
                <w10:wrap type="none"/>
              </v:rect>
            </w:pict>
          </mc:Fallback>
        </mc:AlternateContent>
      </w:r>
    </w:p>
    <w:tbl>
      <w:tblPr>
        <w:tblW w:w="4663" w:type="dxa"/>
        <w:jc w:val="left"/>
        <w:tblInd w:w="0" w:type="dxa"/>
        <w:tblLayout w:type="fixed"/>
        <w:tblCellMar>
          <w:top w:w="28" w:type="dxa"/>
          <w:left w:w="28" w:type="dxa"/>
          <w:bottom w:w="28" w:type="dxa"/>
          <w:right w:w="28" w:type="dxa"/>
        </w:tblCellMar>
      </w:tblPr>
      <w:tblGrid>
        <w:gridCol w:w="619"/>
        <w:gridCol w:w="543"/>
        <w:gridCol w:w="547"/>
        <w:gridCol w:w="314"/>
        <w:gridCol w:w="314"/>
        <w:gridCol w:w="316"/>
        <w:gridCol w:w="587"/>
        <w:gridCol w:w="587"/>
        <w:gridCol w:w="836"/>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SIGNED</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val="false"/>
                <w:color w:val="000000"/>
                <w:sz w:val="20"/>
              </w:rPr>
            </w:pPr>
            <w:r>
              <w:rPr>
                <w:rFonts w:ascii="Times New Roman;sans-serif" w:hAnsi="Times New Roman;sans-serif"/>
                <w:b w:val="false"/>
                <w:color w:val="000000"/>
                <w:sz w:val="20"/>
              </w:rPr>
              <w:t>for and on behalf of</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ATIEVA, INC.</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2010" w:type="dxa"/>
            <w:gridSpan w:val="3"/>
            <w:tcBorders/>
            <w:tcMar>
              <w:top w:w="0" w:type="dxa"/>
              <w:left w:w="0" w:type="dxa"/>
              <w:bottom w:w="0" w:type="dxa"/>
              <w:right w:w="0" w:type="dxa"/>
            </w:tcMar>
            <w:vAlign w:val="center"/>
          </w:tcPr>
          <w:p>
            <w:pPr>
              <w:pStyle w:val="TableContents"/>
              <w:bidi w:val="0"/>
              <w:spacing w:lineRule="auto" w:line="278" w:before="0" w:after="480"/>
              <w:jc w:val="both"/>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44" name="Frame1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p>
                  </w:txbxContent>
                </v:textbox>
                <w10:wrap type="none"/>
              </v:rect>
            </w:pict>
          </mc:Fallback>
        </mc:AlternateContent>
      </w:r>
    </w:p>
    <w:tbl>
      <w:tblPr>
        <w:tblW w:w="6492" w:type="dxa"/>
        <w:jc w:val="left"/>
        <w:tblInd w:w="0" w:type="dxa"/>
        <w:tblLayout w:type="fixed"/>
        <w:tblCellMar>
          <w:top w:w="28" w:type="dxa"/>
          <w:left w:w="28" w:type="dxa"/>
          <w:bottom w:w="28" w:type="dxa"/>
          <w:right w:w="28" w:type="dxa"/>
        </w:tblCellMar>
      </w:tblPr>
      <w:tblGrid>
        <w:gridCol w:w="1475"/>
        <w:gridCol w:w="1294"/>
        <w:gridCol w:w="1310"/>
        <w:gridCol w:w="314"/>
        <w:gridCol w:w="314"/>
        <w:gridCol w:w="316"/>
        <w:gridCol w:w="429"/>
        <w:gridCol w:w="429"/>
        <w:gridCol w:w="611"/>
      </w:tblGrid>
      <w:tr>
        <w:trPr/>
        <w:tc>
          <w:tcPr>
            <w:tcW w:w="14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SIGNED</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val="false"/>
                <w:color w:val="000000"/>
                <w:sz w:val="20"/>
              </w:rPr>
            </w:pPr>
            <w:r>
              <w:rPr>
                <w:rFonts w:ascii="Times New Roman;sans-serif" w:hAnsi="Times New Roman;sans-serif"/>
                <w:b w:val="false"/>
                <w:color w:val="000000"/>
                <w:sz w:val="20"/>
              </w:rPr>
              <w:t>for and on behalf of</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LUCID GROUP TECHNOLOGIES, LLC, INC.</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1469" w:type="dxa"/>
            <w:gridSpan w:val="3"/>
            <w:tcBorders/>
            <w:tcMar>
              <w:top w:w="0" w:type="dxa"/>
              <w:left w:w="0" w:type="dxa"/>
              <w:bottom w:w="0" w:type="dxa"/>
              <w:right w:w="0" w:type="dxa"/>
            </w:tcMar>
            <w:vAlign w:val="center"/>
          </w:tcPr>
          <w:p>
            <w:pPr>
              <w:pStyle w:val="TableContents"/>
              <w:bidi w:val="0"/>
              <w:spacing w:lineRule="auto" w:line="278" w:before="0" w:after="480"/>
              <w:jc w:val="both"/>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4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45" name="Frame1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p>
                  </w:txbxContent>
                </v:textbox>
                <w10:wrap type="none"/>
              </v:rect>
            </w:pict>
          </mc:Fallback>
        </mc:AlternateContent>
      </w:r>
    </w:p>
    <w:tbl>
      <w:tblPr>
        <w:tblW w:w="4903" w:type="dxa"/>
        <w:jc w:val="left"/>
        <w:tblInd w:w="0" w:type="dxa"/>
        <w:tblLayout w:type="fixed"/>
        <w:tblCellMar>
          <w:top w:w="28" w:type="dxa"/>
          <w:left w:w="28" w:type="dxa"/>
          <w:bottom w:w="28" w:type="dxa"/>
          <w:right w:w="28" w:type="dxa"/>
        </w:tblCellMar>
      </w:tblPr>
      <w:tblGrid>
        <w:gridCol w:w="706"/>
        <w:gridCol w:w="619"/>
        <w:gridCol w:w="624"/>
        <w:gridCol w:w="314"/>
        <w:gridCol w:w="314"/>
        <w:gridCol w:w="316"/>
        <w:gridCol w:w="587"/>
        <w:gridCol w:w="587"/>
        <w:gridCol w:w="836"/>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SIGNED</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val="false"/>
                <w:color w:val="000000"/>
                <w:sz w:val="20"/>
              </w:rPr>
            </w:pPr>
            <w:r>
              <w:rPr>
                <w:rFonts w:ascii="Times New Roman;sans-serif" w:hAnsi="Times New Roman;sans-serif"/>
                <w:b w:val="false"/>
                <w:color w:val="000000"/>
                <w:sz w:val="20"/>
              </w:rPr>
              <w:t>for and on behalf of</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LUCID GROUP, INC.</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2010" w:type="dxa"/>
            <w:gridSpan w:val="3"/>
            <w:tcBorders/>
            <w:tcMar>
              <w:top w:w="0" w:type="dxa"/>
              <w:left w:w="0" w:type="dxa"/>
              <w:bottom w:w="0" w:type="dxa"/>
              <w:right w:w="0" w:type="dxa"/>
            </w:tcMar>
            <w:vAlign w:val="center"/>
          </w:tcPr>
          <w:p>
            <w:pPr>
              <w:pStyle w:val="TableContents"/>
              <w:bidi w:val="0"/>
              <w:spacing w:lineRule="auto" w:line="278" w:before="0" w:after="480"/>
              <w:jc w:val="both"/>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480"/>
        <w:jc w:val="both"/>
        <w:rPr/>
      </w:pPr>
      <w:r>
        <w:rPr/>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46" name="Frame1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p>
                  </w:txbxContent>
                </v:textbox>
                <w10:wrap type="none"/>
              </v:rect>
            </w:pict>
          </mc:Fallback>
        </mc:AlternateContent>
      </w:r>
    </w:p>
    <w:tbl>
      <w:tblPr>
        <w:tblW w:w="6028" w:type="dxa"/>
        <w:jc w:val="left"/>
        <w:tblInd w:w="0" w:type="dxa"/>
        <w:tblLayout w:type="fixed"/>
        <w:tblCellMar>
          <w:top w:w="28" w:type="dxa"/>
          <w:left w:w="28" w:type="dxa"/>
          <w:bottom w:w="28" w:type="dxa"/>
          <w:right w:w="28" w:type="dxa"/>
        </w:tblCellMar>
      </w:tblPr>
      <w:tblGrid>
        <w:gridCol w:w="1287"/>
        <w:gridCol w:w="1129"/>
        <w:gridCol w:w="1138"/>
        <w:gridCol w:w="314"/>
        <w:gridCol w:w="314"/>
        <w:gridCol w:w="316"/>
        <w:gridCol w:w="448"/>
        <w:gridCol w:w="448"/>
        <w:gridCol w:w="634"/>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SIGNED</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val="false"/>
                <w:color w:val="000000"/>
                <w:sz w:val="20"/>
              </w:rPr>
            </w:pPr>
            <w:r>
              <w:rPr>
                <w:rFonts w:ascii="Times New Roman;sans-serif" w:hAnsi="Times New Roman;sans-serif"/>
                <w:b w:val="false"/>
                <w:color w:val="000000"/>
                <w:sz w:val="20"/>
              </w:rPr>
              <w:t>for and on behalf of</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355" w:before="0" w:after="480"/>
              <w:jc w:val="both"/>
              <w:rPr>
                <w:rFonts w:ascii="Times New Roman;sans-serif" w:hAnsi="Times New Roman;sans-serif"/>
                <w:b/>
                <w:color w:val="000000"/>
                <w:sz w:val="20"/>
              </w:rPr>
            </w:pPr>
            <w:r>
              <w:rPr>
                <w:rFonts w:ascii="Times New Roman;sans-serif" w:hAnsi="Times New Roman;sans-serif"/>
                <w:b/>
                <w:color w:val="000000"/>
                <w:sz w:val="20"/>
              </w:rPr>
              <w:t>ASTON MARTIN LAGONDA LIMITED</w:t>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1530" w:type="dxa"/>
            <w:gridSpan w:val="3"/>
            <w:tcBorders/>
            <w:tcMar>
              <w:top w:w="0" w:type="dxa"/>
              <w:left w:w="0" w:type="dxa"/>
              <w:bottom w:w="0" w:type="dxa"/>
              <w:right w:w="0" w:type="dxa"/>
            </w:tcMar>
            <w:vAlign w:val="center"/>
          </w:tcPr>
          <w:p>
            <w:pPr>
              <w:pStyle w:val="TableContents"/>
              <w:bidi w:val="0"/>
              <w:spacing w:lineRule="auto" w:line="300"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/s/ Doug Lafferty</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30" w:type="dxa"/>
            <w:gridSpan w:val="3"/>
            <w:tcBorders/>
            <w:tcMar>
              <w:top w:w="0" w:type="dxa"/>
              <w:left w:w="0" w:type="dxa"/>
              <w:bottom w:w="0" w:type="dxa"/>
              <w:right w:w="0" w:type="dxa"/>
            </w:tcMar>
            <w:vAlign w:val="center"/>
          </w:tcPr>
          <w:p>
            <w:pPr>
              <w:pStyle w:val="TableContents"/>
              <w:bidi w:val="0"/>
              <w:spacing w:lineRule="auto" w:line="300"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Doug Lafferty</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147" name="Frame1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87"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Implementation Agreement Signature Page</w:t>
                      </w:r>
                      <w:r>
                        <w:rPr>
                          <w:rFonts w:ascii="Times New Roman;sans-serif" w:hAnsi="Times New Roman;sans-serif"/>
                          <w:b w:val="false"/>
                          <w:color w:val="000000"/>
                          <w:sz w:val="16"/>
                        </w:rPr>
                        <w:t>]</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24"/>
        <w:gridCol w:w="724"/>
        <w:gridCol w:w="102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Sherry House,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8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05"/>
        <w:gridCol w:w="705"/>
        <w:gridCol w:w="1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June 30, 2023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64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24"/>
        <w:gridCol w:w="724"/>
        <w:gridCol w:w="102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Sherry House,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June 30, 2023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58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05"/>
        <w:gridCol w:w="705"/>
        <w:gridCol w:w="1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0/000110465923049685/tm2313633d1_ex3-1.htm" TargetMode="External"/><Relationship Id="rId3" Type="http://schemas.openxmlformats.org/officeDocument/2006/relationships/hyperlink" Target="https://www.sec.gov/Archives/edgar/data/1811210/000110465923028423/tm238322d1_ex3-2.htm" TargetMode="External"/><Relationship Id="rId4" Type="http://schemas.openxmlformats.org/officeDocument/2006/relationships/hyperlink" Target="https://www.sec.gov/Archives/edgar/data/1811210/000110465923049685/tm2313633d1_ex10-1.htm" TargetMode="External"/><Relationship Id="rId5" Type="http://schemas.openxmlformats.org/officeDocument/2006/relationships/hyperlink" Target="https://www.sec.gov/Archives/edgar/data/1811210/000110465923068017/tm2317789d1_ex10-1.htm" TargetMode="External"/><Relationship Id="rId6" Type="http://schemas.openxmlformats.org/officeDocument/2006/relationships/hyperlink" Target="https://www.sec.gov/Archives/edgar/data/1811210/000110465923068017/tm2317789d1_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85904</Words>
  <Characters>476195</Characters>
  <CharactersWithSpaces>559667</CharactersWithSpaces>
  <Paragraphs>4056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