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21, 2022</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2400" w:type="dxa"/>
            <w:vAlign w:val="bottom"/>
          </w:tcPr>
          <w:p>
            <w:pPr>
              <w:spacing w:after="0"/>
              <w:rPr>
                <w:sz w:val="18"/>
                <w:szCs w:val="18"/>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2400" w:type="dxa"/>
            <w:vAlign w:val="bottom"/>
          </w:tcPr>
          <w:p>
            <w:pPr>
              <w:spacing w:after="0"/>
              <w:rPr>
                <w:sz w:val="20"/>
                <w:szCs w:val="20"/>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432"/>
        </w:trPr>
        <w:tc>
          <w:tcPr>
            <w:tcW w:w="2400" w:type="dxa"/>
            <w:vAlign w:val="bottom"/>
          </w:tcPr>
          <w:p>
            <w:pPr>
              <w:spacing w:after="0"/>
              <w:rPr>
                <w:sz w:val="24"/>
                <w:szCs w:val="24"/>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b w:val="1"/>
                <w:bCs w:val="1"/>
                <w:color w:val="auto"/>
                <w:w w:val="99"/>
              </w:rPr>
              <w:t>FORM S-8</w:t>
            </w:r>
          </w:p>
        </w:tc>
      </w:tr>
      <w:tr>
        <w:trPr>
          <w:trHeight w:val="410"/>
        </w:trPr>
        <w:tc>
          <w:tcPr>
            <w:tcW w:w="2400" w:type="dxa"/>
            <w:vAlign w:val="bottom"/>
          </w:tcPr>
          <w:p>
            <w:pPr>
              <w:spacing w:after="0"/>
              <w:rPr>
                <w:sz w:val="24"/>
                <w:szCs w:val="24"/>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w w:val="98"/>
              </w:rPr>
              <w:t>REGISTRATION STATEMENT UNDER</w:t>
            </w:r>
          </w:p>
        </w:tc>
      </w:tr>
      <w:tr>
        <w:trPr>
          <w:trHeight w:val="238"/>
        </w:trPr>
        <w:tc>
          <w:tcPr>
            <w:tcW w:w="2400" w:type="dxa"/>
            <w:vAlign w:val="bottom"/>
          </w:tcPr>
          <w:p>
            <w:pPr>
              <w:spacing w:after="0"/>
              <w:rPr>
                <w:sz w:val="20"/>
                <w:szCs w:val="20"/>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b w:val="1"/>
                <w:bCs w:val="1"/>
                <w:color w:val="auto"/>
                <w:w w:val="99"/>
              </w:rPr>
              <w:t>THE SECURITIES ACT OF 1933</w:t>
            </w:r>
          </w:p>
        </w:tc>
      </w:tr>
      <w:tr>
        <w:trPr>
          <w:trHeight w:val="562"/>
        </w:trPr>
        <w:tc>
          <w:tcPr>
            <w:tcW w:w="2400" w:type="dxa"/>
            <w:vAlign w:val="bottom"/>
          </w:tcPr>
          <w:p>
            <w:pPr>
              <w:spacing w:after="0"/>
              <w:rPr>
                <w:sz w:val="24"/>
                <w:szCs w:val="24"/>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32"/>
                <w:szCs w:val="32"/>
                <w:b w:val="1"/>
                <w:bCs w:val="1"/>
                <w:color w:val="auto"/>
              </w:rPr>
              <w:t>LUCID GROUP, INC.</w:t>
            </w:r>
          </w:p>
        </w:tc>
      </w:tr>
      <w:tr>
        <w:trPr>
          <w:trHeight w:val="234"/>
        </w:trPr>
        <w:tc>
          <w:tcPr>
            <w:tcW w:w="2400" w:type="dxa"/>
            <w:vAlign w:val="bottom"/>
          </w:tcPr>
          <w:p>
            <w:pPr>
              <w:spacing w:after="0"/>
              <w:rPr>
                <w:sz w:val="20"/>
                <w:szCs w:val="20"/>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80" w:type="dxa"/>
            <w:vAlign w:val="bottom"/>
          </w:tcPr>
          <w:p>
            <w:pPr>
              <w:jc w:val="center"/>
              <w:ind w:left="5445"/>
              <w:spacing w:after="0"/>
              <w:rPr>
                <w:sz w:val="20"/>
                <w:szCs w:val="20"/>
                <w:color w:val="auto"/>
              </w:rPr>
            </w:pPr>
            <w:r>
              <w:rPr>
                <w:rFonts w:ascii="Times New Roman" w:cs="Times New Roman" w:eastAsia="Times New Roman" w:hAnsi="Times New Roman"/>
                <w:sz w:val="18"/>
                <w:szCs w:val="18"/>
                <w:b w:val="1"/>
                <w:bCs w:val="1"/>
                <w:color w:val="auto"/>
                <w:w w:val="98"/>
              </w:rPr>
              <w:t>85-0891392</w:t>
            </w:r>
          </w:p>
        </w:tc>
      </w:tr>
      <w:tr>
        <w:trPr>
          <w:trHeight w:val="216"/>
        </w:trPr>
        <w:tc>
          <w:tcPr>
            <w:tcW w:w="2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6880" w:type="dxa"/>
            <w:vAlign w:val="bottom"/>
          </w:tcPr>
          <w:p>
            <w:pPr>
              <w:jc w:val="center"/>
              <w:ind w:left="5405"/>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880" w:type="dxa"/>
            <w:vAlign w:val="bottom"/>
          </w:tcPr>
          <w:p>
            <w:pPr>
              <w:jc w:val="center"/>
              <w:ind w:left="5445"/>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00" w:type="dxa"/>
            <w:vAlign w:val="bottom"/>
          </w:tcPr>
          <w:p>
            <w:pPr>
              <w:spacing w:after="0"/>
              <w:rPr>
                <w:sz w:val="24"/>
                <w:szCs w:val="24"/>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rPr>
              <w:t>7373 Gateway Blvd</w:t>
            </w:r>
          </w:p>
        </w:tc>
      </w:tr>
      <w:tr>
        <w:trPr>
          <w:trHeight w:val="216"/>
        </w:trPr>
        <w:tc>
          <w:tcPr>
            <w:tcW w:w="2400" w:type="dxa"/>
            <w:vAlign w:val="bottom"/>
          </w:tcPr>
          <w:p>
            <w:pPr>
              <w:spacing w:after="0"/>
              <w:rPr>
                <w:sz w:val="18"/>
                <w:szCs w:val="18"/>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rPr>
              <w:t>Newark, CA 94560</w:t>
            </w:r>
          </w:p>
        </w:tc>
      </w:tr>
      <w:tr>
        <w:trPr>
          <w:trHeight w:val="220"/>
        </w:trPr>
        <w:tc>
          <w:tcPr>
            <w:tcW w:w="2400" w:type="dxa"/>
            <w:vAlign w:val="bottom"/>
          </w:tcPr>
          <w:p>
            <w:pPr>
              <w:spacing w:after="0"/>
              <w:rPr>
                <w:sz w:val="19"/>
                <w:szCs w:val="19"/>
                <w:color w:val="auto"/>
              </w:rPr>
            </w:pPr>
          </w:p>
        </w:tc>
        <w:tc>
          <w:tcPr>
            <w:tcW w:w="6880" w:type="dxa"/>
            <w:vAlign w:val="bottom"/>
          </w:tcPr>
          <w:p>
            <w:pPr>
              <w:jc w:val="center"/>
              <w:ind w:right="1885"/>
              <w:spacing w:after="0"/>
              <w:rPr>
                <w:sz w:val="20"/>
                <w:szCs w:val="20"/>
                <w:color w:val="auto"/>
              </w:rPr>
            </w:pPr>
            <w:r>
              <w:rPr>
                <w:rFonts w:ascii="Times New Roman" w:cs="Times New Roman" w:eastAsia="Times New Roman" w:hAnsi="Times New Roman"/>
                <w:sz w:val="18"/>
                <w:szCs w:val="18"/>
                <w:b w:val="1"/>
                <w:bCs w:val="1"/>
                <w:color w:val="auto"/>
                <w:w w:val="99"/>
              </w:rPr>
              <w:t>Telephone: (510) 648-3553</w:t>
            </w:r>
          </w:p>
        </w:tc>
      </w:tr>
      <w:tr>
        <w:trPr>
          <w:trHeight w:val="234"/>
        </w:trPr>
        <w:tc>
          <w:tcPr>
            <w:tcW w:w="2400" w:type="dxa"/>
            <w:vAlign w:val="bottom"/>
          </w:tcPr>
          <w:p>
            <w:pPr>
              <w:spacing w:after="0"/>
              <w:rPr>
                <w:sz w:val="20"/>
                <w:szCs w:val="20"/>
                <w:color w:val="auto"/>
              </w:rPr>
            </w:pPr>
          </w:p>
        </w:tc>
        <w:tc>
          <w:tcPr>
            <w:tcW w:w="6880" w:type="dxa"/>
            <w:vAlign w:val="bottom"/>
          </w:tcPr>
          <w:p>
            <w:pPr>
              <w:jc w:val="center"/>
              <w:ind w:right="1905"/>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bl>
    <w:p>
      <w:pPr>
        <w:spacing w:after="0" w:line="194" w:lineRule="exact"/>
        <w:rPr>
          <w:sz w:val="24"/>
          <w:szCs w:val="24"/>
          <w:color w:val="auto"/>
        </w:rPr>
      </w:pPr>
    </w:p>
    <w:p>
      <w:pPr>
        <w:jc w:val="center"/>
        <w:ind w:left="340" w:right="2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Lucid Group, Inc. Amended and Restated 2021 Stock Incentive Plan (including the Lucid Group, Inc. 2021 Employee Stock Purchase Plan attached thereto) </w:t>
      </w:r>
      <w:r>
        <w:rPr>
          <w:rFonts w:ascii="Times New Roman" w:cs="Times New Roman" w:eastAsia="Times New Roman" w:hAnsi="Times New Roman"/>
          <w:sz w:val="18"/>
          <w:szCs w:val="18"/>
          <w:color w:val="auto"/>
        </w:rPr>
        <w:t>(Full title of the plan)</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Peter Rawlinson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7373 Gateway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(510) 648-3553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tbl>
      <w:tblPr>
        <w:tblLayout w:type="fixed"/>
        <w:tblInd w:w="1620" w:type="dxa"/>
        <w:tblCellMar>
          <w:top w:w="0" w:type="dxa"/>
          <w:left w:w="0" w:type="dxa"/>
          <w:bottom w:w="0" w:type="dxa"/>
          <w:right w:w="0" w:type="dxa"/>
        </w:tblCellMar>
      </w:tblPr>
      <w:tr>
        <w:trPr>
          <w:trHeight w:val="236"/>
        </w:trPr>
        <w:tc>
          <w:tcPr>
            <w:tcW w:w="2920" w:type="dxa"/>
            <w:vAlign w:val="bottom"/>
          </w:tcPr>
          <w:p>
            <w:pPr>
              <w:spacing w:after="0"/>
              <w:rPr>
                <w:sz w:val="20"/>
                <w:szCs w:val="20"/>
                <w:color w:val="auto"/>
              </w:rPr>
            </w:pPr>
          </w:p>
        </w:tc>
        <w:tc>
          <w:tcPr>
            <w:tcW w:w="50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With a copy to:</w:t>
            </w:r>
          </w:p>
        </w:tc>
      </w:tr>
      <w:tr>
        <w:trPr>
          <w:trHeight w:val="410"/>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Jonathan Butler</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Emily Roberts</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 and Secretary</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Lucid Group, Inc.</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1600 El Camino Real</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7373 Gateway Blvd.</w:t>
            </w:r>
          </w:p>
        </w:tc>
        <w:tc>
          <w:tcPr>
            <w:tcW w:w="500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Menlo Park, CA 94025</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Newark, CA 94560</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(650) 752-2000</w:t>
            </w:r>
          </w:p>
        </w:tc>
      </w:tr>
      <w:tr>
        <w:trPr>
          <w:trHeight w:val="238"/>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(510) 648-3553</w:t>
            </w:r>
          </w:p>
        </w:tc>
        <w:tc>
          <w:tcPr>
            <w:tcW w:w="5000" w:type="dxa"/>
            <w:vAlign w:val="bottom"/>
          </w:tcPr>
          <w:p>
            <w:pPr>
              <w:spacing w:after="0"/>
              <w:rPr>
                <w:sz w:val="20"/>
                <w:szCs w:val="20"/>
                <w:color w:val="auto"/>
              </w:rPr>
            </w:pPr>
          </w:p>
        </w:tc>
      </w:tr>
    </w:tbl>
    <w:p>
      <w:pPr>
        <w:spacing w:after="0" w:line="194" w:lineRule="exact"/>
        <w:rPr>
          <w:sz w:val="24"/>
          <w:szCs w:val="24"/>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441" w:right="359" w:bottom="1440" w:gutter="0" w:footer="0" w:header="0"/>
        </w:sectPr>
      </w:pPr>
    </w:p>
    <w:p>
      <w:pPr>
        <w:spacing w:after="0" w:line="146"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Large accelerated filer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Accelerated filer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6260" w:space="720"/>
            <w:col w:w="4240"/>
          </w:cols>
          <w:pgMar w:left="320" w:top="441" w:right="359" w:bottom="1440" w:gutter="0" w:footer="0" w:header="0"/>
          <w:type w:val="continuous"/>
        </w:sectPr>
      </w:pPr>
    </w:p>
    <w:p>
      <w:pPr>
        <w:spacing w:after="0" w:line="37"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Non-accelerated filer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Smaller reporting company </w:t>
      </w:r>
      <w:r>
        <w:rPr>
          <w:rFonts w:ascii="MS PGothic" w:cs="MS PGothic" w:eastAsia="MS PGothic" w:hAnsi="MS PGothic"/>
          <w:sz w:val="17"/>
          <w:szCs w:val="17"/>
          <w:color w:val="auto"/>
          <w:highlight w:val="black"/>
        </w:rPr>
        <w:t>☐</w:t>
      </w:r>
    </w:p>
    <w:p>
      <w:pPr>
        <w:spacing w:after="0" w:line="224" w:lineRule="exact"/>
        <w:rPr>
          <w:sz w:val="24"/>
          <w:szCs w:val="24"/>
          <w:color w:val="auto"/>
        </w:rPr>
      </w:pPr>
    </w:p>
    <w:p>
      <w:pPr>
        <w:sectPr>
          <w:pgSz w:w="11900" w:h="16838" w:orient="portrait"/>
          <w:cols w:equalWidth="0" w:num="3">
            <w:col w:w="1840" w:space="40"/>
            <w:col w:w="4380" w:space="720"/>
            <w:col w:w="4240"/>
          </w:cols>
          <w:pgMar w:left="320" w:top="441" w:right="359" w:bottom="1440" w:gutter="0" w:footer="0" w:header="0"/>
          <w:type w:val="continuous"/>
        </w:sectPr>
      </w:pPr>
    </w:p>
    <w:p>
      <w:pPr>
        <w:spacing w:after="0" w:line="12" w:lineRule="exact"/>
        <w:rPr>
          <w:sz w:val="24"/>
          <w:szCs w:val="24"/>
          <w:color w:val="auto"/>
        </w:rPr>
      </w:pPr>
    </w:p>
    <w:p>
      <w:pPr>
        <w:ind w:left="698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Emerging growth company </w:t>
      </w:r>
      <w:r>
        <w:rPr>
          <w:rFonts w:ascii="MS PGothic" w:cs="MS PGothic" w:eastAsia="MS PGothic" w:hAnsi="MS PGothic"/>
          <w:sz w:val="17"/>
          <w:szCs w:val="17"/>
          <w:color w:val="auto"/>
          <w:highlight w:val="black"/>
        </w:rPr>
        <w:t>☐</w:t>
      </w:r>
    </w:p>
    <w:p>
      <w:pPr>
        <w:sectPr>
          <w:pgSz w:w="11900" w:h="16838" w:orient="portrait"/>
          <w:cols w:equalWidth="0" w:num="1">
            <w:col w:w="11220"/>
          </w:cols>
          <w:pgMar w:left="320" w:top="441" w:right="359" w:bottom="1440" w:gutter="0" w:footer="0" w:header="0"/>
          <w:type w:val="continuous"/>
        </w:sectPr>
      </w:pPr>
    </w:p>
    <w:p>
      <w:pPr>
        <w:spacing w:after="0" w:line="261" w:lineRule="exact"/>
        <w:rPr>
          <w:sz w:val="24"/>
          <w:szCs w:val="24"/>
          <w:color w:val="auto"/>
        </w:rPr>
      </w:pPr>
    </w:p>
    <w:p>
      <w:pPr>
        <w:ind w:right="100"/>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1" w:name="page2"/>
    <w:bookmarkEnd w:id="1"/>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Lucid Group,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 filing this Registration Statement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to register (i) an additional 15,000,000 shares of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to eligible persons under the Lucid Group, Inc. Amended and Restated 2021 Stock Incentive Plan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and (ii) an additional 10,185,388 shares of Common Stock issuable to eligible persons under the Incentive Plan by reason of the recycling provisions of Section 5 of the Incentive Plan.</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Registrant previously filed a registration statement on Form S-8 filed with the Commission on September 24, 2021 (the “</w:t>
      </w:r>
      <w:r>
        <w:rPr>
          <w:rFonts w:ascii="Times New Roman" w:cs="Times New Roman" w:eastAsia="Times New Roman" w:hAnsi="Times New Roman"/>
          <w:sz w:val="18"/>
          <w:szCs w:val="18"/>
          <w:u w:val="single" w:color="auto"/>
          <w:color w:val="auto"/>
        </w:rPr>
        <w:t>Prior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This Registration Statement relates to securities of the same class as those to which the Prior Registration Statement relates. Pursuant to General Instruction E of Form S-8, the contents of the Prior Registration Statement are incorporated herein by reference, including all attachments and exhibits thereto, except to the extent supplemented, amended or superseded by the information set forth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right="380" w:firstLine="332"/>
        <w:spacing w:after="0" w:line="282" w:lineRule="auto"/>
        <w:tabs>
          <w:tab w:leader="none" w:pos="565" w:val="left"/>
        </w:tabs>
        <w:numPr>
          <w:ilvl w:val="0"/>
          <w:numId w:val="1"/>
        </w:numPr>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The Registrant’s Annual Report on Form 10-K for the year ended December 31, 2021, as filed with the Commission on February 28, 2022 (the</w:t>
        </w:r>
      </w:hyperlink>
      <w:r>
        <w:rPr>
          <w:rFonts w:ascii="Times New Roman" w:cs="Times New Roman" w:eastAsia="Times New Roman" w:hAnsi="Times New Roman"/>
          <w:sz w:val="18"/>
          <w:szCs w:val="18"/>
          <w:u w:val="single" w:color="auto"/>
          <w:color w:val="0000EE"/>
        </w:rPr>
        <w:t xml:space="preserve"> </w:t>
      </w:r>
      <w:hyperlink r:id="rId13">
        <w:r>
          <w:rPr>
            <w:rFonts w:ascii="Times New Roman" w:cs="Times New Roman" w:eastAsia="Times New Roman" w:hAnsi="Times New Roman"/>
            <w:sz w:val="18"/>
            <w:szCs w:val="18"/>
            <w:u w:val="single" w:color="auto"/>
            <w:color w:val="0000EE"/>
          </w:rPr>
          <w:t>“Annual Report”);</w:t>
        </w:r>
      </w:hyperlink>
    </w:p>
    <w:p>
      <w:pPr>
        <w:spacing w:after="0" w:line="161" w:lineRule="exact"/>
        <w:rPr>
          <w:rFonts w:ascii="Times New Roman" w:cs="Times New Roman" w:eastAsia="Times New Roman" w:hAnsi="Times New Roman"/>
          <w:sz w:val="18"/>
          <w:szCs w:val="18"/>
          <w:u w:val="single" w:color="auto"/>
          <w:color w:val="0000EE"/>
        </w:rPr>
      </w:pPr>
    </w:p>
    <w:p>
      <w:pPr>
        <w:ind w:right="940" w:firstLine="332"/>
        <w:spacing w:after="0" w:line="282" w:lineRule="auto"/>
        <w:tabs>
          <w:tab w:leader="none" w:pos="576" w:val="left"/>
        </w:tabs>
        <w:numPr>
          <w:ilvl w:val="0"/>
          <w:numId w:val="1"/>
        </w:numPr>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The portions of the Registrant’s Definitive Proxy Statement on Schedule 14A, as filed with the Commission on April 28, 2022, that are</w:t>
        </w:r>
      </w:hyperlink>
      <w:r>
        <w:rPr>
          <w:rFonts w:ascii="Times New Roman" w:cs="Times New Roman" w:eastAsia="Times New Roman" w:hAnsi="Times New Roman"/>
          <w:sz w:val="18"/>
          <w:szCs w:val="18"/>
          <w:u w:val="single" w:color="auto"/>
          <w:color w:val="0000EE"/>
        </w:rPr>
        <w:t xml:space="preserve"> </w:t>
      </w:r>
      <w:hyperlink r:id="rId14">
        <w:r>
          <w:rPr>
            <w:rFonts w:ascii="Times New Roman" w:cs="Times New Roman" w:eastAsia="Times New Roman" w:hAnsi="Times New Roman"/>
            <w:sz w:val="18"/>
            <w:szCs w:val="18"/>
            <w:u w:val="single" w:color="auto"/>
            <w:color w:val="0000EE"/>
          </w:rPr>
          <w:t>incorporated by reference into the Annual Report;</w:t>
        </w:r>
      </w:hyperlink>
    </w:p>
    <w:p>
      <w:pPr>
        <w:spacing w:after="0" w:line="161" w:lineRule="exact"/>
        <w:rPr>
          <w:rFonts w:ascii="Times New Roman" w:cs="Times New Roman" w:eastAsia="Times New Roman" w:hAnsi="Times New Roman"/>
          <w:sz w:val="18"/>
          <w:szCs w:val="18"/>
          <w:u w:val="single" w:color="auto"/>
          <w:color w:val="0000EE"/>
        </w:rPr>
      </w:pPr>
    </w:p>
    <w:p>
      <w:pPr>
        <w:ind w:left="580" w:hanging="248"/>
        <w:spacing w:after="0"/>
        <w:tabs>
          <w:tab w:leader="none" w:pos="580" w:val="left"/>
        </w:tabs>
        <w:numPr>
          <w:ilvl w:val="0"/>
          <w:numId w:val="1"/>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The Registrant’s Quarterly Report on Form 10-Q for the quarter ended March 31, 2022, as filed with the Commission on May 5, 2022;</w:t>
        </w:r>
      </w:hyperlink>
    </w:p>
    <w:p>
      <w:pPr>
        <w:spacing w:after="0" w:line="225" w:lineRule="exact"/>
        <w:rPr>
          <w:rFonts w:ascii="Times New Roman" w:cs="Times New Roman" w:eastAsia="Times New Roman" w:hAnsi="Times New Roman"/>
          <w:sz w:val="18"/>
          <w:szCs w:val="18"/>
          <w:u w:val="single" w:color="auto"/>
          <w:color w:val="0000EE"/>
        </w:rPr>
      </w:pPr>
    </w:p>
    <w:p>
      <w:pPr>
        <w:jc w:val="both"/>
        <w:ind w:right="240" w:firstLine="332"/>
        <w:spacing w:after="0" w:line="266" w:lineRule="auto"/>
        <w:tabs>
          <w:tab w:leader="none" w:pos="576"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as filed with the Commission on </w:t>
      </w:r>
      <w:hyperlink r:id="rId16">
        <w:r>
          <w:rPr>
            <w:rFonts w:ascii="Times New Roman" w:cs="Times New Roman" w:eastAsia="Times New Roman" w:hAnsi="Times New Roman"/>
            <w:sz w:val="18"/>
            <w:szCs w:val="18"/>
            <w:u w:val="single" w:color="auto"/>
            <w:color w:val="0000EE"/>
          </w:rPr>
          <w:t>February 28, 2022</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April 26, 2022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June 2, 2022</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June 13, 2022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1">
        <w:r>
          <w:rPr>
            <w:rFonts w:ascii="Times New Roman" w:cs="Times New Roman" w:eastAsia="Times New Roman" w:hAnsi="Times New Roman"/>
            <w:sz w:val="18"/>
            <w:szCs w:val="18"/>
            <w:u w:val="single" w:color="auto"/>
            <w:color w:val="0000EE"/>
          </w:rPr>
          <w:t xml:space="preserve">June 15, 2022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any portions of such Current Reports on Form 8-K furnished pursuant to Item 2.02 and/or Item 7.01 thereof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any corresponding exhibits thereto not filed with the Commission);</w:t>
      </w:r>
    </w:p>
    <w:p>
      <w:pPr>
        <w:spacing w:after="0" w:line="175" w:lineRule="exact"/>
        <w:rPr>
          <w:rFonts w:ascii="Times New Roman" w:cs="Times New Roman" w:eastAsia="Times New Roman" w:hAnsi="Times New Roman"/>
          <w:sz w:val="18"/>
          <w:szCs w:val="18"/>
          <w:color w:val="0000EE"/>
        </w:rPr>
      </w:pPr>
    </w:p>
    <w:p>
      <w:pPr>
        <w:ind w:right="240" w:firstLine="332"/>
        <w:spacing w:after="0" w:line="282" w:lineRule="auto"/>
        <w:tabs>
          <w:tab w:leader="none" w:pos="5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capital stock which is contained in </w:t>
      </w:r>
      <w:hyperlink r:id="rId22">
        <w:r>
          <w:rPr>
            <w:rFonts w:ascii="Times New Roman" w:cs="Times New Roman" w:eastAsia="Times New Roman" w:hAnsi="Times New Roman"/>
            <w:sz w:val="18"/>
            <w:szCs w:val="18"/>
            <w:u w:val="single" w:color="auto"/>
            <w:color w:val="0000EE"/>
          </w:rPr>
          <w:t>Exhibit 4.6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0000EE"/>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auto"/>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rPr>
              <w:t>Opinion of Davis Polk &amp; Wardwell LLP (filed herewith)</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23.</w:t>
            </w:r>
            <w:r>
              <w:rPr>
                <w:rFonts w:ascii="Times New Roman" w:cs="Times New Roman" w:eastAsia="Times New Roman" w:hAnsi="Times New Roman"/>
                <w:sz w:val="18"/>
                <w:szCs w:val="18"/>
                <w:u w:val="single" w:color="auto"/>
                <w:color w:val="0000EE"/>
                <w:w w:val="82"/>
              </w:rPr>
              <w:t>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Grant Thornton LLP (filed herewith)</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23.</w:t>
            </w:r>
            <w:r>
              <w:rPr>
                <w:rFonts w:ascii="Times New Roman" w:cs="Times New Roman" w:eastAsia="Times New Roman" w:hAnsi="Times New Roman"/>
                <w:sz w:val="18"/>
                <w:szCs w:val="18"/>
                <w:u w:val="single" w:color="auto"/>
                <w:color w:val="0000EE"/>
                <w:w w:val="82"/>
              </w:rPr>
              <w:t>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Davis Polk &amp; Wardwell LLP (included in Exhibit 5.1)</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24.</w:t>
            </w:r>
            <w:r>
              <w:rPr>
                <w:rFonts w:ascii="Times New Roman" w:cs="Times New Roman" w:eastAsia="Times New Roman" w:hAnsi="Times New Roman"/>
                <w:sz w:val="18"/>
                <w:szCs w:val="18"/>
                <w:u w:val="single" w:color="auto"/>
                <w:color w:val="0000EE"/>
                <w:w w:val="82"/>
              </w:rPr>
              <w:t>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in signature page hereof)</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rFonts w:ascii="Times New Roman" w:cs="Times New Roman" w:eastAsia="Times New Roman" w:hAnsi="Times New Roman"/>
                <w:sz w:val="18"/>
                <w:szCs w:val="18"/>
                <w:color w:val="0000EE"/>
                <w:w w:val="82"/>
              </w:rPr>
            </w:pPr>
            <w:hyperlink r:id="rId23">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1</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Lucid Group, Inc. Amended and Restated 2021 Stock Incentive Plan (including the Lucid Group, Inc. 2021 Employee Stock Purchase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Plan, attached hereto) (incorporated by reference to Exhibit 10.1 to the Current Report on Form 8-K filed by Lucid Group, Inc. on</w:t>
              </w:r>
            </w:hyperlink>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June 13, 2022)</w:t>
              </w:r>
            </w:hyperlink>
          </w:p>
        </w:tc>
      </w:tr>
      <w:tr>
        <w:trPr>
          <w:trHeight w:val="20"/>
        </w:trPr>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80" w:type="dxa"/>
            <w:vAlign w:val="bottom"/>
            <w:gridSpan w:val="7"/>
          </w:tcPr>
          <w:p>
            <w:pPr>
              <w:spacing w:after="0" w:line="20" w:lineRule="exact"/>
              <w:rPr>
                <w:sz w:val="1"/>
                <w:szCs w:val="1"/>
                <w:color w:val="auto"/>
              </w:rPr>
            </w:pPr>
          </w:p>
        </w:tc>
      </w:tr>
      <w:tr>
        <w:trPr>
          <w:trHeight w:val="196"/>
        </w:trPr>
        <w:tc>
          <w:tcPr>
            <w:tcW w:w="3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107</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695"/>
        </w:trPr>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10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June 2022</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Peter Rawlinson and Sherry House,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Rawlinson</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Chief Executive Officer, Chief Technology Officer and</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178"/>
        </w:trPr>
        <w:tc>
          <w:tcPr>
            <w:tcW w:w="31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Peter Rawlinson</w:t>
            </w:r>
          </w:p>
        </w:tc>
        <w:tc>
          <w:tcPr>
            <w:tcW w:w="520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spacing w:after="0"/>
              <w:rPr>
                <w:sz w:val="15"/>
                <w:szCs w:val="15"/>
                <w:color w:val="auto"/>
              </w:rPr>
            </w:pPr>
          </w:p>
        </w:tc>
      </w:tr>
      <w:tr>
        <w:trPr>
          <w:trHeight w:val="234"/>
        </w:trPr>
        <w:tc>
          <w:tcPr>
            <w:tcW w:w="3140" w:type="dxa"/>
            <w:vAlign w:val="bottom"/>
          </w:tcPr>
          <w:p>
            <w:pPr>
              <w:spacing w:after="0"/>
              <w:rPr>
                <w:sz w:val="20"/>
                <w:szCs w:val="20"/>
                <w:color w:val="auto"/>
              </w:rPr>
            </w:pPr>
          </w:p>
        </w:tc>
        <w:tc>
          <w:tcPr>
            <w:tcW w:w="5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00" w:type="dxa"/>
            <w:vAlign w:val="bottom"/>
          </w:tcPr>
          <w:p>
            <w:pPr>
              <w:spacing w:after="0"/>
              <w:rPr>
                <w:sz w:val="20"/>
                <w:szCs w:val="20"/>
                <w:color w:val="auto"/>
              </w:rPr>
            </w:pPr>
          </w:p>
        </w:tc>
      </w:tr>
      <w:tr>
        <w:trPr>
          <w:trHeight w:val="432"/>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Sherry House</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Sherry House</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Gagan Dhingra</w:t>
            </w:r>
          </w:p>
        </w:tc>
        <w:tc>
          <w:tcPr>
            <w:tcW w:w="5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Gagan Dhingra</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Turqi Alnowaiser</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Turqi Alnowaiser</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Glenn R. August</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Glenn R. August</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Nancy Gioia</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Nancy Gioia</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Lindenberg</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Lindenberg</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Liveris</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Liveris</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Nichelle Maynard-Elliott</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Nichelle Maynard-Elliott</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Tony Posawatz</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Tony Posawatz</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14"/>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Janet S. Wong</w:t>
            </w:r>
          </w:p>
        </w:tc>
        <w:tc>
          <w:tcPr>
            <w:tcW w:w="5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Director</w:t>
            </w:r>
          </w:p>
        </w:tc>
        <w:tc>
          <w:tcPr>
            <w:tcW w:w="2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Janet S. Wong</w:t>
            </w:r>
          </w:p>
        </w:tc>
        <w:tc>
          <w:tcPr>
            <w:tcW w:w="520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441"/>
        </w:trPr>
        <w:tc>
          <w:tcPr>
            <w:tcW w:w="31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9700"/>
        <w:spacing w:after="0"/>
        <w:rPr>
          <w:sz w:val="20"/>
          <w:szCs w:val="20"/>
          <w:color w:val="auto"/>
        </w:rPr>
      </w:pPr>
      <w:r>
        <w:rPr>
          <w:rFonts w:ascii="Times New Roman" w:cs="Times New Roman" w:eastAsia="Times New Roman" w:hAnsi="Times New Roman"/>
          <w:sz w:val="18"/>
          <w:szCs w:val="18"/>
          <w:b w:val="1"/>
          <w:bCs w:val="1"/>
          <w:color w:val="auto"/>
        </w:rPr>
        <w:t>Exhibit 5.1 and 23.2</w:t>
      </w:r>
    </w:p>
    <w:p>
      <w:pPr>
        <w:spacing w:after="0" w:line="225" w:lineRule="exact"/>
        <w:rPr>
          <w:sz w:val="20"/>
          <w:szCs w:val="20"/>
          <w:color w:val="auto"/>
        </w:rPr>
      </w:pPr>
    </w:p>
    <w:p>
      <w:pPr>
        <w:ind w:left="844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New York</w:t>
      </w:r>
      <w:r>
        <w:rPr>
          <w:sz w:val="20"/>
          <w:szCs w:val="20"/>
          <w:color w:val="auto"/>
        </w:rPr>
        <w:tab/>
      </w:r>
      <w:r>
        <w:rPr>
          <w:rFonts w:ascii="Times New Roman" w:cs="Times New Roman" w:eastAsia="Times New Roman" w:hAnsi="Times New Roman"/>
          <w:sz w:val="18"/>
          <w:szCs w:val="18"/>
          <w:b w:val="1"/>
          <w:bCs w:val="1"/>
          <w:color w:val="auto"/>
        </w:rPr>
        <w:t>Paris</w:t>
      </w:r>
    </w:p>
    <w:p>
      <w:pPr>
        <w:spacing w:after="0" w:line="3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Northern California  Madrid</w:t>
      </w:r>
    </w:p>
    <w:p>
      <w:pPr>
        <w:spacing w:after="0" w:line="9" w:lineRule="exact"/>
        <w:rPr>
          <w:sz w:val="20"/>
          <w:szCs w:val="20"/>
          <w:color w:val="auto"/>
        </w:rPr>
      </w:pPr>
    </w:p>
    <w:p>
      <w:pPr>
        <w:ind w:left="844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Washington DC</w:t>
      </w:r>
      <w:r>
        <w:rPr>
          <w:sz w:val="20"/>
          <w:szCs w:val="20"/>
          <w:color w:val="auto"/>
        </w:rPr>
        <w:tab/>
      </w:r>
      <w:r>
        <w:rPr>
          <w:rFonts w:ascii="Times New Roman" w:cs="Times New Roman" w:eastAsia="Times New Roman" w:hAnsi="Times New Roman"/>
          <w:sz w:val="17"/>
          <w:szCs w:val="17"/>
          <w:b w:val="1"/>
          <w:bCs w:val="1"/>
          <w:color w:val="auto"/>
        </w:rPr>
        <w:t>Tokyo</w:t>
      </w:r>
    </w:p>
    <w:p>
      <w:pPr>
        <w:spacing w:after="0" w:line="9" w:lineRule="exact"/>
        <w:rPr>
          <w:sz w:val="20"/>
          <w:szCs w:val="20"/>
          <w:color w:val="auto"/>
        </w:rPr>
      </w:pPr>
    </w:p>
    <w:p>
      <w:pPr>
        <w:ind w:left="844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São Paulo</w:t>
      </w:r>
      <w:r>
        <w:rPr>
          <w:sz w:val="20"/>
          <w:szCs w:val="20"/>
          <w:color w:val="auto"/>
        </w:rPr>
        <w:tab/>
      </w:r>
      <w:r>
        <w:rPr>
          <w:rFonts w:ascii="Times New Roman" w:cs="Times New Roman" w:eastAsia="Times New Roman" w:hAnsi="Times New Roman"/>
          <w:sz w:val="17"/>
          <w:szCs w:val="17"/>
          <w:b w:val="1"/>
          <w:bCs w:val="1"/>
          <w:color w:val="auto"/>
        </w:rPr>
        <w:t>Beijing</w:t>
      </w:r>
    </w:p>
    <w:p>
      <w:pPr>
        <w:spacing w:after="0" w:line="9" w:lineRule="exact"/>
        <w:rPr>
          <w:sz w:val="20"/>
          <w:szCs w:val="20"/>
          <w:color w:val="auto"/>
        </w:rPr>
      </w:pPr>
    </w:p>
    <w:p>
      <w:pPr>
        <w:ind w:left="844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London</w:t>
      </w:r>
      <w:r>
        <w:rPr>
          <w:sz w:val="20"/>
          <w:szCs w:val="20"/>
          <w:color w:val="auto"/>
        </w:rPr>
        <w:tab/>
      </w:r>
      <w:r>
        <w:rPr>
          <w:rFonts w:ascii="Times New Roman" w:cs="Times New Roman" w:eastAsia="Times New Roman" w:hAnsi="Times New Roman"/>
          <w:sz w:val="18"/>
          <w:szCs w:val="18"/>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284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Davis Polk &amp; Wardwell LLP</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212 450 4000 tel</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450 Lexington Avenue</w:t>
            </w:r>
          </w:p>
        </w:tc>
        <w:tc>
          <w:tcPr>
            <w:tcW w:w="1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212 701 5800 fax</w:t>
            </w:r>
          </w:p>
        </w:tc>
      </w:tr>
    </w:tbl>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 94560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have acted as counsel for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25,185,388 shares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pursuant to the Lucid Group, Inc. Amended and Restated 2021 Stock Incentive Plan (the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As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and such matters of fact and law as we have deemed necessary for the purposes of rendering the opinion expressed herein.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the basis of the foregoing, we are of the opinion that the Common Stock issuable pursuant to the Incentive Plan has been duly authorized and, when and to the extent issued pursuant to the Incentive Plan upon receipt by the Company of adequate consideration for the Common Stock specified therein, will be validly issued, fully paid and non-assessable.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opinion is given as of the date hereof. We assume no obligation to update or supplement this opinion to reflect any facts or circumstances which may hereafter come to our attention of any changes in laws which may hereafter occur.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members of the Bars of the State of New York and the State of California, and the foregoing opinion is limited to the laws of the State of New York and the General Corporation Law of the State of Delaware. The opinion is strictly limited to the matters stated herein and no other or more extensive opinion is intended, implied or to be inferred beyond the matters expressly stated herein.</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February 28, 2022, with respect to the consolidated financial statements of Lucid Group, Inc. included in the Annual Report on Form 10-K for the year ended December 31, 2021, which are incorporated by reference in this Registration Statement. We consent to the incorporation by reference of the aforementioned report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FEE TABLES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Newly Registered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240" w:type="dxa"/>
            <w:vAlign w:val="bottom"/>
          </w:tcPr>
          <w:p>
            <w:pPr>
              <w:spacing w:after="0"/>
              <w:rPr>
                <w:sz w:val="13"/>
                <w:szCs w:val="13"/>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1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4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24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20" w:type="dxa"/>
            <w:vAlign w:val="bottom"/>
          </w:tcPr>
          <w:p>
            <w:pPr>
              <w:spacing w:after="0"/>
              <w:rPr>
                <w:sz w:val="15"/>
                <w:szCs w:val="15"/>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Rule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Fee </w:t>
            </w: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19"/>
        </w:trPr>
        <w:tc>
          <w:tcPr>
            <w:tcW w:w="68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120" w:type="dxa"/>
            <w:vAlign w:val="bottom"/>
            <w:tcBorders>
              <w:top w:val="single" w:sz="8" w:color="CCEEFF"/>
            </w:tcBorders>
            <w:shd w:val="clear" w:color="auto" w:fill="CCEEFF"/>
          </w:tcPr>
          <w:p>
            <w:pPr>
              <w:spacing w:after="0"/>
              <w:rPr>
                <w:sz w:val="10"/>
                <w:szCs w:val="10"/>
                <w:color w:val="auto"/>
              </w:rPr>
            </w:pPr>
          </w:p>
        </w:tc>
        <w:tc>
          <w:tcPr>
            <w:tcW w:w="16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Common Stock, $0.0001</w:t>
            </w:r>
          </w:p>
        </w:tc>
        <w:tc>
          <w:tcPr>
            <w:tcW w:w="12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457(c) and</w:t>
            </w:r>
          </w:p>
        </w:tc>
        <w:tc>
          <w:tcPr>
            <w:tcW w:w="1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par value per share,</w:t>
            </w:r>
          </w:p>
        </w:tc>
        <w:tc>
          <w:tcPr>
            <w:tcW w:w="15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Rule 457(h)</w:t>
            </w: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reserved for issuance</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pursuant to the Lucid</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Group, Inc. Amended and</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Restated 2021 Stock</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Incentive Plan (the</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“Incentive Plan”)</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25,185,388(2)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16.15</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406,744,016.20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0.0000927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37,705.18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color w:val="auto"/>
                <w:w w:val="98"/>
              </w:rPr>
              <w:t>25,185,388</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406,744,016.20</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37,705.18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 (5)</w:t>
            </w: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190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37,705.18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right="20" w:hanging="332"/>
        <w:spacing w:after="0" w:line="234"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stock split, stock dividend or similar transaction involving the Registrant’s common stock, $0.0001 par value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the number of shares registered hereby shall automatically be adjusted in accordance with Rule 416 under the Securities Act of 1933, as amended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340" w:right="40" w:hanging="332"/>
        <w:spacing w:after="0" w:line="22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15,000,000 shares of Common Stock available for future issuance under the Incentive Plan by reason of the stockholder amendment to the Incentive Plan on June 9, 2022 and (ii) 10,185,388 shares of Common Stock available for future issuance under the Incentive Plan by reason of the recycle provisions of Section 5 of the Incentive Plan.</w:t>
      </w:r>
    </w:p>
    <w:p>
      <w:pPr>
        <w:ind w:left="340" w:right="240" w:hanging="332"/>
        <w:spacing w:after="0" w:line="22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457(h) and Rule 457(c) under the Securities Act. The Proposed Maximum Offering Price Per Share is based on the average of the high and low prices of the Registrant’s Common Stock on The Nasdaq Global Select Market on June 16, 2022.</w:t>
      </w:r>
    </w:p>
    <w:p>
      <w:pPr>
        <w:ind w:left="340" w:hanging="332"/>
        <w:spacing w:after="0" w:line="221" w:lineRule="auto"/>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Rounded to the nearest cent.</w:t>
      </w:r>
    </w:p>
    <w:p>
      <w:pPr>
        <w:ind w:left="340" w:hanging="332"/>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jpe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13" Type="http://schemas.openxmlformats.org/officeDocument/2006/relationships/hyperlink" Target="https://www.sec.gov/ix?doc=/Archives/edgar/data/1811210/000162828022004253/lcid-20211231.htm" TargetMode="External"/><Relationship Id="rId14" Type="http://schemas.openxmlformats.org/officeDocument/2006/relationships/hyperlink" Target="https://www.sec.gov/Archives/edgar/data/1811210/000110465922051645/tm224050-1_def14a.htm" TargetMode="External"/><Relationship Id="rId15" Type="http://schemas.openxmlformats.org/officeDocument/2006/relationships/hyperlink" Target="https://www.sec.gov/ix?doc=/Archives/edgar/data/1811210/000162828022012681/lcid-20220331.htm" TargetMode="External"/><Relationship Id="rId16" Type="http://schemas.openxmlformats.org/officeDocument/2006/relationships/hyperlink" Target="https://www.sec.gov/ix?doc=/Archives/edgar/data/1811210/000162828022004231/lcid-20220228.htm" TargetMode="External"/><Relationship Id="rId17" Type="http://schemas.openxmlformats.org/officeDocument/2006/relationships/hyperlink" Target="https://www.sec.gov/ix?doc=/Archives/edgar/data/1811210/000110465922050370/tm2212583d1_8k.htm" TargetMode="External"/><Relationship Id="rId18" Type="http://schemas.openxmlformats.org/officeDocument/2006/relationships/hyperlink" Target="https://www.sec.gov/ix?doc=/Archives/edgar/data/1811210/000162828022012646/lcid-20220505.htm" TargetMode="External"/><Relationship Id="rId19" Type="http://schemas.openxmlformats.org/officeDocument/2006/relationships/hyperlink" Target="https://www.sec.gov/ix?doc=/Archives/edgar/data/1811210/000110465922067703/tm2217505d1_8k.htm" TargetMode="External"/><Relationship Id="rId20" Type="http://schemas.openxmlformats.org/officeDocument/2006/relationships/hyperlink" Target="https://www.sec.gov/ix?doc=/Archives/edgar/data/1811210/000110465922070525/tm2218210d1_8k.htm" TargetMode="External"/><Relationship Id="rId21" Type="http://schemas.openxmlformats.org/officeDocument/2006/relationships/hyperlink" Target="https://www.sec.gov/ix?doc=/Archives/edgar/data/1811210/000110465922071262/tm2218210d4_8k.htm" TargetMode="External"/><Relationship Id="rId22" Type="http://schemas.openxmlformats.org/officeDocument/2006/relationships/hyperlink" Target="http://www.sec.gov/Archives/edgar/data/1811210/000162828022004253/exhibit46descriptionofsecu.htm" TargetMode="External"/><Relationship Id="rId23" Type="http://schemas.openxmlformats.org/officeDocument/2006/relationships/hyperlink" Target="https://www.sec.gov/Archives/edgar/data/1811210/000110465922070525/tm221821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2022-06-21T15:15:41Z</dcterms:created>
  <dcterms:modified xsi:type="dcterms:W3CDTF">2022-06-21T15:15:41Z</dcterms:modified>
</cp:coreProperties>
</file>