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SCHEDULE 13D/A</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549498 103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Counsel’s Office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 Lucid Group,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(510) 648-3553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October 30, 2024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8" w:lineRule="exact"/>
        <w:rPr>
          <w:sz w:val="24"/>
          <w:szCs w:val="24"/>
          <w:color w:val="auto"/>
        </w:rPr>
      </w:pPr>
    </w:p>
    <w:p>
      <w:pPr>
        <w:ind w:left="340" w:right="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Public Investment Fund</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8,041,393</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2,227,072,750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2,235,114,143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2,235,114,143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64.31%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OO – Sovereign Wealth Fund of the 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Ayar Third Investment Company</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WC</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2,227,072,750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2,227,072,750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64.08%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Turqi A. Alnowaiser</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SOURCE OF FUNDS</w:t>
            </w:r>
          </w:p>
        </w:tc>
        <w:tc>
          <w:tcPr>
            <w:tcW w:w="5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2,214,092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2,227,072,750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2,214,092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2,229,286,842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color w:val="auto"/>
              </w:rPr>
              <w:t>64.14%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0" w:type="dxa"/>
            <w:vAlign w:val="bottom"/>
            <w:tcBorders>
              <w:top w:val="single" w:sz="8" w:color="auto"/>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1064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Yasir Alsalman</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60"/>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2"/>
                <w:szCs w:val="22"/>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3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2"/>
                <w:szCs w:val="22"/>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360" w:type="dxa"/>
            <w:vAlign w:val="bottom"/>
          </w:tcPr>
          <w:p>
            <w:pPr>
              <w:spacing w:after="0"/>
              <w:rPr>
                <w:sz w:val="22"/>
                <w:szCs w:val="22"/>
                <w:color w:val="auto"/>
              </w:rPr>
            </w:pPr>
          </w:p>
        </w:tc>
        <w:tc>
          <w:tcPr>
            <w:tcW w:w="8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7</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401,454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8</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98"/>
        </w:trPr>
        <w:tc>
          <w:tcPr>
            <w:tcW w:w="46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right w:val="single" w:sz="8" w:color="auto"/>
            </w:tcBorders>
          </w:tcPr>
          <w:p>
            <w:pPr>
              <w:jc w:val="center"/>
              <w:ind w:right="51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2,227,072,750 (see Item 5 below)</w:t>
            </w: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tcBorders>
              <w:right w:val="single" w:sz="8" w:color="auto"/>
            </w:tcBorders>
            <w:vMerge w:val="restart"/>
          </w:tcPr>
          <w:p>
            <w:pPr>
              <w:ind w:left="60"/>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9</w:t>
            </w:r>
          </w:p>
        </w:tc>
        <w:tc>
          <w:tcPr>
            <w:tcW w:w="8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8"/>
                <w:szCs w:val="18"/>
                <w:color w:val="auto"/>
              </w:rPr>
            </w:pPr>
          </w:p>
        </w:tc>
        <w:tc>
          <w:tcPr>
            <w:tcW w:w="360" w:type="dxa"/>
            <w:vAlign w:val="bottom"/>
            <w:tcBorders>
              <w:right w:val="single" w:sz="8" w:color="auto"/>
            </w:tcBorders>
            <w:vMerge w:val="continue"/>
          </w:tcPr>
          <w:p>
            <w:pPr>
              <w:spacing w:after="0"/>
              <w:rPr>
                <w:sz w:val="18"/>
                <w:szCs w:val="18"/>
                <w:color w:val="auto"/>
              </w:rPr>
            </w:pPr>
          </w:p>
        </w:tc>
        <w:tc>
          <w:tcPr>
            <w:tcW w:w="84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REPORTING</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401,454 (see Item 5 below)</w:t>
            </w:r>
          </w:p>
        </w:tc>
        <w:tc>
          <w:tcPr>
            <w:tcW w:w="0" w:type="dxa"/>
            <w:vAlign w:val="bottom"/>
          </w:tcPr>
          <w:p>
            <w:pPr>
              <w:spacing w:after="0"/>
              <w:rPr>
                <w:sz w:val="1"/>
                <w:szCs w:val="1"/>
                <w:color w:val="auto"/>
              </w:rPr>
            </w:pPr>
          </w:p>
        </w:tc>
      </w:tr>
      <w:tr>
        <w:trPr>
          <w:trHeight w:val="241"/>
        </w:trPr>
        <w:tc>
          <w:tcPr>
            <w:tcW w:w="46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PERSON WITH</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10</w:t>
            </w:r>
          </w:p>
        </w:tc>
        <w:tc>
          <w:tcPr>
            <w:tcW w:w="8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4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gridSpan w:val="2"/>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2,227,474,204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66"/>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3"/>
                <w:szCs w:val="23"/>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64.09% (see Item 5 below)</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064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6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2"/>
                <w:szCs w:val="22"/>
                <w:color w:val="auto"/>
              </w:rPr>
            </w:pPr>
          </w:p>
        </w:tc>
        <w:tc>
          <w:tcPr>
            <w:tcW w:w="1064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STATEMENT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constitutes Amendment No. 6 (“Amendment No. 6”) to the initial statement on Schedule 13D, filed on July 27, 2021 (the “Initial Schedule 13D”) by the undersigned, and amendment No. 1 to the Initial Schedule 13D, filed on November 15, 2022 (“Amendment No. 1”), amendment No. 2 to the Initial Schedule 13D, filed on December 22, 2022 (“Amendment No. 2”), amendment No. 3 to the Initial Schedule 13D, filed on June 26, 2023 (“Amendment No. 3”), amendment No. 4 to the Initial Schedule 13D filed on April 2, 2024 (“Amendment No. 4”) and amendment No. 5 to the Initial Schedule 13D filed on April 2, 2024 (“Amendment No. 5” and collectively with the Initial Schedule 13D, Amendment No. 1, Amendment No. 2, Amendment No. 3 and Amendment No. 4, referred to as the “Prior Schedule 13D”). This Amendment No. 6 amends the Prior Schedule 13D as specifically set forth herein. Capitalized terms used in this Amendment No. 6 and not otherwise defined herein have the meanings given to them in the Prior Schedule 13D.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2 of the Prior Schedule 13D is hereby amended and replaced in its entirety with the following language:</w:t>
      </w:r>
    </w:p>
    <w:p>
      <w:pPr>
        <w:spacing w:after="0" w:line="227" w:lineRule="exact"/>
        <w:rPr>
          <w:sz w:val="20"/>
          <w:szCs w:val="20"/>
          <w:color w:val="auto"/>
        </w:rPr>
      </w:pPr>
    </w:p>
    <w:p>
      <w:pPr>
        <w:ind w:right="280" w:firstLine="8"/>
        <w:spacing w:after="0" w:line="282" w:lineRule="auto"/>
        <w:tabs>
          <w:tab w:leader="none" w:pos="2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on behalf of (i) Public Investment Fund of Saudi Arabia (“PIF”), (ii) Turqi A. Alnowaiser and (iii) Yasir Alsalman (collectively, the “Reporting Persons”).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business/residence address for the Reporting Persons is The Public Investment Fund, P.O. Box 6847, Riyadh 11452, Kingdom of Saudi Arabia.</w:t>
      </w:r>
    </w:p>
    <w:p>
      <w:pPr>
        <w:spacing w:after="0" w:line="225" w:lineRule="exact"/>
        <w:rPr>
          <w:rFonts w:ascii="Times New Roman" w:cs="Times New Roman" w:eastAsia="Times New Roman" w:hAnsi="Times New Roman"/>
          <w:sz w:val="18"/>
          <w:szCs w:val="18"/>
          <w:color w:val="auto"/>
        </w:rPr>
      </w:pPr>
    </w:p>
    <w:p>
      <w:pPr>
        <w:ind w:firstLine="8"/>
        <w:spacing w:after="0" w:line="254" w:lineRule="auto"/>
        <w:tabs>
          <w:tab w:leader="none" w:pos="2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record of 2,227,072,750 shares of Common Stock, including approximately 464,225,459 shares of Common Stock issuable upon conversion of the Convertible Preferred Stock as of the date hereof, reported herein is Ayar Third Investment Company (“Ayar”), which is wholly owned by PIF. In its capacity as the parent company and ultimate controlling party of Ayar, PIF beneficially owns, and has both dispositive and voting power over, all of the securities reported herein held by Ayar. PIF is the sovereign wealth fund of the Kingdom of Saudi Arabia. Mr. Turqi A. Alnowaiser and Mr. Yasir Alsalman are the co-managers of Ayar, and in such capacity have the authority to vote the securities held by Ayar as reported herein. Neither</w:t>
      </w:r>
    </w:p>
    <w:p>
      <w:pPr>
        <w:spacing w:after="0" w:line="3" w:lineRule="exact"/>
        <w:rPr>
          <w:rFonts w:ascii="Times New Roman" w:cs="Times New Roman" w:eastAsia="Times New Roman" w:hAnsi="Times New Roman"/>
          <w:sz w:val="18"/>
          <w:szCs w:val="18"/>
          <w:color w:val="auto"/>
        </w:rPr>
      </w:pPr>
    </w:p>
    <w:p>
      <w:pPr>
        <w:ind w:right="2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nor Mr. Alsalman has individual dispositive power with respect to any securities held by Ayar, as reported herein, and each disclaims beneficial ownership of the shares held by Ayar, as reported herein. In addition to the foregoing, PIF has sole voting power over 8,041,393 shares of Common Stock. In addition to the foregoing, Mr. Alnowaiser has sole voting and dispositive power over 2,214,092 shares of Common Stock held in his name (which amount is a correction of the number reported in Amendment No. 5 and also includes 96,822 restricted stock units that will not vest in the next 60 days) and Mr. Alsalman has sole voting and dispositive power over 401,454 shares of Common Stock held in his name.</w:t>
      </w:r>
    </w:p>
    <w:p>
      <w:pPr>
        <w:spacing w:after="0" w:line="186" w:lineRule="exact"/>
        <w:rPr>
          <w:rFonts w:ascii="Times New Roman" w:cs="Times New Roman" w:eastAsia="Times New Roman" w:hAnsi="Times New Roman"/>
          <w:sz w:val="18"/>
          <w:szCs w:val="18"/>
          <w:color w:val="auto"/>
        </w:rPr>
      </w:pPr>
    </w:p>
    <w:p>
      <w:pPr>
        <w:ind w:right="84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ind w:right="560" w:firstLine="8"/>
        <w:spacing w:after="0" w:line="266"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6 of the respective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the Prior Schedule 13D is hereby amended to add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Subscription Agreement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16, 2024, Lucid Group, Inc. (the “Issuer”) announced it had priced an underwritten public offering of 262,446,931 shares of its Class A common stock, par value $0.0001 per share (“Common Stock”) for aggregate gross proceeds to the Issuer of approximately $680 million (the “Public Offering”). On October 17, 2024, the underwriter in the Public Offering exercised its overallotment option (the “Option”) to purchase an additional 15,037,594 shares of common stock in the Public Offering. On October 30, 2024, Ayar purchased from the Issuer 374,717,927 shares of Common Stock for aggregate purchase price of approximately $971 million in a private placement pursuant to a subscription agreement (the “Subscription Agreement”) entered into concurrently with the Public Offering. On October 31, 2024, Ayar purchased from the Issuer an additional 21,470,459 shares of Common Stock for aggregate purchase price of approximately $56 million in a private placement in a private placement pursuant to the Subscription Agreement as a result of the underwriter’s exercise of the Option.</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subject to certain exceptions, Ayar has agreed not to, among other things, offer, sell, pledge or otherwise transfer any shares of Common Stock for 120 days after the date of the closing of the transaction contemplated by the Subscription Agreement.</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description of the Subscription Agreement does not purport to be complete and is qualified in its entirety by reference to the full text of the Subscription Agreement included as Exhibit 14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5(a), (b) and (c) of the Prior Schedule 13D are hereby amended and replaced in their entirety with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hereof:</w:t>
      </w:r>
    </w:p>
    <w:p>
      <w:pPr>
        <w:spacing w:after="0" w:line="225" w:lineRule="exact"/>
        <w:rPr>
          <w:sz w:val="20"/>
          <w:szCs w:val="20"/>
          <w:color w:val="auto"/>
        </w:rPr>
      </w:pPr>
    </w:p>
    <w:p>
      <w:pPr>
        <w:ind w:left="340" w:right="60" w:hanging="332"/>
        <w:spacing w:after="0" w:line="272"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PIF directly owns 8,041,393 shares of Common Stock and has sole voting and dispositive power of such shares. PIF may, pursuant to Rule 13d-3, be deemed to beneficially own the 2,227,072,750 shares of Common Stock directly owned by Ayar, including 291,019,450 shares of Common Stock issuable upon conversion of the Series A Convertible Preferred Stock and 173,206,009 shares of Common Stock issuable upon conversion of the Series B Preferred Stock as of the date hereof, aggregating to a beneficial ownership of 2,235,114,143 shares. The number of shares of Common Stock issuable upon conversion of the Series A Convertible Preferred Stock and Series B Convertible Preferred Stock as of the date hereof reflects increases in the compounded returns on the shares of Series A Convertible Preferred Stock and Series B Convertible Preferred Stock in accordance with the terms thereof. The Ayar securities and the shares of Common Stock held directly by PIF represent approximately 64.31% of the Issuer’s issued and outstanding shares Common Stock. PIF disclaims beneficial ownership of the Ayar securities except to the extent of its pecuniary interest therein.</w:t>
      </w:r>
    </w:p>
    <w:p>
      <w:pPr>
        <w:spacing w:after="0" w:line="171" w:lineRule="exact"/>
        <w:rPr>
          <w:rFonts w:ascii="Times New Roman" w:cs="Times New Roman" w:eastAsia="Times New Roman" w:hAnsi="Times New Roman"/>
          <w:sz w:val="17"/>
          <w:szCs w:val="17"/>
          <w:color w:val="auto"/>
        </w:rPr>
      </w:pPr>
    </w:p>
    <w:p>
      <w:pPr>
        <w:ind w:left="340" w:right="12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directly owns 2,227,072,750 shares of Common Stock, including the shares of Common Stock issuable upon conversion of the Convertible Preferred Stock as of the date hereof, and has shared voting power over such shares, which represent approximately 64.08% of the Issuer’s issued and outstanding shares of Common Stock.</w:t>
      </w:r>
    </w:p>
    <w:p>
      <w:pPr>
        <w:spacing w:after="0" w:line="175"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as the co-manager of Ayar, has shared voting power over 2,227,072,750 shares of Common Stock held by Ayar, including the shares of Common Stock issuable upon conversion of the Convertible Preferred Stock as of the date hereof. In addition, Mr. Alnowaiser has sole voting and dispositive power over 2,214,092 shares of Common Stock held in his name (which amount is a correction of the number reported in Amendment No. 5 and also includes 96,822 restricted stock units that will not vest in the next 60 days). Accordingly, Mr. Alnowaiser may be deemed the beneficial owner of an aggregate of 2,229,286,842 shares of Common Stock, representing approximately 64.14% of the Issuer’s issued and outstanding shares of Common Stock. Mr. Alnowaiser disclaims beneficial ownership of any securities held by Ayar.</w:t>
      </w:r>
    </w:p>
    <w:p>
      <w:pPr>
        <w:spacing w:after="0" w:line="187" w:lineRule="exact"/>
        <w:rPr>
          <w:rFonts w:ascii="Times New Roman" w:cs="Times New Roman" w:eastAsia="Times New Roman" w:hAnsi="Times New Roman"/>
          <w:sz w:val="18"/>
          <w:szCs w:val="18"/>
          <w:color w:val="auto"/>
        </w:rPr>
      </w:pPr>
    </w:p>
    <w:p>
      <w:pPr>
        <w:ind w:left="340" w:right="12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Alsalman, as the co-manager of Ayar, has shared voting power over 2,227,072,750 shares of Common Stock held by Ayar, including the shares of Common Stock issuable upon conversion of the Convertible Preferred Stock as of the date hereof. In addition, Mr. Alsalman has sole voting and dispositive power over 401,454 shares of Common Stock held in his name. Accordingly, Mr. Alsalman may be deemed the beneficial owner of an aggregate of 2,227,474,204 shares of Common Stock, representing approximately 64.09% of the Issuer’s issued and outstanding shares of Common Stock. Mr. Alsalman disclaims beneficial ownership of any securities held by Ayar.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The percentages set forth in this Item 5(a) are based on 3,011,191,453 shares of Common Stock issued and outstanding as of the date hereof, as provided by the Issuer.</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Each of the Reporting Persons may be deemed to be a member of a group with respect to the Issuer or securities of the Issuer for the purposes of Section 13(d) or 13(g) of the Act. Each of the Reporting Persons disclaims beneficial ownership of all of the shares of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180" w:lineRule="exact"/>
        <w:rPr>
          <w:sz w:val="20"/>
          <w:szCs w:val="20"/>
          <w:color w:val="auto"/>
        </w:rPr>
      </w:pPr>
    </w:p>
    <w:p>
      <w:pPr>
        <w:ind w:right="540" w:firstLine="8"/>
        <w:spacing w:after="0" w:line="282" w:lineRule="auto"/>
        <w:tabs>
          <w:tab w:leader="none" w:pos="2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engaged in the private placement with the Issuer pursuant to the Subscription Agreement, purchasing an aggregate of 396,188,386 shares of Common Stock for $2.591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6 of the Prior Schedule 13D is hereby amended to add the following language: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4 of this Schedule 13D is incorporated by reference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Fourth IRA Amendment</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Private Placement, the Issuer entered into an amendment to the Investor Rights Agreement (the “Fifth IRA Amendment”). Pursuant to the Fifth IRA Amendment, Ayar will be entitled to certain registration rights, including shelf registration rights, with respect to the shares Common Stock issued in the Private Placement.</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description of the Fifth IRA Amendment does not purport to be complete and is qualified in its entirety by reference to the full text of the Fifth IRA Amendment included as Exhibit 15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Materials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7 of the Initial Schedule 13D is hereby amended to add the following language:</w:t>
      </w:r>
    </w:p>
    <w:p>
      <w:pPr>
        <w:sectPr>
          <w:pgSz w:w="11900" w:h="16838" w:orient="portrait"/>
          <w:cols w:equalWidth="0" w:num="1">
            <w:col w:w="11240"/>
          </w:cols>
          <w:pgMar w:left="320" w:top="904"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7"/>
          <w:szCs w:val="17"/>
          <w:color w:val="auto"/>
        </w:rPr>
        <w:t>Description of Exhibit</w:t>
      </w:r>
    </w:p>
    <w:p>
      <w:pPr>
        <w:spacing w:after="0" w:line="229" w:lineRule="exact"/>
        <w:rPr>
          <w:sz w:val="20"/>
          <w:szCs w:val="20"/>
          <w:color w:val="auto"/>
        </w:rPr>
      </w:pPr>
    </w:p>
    <w:p>
      <w:pPr>
        <w:sectPr>
          <w:pgSz w:w="11900" w:h="16838" w:orient="portrait"/>
          <w:cols w:equalWidth="0" w:num="2">
            <w:col w:w="4400" w:space="720"/>
            <w:col w:w="6120"/>
          </w:cols>
          <w:pgMar w:left="320" w:top="904" w:right="339" w:bottom="1440" w:gutter="0" w:footer="0" w:header="0"/>
          <w:type w:val="continuous"/>
        </w:sectPr>
      </w:pPr>
    </w:p>
    <w:p>
      <w:pPr>
        <w:spacing w:after="0" w:line="7" w:lineRule="exact"/>
        <w:rPr>
          <w:sz w:val="20"/>
          <w:szCs w:val="20"/>
          <w:color w:val="auto"/>
        </w:rPr>
      </w:pPr>
    </w:p>
    <w:p>
      <w:pPr>
        <w:ind w:left="600" w:right="140" w:hanging="592"/>
        <w:spacing w:after="0" w:line="282" w:lineRule="auto"/>
        <w:tabs>
          <w:tab w:leader="none" w:pos="600" w:val="left"/>
        </w:tabs>
        <w:numPr>
          <w:ilvl w:val="0"/>
          <w:numId w:val="5"/>
        </w:numPr>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Subscription Agreement, dated October 16, 2024, between Lucid Group, Inc. and Ayar Third Investment Company (filed as Exhibit 10.1 to Lucid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Group, Inc.’s Current Report on Form 8-K filed with the SEC on October 18, 2024, and incorporated herein by reference).</w:t>
        </w:r>
      </w:hyperlink>
    </w:p>
    <w:p>
      <w:pPr>
        <w:spacing w:after="0" w:line="161" w:lineRule="exact"/>
        <w:rPr>
          <w:rFonts w:ascii="Times New Roman" w:cs="Times New Roman" w:eastAsia="Times New Roman" w:hAnsi="Times New Roman"/>
          <w:sz w:val="18"/>
          <w:szCs w:val="18"/>
          <w:u w:val="single" w:color="auto"/>
          <w:color w:val="0000EE"/>
        </w:rPr>
      </w:pPr>
    </w:p>
    <w:p>
      <w:pPr>
        <w:ind w:left="600" w:right="80" w:hanging="592"/>
        <w:spacing w:after="0" w:line="266" w:lineRule="auto"/>
        <w:tabs>
          <w:tab w:leader="none" w:pos="600" w:val="left"/>
        </w:tabs>
        <w:numPr>
          <w:ilvl w:val="0"/>
          <w:numId w:val="5"/>
        </w:numPr>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Form of Amendment No. 5 to the Investors Rights Agreement by and among Lucid Group, Inc., Ayar Third Investment Company and the other</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parties thereto (filed as Exhibit 10.2 to Lucid Group, Inc.’s Current Report on Form 8-K filed with the SEC on October 18, 2024, and incorporated</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herein by reference).</w:t>
        </w:r>
      </w:hyperlink>
    </w:p>
    <w:p>
      <w:pPr>
        <w:spacing w:after="0" w:line="176"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INVESTMENT FUND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Public Investment Fund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Yasir O. AlRumayyan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Yasir O. AlRumayyan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9" Type="http://schemas.openxmlformats.org/officeDocument/2006/relationships/hyperlink" Target="https://www.sec.gov/Archives/edgar/data/1811210/000110465924109677/tm2426052d5_ex10-1.htm" TargetMode="External"/><Relationship Id="rId20" Type="http://schemas.openxmlformats.org/officeDocument/2006/relationships/hyperlink" Target="https://www.sec.gov/Archives/edgar/data/1811210/000110465924109677/tm2426052d5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2024-11-04T05:28:13Z</dcterms:created>
  <dcterms:modified xsi:type="dcterms:W3CDTF">2024-11-04T05:28:13Z</dcterms:modified>
</cp:coreProperties>
</file>