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October 16, 2024</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400" w:type="dxa"/>
        <w:tblCellMar>
          <w:top w:w="0" w:type="dxa"/>
          <w:left w:w="0" w:type="dxa"/>
          <w:bottom w:w="0" w:type="dxa"/>
          <w:right w:w="0" w:type="dxa"/>
        </w:tblCellMar>
      </w:tblPr>
      <w:tr>
        <w:trPr>
          <w:trHeight w:val="22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001-39408</w:t>
            </w:r>
          </w:p>
        </w:tc>
        <w:tc>
          <w:tcPr>
            <w:tcW w:w="35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16"/>
        </w:trPr>
        <w:tc>
          <w:tcPr>
            <w:tcW w:w="37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w:t>
            </w: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3540" w:type="dxa"/>
            <w:vAlign w:val="bottom"/>
          </w:tcPr>
          <w:p>
            <w:pPr>
              <w:spacing w:after="0"/>
              <w:rPr>
                <w:sz w:val="20"/>
                <w:szCs w:val="20"/>
                <w:color w:val="auto"/>
              </w:rPr>
            </w:pPr>
          </w:p>
        </w:tc>
      </w:tr>
      <w:tr>
        <w:trPr>
          <w:trHeight w:val="41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7373 Gateway Boulevard</w:t>
            </w:r>
          </w:p>
        </w:tc>
        <w:tc>
          <w:tcPr>
            <w:tcW w:w="30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2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Newark, CA</w:t>
            </w:r>
          </w:p>
        </w:tc>
        <w:tc>
          <w:tcPr>
            <w:tcW w:w="3020" w:type="dxa"/>
            <w:vAlign w:val="bottom"/>
          </w:tcPr>
          <w:p>
            <w:pPr>
              <w:spacing w:after="0"/>
              <w:rPr>
                <w:sz w:val="19"/>
                <w:szCs w:val="19"/>
                <w:color w:val="auto"/>
              </w:rPr>
            </w:pPr>
          </w:p>
        </w:tc>
        <w:tc>
          <w:tcPr>
            <w:tcW w:w="354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94560</w:t>
            </w:r>
          </w:p>
        </w:tc>
      </w:tr>
      <w:tr>
        <w:trPr>
          <w:trHeight w:val="234"/>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20" w:type="dxa"/>
            <w:vAlign w:val="bottom"/>
          </w:tcPr>
          <w:p>
            <w:pPr>
              <w:spacing w:after="0"/>
              <w:rPr>
                <w:sz w:val="20"/>
                <w:szCs w:val="20"/>
                <w:color w:val="auto"/>
              </w:rPr>
            </w:pP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2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648-3553</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spacing w:after="0"/>
              <w:rPr>
                <w:sz w:val="18"/>
                <w:szCs w:val="18"/>
                <w:color w:val="auto"/>
              </w:rPr>
            </w:pPr>
          </w:p>
        </w:tc>
      </w:tr>
      <w:tr>
        <w:trPr>
          <w:trHeight w:val="238"/>
        </w:trPr>
        <w:tc>
          <w:tcPr>
            <w:tcW w:w="4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LCID</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Company intends to file a preliminary prospectus supplement with the Securities and Exchange Commission (the “Preliminary Prospectus Supplement”) on October 16, 2024 in connection with a proposed underwritten public offering (the “Offering”) of its Class A common stock, par value $0.0001 per share (the “Common Stock”). The Preliminary Prospectus Supplement is expected to include the following disclosure under the heading “Recent Developments”: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Preliminary Financial Results and Operational Information</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Although our financial results for the quarter ended September 30, 2024 are not yet finalized, we estimate that our financial results and certain operational information will fall within the following ranges.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8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4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r>
      <w:tr>
        <w:trPr>
          <w:trHeight w:val="209"/>
        </w:trPr>
        <w:tc>
          <w:tcPr>
            <w:tcW w:w="58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Low</w:t>
            </w:r>
          </w:p>
        </w:tc>
        <w:tc>
          <w:tcPr>
            <w:tcW w:w="5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High</w:t>
            </w:r>
          </w:p>
        </w:tc>
        <w:tc>
          <w:tcPr>
            <w:tcW w:w="100" w:type="dxa"/>
            <w:vAlign w:val="bottom"/>
          </w:tcPr>
          <w:p>
            <w:pPr>
              <w:spacing w:after="0"/>
              <w:rPr>
                <w:sz w:val="18"/>
                <w:szCs w:val="18"/>
                <w:color w:val="auto"/>
              </w:rPr>
            </w:pPr>
          </w:p>
        </w:tc>
      </w:tr>
      <w:tr>
        <w:trPr>
          <w:trHeight w:val="210"/>
        </w:trPr>
        <w:tc>
          <w:tcPr>
            <w:tcW w:w="58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Statement of Operations Data:</w:t>
            </w:r>
          </w:p>
        </w:tc>
        <w:tc>
          <w:tcPr>
            <w:tcW w:w="2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2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199,000</w:t>
            </w:r>
          </w:p>
        </w:tc>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operations</w:t>
            </w:r>
          </w:p>
        </w:tc>
        <w:tc>
          <w:tcPr>
            <w:tcW w:w="2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(765,000)</w:t>
            </w:r>
          </w:p>
        </w:tc>
        <w:tc>
          <w:tcPr>
            <w:tcW w:w="5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(790,000)</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1,893,000</w:t>
            </w:r>
          </w:p>
        </w:tc>
        <w:tc>
          <w:tcPr>
            <w:tcW w:w="5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1,894,000</w:t>
            </w:r>
          </w:p>
        </w:tc>
      </w:tr>
      <w:tr>
        <w:trPr>
          <w:trHeight w:val="234"/>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(at end of period)</w:t>
            </w:r>
          </w:p>
        </w:tc>
        <w:tc>
          <w:tcPr>
            <w:tcW w:w="2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2,000,800</w:t>
            </w:r>
          </w:p>
        </w:tc>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2,000,800</w:t>
            </w:r>
          </w:p>
        </w:tc>
      </w:tr>
    </w:tbl>
    <w:p>
      <w:pPr>
        <w:spacing w:after="0" w:line="17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of September 30, 2024, we had approximately $5.16 billion of total liquidity, consisting of (i) approximately $4,027 million in cash, cash equivalents, and investment balances, (ii) $750 million available under our DDTL Credit Facility, (iii) approximately $160 million available under our ABL Credit Facility and (iv) approximately $219 million available under our GIB Credit Facility. Availability under our ABL Credit Facility is subject to the value of eligible assets in the borrowing base.</w:t>
      </w:r>
    </w:p>
    <w:p>
      <w:pPr>
        <w:spacing w:after="0" w:line="18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addition, during the quarter ended September 30, 2024, we produced 1,805 vehicles and delivered 2,781 vehicles, of which approximately 8% were subject to operating lease accounting.”</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foregoing estimates are preliminary as the Company is in the process of completing its closing procedures for the quarter ended September 30, 2024. The preliminary estimates are based solely upon information available to the Company as of the date of this Current Report on Form 8-K and actual results may differ from these estimates subject to the completion of the Company’s quarter-end closing procedures, final adjustments and developments that may arise between now and the time the financial results for the quarter ended September 30, 2024 are finalized. Investors should refer to the actual results included in the Company’s financial statements for the quarter ended September 30, 2024 once it becomes available upon filing of the Company’s Quarterly Report on Form 10-Q.</w:t>
      </w:r>
    </w:p>
    <w:p>
      <w:pPr>
        <w:spacing w:after="0" w:line="18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has not reviewed or performed any procedures with respect to these preliminary estimates and, accordingly, does not express an opinion or any other form of assurance about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Item 2.02 of this Current Report on Form 8-K is incorporated by reference herein.</w:t>
      </w:r>
    </w:p>
    <w:p>
      <w:pPr>
        <w:spacing w:after="0" w:line="22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October 16, 2024, the Company issued a press release (the “Press Release”) announcing that it has commenced the Offering and a concurrent private placement of Common Stock to its majority stockholder, Ayar Third Investment Company. A copy of this Press Release is furnished herewith as Exhibit 99.1 and is incorporated herein by reference.</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7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ind w:left="580" w:hanging="248"/>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Exhibit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Number</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60" w:type="dxa"/>
            <w:vAlign w:val="bottom"/>
            <w:tcBorders>
              <w:bottom w:val="single" w:sz="8" w:color="auto"/>
            </w:tcBorders>
          </w:tcPr>
          <w:p>
            <w:pPr>
              <w:spacing w:after="0"/>
              <w:rPr>
                <w:sz w:val="20"/>
                <w:szCs w:val="20"/>
                <w:color w:val="auto"/>
              </w:rPr>
            </w:pPr>
          </w:p>
        </w:tc>
        <w:tc>
          <w:tcPr>
            <w:tcW w:w="668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Description</w:t>
            </w:r>
          </w:p>
        </w:tc>
        <w:tc>
          <w:tcPr>
            <w:tcW w:w="20" w:type="dxa"/>
            <w:vAlign w:val="bottom"/>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11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Lucid Press Release dated October 16, 2024</w:t>
            </w:r>
          </w:p>
        </w:tc>
        <w:tc>
          <w:tcPr>
            <w:tcW w:w="20" w:type="dxa"/>
            <w:vAlign w:val="bottom"/>
          </w:tcPr>
          <w:p>
            <w:pPr>
              <w:spacing w:after="0"/>
              <w:rPr>
                <w:sz w:val="14"/>
                <w:szCs w:val="14"/>
                <w:color w:val="auto"/>
              </w:rPr>
            </w:pPr>
          </w:p>
        </w:tc>
      </w:tr>
      <w:tr>
        <w:trPr>
          <w:trHeight w:val="20"/>
        </w:trPr>
        <w:tc>
          <w:tcPr>
            <w:tcW w:w="3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80" w:type="dxa"/>
            <w:vAlign w:val="bottom"/>
            <w:gridSpan w:val="2"/>
            <w:shd w:val="clear" w:color="auto" w:fill="0000EE"/>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20" w:type="dxa"/>
            <w:vAlign w:val="bottom"/>
          </w:tcPr>
          <w:p>
            <w:pPr>
              <w:spacing w:after="0"/>
              <w:rPr>
                <w:sz w:val="20"/>
                <w:szCs w:val="20"/>
                <w:color w:val="auto"/>
              </w:rPr>
            </w:pPr>
          </w:p>
        </w:tc>
      </w:tr>
      <w:tr>
        <w:trPr>
          <w:trHeight w:val="675"/>
        </w:trPr>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20"/>
        <w:spacing w:after="0"/>
        <w:tabs>
          <w:tab w:leader="none" w:pos="6400" w:val="left"/>
        </w:tabs>
        <w:rPr>
          <w:sz w:val="20"/>
          <w:szCs w:val="20"/>
          <w:color w:val="auto"/>
        </w:rPr>
      </w:pPr>
      <w:r>
        <w:rPr>
          <w:rFonts w:ascii="Times New Roman" w:cs="Times New Roman" w:eastAsia="Times New Roman" w:hAnsi="Times New Roman"/>
          <w:sz w:val="18"/>
          <w:szCs w:val="18"/>
          <w:color w:val="auto"/>
        </w:rPr>
        <w:t>Date: October 16, 2024</w:t>
      </w:r>
      <w:r>
        <w:rPr>
          <w:sz w:val="20"/>
          <w:szCs w:val="20"/>
          <w:color w:val="auto"/>
        </w:rPr>
        <w:tab/>
      </w:r>
      <w:r>
        <w:rPr>
          <w:rFonts w:ascii="Times New Roman" w:cs="Times New Roman" w:eastAsia="Times New Roman" w:hAnsi="Times New Roman"/>
          <w:sz w:val="17"/>
          <w:szCs w:val="17"/>
          <w:color w:val="auto"/>
        </w:rPr>
        <w:t>Lucid Group, Inc.</w:t>
      </w:r>
    </w:p>
    <w:p>
      <w:pPr>
        <w:spacing w:after="0" w:line="225"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By: /s/ Gagan Dhingra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26035</wp:posOffset>
            </wp:positionV>
            <wp:extent cx="2863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3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Gagan Dhingra</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Lucid Group, Inc. Announces Public Offering of Common Stock and Corresponding Investment by an Affiliate of PIF</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16, 2024</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Lucid Group, Inc. (Nasdaq: LCID; “Lucid”) announced today the commencement of a public offering of 262,446,931 shares of its common stock. The underwriter may offer the shares of common stock from time to time for sale in one or more transactions to purchasers directly, through agents or through brokers in brokerage transactions on Nasdaq, in the over-the-counter market, through negotiated transactions or in a combination of such methods, or otherwise at a fixed price or prices, which may be changed, at market prices prevailing at the time of sale, at prices related to prevailing market prices or at negotiated prices.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Lucid intends to grant the underwriter a 30-day option to purchase up to 39,367,040 additional shares of its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is acting as the sole underwriter for the public offering.</w:t>
      </w:r>
    </w:p>
    <w:p>
      <w:pPr>
        <w:spacing w:after="0" w:line="22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addition, Lucid’s majority stockholder and affiliate of the Public Investment Fund (“PIF”), Ayar Third Investment Company (“Ayar”), has indicated that they intend to purchase 374,717,927 shares of common stock from Lucid in a private placement concurrently with the public offering, subject to certain conditions, at the same price per share initially to be paid by the underwriter for the public offering. The private placement is subject to completion of the public offering and customary closing conditions. As a result of these purchases, Ayar expects to maintain its approximate 58.8% ownership of Lucid’s outstanding common stock. In addition, Ayar has indicated that they intend to purchase from us, in the event that the underwriter exercises its option, additional shares of our common stock to maintain its ownership of Lucid’s outstanding common stock, and an additional closing for such purchase would be held 10 days after the underwriter’s exercise of its option.</w:t>
      </w:r>
    </w:p>
    <w:p>
      <w:pPr>
        <w:spacing w:after="0" w:line="18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Lucid intends to use the net proceeds from the public offering, as well as from the private placement by its majority stockholder, for general corporate purposes, which may include, among other things, capital expenditures and working capital.</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public offering is being made pursuant to Lucid’s effective shelf registration statement on Form S-3, including a base prospectus, filed with the Securities and Exchange Commission (the “SEC”) and a prospectus supplement relating to the public offering. Prospective investors should read the preliminary prospectus supplement and the accompanying base prospectus in that registration statement and other documents that Lucid has filed or will file with the SEC for information about Lucid and the public offering. You may obtain these documents for free by visiting EDGAR on the SEC’s website at www.sec.gov. Alternatively, copies of the preliminary prospectus supplement and the base prospectus may be obtained from BofA Securities, Inc., NC1-022-02-25, 201 North Tryon Street, Charlotte, NC 28255-0001, Attn: Prospectus Department, or by email at dg.prospectus_requests@bofa.com.</w:t>
      </w:r>
    </w:p>
    <w:p>
      <w:pPr>
        <w:spacing w:after="0" w:line="18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the solicitation of an offer to buy shares of Lucid’s common stock, nor shall there be any sale of these securities in any jurisdiction in which such offer, solicitation or sale would be unlawful prior to registration or qualification under the securities laws of any such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investor@lucidmotors.com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media@lucidmotors.com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3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This communication contains trademarks, service marks, trade names and copyrights of Lucid Group, Inc. and its subsidiaries and other companies, which are the property of their respective owners.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plans and expectations with respect to Lucid’s registration statement on Form S-3, the timing, size and use of proceeds, if any, of the public offering and any private placement of shares of Lucid’s common stock to Lucid’s majority stockholder, any potential future offering or capital raises, the promise of Lucid’s technology, and the goal of Lucid.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those factors discussed under the heading “Risk Factors” in Part II, Item 1A. of Lucid’s Quarterly Report on Form 10-Q for the quarter ended June 30, 2024, as well as other documents Lucid has filed or will file with the SEC.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except as may be required under applicable securities laws. These forward-looking statements should not be relied upon as representing Lucid’s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2024-10-16T16:02:28Z</dcterms:created>
  <dcterms:modified xsi:type="dcterms:W3CDTF">2024-10-16T16:02:28Z</dcterms:modified>
</cp:coreProperties>
</file>