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950473.xml.htm"/>
      <w:bookmarkStart w:id="1" w:name="kswkform4_17809504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Wong Janet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LUCID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GATEWAY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Lucid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LCID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29,615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RSUs vest in full on the date of the grant in connection with past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RSUs are settled in shares of Class A Common Stock on a one-for-one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Wang, as attorney-in-fact for Janet S. Wong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5432" TargetMode="External"/><Relationship Id="rId5" Type="http://schemas.openxmlformats.org/officeDocument/2006/relationships/hyperlink" Target="http://www.sec.gov/cgi-bin/browse-edgar?action=getcompany&amp;CIK=00018112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3201</Characters>
  <CharactersWithSpaces>3740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