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9838-1_s3.htm"/>
        <w:bookmarkStart w:id="1" w:name="kstm2329838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November 7, 2023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w:t>
      </w:r>
      <w:r>
        <w:rPr>
          <w:rFonts w:ascii="Times New Roman;Times;serif" w:hAnsi="Times New Roman;Times;serif"/>
          <w:b/>
          <w:i w:val="false"/>
          <w:caps w:val="false"/>
          <w:smallCaps w:val="false"/>
          <w:color w:val="000000"/>
          <w:sz w:val="18"/>
        </w:rPr>
        <w:t>​</w:t>
      </w:r>
    </w:p>
    <w:p>
      <w:pPr>
        <w:pStyle w:val="TextBody"/>
        <w:bidi w:val="0"/>
        <w:spacing w:before="9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220" w:before="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6"/>
          <w:sz w:val="20"/>
        </w:rPr>
        <w:t xml:space="preserve"> </w:t>
      </w:r>
    </w:p>
    <w:p>
      <w:pPr>
        <w:pStyle w:val="TextBody"/>
        <w:bidi w:val="0"/>
        <w:spacing w:before="1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LUCID GROUP, INC.</w:t>
      </w:r>
      <w:r>
        <w:rPr>
          <w:rFonts w:ascii="Times New Roman;Times;serif" w:hAnsi="Times New Roman;Times;serif"/>
          <w:b/>
          <w:i w:val="false"/>
          <w:caps w:val="false"/>
          <w:smallCaps w:val="false"/>
          <w:color w:val="000000"/>
          <w:sz w:val="2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tbl>
      <w:tblPr>
        <w:tblW w:w="6009" w:type="dxa"/>
        <w:jc w:val="left"/>
        <w:tblInd w:w="540" w:type="dxa"/>
        <w:tblLayout w:type="fixed"/>
        <w:tblCellMar>
          <w:top w:w="0" w:type="dxa"/>
          <w:left w:w="0" w:type="dxa"/>
          <w:bottom w:w="0" w:type="dxa"/>
          <w:right w:w="0" w:type="dxa"/>
        </w:tblCellMar>
      </w:tblPr>
      <w:tblGrid>
        <w:gridCol w:w="124"/>
        <w:gridCol w:w="3133"/>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before="0" w:after="0"/>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85-0891392</w:t>
            </w:r>
            <w:r>
              <w:rPr>
                <w:b/>
                <w:sz w:val="18"/>
              </w:rPr>
              <w:t xml:space="preserve"> </w:t>
            </w:r>
          </w:p>
          <w:p>
            <w:pPr>
              <w:pStyle w:val="TableContents"/>
              <w:bidi w:val="0"/>
              <w:spacing w:before="0" w:after="0"/>
              <w:jc w:val="center"/>
              <w:rPr/>
            </w:pPr>
            <w:r>
              <w:rPr>
                <w:spacing w:val="3"/>
              </w:rPr>
              <w:t xml:space="preserve">(I.R.S. Employer </w:t>
            </w:r>
            <w:r>
              <w:rPr/>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20"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7373 Gateway Blvd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Newark, CA 94560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Telephone: (510) 648-3553</w:t>
      </w:r>
      <w:r>
        <w:rPr>
          <w:rFonts w:ascii="Times New Roman;Times;serif" w:hAnsi="Times New Roman;Times;serif"/>
          <w:b/>
          <w:i w:val="false"/>
          <w:caps w:val="false"/>
          <w:smallCaps w:val="false"/>
          <w:color w:val="000000"/>
          <w:sz w:val="1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Peter Rawlinson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7373 Gateway Blvd.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Newark, CA 94560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Telephone: (510) 648-3553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Copy to:</w:t>
      </w:r>
      <w:r>
        <w:rPr>
          <w:rFonts w:ascii="Times New Roman;Times;serif" w:hAnsi="Times New Roman;Times;serif"/>
          <w:b/>
          <w:i/>
          <w:caps w:val="false"/>
          <w:smallCaps w:val="false"/>
          <w:color w:val="000000"/>
          <w:spacing w:val="4"/>
          <w:sz w:val="18"/>
        </w:rPr>
        <w:t xml:space="preserve"> </w:t>
      </w:r>
    </w:p>
    <w:tbl>
      <w:tblPr>
        <w:tblW w:w="5818" w:type="dxa"/>
        <w:jc w:val="left"/>
        <w:tblInd w:w="540" w:type="dxa"/>
        <w:tblLayout w:type="fixed"/>
        <w:tblCellMar>
          <w:top w:w="0" w:type="dxa"/>
          <w:left w:w="0" w:type="dxa"/>
          <w:bottom w:w="0" w:type="dxa"/>
          <w:right w:w="0" w:type="dxa"/>
        </w:tblCellMar>
      </w:tblPr>
      <w:tblGrid>
        <w:gridCol w:w="124"/>
        <w:gridCol w:w="2453"/>
        <w:gridCol w:w="109"/>
        <w:gridCol w:w="109"/>
        <w:gridCol w:w="2869"/>
        <w:gridCol w:w="154"/>
      </w:tblGrid>
      <w:tr>
        <w:trPr/>
        <w:tc>
          <w:tcPr>
            <w:tcW w:w="124" w:type="dxa"/>
            <w:tcBorders/>
            <w:vAlign w:val="center"/>
          </w:tcPr>
          <w:p>
            <w:pPr>
              <w:pStyle w:val="TableContents"/>
              <w:bidi w:val="0"/>
              <w:spacing w:before="0" w:after="283"/>
              <w:jc w:val="left"/>
              <w:rPr/>
            </w:pPr>
            <w:r>
              <w:rPr/>
              <w:t>​</w:t>
            </w:r>
          </w:p>
        </w:tc>
        <w:tc>
          <w:tcPr>
            <w:tcW w:w="2453" w:type="dxa"/>
            <w:tcBorders/>
            <w:vAlign w:val="center"/>
          </w:tcPr>
          <w:p>
            <w:pPr>
              <w:pStyle w:val="TableContents"/>
              <w:bidi w:val="0"/>
              <w:spacing w:before="0" w:after="0"/>
              <w:jc w:val="center"/>
              <w:rPr/>
            </w:pPr>
            <w:r>
              <w:rPr>
                <w:spacing w:val="-4"/>
              </w:rPr>
              <w:t>Benjamin Uy</w:t>
            </w:r>
            <w:r>
              <w:rPr/>
              <w:t xml:space="preserve"> </w:t>
              <w:br/>
            </w:r>
            <w:r>
              <w:rPr>
                <w:spacing w:val="-4"/>
              </w:rPr>
              <w:t>Deputy General Counsel</w:t>
            </w:r>
            <w:r>
              <w:rPr/>
              <w:t xml:space="preserve"> </w:t>
              <w:br/>
            </w:r>
            <w:r>
              <w:rPr>
                <w:spacing w:val="-4"/>
              </w:rPr>
              <w:t>Lucid Group, Inc.</w:t>
            </w:r>
            <w:r>
              <w:rPr/>
              <w:t xml:space="preserve"> </w:t>
              <w:br/>
            </w:r>
            <w:r>
              <w:rPr>
                <w:spacing w:val="-4"/>
              </w:rPr>
              <w:t>7373 Gateway Blvd.</w:t>
            </w:r>
            <w:r>
              <w:rPr/>
              <w:t xml:space="preserve"> </w:t>
              <w:br/>
            </w:r>
            <w:r>
              <w:rPr>
                <w:spacing w:val="-4"/>
              </w:rPr>
              <w:t>Newark, CA 94560</w:t>
            </w:r>
            <w:r>
              <w:rPr/>
              <w:t xml:space="preserve"> </w:t>
              <w:br/>
            </w:r>
            <w:r>
              <w:rPr>
                <w:spacing w:val="-4"/>
              </w:rPr>
              <w:t>(510) 648-3553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9" w:type="dxa"/>
            <w:tcBorders/>
            <w:vAlign w:val="center"/>
          </w:tcPr>
          <w:p>
            <w:pPr>
              <w:pStyle w:val="TableContents"/>
              <w:bidi w:val="0"/>
              <w:spacing w:before="0" w:after="0"/>
              <w:jc w:val="center"/>
              <w:rPr/>
            </w:pPr>
            <w:r>
              <w:rPr>
                <w:spacing w:val="-4"/>
              </w:rPr>
              <w:t>Emily Roberts</w:t>
            </w:r>
            <w:r>
              <w:rPr/>
              <w:t xml:space="preserve"> </w:t>
              <w:br/>
            </w:r>
            <w:r>
              <w:rPr>
                <w:spacing w:val="-4"/>
              </w:rPr>
              <w:t>Davis Polk &amp; Wardwell LLP</w:t>
            </w:r>
            <w:r>
              <w:rPr/>
              <w:t xml:space="preserve"> </w:t>
              <w:br/>
            </w:r>
            <w:r>
              <w:rPr>
                <w:spacing w:val="-4"/>
              </w:rPr>
              <w:t>1600 El Camino Real</w:t>
            </w:r>
            <w:r>
              <w:rPr/>
              <w:t xml:space="preserve"> </w:t>
              <w:br/>
            </w:r>
            <w:r>
              <w:rPr>
                <w:spacing w:val="-4"/>
              </w:rPr>
              <w:t>Menlo Park, CA 94025</w:t>
            </w:r>
            <w:r>
              <w:rPr/>
              <w:t xml:space="preserve"> </w:t>
              <w:br/>
            </w:r>
            <w:r>
              <w:rPr>
                <w:spacing w:val="-4"/>
              </w:rPr>
              <w:t>(650) 752-2000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From time to time after this Registration Statement becomes effective.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5628" w:type="dxa"/>
        <w:jc w:val="left"/>
        <w:tblInd w:w="540" w:type="dxa"/>
        <w:tblLayout w:type="fixed"/>
        <w:tblCellMar>
          <w:top w:w="0" w:type="dxa"/>
          <w:left w:w="0" w:type="dxa"/>
          <w:bottom w:w="0" w:type="dxa"/>
          <w:right w:w="0" w:type="dxa"/>
        </w:tblCellMar>
      </w:tblPr>
      <w:tblGrid>
        <w:gridCol w:w="124"/>
        <w:gridCol w:w="235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356" w:type="dxa"/>
            <w:tcBorders/>
            <w:vAlign w:val="center"/>
          </w:tcPr>
          <w:p>
            <w:pPr>
              <w:pStyle w:val="TableContents"/>
              <w:bidi w:val="0"/>
              <w:spacing w:lineRule="atLeast" w:line="180" w:before="0" w:after="0"/>
              <w:ind w:left="198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2573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573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56" w:type="dxa"/>
            <w:tcBorders/>
            <w:vAlign w:val="center"/>
          </w:tcPr>
          <w:p>
            <w:pPr>
              <w:pStyle w:val="TableContents"/>
              <w:bidi w:val="0"/>
              <w:spacing w:lineRule="atLeast" w:line="180" w:before="0" w:after="0"/>
              <w:ind w:left="198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2573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573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5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2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Times New Roman;Times;serif" w:hAnsi="Times New Roman;Times;serif"/>
          <w:b w:val="false"/>
          <w:i w:val="false"/>
          <w:caps w:val="false"/>
          <w:smallCaps w:val="false"/>
          <w:color w:val="000000"/>
          <w:sz w:val="18"/>
        </w:rPr>
        <w:t xml:space="preserve"> </w:t>
      </w:r>
    </w:p>
    <w:p>
      <w:pPr>
        <w:pStyle w:val="TextBody"/>
        <w:bidi w:val="0"/>
        <w:spacing w:before="9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NOVEMBER 7, 2023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933825" cy="2571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33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265,693,703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solely to the resale from time to time by the Selling Stockholder named in this prospectus (the “Selling Stockholder”), or their permitted transferees, of 265,693,703 shares of common stock issued to Ayar Third Investment Company (“Ayar”) on June 22, 2023 pursuant to the Subscription Agreement, dated as of May 31, 2023 between the Company and Ayar (the “Subscription Agreement”).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registration of the shares of common stock covered by this prospectus does not mean that the Selling Stockholder will offer or sell, as applicable, any of the shares of common stock. The Selling Stockholder may offer and sell the shares of common stock covered by this prospectus in a number of different ways and at varying prices. The shares of common stock may be sold directly to you, through agents, or through underwriters and dealers. If agents, underwriters or dealers are used to sell the shares of common stock, we will name them in a prospectus supplement. We provide more information about how the Selling Stockholder may sell the shares of common stock in the section entitled “Plan of Distribution.”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Investment Fund, the sovereign wealth fund of Saudi Arabia (“PIF”), both directly and indirectly through Ayar, owned approximately 60.0% of our outstanding common stock as of September 30, 2023. As a result, we are a “controlled company” within the meaning of Nasdaq rules and, as a result, qualify for exemptions from certain corporate governance requirements. Ayar also currently has the ability to nominate five of the nine directors to our Board (as defined below).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shares of common stock by the Selling Stockholder pursuant to this prospectus. However, we will pay certain expenses associated with the sale of shares of common stock pursuant to this prospectus, as described in the section titled “Plan of Distribution.”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LLC under the symbol “LCID.” On November 6, 2023, the closing price of our common stock was $4.32 per share. </w:t>
      </w:r>
    </w:p>
    <w:p>
      <w:pPr>
        <w:pStyle w:val="TextBody"/>
        <w:bidi w:val="0"/>
        <w:spacing w:lineRule="atLeast" w:line="23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these shares of common stock involves certain risks. You should review carefully the risks and uncertainties described under the heading “Risk Factors” beginning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and in our Quarterly Report on Form 10-Q for the quarter ended September 30, 2023, which is incorporated herein by reference, as amended or supplemented from time to time by any risk factors we include in subsequent Annual or Quarterly Reports on Form 10-K or 10-Q, respectively, and incorporated herein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(the “SEC”) nor any state securities commission has approved or disapproved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3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prospectus is            , 2023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944" w:type="dxa"/>
        <w:jc w:val="left"/>
        <w:tblInd w:w="1393" w:type="dxa"/>
        <w:tblLayout w:type="fixed"/>
        <w:tblCellMar>
          <w:top w:w="0" w:type="dxa"/>
          <w:left w:w="0" w:type="dxa"/>
          <w:bottom w:w="28" w:type="dxa"/>
          <w:right w:w="0" w:type="dxa"/>
        </w:tblCellMar>
      </w:tblPr>
      <w:tblGrid>
        <w:gridCol w:w="5835"/>
        <w:gridCol w:w="109"/>
        <w:gridCol w:w="109"/>
        <w:gridCol w:w="109"/>
        <w:gridCol w:w="109"/>
        <w:gridCol w:w="410"/>
        <w:gridCol w:w="109"/>
        <w:gridCol w:w="154"/>
      </w:tblGrid>
      <w:tr>
        <w:trPr/>
        <w:tc>
          <w:tcPr>
            <w:tcW w:w="58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pPr>
            <w:r>
              <w:rPr>
                <w:caps/>
                <w:spacing w:val="-3"/>
              </w:rPr>
              <w:t>P</w:t>
            </w:r>
            <w:r>
              <w:rPr>
                <w:caps/>
                <w:spacing w:val="-3"/>
                <w:sz w:val="12"/>
              </w:rPr>
              <w:t>age</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35"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iii</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FUT">
              <w:r>
                <w:rPr>
                  <w:rStyle w:val="InternetLink"/>
                  <w:spacing w:val="4"/>
                </w:rPr>
                <w:t xml:space="preserve">Frequently Used Terms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FUT">
              <w:r>
                <w:rPr>
                  <w:rStyle w:val="InternetLink"/>
                  <w:spacing w:val="4"/>
                </w:rPr>
                <w:t>iv</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35"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NRF">
              <w:r>
                <w:rPr>
                  <w:rStyle w:val="InternetLink"/>
                  <w:spacing w:val="4"/>
                </w:rPr>
                <w:t>vi</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UM">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35"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35"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CS">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35" w:type="dxa"/>
            <w:tcBorders/>
            <w:tcMar>
              <w:bottom w:w="0" w:type="dxa"/>
            </w:tcMar>
            <w:vAlign w:val="center"/>
          </w:tcPr>
          <w:p>
            <w:pPr>
              <w:pStyle w:val="TableContents"/>
              <w:bidi w:val="0"/>
              <w:spacing w:before="0" w:after="0"/>
              <w:jc w:val="left"/>
              <w:rPr/>
            </w:pPr>
            <w:hyperlink w:anchor="tSEST">
              <w:r>
                <w:rPr>
                  <w:rStyle w:val="InternetLink"/>
                  <w:spacing w:val="4"/>
                </w:rPr>
                <w:t xml:space="preserve">Selling Stockholder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EST">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MUSF">
              <w:r>
                <w:rPr>
                  <w:rStyle w:val="InternetLink"/>
                  <w:spacing w:val="4"/>
                </w:rPr>
                <w:t xml:space="preserve">Material United States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MUSF">
              <w:r>
                <w:rPr>
                  <w:rStyle w:val="InternetLink"/>
                  <w:spacing w:val="4"/>
                </w:rPr>
                <w:t>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35"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35"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using a “shelf” registration process. Under this shelf registration process, the Selling Stockholder may, from time to time, offer and sell, as applicable, the shares of common stock described in this prospectus in one or more offerings. Each time the Selling Stockholder named in this prospectus (or in any supplement to this prospectus) sells shares of our common stock under the registration statement of which this prospectus is a part, such Selling Stockholder must provide a copy of this prospectus and any applicable prospectus supplement to a potential purchaser, as required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Stockholder have authorized anyone to provide any information or to make any representations other than those contained in this prospectus, or any accompanying prospectus supplement we have prepared. We and the Selling Stockholder take no responsibility for, and can provide no assurance as to the reliability of, any other information that others may give you. This prospectus is not an offer to sell shares of common stock, and it is not soliciting an offer to buy shares of common stock,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FAQ: About This Form S-3</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What is a Form S-3 registration statement?</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S-3 is a simplified and abbreviated form for registering securities with the SEC.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Why is Lucid filing a new Form S-3?</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Ayar purchased 265,693,703 shares of our common stock from us in a private placement for aggregate gross proceeds to Lucid of $1.8 billion. As part of the private placement, we agreed to register such shares within six months of the closing of the private placement.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Lucid is not offering or selling any new securities under this registration statement. This registration statement is being filed to register the 265,693,703 shares of common stock purchased by Ayar, as described above.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Is Lucid offering and selling any new securities?</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Lucid is not offering or selling any new securities under this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WYC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year ended December 31, 2022, filed with the SEC on </w:t>
      </w:r>
      <w:hyperlink r:id="rId3">
        <w:r>
          <w:rPr>
            <w:rStyle w:val="InternetLink"/>
          </w:rPr>
          <w:t>February 28,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Form 10-Q for the quarter ended March 31, 2023, June 30, 2023, and September 30, 2023, filed with the SEC on </w:t>
      </w:r>
      <w:hyperlink r:id="rId4">
        <w:r>
          <w:rPr>
            <w:rStyle w:val="InternetLink"/>
          </w:rPr>
          <w:t>May 8, 2023</w:t>
        </w:r>
      </w:hyperlink>
      <w:r>
        <w:rPr>
          <w:rFonts w:ascii="Times New Roman;Times;serif" w:hAnsi="Times New Roman;Times;serif"/>
          <w:b w:val="false"/>
          <w:i w:val="false"/>
          <w:caps w:val="false"/>
          <w:smallCaps w:val="false"/>
          <w:color w:val="000000"/>
          <w:spacing w:val="4"/>
          <w:sz w:val="20"/>
        </w:rPr>
        <w:t xml:space="preserve">, </w:t>
      </w:r>
      <w:hyperlink r:id="rId5">
        <w:r>
          <w:rPr>
            <w:rStyle w:val="InternetLink"/>
          </w:rPr>
          <w:t>August 7, 2023</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November 7, 2023</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 our Annual Report on Form 10-K for the fiscal year ended December 31, 2022 from our Definitive Proxy Statement on Schedule 14A filed with the SEC on </w:t>
      </w:r>
      <w:hyperlink r:id="rId7">
        <w:r>
          <w:rPr>
            <w:rStyle w:val="InternetLink"/>
          </w:rPr>
          <w:t>March 13,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8">
        <w:r>
          <w:rPr>
            <w:rStyle w:val="InternetLink"/>
          </w:rPr>
          <w:t>January 27, 2023</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1, 2023</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February 6, 2023</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February 22, 2023</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March 3, 2023</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March 28, 2023</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April 25, 2023</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May 2, 2023</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May 31, 2023</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June 5, 2023</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June 26, 2023</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August 7, 2023</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September 14, 2023</w:t>
        </w:r>
      </w:hyperlink>
      <w:r>
        <w:rPr>
          <w:rFonts w:ascii="Times New Roman;Times;serif" w:hAnsi="Times New Roman;Times;serif"/>
          <w:b w:val="false"/>
          <w:i w:val="false"/>
          <w:caps w:val="false"/>
          <w:smallCaps w:val="false"/>
          <w:color w:val="000000"/>
          <w:spacing w:val="4"/>
          <w:sz w:val="20"/>
        </w:rPr>
        <w:t xml:space="preserve">, and </w:t>
      </w:r>
      <w:hyperlink r:id="rId21">
        <w:r>
          <w:rPr>
            <w:rStyle w:val="InternetLink"/>
          </w:rPr>
          <w:t>November 7, 2023</w:t>
        </w:r>
      </w:hyperlink>
      <w:r>
        <w:rPr>
          <w:rFonts w:ascii="Times New Roman;Times;serif" w:hAnsi="Times New Roman;Times;serif"/>
          <w:b w:val="false"/>
          <w:i w:val="false"/>
          <w:caps w:val="false"/>
          <w:smallCaps w:val="false"/>
          <w:color w:val="000000"/>
          <w:spacing w:val="4"/>
          <w:sz w:val="20"/>
        </w:rPr>
        <w:t xml:space="preserve">, in each case other than any portions thereof deemed furnished and not filed.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securities contained in our Registration Statement on Form 8-A (File No. 001-39408), filed with the SEC on </w:t>
      </w:r>
      <w:hyperlink r:id="rId22">
        <w:r>
          <w:rPr>
            <w:rStyle w:val="InternetLink"/>
          </w:rPr>
          <w:t>July 23, 2021</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 of updating such description.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Exhibits to these documents will not be sent, however, unless those exhibits have been specifically incorporated by reference into this prospectus. The information contained on, or that may be accessed through, our website is not part of, and is not incorporated into, this prospectus or the registration statement of which it forms a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FU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prospectus or the context otherwise requires, references to: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Ayar” are to Ayar Third Investment Company, an affiliate of PIF;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or “Board of Directors” are to the board of directors of Lucid Group Inc., a Delaware corporation;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Churchill” or “CCIV” are to Churchill Capital Corp IV, a Delaware corporation and our predecessor company prior to the consummation of the Transactions, which changed its name to Lucid Group, Inc. following the consummation of the Transactions, and its consolidated subsidiaries;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current bylaws” are to the Company’s Second Amended and Restated Bylaws in effect as of the date of this prospectus;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current certificate of incorporation” are to the Company’s Third Amended and Restated Certificate of Incorporation in effect as of the date of this prospectus;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DGCL” are to the Delaware General Corporation Law, as amended;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 are to electric vehicle;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are to the Securities Exchange Act of 1934, as amended;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Investor Rights Agreement” are to the Investor Rights Agreement, dated as of February 22, 2021 and as may be amended from time to time, by and among the Company, the Sponsor, Ayar and certain other parties thereto;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Lucid Group” are to Lucid Group, Inc., a Delaware corporation, and its consolidated subsidiaries; “Lucid Options” are to all issued and outstanding options of the Company to purchase shares of common stock immediately following the closing of the Merger;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are to the merger of Merger Sub and Legacy Lucid, with Legacy Lucid surviving such merger as a wholly owned subsidiary of Churchill;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Nasdaq” are to The Nasdaq Stock Market LLC;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PIF” are to the Public Investment Fund, the sovereign wealth fund of Saudi Arabia;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 are to the United States Securities and Exchange Commission; “Securities Act” are to the Securities Act of 1933, as amended;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Selling Stockholder” is to the Selling Stockholder named herein;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 are to Churchill Sponsor IV LLC, a Delaware limited liability company and an affiliate of M. Klein and Company, LLC in which certain of Churchill’s directors and officers hold membership interests;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Subscription Agreement” are to the Subscription Agreement, dated May 31, 2023, between the Company and Ayar, pursuant to which Ayar agreed to purchase from the Company shares of the Company’s common stock in a private placement, and pursuant to which in June 2023, the Company issued 265,693,703 shares to Ayar;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are to the Merger, together with the other transactions contemplated by the Merger Agreement and the related agreements;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into this prospectus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changes in overall demand for our products and services and cancellation of reservations and orders for our vehicles;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prices and availability of commodities, our supply chain, logistics, inventory management and quality control, and our ability to complete the tooling of our manufacturing facilities over time and scale production of the Lucid Air and other vehicles;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uncertainty of our projected financial information;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timing of expected business milestones and commercial product launches;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expansion of our manufacturing facility, the construction of new manufacturing facilities and the increase of our production capacity;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expenses and control costs;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future market adoption of our offerings;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the pace and depth of electric vehicle adoption generally on our business;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regulatory requirements, governmental incentives and fuel and energy prices;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rapidly innovate;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or maintain partnerships with original equipment manufacturers, vendors and technology providers, including our ability to realize the anticipated benefits of our transaction with Aston Martin;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growth and recruit and retain key employees, including our chief executive officer and executive team;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vehicle recalls;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and expand our brand, and capture additional market share, and the risks associated with negative press or reputational harm; </w:t>
      </w:r>
      <w:r>
        <mc:AlternateContent>
          <mc:Choice Requires="wps">
            <w:drawing>
              <wp:anchor behindDoc="0" distT="0" distB="0" distL="254000" distR="0" simplePos="0" locked="0" layoutInCell="1" allowOverlap="1" relativeHeight="31">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utilize zero emission vehicle credits and obtain and utilize certain tax and other incentives;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issue equity or equity-linked securities in the future;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pay interest and principal on our indebtedness;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changes to vehicle specifications which may impact performance, pricing, and other expectations;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potential litigation, government and regulatory proceedings, investigations and inquiries;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global COVID-19 pandemic on our supply chain, projected results of operations, financial performance or other financial metrics, or on any of the foregoing risks;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this prospectus or our other filings with the SEC, including any accompanying prospectus supplement.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Mission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Lucid’s mission is to inspire the adoption of sustainable energy by creating advanced technologies and the most captivating luxury electric vehicles, centered around the human experience.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Lucid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 is a technology and automotive company that is setting new standards with its advanced luxury electric vehicles, beginning with the Lucid Air.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 sheet” approach to engineering and design have led to the development of the award-winning Lucid Air.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Lucid Air is a luxury electric sedan that redefines both the luxury car segment and the electric vehicle space, with game-changing EPA-estimated range of up to 516 miles on a single charge (depending on vehicle configuration). This range is enabled by an efficient, powerful powertrain that Lucid developed and builds in-house through vertically integrated manufacturing capacity. EPA estimated ranges are provided for vehicles equipped with 19-inch wheels, and actual range will vary dependent on many factors including battery age, driving habits, charging habits, temperatures, accessory use, and other factors. The miniaturization of drivetrain components also enables the Lucid Air’s Space Concept vehicle design and layout, delivering a spacious interior and ample cargo space despite a smaller exterior footprint. The highly aerodynamic design of the Lucid Air provides longer range, driving faster miles-per-minute charging and the ability to provide equivalent range with a smaller, lower-cost battery pack.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and completed the semi knocked-down (“SKD”) portion of AMP-2 in September 2023. We anticipate AMP-2 will have a manufacturing capacity of 155,000 units per year upon completion.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began delivering the Lucid Air to customers in October 2021, and have now grown the Lucid Air model line to multiple trim and powertrain variants spanning a range of price points. The Lucid Air Sapphire, our highest performance Air, was announced in August 2022 and we began delivering to customers in October 2023. We expect to launch additional vehicles over the coming decade. We have already commenced design and engineering work for the Lucid Gravity, a luxury sports utility vehicle (“SUV”) that is expected to leverage and advance the technological innovations from the Lucid Air. After the Lucid Air and the Lucid Gravity SUV, we plan to leverage and expand our technological and manufacturing advancements to develop and manufacture vehicles in progressively higher-volume segments.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Lucid Group, Inc. is a Delaware corporation. Our principal executive offices are located at 7373 Gateway Blvd. Newark, CA 94560 and our telephone number at that address is (510) 648-3553. Our website is located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Controlled Company Exemption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September 30, 2023, PIF, both directly and indirectly through Ayar, owned approximately 60.0%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securities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most recent Annual Report on Form 10-K and Quarterly Report on Form 10-Q filed with the SEC and any subsequent Annual Report on Form 10-K, Quarterly Reports on Form 10-Q and Current Reports on Form 8-K that we file with the SEC after the date of this prospectus, as well as the other information contained or incorporated by reference in this prospectus, and any applicable prospectus supplement, in light of your particular investment objectives and financial circumstances. The occurrence of one or more of the events or circumstances described in such risk factors, alone or in combination with other events or circumstances, may have an adverse effect on our business, cash flows, financial condition and results of operations. We may face additional risks and uncertainties that are not presently known to us that we currently deem immaterial, which may also impair our business or financial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shares of common stock offered by the Selling Stockholder pursuant to this prospectus will be sold by the Selling Stockholder for their respective accounts. We will not receive any of the proceeds from these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C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summary of the rights and preferences of and is qualified in its entirety by, our current certificate of incorporation and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and Outstanding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2023, there were (i) 2,289,276,510 shares of our common stock outstanding and (ii) no shares of preferred stock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Power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Dissolution and Winding Up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Preemptive or Other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common stock do not have preemptive or other subscription rights and there is no sinking fund or redemption provisions applicable to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Stockholder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Our Current Certificate of Incorporation, Our Current Bylaws and Certain Provisions of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Board approved either the business combination or the transaction that resulted in the stockholder becoming an interested stockholder;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voting stock outstanding at the time the transaction commenced, excluding certain shares; or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subsequent to that time, the business combination is approved by our Board and by the affirmative vote of holders of at least two-thirds of the votes of our outstanding voting stock that is not owned by the interested stockholder.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Director Nominations and Stockholder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Dissenters’ Rights of Appraisal and Payment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Derivative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Exclusive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Liability and Indemnification of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certificate of incorporation provides that we must indemnify and advance expenses to our directors and officers to the full extent authorized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these provisions, the insurance and the indemnity agreements are necessary to attract and retain talented and experienced officers and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Transfer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our common stock is Equiniti Trust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by the Selling Stockholder or their permitted transferees of 265,693,703 shares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of the proceeds from the sale of the securities by the Selling Stockholder. The aggregate proceeds to the Selling Stockholder will be the purchase price of the securities less any discounts and commissions borne by the Selling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will pay any underwriting discounts and commissions and expenses incurred by the Selling Stockholder for brokerage, accounting, tax or legal services or any other expenses incurred by the Selling Stockholder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beneficially owned by the Selling Stockholder covered by this prospectus may be offered and sold from time to time by the Selling Stockholder in one or more offerings. The term “Selling Stockholder” includes their permitted transferees who later come to hold any of the Selling Stockholder’s interest in the common stock in accordance with the terms of the agreement(s) governing the registration rights applicable to such Selling Stockholder’s shares of common stock. The Selling Stockholder will act independently of us in making decisions with respect to the timing, manner and size of each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sales may be made on one or more exchanges or in the over-the-counter market or otherwise, at prices and under terms then prevailing or at prices related to the then current market price or in negotiated transactions. The Selling Stockholder reserves the right to accept and, together with our and its respective agents, to reject, any proposed purchase of securities to be made directly or through agents. The Selling Stockholder and any of its permitted transferees may sell the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limitations set forth in any applicable registration rights agreement, the Selling Stockholder may use any one or more of the following methods when selling the securities offered by this prospectus: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so engaged will attempt to sell the securities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distribution in accordance with the rules of the Nasdaq;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underwritten offerings on a firm commitment or best efforts basis;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entered into after the date of this prospectus;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with broker-dealers to sell a specified number of the securities at a stipulated price per share;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as defined in Rule 415 under the Securities Act, at negotiated prices;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prevailing at the time of sale or at prices related to such prevailing market prices, including sales made directly on a national securities exchange or sales made through a market maker other than on an exchange or other similar offerings through sales agents;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through a specific bidding, auction or other process or in privately negotiated transactions;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to employees, members, limited partners or securityholders of the Selling Stockholder;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pledge to secure debts and other obligations;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delayed delivery requirements;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above methods of sale; or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the Selling Stockholder will sell all or any of the securities offered by this prospectus. In addition, the Selling Stockholder may also sell securities under Rule 144 under the Securities Act, if available, or in other transactions exempt from registration, rather than under this prospectus. The Selling Stockholder, as applicable, has the sole and absolute discretion not to accept any purchase offer or make any sale of securities if we or they deem the purchase price to be unsatisfactory at any particular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successor-in-interest intends to sell our securities, we will, to the extent required, promptly file a supplement to this prospectus to name specifically such person as a Selling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 particular offering of the securities by us or of securities held by the Selling Stockholder,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securities to be offered and sold;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Selling Stockholder;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respective purchase prices and public offering prices, the proceeds to be received from the sale, if any, and other material terms of the offering;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entered into after the date of this prospectus;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participating agents, broker-dealers or underwriters;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commissions, discounts, concessions and other items constituting compensation from the Selling Stockholder.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distributions of the securities or otherwise, the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Stockholder. The Selling Stockholder may also sell the securities short and redeliver the securities to close out such short positions. The Selling Stockholder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or agents, as the case may be, involved in the offering of such securities may engage in transactions that stabilize, maintain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 “LCID.”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Stockholder will pay for solicitation of these contracts.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The third party in such sale transactions will be an underwriter and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of any offering made under this prospectus a member of FINRA participating in the offering has a “conflict of interest” as defined in FINRA Rule 5121 (“Rule 5121”), that offering will be conducted in accordance with the relevant provisions of Rule 5121.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knowledge, there are currently no plans, arrangements or understandings between the Selling Stockholder and any broker-dealer or agent regarding the sale of the securities by the Selling Stockholder. Upon our notification by a Selling Stockholder that any material arrangement has been entered into with an underwriter or broker-dealer for the sale of securities through a block trade, special offering,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offering the securities covered by this prospectus the Selling Stockholder and any underwriters, broker-dealers or agents who execute sales for the Selling Stockholder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broker-dealers and agents may engage in transactions with the Selling Stockholder or perform services for the Selling Stockholder,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Stockholder or any other person, which limitations may affect the marketability of the shares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copies of this prospectus available to the Selling Stockholder for the purpose of satisfying the prospectus delivery requirements of the Securities Act. The Selling Stockholder may indemnify any agent, broker-dealer or underwriter that participates in transactions involving the sale of the securities against certain liabilities, including liabilities arising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Selling Stockholder against certain liabilities, including certain liabilities under the Securities Act, the Exchange Act or other federal or state law. Agents, broker-dealers and underwriters may be entitled to indemnification by us and the Selling Stockholder against certain civil liabilities, including liabilities under the Securities Act, or to contribution with respect to payments which the agents, broker-dealers or underwriters may be required to make in respect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Lock-up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Subscription Agreement and subject to certain exceptions, Ayar is restricted from selling or transferring common stock held by it until December 22,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following certain underwritten offerings of our equity securities, parties to the Investor Rights Agreement will also agree to a customary market stand-off period not to exceed 90 days.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EST"/>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solely to the resale from time to time by the Selling Stockholder, or their permitted transferees, of 265,693,703 shares of common stock issued to Ayar pursuant to the Subscription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registration of the shares of common stock covered by this prospectus does not mean that the Selling Stockholder will offer or sell, as applicable, any of the shares of common stock. The Selling Stockholder may offer and sell the shares of common stock covered by this prospectus in a number of different ways and at varying prices. The shares of common stock may be sold directly to you, through agents, or through underwriters and dealers. If agents, underwriters or dealers are used to sell the shares of common stock, we will name them in a prospectus supplement. We provide more information about how the Selling Stockholder may sell the shares of common stock in the section entitled “Plan of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based on filings with the SEC, the name of the Selling Stockholder, the aggregate number of shares of common stock beneficially owned, the aggregate number of shares of common stock that the Selling Stockholder may offer pursuant to this prospectus and the number of shares of common stock beneficially owned by the Selling Stockholder after the sale of the shares of common stock offered hereby. The Selling Stockholder may have sold, transferred or otherwise disposed of some or all of their shares of common stock, or may have purchased additional freely-tradeable shares of common stock since providing us with this information. We have based percentage ownership on 2,289,276,510 shares of common stock outstanding as of September 30, 2023 and ownership information available as of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shares of common stock that they beneficially own, subject to community property laws where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Stockholder will in fact sell any or all of such common stock. In addition, the Selling Stockholder may sell, transfer or otherwise dispose of, at any time and from time to time, common stock in transactions exempt from the registration requirements of the Securities Act after the date of this prospectus. For purposes of this table, we have assumed that the Selling Stockholder will have sold all of the shares of common stock covered by this prospectus upon the completion of the offering and no other purchases or sales of our shares of common stock by the Selling Stockholder will have occurred. </w:t>
      </w:r>
    </w:p>
    <w:tbl>
      <w:tblPr>
        <w:tblW w:w="8812" w:type="dxa"/>
        <w:jc w:val="left"/>
        <w:tblInd w:w="1393" w:type="dxa"/>
        <w:tblLayout w:type="fixed"/>
        <w:tblCellMar>
          <w:top w:w="0" w:type="dxa"/>
          <w:left w:w="0" w:type="dxa"/>
          <w:bottom w:w="43" w:type="dxa"/>
          <w:right w:w="0" w:type="dxa"/>
        </w:tblCellMar>
      </w:tblPr>
      <w:tblGrid>
        <w:gridCol w:w="1523"/>
        <w:gridCol w:w="109"/>
        <w:gridCol w:w="109"/>
        <w:gridCol w:w="109"/>
        <w:gridCol w:w="109"/>
        <w:gridCol w:w="1486"/>
        <w:gridCol w:w="109"/>
        <w:gridCol w:w="109"/>
        <w:gridCol w:w="109"/>
        <w:gridCol w:w="109"/>
        <w:gridCol w:w="109"/>
        <w:gridCol w:w="1306"/>
        <w:gridCol w:w="109"/>
        <w:gridCol w:w="109"/>
        <w:gridCol w:w="109"/>
        <w:gridCol w:w="109"/>
        <w:gridCol w:w="109"/>
        <w:gridCol w:w="1486"/>
        <w:gridCol w:w="109"/>
        <w:gridCol w:w="109"/>
        <w:gridCol w:w="109"/>
        <w:gridCol w:w="109"/>
        <w:gridCol w:w="109"/>
        <w:gridCol w:w="676"/>
        <w:gridCol w:w="109"/>
        <w:gridCol w:w="155"/>
      </w:tblGrid>
      <w:tr>
        <w:trPr/>
        <w:tc>
          <w:tcPr>
            <w:tcW w:w="1523"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of Selling Stockholder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813"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 xml:space="preserve">Shares of </w:t>
            </w:r>
            <w:r>
              <w:rPr/>
              <w:br/>
            </w:r>
            <w:r>
              <w:rPr>
                <w:spacing w:val="-3"/>
              </w:rPr>
              <w:t xml:space="preserve">Common Stock </w:t>
            </w:r>
            <w:r>
              <w:rPr/>
              <w:br/>
            </w:r>
            <w:r>
              <w:rPr>
                <w:spacing w:val="-3"/>
              </w:rPr>
              <w:t xml:space="preserve">Beneficially </w:t>
            </w:r>
            <w:r>
              <w:rPr/>
              <w:br/>
            </w:r>
            <w:r>
              <w:rPr>
                <w:spacing w:val="-3"/>
              </w:rPr>
              <w:t xml:space="preserve">Owned Prior </w:t>
            </w:r>
            <w:r>
              <w:rPr/>
              <w:br/>
            </w:r>
            <w:r>
              <w:rPr>
                <w:spacing w:val="-3"/>
              </w:rPr>
              <w:t xml:space="preserve">to Offering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33"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 xml:space="preserve">Number of </w:t>
            </w:r>
            <w:r>
              <w:rPr/>
              <w:br/>
            </w:r>
            <w:r>
              <w:rPr>
                <w:spacing w:val="-3"/>
              </w:rPr>
              <w:t xml:space="preserve">Shares of </w:t>
            </w:r>
            <w:r>
              <w:rPr/>
              <w:br/>
            </w:r>
            <w:r>
              <w:rPr>
                <w:spacing w:val="-3"/>
              </w:rPr>
              <w:t xml:space="preserve">Common Stock </w:t>
            </w:r>
            <w:r>
              <w:rPr/>
              <w:br/>
            </w:r>
            <w:r>
              <w:rPr>
                <w:spacing w:val="-3"/>
              </w:rPr>
              <w:t xml:space="preserve">Being Offered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34" w:type="dxa"/>
            <w:gridSpan w:val="10"/>
            <w:tcBorders>
              <w:bottom w:val="single" w:sz="2" w:space="0" w:color="000000"/>
            </w:tcBorders>
            <w:vAlign w:val="center"/>
          </w:tcPr>
          <w:p>
            <w:pPr>
              <w:pStyle w:val="TableContents"/>
              <w:bidi w:val="0"/>
              <w:spacing w:before="0" w:after="0"/>
              <w:jc w:val="center"/>
              <w:rPr/>
            </w:pPr>
            <w:r>
              <w:rPr>
                <w:spacing w:val="-3"/>
              </w:rPr>
              <w:t xml:space="preserve">Shares of Common Stock </w:t>
            </w:r>
            <w:r>
              <w:rPr/>
              <w:br/>
            </w:r>
            <w:r>
              <w:rPr>
                <w:spacing w:val="-3"/>
              </w:rPr>
              <w:t xml:space="preserve">Beneficially Owned After the </w:t>
            </w:r>
            <w:r>
              <w:rPr/>
              <w:br/>
            </w:r>
            <w:r>
              <w:rPr>
                <w:spacing w:val="-3"/>
              </w:rPr>
              <w:t xml:space="preserve">Offered Shares of Common </w:t>
            </w:r>
            <w:r>
              <w:rPr/>
              <w:br/>
            </w:r>
            <w:r>
              <w:rPr>
                <w:spacing w:val="-3"/>
              </w:rPr>
              <w:t xml:space="preserve">Stock Are Sold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8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3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3" w:type="dxa"/>
            <w:tcBorders/>
            <w:shd w:fill="CCEEFF" w:val="clear"/>
            <w:tcMar>
              <w:bottom w:w="0" w:type="dxa"/>
            </w:tcMar>
            <w:vAlign w:val="center"/>
          </w:tcPr>
          <w:p>
            <w:pPr>
              <w:pStyle w:val="TableContents"/>
              <w:bidi w:val="0"/>
              <w:spacing w:before="0" w:after="0"/>
              <w:jc w:val="left"/>
              <w:rPr/>
            </w:pPr>
            <w:r>
              <w:rPr>
                <w:spacing w:val="4"/>
              </w:rPr>
              <w:t>The Public Investment Fund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1,374,700,298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265,693,703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1,109,006,595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48.44%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13D/A filed with the SEC on June 26, 2023 by PIF. According to the Schedule 13D/A and information provided by PIF, PIF has sole voting power over 8,041,393 shares of common stock held directly by PIF, shared voting power over 1,366,658,905 shares of common stock held by Ayar and sole dispositive power over 1,374,700,298 shares of common stock held either by PIF or Ayar. Ayar is a wholly owned subsidiary of PIF. The Board of Directors of PIF has dispositive power over the shares held by PIF and Ayar. The Board of Directors of PIF, and, as managers of Ayar, each of Turqi Alnowaiser and Yasir Alsalman, has shared voting power over the shares held by Ayar. Neither Mr. Alnowaiser nor Mr. Alsalman has any pecuniary interest in the shares held by Ayar and each of Mr. Alnowaiser and Mr. Alsalman disclaims beneficial ownership of the shares held by Ayar. Shares offered by Ayar hereby include 265,693,703 shares issued to Ayar pursuant to the Subscription Agreement. The business address for PIF is The Public Investment Fund Tower, King Abdullah Financial District (KAFD), 1.16 Al Aqiq District, Riyadh, TO 13519, The Kingdom of Saudi Arabia.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MUS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certain material U.S. federal income and estate tax consequences of the ownership and disposition of our common stock, which we refer to as our securities. This discussion applies only to securities that are purchased from the Selling Stockholder pursuant to this prospectus, and to securities that are held as capital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a summary only and does not describe all of the tax consequences that may be relevant to you in light of your particular circumstances, including but not limited to U.S. federal estate and gift tax, alternative minimum tax or Medicare contribution tax considerations or any tax consequences arising under the laws of any state, local or non-U.S. jurisdiction. Further, this discussion does not apply to you if you are a beneficial owner of securities subject to special rules,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sponsor, founders, officers or directors;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securities, commodities or foreign currencies;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apply a mark-to-market method of tax accounting;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are required to recognize income or gain no later than such income or gain is required to be reported on an applicable financial statement under Section 451(b) of the Internal Revenue Code of 1986, as amended (the “Code”);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and certain other financial institutions;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mutual funds;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actually or constructively own five percent (5%) or more (by vote or value) of our common stock;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or other pass-through entities or investors therein;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citizens or residents of the United States;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our securities as part of a hedge, straddle, constructive sale or conversion transaction or other integrated investment; or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our common stock pursuant to the exercise of employee stock options, through a tax qualified retirement plan or otherwise as compensation.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pass-through entity (including an entity or arrangement treated as a partnership or other type of pass-through entity for U.S. federal income tax purposes) owns our securities,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securities should consult their own tax advisors as to the particular U.S. federal income and estate tax consequences applicable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We have not sought, and will not seek, a ruling from the Internal Revenue Service (the “IRS”) as to any U.S. federal income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Prospective holders are urged to consult their tax advisors with respect to the particular tax consequences to them of owning and disposing of our securities, including the consequences under the laws of any state, local or non-U.S.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applies to you if you are a U.S. Holder. You are a U.S. Holder if for U.S. federal income tax purposes you are a beneficial owner our securities who or that is: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6985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in or under the laws of the United States, any state thereof or the District of Columbia; or </w:t>
      </w:r>
      <w:r>
        <mc:AlternateContent>
          <mc:Choice Requires="wps">
            <w:drawing>
              <wp:anchor behindDoc="0" distT="5715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or trust the income of which is subject to U.S. federal income taxation regardless of its source. </w:t>
      </w:r>
      <w:r>
        <mc:AlternateContent>
          <mc:Choice Requires="wps">
            <w:drawing>
              <wp:anchor behindDoc="0" distT="5715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on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make a distribution of cash or other property (other than certain pro rata distributions of our common stock) in respect of our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U.S. Holder’s common stock, and to the extent the amount of the distribution exceeds a U.S. Holder’s adjusted tax basis in our common stock, the excess will be treated as gain from the disposition of our common stock (the tax treatment of which is discussed below under “— Tax Consequences to U.S. Holders — Sale, Exchange or Other Taxable Disposition of our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Exchange or Other Taxable Disposition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sales, exchanges or other taxable dispositions of our common stock, a U.S. Holder generally will recognize capital gain or loss equal to the difference between (i) the amount of cash and the fair market value of all other property received upon such disposition and (ii) such U.S. Holder’s adjusted tax basis in its common stock. Such capital gain or loss will be long-term capital gain or loss if the U.S. Holder’s holding period in the common stock is more than one year at the time of the taxable disposition. Long-term capital gains recognized by certain non-corporate U.S. Holders (including individuals) generally are subject to reduced rates of U.S. federal income tax. The deductibility of capital losses is subject to limitations.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generally will apply to payments to a U.S. Holder of dividends on shares of common stock and the proceeds of a sale of common stock,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allowed as a refund or a credit against the U.S. Holder’s U.S. federal income tax liability provided the required information is furnished timely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applies to you if you are a “non-U.S. Holder.” You are a non-U.S. Holder if, for U.S. federal income tax purposes, you are a beneficial owner of our securities who or that is,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non-resident alien individual, other than a former citizen or resident of the U.S. subject to U.S. tax as an expatriate; </w:t>
      </w:r>
      <w:r>
        <mc:AlternateContent>
          <mc:Choice Requires="wps">
            <w:drawing>
              <wp:anchor behindDoc="0" distT="0" distB="0" distL="254000" distR="0" simplePos="0" locked="0" layoutInCell="1" allowOverlap="1" relativeHeight="86">
                <wp:simplePos x="0" y="0"/>
                <wp:positionH relativeFrom="column">
                  <wp:align>left</wp:align>
                </wp:positionH>
                <wp:positionV relativeFrom="line">
                  <wp:posOffset>635</wp:posOffset>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corporation; or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or trust that is not a U.S. Holder.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other than certain pro rata distributions of our common stock made to a non-U.S. Holder,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eligible for a reduced rate of U.S. federal withholding tax pursuant to an income tax treaty may obtain a refund of any excess amounts withheld by timely filing an appropriate claim for refund with the IRS.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Exchange or Other Taxable Disposition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of backup withholding and FATCA withholding tax below, a non-U.S. Holder generally will not be subject to U.S. federal income tax on gain realized on a sale or other disposition of our securities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 “U.S. real property holding corporation” ​(as described below) at any time within the five-year period preceding the disposition or the non-U.S. Holder’s holding period, whichever period is shorter, and certain exceptions do not apply.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depending on the circumstances, backup withholding will apply to the proceeds of a sale or other disposition of our common stock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and the amount of any backup withholding from a payment to a non-U.S. Holder will be allowed as a credit against such non-U.S. Holder’s U.S. federal income tax liability and may entitle such holder to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 Withholding Tax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Sections 1471 through 1474 of the Code (commonly referred to as “FATCA”), payments of dividends on, and the gross proceeds of dispositions of, our securities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If a dividend payment is both subject to withholding under FATCA and subject to the withholding tax discussed above under “— Tax Consequences to Non-U.S. Holders — Taxation of Distributions,” the withholding under FATCA may be credited against, and therefore reduce, such other withholding tax. Non-U.S. holders should consult their tax advisors regarding the possible implications of this withholding tax on their investment in our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any securities offered by this prospectus will be passed upon for us by Davis Polk &amp; Wardwell LLP, Menlo Park, California.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290" w:after="283"/>
        <w:jc w:val="center"/>
        <w:rPr>
          <w:caps w:val="false"/>
          <w:smallCaps w:val="false"/>
          <w:color w:val="000000"/>
        </w:rPr>
      </w:pPr>
      <w:r>
        <w:rPr>
          <w:caps w:val="false"/>
          <w:smallCaps w:val="false"/>
          <w:color w:val="000000"/>
        </w:rPr>
        <w:drawing>
          <wp:inline distT="0" distB="0" distL="0" distR="0">
            <wp:extent cx="3933825" cy="257175"/>
            <wp:effectExtent l="0" t="0" r="0" b="0"/>
            <wp:docPr id="8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 descr=""/>
                    <pic:cNvPicPr>
                      <a:picLocks noChangeAspect="1" noChangeArrowheads="1"/>
                    </pic:cNvPicPr>
                  </pic:nvPicPr>
                  <pic:blipFill>
                    <a:blip r:embed="rId23"/>
                    <a:stretch>
                      <a:fillRect/>
                    </a:stretch>
                  </pic:blipFill>
                  <pic:spPr bwMode="auto">
                    <a:xfrm>
                      <a:off x="0" y="0"/>
                      <a:ext cx="3933825" cy="257175"/>
                    </a:xfrm>
                    <a:prstGeom prst="rect">
                      <a:avLst/>
                    </a:prstGeom>
                  </pic:spPr>
                </pic:pic>
              </a:graphicData>
            </a:graphic>
          </wp:inline>
        </w:drawing>
      </w:r>
      <w:r>
        <w:rPr>
          <w:caps w:val="false"/>
          <w:smallCaps w:val="false"/>
          <w:color w:val="000000"/>
        </w:rPr>
        <w:t xml:space="preserve"> </w:t>
      </w:r>
    </w:p>
    <w:p>
      <w:pPr>
        <w:pStyle w:val="TextBody"/>
        <w:bidi w:val="0"/>
        <w:spacing w:before="68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costs and expenses payable in connection with the offering of the securities being registered, all of which will be paid by the registrant (except any underwriting discounts and commissions and expenses incurred by the Selling Stockholder in disposing of the securities). </w:t>
      </w:r>
    </w:p>
    <w:tbl>
      <w:tblPr>
        <w:tblW w:w="7777" w:type="dxa"/>
        <w:jc w:val="left"/>
        <w:tblInd w:w="1393" w:type="dxa"/>
        <w:tblLayout w:type="fixed"/>
        <w:tblCellMar>
          <w:top w:w="0" w:type="dxa"/>
          <w:left w:w="0" w:type="dxa"/>
          <w:bottom w:w="28" w:type="dxa"/>
          <w:right w:w="0" w:type="dxa"/>
        </w:tblCellMar>
      </w:tblPr>
      <w:tblGrid>
        <w:gridCol w:w="5775"/>
        <w:gridCol w:w="109"/>
        <w:gridCol w:w="109"/>
        <w:gridCol w:w="109"/>
        <w:gridCol w:w="226"/>
        <w:gridCol w:w="1186"/>
        <w:gridCol w:w="109"/>
        <w:gridCol w:w="154"/>
      </w:tblGrid>
      <w:tr>
        <w:trPr/>
        <w:tc>
          <w:tcPr>
            <w:tcW w:w="577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to</w:t>
            </w:r>
            <w:r>
              <w:rPr/>
              <w:t xml:space="preserve"> </w:t>
              <w:br/>
            </w:r>
            <w:r>
              <w:rPr>
                <w:spacing w:val="-3"/>
              </w:rPr>
              <w:t xml:space="preserve">Be Paid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775"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158,826.38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75" w:type="dxa"/>
            <w:tcBorders/>
            <w:tcMar>
              <w:bottom w:w="0" w:type="dxa"/>
            </w:tcMar>
            <w:vAlign w:val="center"/>
          </w:tcPr>
          <w:p>
            <w:pPr>
              <w:pStyle w:val="TableContents"/>
              <w:bidi w:val="0"/>
              <w:spacing w:before="0" w:after="0"/>
              <w:jc w:val="left"/>
              <w:rPr>
                <w:spacing w:val="4"/>
              </w:rPr>
            </w:pPr>
            <w:r>
              <w:rPr>
                <w:spacing w:val="4"/>
              </w:rPr>
              <w:t xml:space="preserve">FINRA filing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75" w:type="dxa"/>
            <w:tcBorders/>
            <w:shd w:fill="CCEEFF" w:val="clear"/>
            <w:tcMar>
              <w:bottom w:w="0" w:type="dxa"/>
            </w:tcM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75" w:type="dxa"/>
            <w:tcBorders/>
            <w:tcMar>
              <w:bottom w:w="0" w:type="dxa"/>
            </w:tcMar>
            <w:vAlign w:val="center"/>
          </w:tcPr>
          <w:p>
            <w:pPr>
              <w:pStyle w:val="TableContents"/>
              <w:bidi w:val="0"/>
              <w:spacing w:before="0" w:after="0"/>
              <w:jc w:val="left"/>
              <w:rPr>
                <w:spacing w:val="4"/>
              </w:rPr>
            </w:pPr>
            <w:r>
              <w:rPr>
                <w:spacing w:val="4"/>
              </w:rPr>
              <w:t xml:space="preserve">Legal fees and expenses (including Blue Sky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75"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75" w:type="dxa"/>
            <w:tcBorders/>
            <w:tcMar>
              <w:bottom w:w="0" w:type="dxa"/>
            </w:tcMar>
            <w:vAlign w:val="center"/>
          </w:tcPr>
          <w:p>
            <w:pPr>
              <w:pStyle w:val="TableContents"/>
              <w:bidi w:val="0"/>
              <w:spacing w:before="0" w:after="0"/>
              <w:jc w:val="left"/>
              <w:rPr>
                <w:spacing w:val="4"/>
              </w:rPr>
            </w:pPr>
            <w:r>
              <w:rPr>
                <w:spacing w:val="4"/>
              </w:rPr>
              <w:t xml:space="preserve">Trustee and transfer agent and registrar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75" w:type="dxa"/>
            <w:tcBorders/>
            <w:shd w:fill="CCEEFF" w:val="clear"/>
            <w:tcMar>
              <w:bottom w:w="0" w:type="dxa"/>
            </w:tcMar>
            <w:vAlign w:val="center"/>
          </w:tcPr>
          <w:p>
            <w:pPr>
              <w:pStyle w:val="TableContents"/>
              <w:bidi w:val="0"/>
              <w:spacing w:before="0" w:after="0"/>
              <w:jc w:val="left"/>
              <w:rPr>
                <w:spacing w:val="4"/>
              </w:rPr>
            </w:pPr>
            <w:r>
              <w:rPr>
                <w:spacing w:val="4"/>
              </w:rPr>
              <w:t xml:space="preserve">Miscellaneous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75"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provided in one or more prospectus supplements filed hereunder. </w:t>
      </w:r>
      <w:r>
        <mc:AlternateContent>
          <mc:Choice Requires="wps">
            <w:drawing>
              <wp:anchor behindDoc="0" distT="9779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 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 i 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certificate of incorporation provides that we must indemnify and advance expenses to our directors and officers to the full extent authorized by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these provisions, the insurance and the indemnity agreements are necessary to attract and retain talented and experienced officers and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following exhibits are included or incorporated by reference in this registration statement on Form S-3: </w:t>
      </w:r>
    </w:p>
    <w:tbl>
      <w:tblPr>
        <w:tblW w:w="8812" w:type="dxa"/>
        <w:jc w:val="left"/>
        <w:tblInd w:w="1393" w:type="dxa"/>
        <w:tblLayout w:type="fixed"/>
        <w:tblCellMar>
          <w:top w:w="0" w:type="dxa"/>
          <w:left w:w="0" w:type="dxa"/>
          <w:bottom w:w="28" w:type="dxa"/>
          <w:right w:w="0" w:type="dxa"/>
        </w:tblCellMar>
      </w:tblPr>
      <w:tblGrid>
        <w:gridCol w:w="124"/>
        <w:gridCol w:w="883"/>
        <w:gridCol w:w="109"/>
        <w:gridCol w:w="109"/>
        <w:gridCol w:w="743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3"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r:id="rId24">
              <w:r>
                <w:rPr>
                  <w:rStyle w:val="InternetLink"/>
                  <w:spacing w:val="4"/>
                </w:rPr>
                <w:t>Third Amended and Restated Certificate of Incorporation (incorporated by reference to Exhibit 3.1 of the Company’s Current Report on Form 8-K filed April 25,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r:id="rId25">
              <w:r>
                <w:rPr>
                  <w:rStyle w:val="InternetLink"/>
                  <w:spacing w:val="4"/>
                </w:rPr>
                <w:t>Second Amended and Restated Bylaws (incorporated by reference to Exhibit 3.2 of the Company’s Current Report on Form 8-K filed March 3,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r:id="rId26">
              <w:r>
                <w:rPr>
                  <w:rStyle w:val="InternetLink"/>
                  <w:spacing w:val="4"/>
                </w:rPr>
                <w:t>Specimen Class A Common Stock Certificate of Lucid Group, Inc. (incorporated by reference to Exhibit 4.1 to the Company’s Current Report on Form 8-K filed on July 26, 2021)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pPr>
            <w:hyperlink r:id="rId27">
              <w:r>
                <w:rPr>
                  <w:rStyle w:val="InternetLink"/>
                </w:rPr>
                <w:t>Investor Rights Agreement, dated as of February 22, 2021, by and among Churchill Capital Corp IV, Ayar Third Investment Company, Churchill Sponsor IV LLC and the other parties named therein (incorporated by reference to Exhibit 10.1 to Churchill Capital Corp IV’s Current Report on Form 8-K filed February 22,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pPr>
            <w:hyperlink r:id="rId28">
              <w:r>
                <w:rPr>
                  <w:rStyle w:val="InternetLink"/>
                </w:rPr>
                <w:t>Amendment No. 1 to the Investor Rights Agreement, dated November 8, 2022, between Lucid Group, Inc., Ayar Third Investment Company and the other parties thereto (incorporated by reference to Exhibit 10.2 to the Company’s Current Report on Form 8-K filed November 8,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pPr>
            <w:hyperlink r:id="rId29">
              <w:r>
                <w:rPr>
                  <w:rStyle w:val="InternetLink"/>
                </w:rPr>
                <w:t>Amendment No. 2 to the Investor Rights Agreement, dated May 31, 2023, between Lucid Group, Inc., Ayar Third Investment Company and the other parties thereto (incorporated by reference to Exhibit 10.2 to the Company’s Current Report on Form 8-K filed June 5,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329838d2_ex5-1.htm">
              <w:r>
                <w:rPr>
                  <w:rStyle w:val="InternetLink"/>
                  <w:spacing w:val="4"/>
                </w:rPr>
                <w:t>Opinion of Davis Polk &amp; Wardwell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329838d2_ex5-1.htm">
              <w:r>
                <w:rPr>
                  <w:rStyle w:val="InternetLink"/>
                  <w:spacing w:val="4"/>
                </w:rPr>
                <w:t>Consent of Davis Polk &amp; Wardwell LLP (included in Exhibit 5.1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329838d2_ex23-2.htm">
              <w:r>
                <w:rPr>
                  <w:rStyle w:val="InternetLink"/>
                  <w:spacing w:val="4"/>
                </w:rPr>
                <w:t>Consent of Grant Thornton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SIG">
              <w:r>
                <w:rPr>
                  <w:rStyle w:val="InternetLink"/>
                  <w:spacing w:val="4"/>
                </w:rPr>
                <w:t>Power of Attorney (included in the signature page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329838d2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9906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of securities registered hereby, a post-effective amendment to this registration statement: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provided, however, that paragraphs (i), (ii) and (iii) above do not apply if the information required to be included in a post-effective amendment by those paragraphs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of 1933 to any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of 1933 to any purchaser in the initial distribution of the securities: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5410" distB="0" distL="762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4140" distB="0" distL="762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4140" distB="0" distL="762000" distR="0" simplePos="0" locked="0" layoutInCell="1" allowOverlap="1" relativeHeight="96">
                <wp:simplePos x="0" y="0"/>
                <wp:positionH relativeFrom="column">
                  <wp:align>left</wp:align>
                </wp:positionH>
                <wp:positionV relativeFrom="line">
                  <wp:align>top</wp:align>
                </wp:positionV>
                <wp:extent cx="254000" cy="52578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4140" distB="0" distL="762000" distR="0" simplePos="0" locked="0" layoutInCell="1" allowOverlap="1" relativeHeight="97">
                <wp:simplePos x="0" y="0"/>
                <wp:positionH relativeFrom="column">
                  <wp:align>left</wp:align>
                </wp:positionH>
                <wp:positionV relativeFrom="line">
                  <wp:align>top</wp:align>
                </wp:positionV>
                <wp:extent cx="254000" cy="52578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IG"/>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has duly caused this registration statement to be signed on its behalf by the undersigned, thereunto duly authorized, in the City of Newark, State of California, on the 7th day of November, 2023.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Lucid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56"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Peter Rawlinson </w:t>
      </w:r>
      <w:r>
        <mc:AlternateContent>
          <mc:Choice Requires="wps">
            <w:drawing>
              <wp:anchor behindDoc="0" distT="162560" distB="0" distL="2794000" distR="0" simplePos="0" locked="0" layoutInCell="1" allowOverlap="1" relativeHeight="98">
                <wp:simplePos x="0" y="0"/>
                <wp:positionH relativeFrom="column">
                  <wp:align>left</wp:align>
                </wp:positionH>
                <wp:positionV relativeFrom="line">
                  <wp:align>top</wp:align>
                </wp:positionV>
                <wp:extent cx="254000" cy="52578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8pt;mso-wrap-distance-bottom:0pt;margin-top:12.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6"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Peter Rawlinson </w:t>
      </w:r>
      <w:r>
        <mc:AlternateContent>
          <mc:Choice Requires="wps">
            <w:drawing>
              <wp:anchor behindDoc="0" distT="35560" distB="0" distL="3048000" distR="0" simplePos="0" locked="0" layoutInCell="1" allowOverlap="1" relativeHeight="99">
                <wp:simplePos x="0" y="0"/>
                <wp:positionH relativeFrom="column">
                  <wp:align>left</wp:align>
                </wp:positionH>
                <wp:positionV relativeFrom="line">
                  <wp:align>top</wp:align>
                </wp:positionV>
                <wp:extent cx="4572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8pt;mso-wrap-distance-bottom:0pt;margin-top:2.8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 w:after="0"/>
        <w:ind w:left="6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 Chief Technology Officer and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 distB="0" distL="3048000" distR="0" simplePos="0" locked="0" layoutInCell="1" allowOverlap="1" relativeHeight="100">
                <wp:simplePos x="0" y="0"/>
                <wp:positionH relativeFrom="column">
                  <wp:align>left</wp:align>
                </wp:positionH>
                <wp:positionV relativeFrom="line">
                  <wp:align>top</wp:align>
                </wp:positionV>
                <wp:extent cx="4572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8pt;mso-wrap-distance-bottom:0pt;margin-top:0.8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Peter Rawlinson, Sherry House and Benjamin Uy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832"/>
        <w:gridCol w:w="109"/>
        <w:gridCol w:w="109"/>
        <w:gridCol w:w="3295"/>
        <w:gridCol w:w="109"/>
        <w:gridCol w:w="109"/>
        <w:gridCol w:w="196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3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9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Peter Rawlinson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Peter Rawlinson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pPr>
            <w:r>
              <w:rPr>
                <w:spacing w:val="4"/>
              </w:rPr>
              <w:t>Chief Executive Officer, Chief</w:t>
            </w:r>
            <w:r>
              <w:rPr/>
              <w:t xml:space="preserve"> </w:t>
              <w:br/>
            </w:r>
            <w:r>
              <w:rPr>
                <w:spacing w:val="4"/>
              </w:rPr>
              <w:t>Technology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Sherry House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Sherry 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Gagan Dhingra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Gagan Dhingra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pPr>
            <w:r>
              <w:rPr>
                <w:spacing w:val="4"/>
              </w:rPr>
              <w:t>Vice President of Accounting</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Turqi Alnowaiser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Turqi Alnowaiser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Glenn R. August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Glenn R. August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Andrew Liveris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Liveris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Sherif Marakby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Sherif Marakby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spacing w:val="4"/>
              </w:rPr>
            </w:pPr>
            <w:r>
              <w:rPr>
                <w:spacing w:val="4"/>
              </w:rPr>
              <w:t xml:space="preserve">/s/ Nichelle Maynard-Elliott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Nichelle Maynard-Elliott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32" w:type="dxa"/>
            <w:tcBorders/>
            <w:tcMar>
              <w:bottom w:w="0" w:type="dxa"/>
            </w:tcMar>
            <w:vAlign w:val="center"/>
          </w:tcPr>
          <w:p>
            <w:pPr>
              <w:pStyle w:val="TableContents"/>
              <w:bidi w:val="0"/>
              <w:spacing w:before="0" w:after="0"/>
              <w:jc w:val="center"/>
              <w:rPr/>
            </w:pPr>
            <w:r>
              <w:rPr>
                <w:spacing w:val="4"/>
              </w:rPr>
              <w:t>/s/ Chabi Nouri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Chabi Nouri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9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539" w:type="dxa"/>
        <w:jc w:val="left"/>
        <w:tblInd w:w="1393" w:type="dxa"/>
        <w:tblLayout w:type="fixed"/>
        <w:tblCellMar>
          <w:top w:w="0" w:type="dxa"/>
          <w:left w:w="0" w:type="dxa"/>
          <w:bottom w:w="28" w:type="dxa"/>
          <w:right w:w="0" w:type="dxa"/>
        </w:tblCellMar>
      </w:tblPr>
      <w:tblGrid>
        <w:gridCol w:w="124"/>
        <w:gridCol w:w="1856"/>
        <w:gridCol w:w="109"/>
        <w:gridCol w:w="109"/>
        <w:gridCol w:w="974"/>
        <w:gridCol w:w="109"/>
        <w:gridCol w:w="109"/>
        <w:gridCol w:w="199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5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6" w:type="dxa"/>
            <w:tcBorders/>
            <w:tcMar>
              <w:bottom w:w="0" w:type="dxa"/>
            </w:tcMar>
            <w:vAlign w:val="center"/>
          </w:tcPr>
          <w:p>
            <w:pPr>
              <w:pStyle w:val="TableContents"/>
              <w:bidi w:val="0"/>
              <w:spacing w:before="0" w:after="0"/>
              <w:jc w:val="center"/>
              <w:rPr/>
            </w:pPr>
            <w:r>
              <w:rPr>
                <w:spacing w:val="4"/>
              </w:rPr>
              <w:t>/s/ Ori Winitzer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Ori Winitzer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5" w:type="dxa"/>
            <w:tcBorders/>
            <w:tcMar>
              <w:bottom w:w="0" w:type="dxa"/>
            </w:tcMar>
            <w:vAlign w:val="center"/>
          </w:tcPr>
          <w:p>
            <w:pPr>
              <w:pStyle w:val="TableContents"/>
              <w:bidi w:val="0"/>
              <w:spacing w:before="0" w:after="0"/>
              <w:jc w:val="center"/>
              <w:rPr>
                <w:spacing w:val="4"/>
              </w:rPr>
            </w:pPr>
            <w:r>
              <w:rPr>
                <w:spacing w:val="4"/>
              </w:rPr>
              <w:t xml:space="preserve">November 7, 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56" w:type="dxa"/>
            <w:tcBorders/>
            <w:tcMar>
              <w:bottom w:w="0" w:type="dxa"/>
            </w:tcMar>
            <w:vAlign w:val="center"/>
          </w:tcPr>
          <w:p>
            <w:pPr>
              <w:pStyle w:val="TableContents"/>
              <w:bidi w:val="0"/>
              <w:spacing w:before="0" w:after="0"/>
              <w:jc w:val="center"/>
              <w:rPr/>
            </w:pPr>
            <w:r>
              <w:rPr>
                <w:spacing w:val="4"/>
              </w:rPr>
              <w:t>/s/ Janet S. Wong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Janet S. Wong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5" w:type="dxa"/>
            <w:tcBorders/>
            <w:tcMar>
              <w:bottom w:w="0" w:type="dxa"/>
            </w:tcMar>
            <w:vAlign w:val="center"/>
          </w:tcPr>
          <w:p>
            <w:pPr>
              <w:pStyle w:val="TableContents"/>
              <w:bidi w:val="0"/>
              <w:spacing w:before="0" w:after="0"/>
              <w:jc w:val="center"/>
              <w:rPr/>
            </w:pPr>
            <w:r>
              <w:rPr>
                <w:spacing w:val="4"/>
              </w:rPr>
              <w:t>November 7, 2023</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7" w:name="tm2329838d2_ex5-1.htm"/>
      <w:bookmarkStart w:id="18" w:name="kstm2329838d2_ex51"/>
      <w:bookmarkEnd w:id="17"/>
      <w:bookmarkEnd w:id="18"/>
      <w:r>
        <w:rPr/>
        <w:t> </w:t>
      </w:r>
      <w:r>
        <w:br w:type="page"/>
      </w:r>
    </w:p>
    <w:p>
      <w:pPr>
        <w:pStyle w:val="TextBody"/>
        <w:bidi w:val="0"/>
        <w:spacing w:before="0" w:after="0"/>
        <w:ind w:left="0" w:right="0" w:hanging="0"/>
        <w:jc w:val="right"/>
        <w:rPr>
          <w:b/>
        </w:rPr>
      </w:pPr>
      <w:r>
        <w:rPr>
          <w:b/>
        </w:rPr>
        <w:t>Exhibit 5.1 and 23.1</w:t>
      </w:r>
    </w:p>
    <w:p>
      <w:pPr>
        <w:pStyle w:val="TextBody"/>
        <w:bidi w:val="0"/>
        <w:spacing w:before="0" w:after="0"/>
        <w:ind w:left="0" w:right="0" w:hanging="0"/>
        <w:jc w:val="left"/>
        <w:rPr/>
      </w:pPr>
      <w:r>
        <w:rPr/>
        <w:t> </w:t>
      </w:r>
    </w:p>
    <w:tbl>
      <w:tblPr>
        <w:tblW w:w="3282" w:type="dxa"/>
        <w:jc w:val="left"/>
        <w:tblInd w:w="0" w:type="dxa"/>
        <w:tblLayout w:type="fixed"/>
        <w:tblCellMar>
          <w:top w:w="0" w:type="dxa"/>
          <w:left w:w="0" w:type="dxa"/>
          <w:bottom w:w="0" w:type="dxa"/>
          <w:right w:w="0" w:type="dxa"/>
        </w:tblCellMar>
      </w:tblPr>
      <w:tblGrid>
        <w:gridCol w:w="997"/>
        <w:gridCol w:w="2285"/>
      </w:tblGrid>
      <w:tr>
        <w:trPr/>
        <w:tc>
          <w:tcPr>
            <w:tcW w:w="997" w:type="dxa"/>
            <w:tcBorders/>
            <w:vAlign w:val="center"/>
          </w:tcPr>
          <w:p>
            <w:pPr>
              <w:pStyle w:val="TableContents"/>
              <w:bidi w:val="0"/>
              <w:spacing w:before="0" w:after="283"/>
              <w:jc w:val="left"/>
              <w:rPr/>
            </w:pPr>
            <w:r>
              <w:rPr/>
              <w:drawing>
                <wp:inline distT="0" distB="0" distL="0" distR="0">
                  <wp:extent cx="585470" cy="100330"/>
                  <wp:effectExtent l="0" t="0" r="0" b="0"/>
                  <wp:docPr id="9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 descr=""/>
                          <pic:cNvPicPr>
                            <a:picLocks noChangeAspect="1" noChangeArrowheads="1"/>
                          </pic:cNvPicPr>
                        </pic:nvPicPr>
                        <pic:blipFill>
                          <a:blip r:embed="rId30"/>
                          <a:stretch>
                            <a:fillRect/>
                          </a:stretch>
                        </pic:blipFill>
                        <pic:spPr bwMode="auto">
                          <a:xfrm>
                            <a:off x="0" y="0"/>
                            <a:ext cx="585470" cy="100330"/>
                          </a:xfrm>
                          <a:prstGeom prst="rect">
                            <a:avLst/>
                          </a:prstGeom>
                        </pic:spPr>
                      </pic:pic>
                    </a:graphicData>
                  </a:graphic>
                </wp:inline>
              </w:drawing>
            </w:r>
            <w:r>
              <w:rPr/>
              <w:t> </w:t>
            </w:r>
          </w:p>
        </w:tc>
        <w:tc>
          <w:tcPr>
            <w:tcW w:w="22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Polk &amp; Wardwell </w:t>
            </w:r>
            <w:r>
              <w:rPr>
                <w:rFonts w:ascii="Times New Roman;Times;Serif" w:hAnsi="Times New Roman;Times;Serif"/>
                <w:b w:val="false"/>
                <w:i w:val="false"/>
                <w:smallCaps/>
                <w:sz w:val="20"/>
              </w:rPr>
              <w:t>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w:t>
              <w:br/>
              <w:t>New York, NY 10017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davispolk.com</w:t>
            </w:r>
          </w:p>
        </w:tc>
      </w:tr>
    </w:tbl>
    <w:p>
      <w:pPr>
        <w:pStyle w:val="TextBody"/>
        <w:bidi w:val="0"/>
        <w:spacing w:before="0" w:after="0"/>
        <w:ind w:left="0" w:right="0" w:hanging="0"/>
        <w:jc w:val="left"/>
        <w:rPr/>
      </w:pPr>
      <w:r>
        <w:rPr/>
        <w:t> </w:t>
      </w:r>
    </w:p>
    <w:tbl>
      <w:tblPr>
        <w:tblW w:w="2455" w:type="dxa"/>
        <w:jc w:val="left"/>
        <w:tblInd w:w="0" w:type="dxa"/>
        <w:tblLayout w:type="fixed"/>
        <w:tblCellMar>
          <w:top w:w="0" w:type="dxa"/>
          <w:left w:w="0" w:type="dxa"/>
          <w:bottom w:w="0" w:type="dxa"/>
          <w:right w:w="0" w:type="dxa"/>
        </w:tblCellMar>
      </w:tblPr>
      <w:tblGrid>
        <w:gridCol w:w="320"/>
        <w:gridCol w:w="2135"/>
      </w:tblGrid>
      <w:tr>
        <w:trPr/>
        <w:tc>
          <w:tcPr>
            <w:tcW w:w="2455" w:type="dxa"/>
            <w:gridSpan w:val="2"/>
            <w:tcBorders/>
            <w:vAlign w:val="center"/>
          </w:tcPr>
          <w:p>
            <w:pPr>
              <w:pStyle w:val="TableContents"/>
              <w:bidi w:val="0"/>
              <w:spacing w:before="0" w:after="283"/>
              <w:jc w:val="left"/>
              <w:rPr>
                <w:sz w:val="20"/>
              </w:rPr>
            </w:pPr>
            <w:r>
              <w:rPr>
                <w:sz w:val="20"/>
              </w:rPr>
              <w:t>November 7, 2023</w:t>
            </w:r>
          </w:p>
        </w:tc>
      </w:tr>
      <w:tr>
        <w:trPr/>
        <w:tc>
          <w:tcPr>
            <w:tcW w:w="2455" w:type="dxa"/>
            <w:gridSpan w:val="2"/>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sz w:val="20"/>
              </w:rPr>
            </w:pPr>
            <w:r>
              <w:rPr>
                <w:sz w:val="20"/>
              </w:rPr>
              <w:t>Re:</w:t>
            </w:r>
          </w:p>
        </w:tc>
        <w:tc>
          <w:tcPr>
            <w:tcW w:w="2135" w:type="dxa"/>
            <w:tcBorders/>
            <w:vAlign w:val="center"/>
          </w:tcPr>
          <w:p>
            <w:pPr>
              <w:pStyle w:val="TableContents"/>
              <w:bidi w:val="0"/>
              <w:spacing w:before="0" w:after="283"/>
              <w:jc w:val="left"/>
              <w:rPr>
                <w:sz w:val="20"/>
              </w:rPr>
            </w:pPr>
            <w:r>
              <w:rPr>
                <w:sz w:val="20"/>
              </w:rPr>
              <w:t xml:space="preserve">Lucid Group, Inc. </w:t>
              <w:br/>
              <w:t>7373 Gateway Boulevard</w:t>
              <w:br/>
              <w:t>Newark, California 94560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filing with the Securities and Exchange Commission a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registration of securities in connection with the resale by the selling stockholder named in the Registration Statement, or its permitted transferees, of 265,693,703 shares of Class A common stock, par value $0.0001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Shares were issued pursuant to a subscription agreement, dated May 31, 2023, between the Company and Ayar Third Investment Company (“</w:t>
      </w:r>
      <w:r>
        <w:rPr>
          <w:rFonts w:ascii="Times New Roman;Times;Serif" w:hAnsi="Times New Roman;Times;Serif"/>
          <w:b/>
          <w:i w:val="false"/>
          <w:caps w:val="false"/>
          <w:smallCaps w:val="false"/>
          <w:sz w:val="20"/>
        </w:rPr>
        <w:t>Ayar</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additional assumptions and qualifications set forth below, we advise you that, in our opinion, the Shares have been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 expressed above, we have assumed that the Subscription Agreement is a valid, binding and enforceable agreement of Ayar. We have also assumed that the execution, delivery and performance by each party to the Subscription Agreement (a) require no action by or in respect of, or filing with, any governmental body, agency or official and (b) do not contravene, or constitute a default under, any provision of applicable law or regulation or any judgment, injunction, order or decree or any agreement or other instrument binding upon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Bars of the States of New York and California and the foregoing opinion is limited to the laws of the State of New York and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85470" cy="100330"/>
            <wp:effectExtent l="0" t="0" r="0" b="0"/>
            <wp:docPr id="9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 descr=""/>
                    <pic:cNvPicPr>
                      <a:picLocks noChangeAspect="1" noChangeArrowheads="1"/>
                    </pic:cNvPicPr>
                  </pic:nvPicPr>
                  <pic:blipFill>
                    <a:blip r:embed="rId31"/>
                    <a:stretch>
                      <a:fillRect/>
                    </a:stretch>
                  </pic:blipFill>
                  <pic:spPr bwMode="auto">
                    <a:xfrm>
                      <a:off x="0" y="0"/>
                      <a:ext cx="585470" cy="1003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9" w:name="tm2329838d2_ex23-2.htm"/>
      <w:bookmarkStart w:id="20" w:name="kstm2329838d2_ex232"/>
      <w:bookmarkEnd w:id="19"/>
      <w:bookmarkEnd w:id="20"/>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reports dated February 28, 2023 with respect to the consolidated financial statements and internal control over financial reporting of Lucid Group, Inc. included in the Annual Report on Form 10-K for the year ended December 31, 2022, which are incorporated by reference in this Registration Statement. We consent to the incorporation by reference of the aforementioned reports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1" w:name="tm2329838d2_ex-filingfees.htm"/>
      <w:bookmarkStart w:id="22" w:name="kstm2329838d2_exfilingfees"/>
      <w:bookmarkEnd w:id="21"/>
      <w:bookmarkEnd w:id="22"/>
      <w:r>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Form S-3</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LUCID GROUP,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745" w:type="dxa"/>
        <w:jc w:val="left"/>
        <w:tblInd w:w="-15" w:type="dxa"/>
        <w:tblLayout w:type="fixed"/>
        <w:tblCellMar>
          <w:top w:w="60" w:type="dxa"/>
          <w:left w:w="108" w:type="dxa"/>
          <w:bottom w:w="60" w:type="dxa"/>
          <w:right w:w="108" w:type="dxa"/>
        </w:tblCellMar>
      </w:tblPr>
      <w:tblGrid>
        <w:gridCol w:w="770"/>
        <w:gridCol w:w="590"/>
        <w:gridCol w:w="770"/>
        <w:gridCol w:w="800"/>
        <w:gridCol w:w="965"/>
        <w:gridCol w:w="740"/>
        <w:gridCol w:w="1370"/>
        <w:gridCol w:w="935"/>
        <w:gridCol w:w="920"/>
        <w:gridCol w:w="800"/>
        <w:gridCol w:w="605"/>
        <w:gridCol w:w="650"/>
        <w:gridCol w:w="830"/>
      </w:tblGrid>
      <w:tr>
        <w:trPr/>
        <w:tc>
          <w:tcPr>
            <w:tcW w:w="7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pPr>
            <w:r>
              <w:rPr/>
              <w:t> </w:t>
            </w:r>
          </w:p>
        </w:tc>
        <w:tc>
          <w:tcPr>
            <w:tcW w:w="59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Security Type</w:t>
            </w:r>
          </w:p>
        </w:tc>
        <w:tc>
          <w:tcPr>
            <w:tcW w:w="77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Security Class Title</w:t>
            </w:r>
          </w:p>
        </w:tc>
        <w:tc>
          <w:tcPr>
            <w:tcW w:w="80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Fee Calculation</w:t>
              <w:br/>
              <w:t>or Carry Forward</w:t>
              <w:br/>
              <w:t>Rule</w:t>
            </w:r>
          </w:p>
        </w:tc>
        <w:tc>
          <w:tcPr>
            <w:tcW w:w="96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Amount</w:t>
              <w:br/>
              <w:t>Registered</w:t>
            </w:r>
            <w:r>
              <w:rPr>
                <w:rFonts w:ascii="Times New Roman;Times;Serif" w:hAnsi="Times New Roman;Times;Serif"/>
                <w:position w:val="5"/>
                <w:sz w:val="13"/>
                <w:sz w:val="16"/>
              </w:rPr>
              <w:t>(1)</w:t>
            </w:r>
          </w:p>
        </w:tc>
        <w:tc>
          <w:tcPr>
            <w:tcW w:w="74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Proposed</w:t>
              <w:br/>
              <w:t>Maximum</w:t>
              <w:br/>
              <w:t>Offering Price</w:t>
              <w:br/>
              <w:t>Per Unit</w:t>
            </w:r>
            <w:r>
              <w:rPr>
                <w:rFonts w:ascii="Times New Roman;Times;Serif" w:hAnsi="Times New Roman;Times;Serif"/>
                <w:position w:val="5"/>
                <w:sz w:val="13"/>
                <w:sz w:val="16"/>
              </w:rPr>
              <w:t>(3)</w:t>
            </w:r>
          </w:p>
        </w:tc>
        <w:tc>
          <w:tcPr>
            <w:tcW w:w="137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Maximum Aggregate</w:t>
              <w:br/>
              <w:t>Offering Price</w:t>
            </w:r>
          </w:p>
        </w:tc>
        <w:tc>
          <w:tcPr>
            <w:tcW w:w="93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Fee Rate</w:t>
            </w:r>
          </w:p>
        </w:tc>
        <w:tc>
          <w:tcPr>
            <w:tcW w:w="92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Amount of</w:t>
              <w:br/>
              <w:t>Registration</w:t>
              <w:br/>
              <w:t>Fee</w:t>
            </w:r>
            <w:r>
              <w:rPr>
                <w:rFonts w:ascii="Times New Roman;Times;Serif" w:hAnsi="Times New Roman;Times;Serif"/>
                <w:position w:val="5"/>
                <w:sz w:val="13"/>
                <w:sz w:val="16"/>
              </w:rPr>
              <w:t>(4)</w:t>
            </w:r>
          </w:p>
        </w:tc>
        <w:tc>
          <w:tcPr>
            <w:tcW w:w="80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Carry Forward</w:t>
              <w:br/>
              <w:t>Form Type</w:t>
            </w:r>
          </w:p>
        </w:tc>
        <w:tc>
          <w:tcPr>
            <w:tcW w:w="60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Carry Forward</w:t>
              <w:br/>
              <w:t>File Number</w:t>
            </w:r>
          </w:p>
        </w:tc>
        <w:tc>
          <w:tcPr>
            <w:tcW w:w="65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Carry Forward</w:t>
              <w:br/>
              <w:t>Initial Effective</w:t>
              <w:br/>
              <w:t>Date</w:t>
            </w:r>
          </w:p>
        </w:tc>
        <w:tc>
          <w:tcPr>
            <w:tcW w:w="83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Filing Fee</w:t>
              <w:br/>
              <w:t>Previously Paid</w:t>
              <w:br/>
              <w:t>In Connection</w:t>
              <w:br/>
              <w:t>with Unsold</w:t>
              <w:br/>
              <w:t>Securities to be</w:t>
              <w:br/>
              <w:t>Carried Forward</w:t>
            </w:r>
          </w:p>
        </w:tc>
      </w:tr>
      <w:tr>
        <w:trPr/>
        <w:tc>
          <w:tcPr>
            <w:tcW w:w="10745" w:type="dxa"/>
            <w:gridSpan w:val="13"/>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b/>
                <w:sz w:val="16"/>
              </w:rPr>
            </w:pPr>
            <w:r>
              <w:rPr>
                <w:b/>
                <w:sz w:val="16"/>
              </w:rPr>
              <w:t>Newly Registered Securities</w:t>
            </w:r>
          </w:p>
        </w:tc>
      </w:tr>
      <w:tr>
        <w:trPr/>
        <w:tc>
          <w:tcPr>
            <w:tcW w:w="7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to be Paid</w:t>
            </w:r>
          </w:p>
        </w:tc>
        <w:tc>
          <w:tcPr>
            <w:tcW w:w="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7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xml:space="preserve">Class A common stock, par value $0.0001 per share (“common stock”) </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Other</w:t>
            </w:r>
          </w:p>
        </w:tc>
        <w:tc>
          <w:tcPr>
            <w:tcW w:w="96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265,693,703</w:t>
            </w:r>
            <w:r>
              <w:rPr>
                <w:rFonts w:ascii="Times New Roman;Times;Serif" w:hAnsi="Times New Roman;Times;Serif"/>
                <w:position w:val="5"/>
                <w:sz w:val="13"/>
                <w:sz w:val="16"/>
              </w:rPr>
              <w:t>(2)</w:t>
            </w:r>
          </w:p>
        </w:tc>
        <w:tc>
          <w:tcPr>
            <w:tcW w:w="7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w:t>
            </w:r>
          </w:p>
        </w:tc>
        <w:tc>
          <w:tcPr>
            <w:tcW w:w="13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$1,076,059,497.15</w:t>
            </w:r>
          </w:p>
        </w:tc>
        <w:tc>
          <w:tcPr>
            <w:tcW w:w="9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r>
              <w:rPr>
                <w:rFonts w:ascii="Times New Roman;Times;Serif" w:hAnsi="Times New Roman;Times;Serif"/>
                <w:sz w:val="16"/>
              </w:rPr>
              <w:t>0.00014760</w:t>
            </w:r>
          </w:p>
        </w:tc>
        <w:tc>
          <w:tcPr>
            <w:tcW w:w="92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$158,826.38</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Fees Previously Paid</w:t>
            </w:r>
          </w:p>
        </w:tc>
        <w:tc>
          <w:tcPr>
            <w:tcW w:w="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7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6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7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25"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Total Offering Amounts</w:t>
            </w:r>
          </w:p>
        </w:tc>
        <w:tc>
          <w:tcPr>
            <w:tcW w:w="7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$1,076,059,497.15</w:t>
            </w:r>
          </w:p>
        </w:tc>
        <w:tc>
          <w:tcPr>
            <w:tcW w:w="9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$158,826.38</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25"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Total Fees Previously Paid</w:t>
            </w:r>
          </w:p>
        </w:tc>
        <w:tc>
          <w:tcPr>
            <w:tcW w:w="7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25"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Total Fee Offsets</w:t>
            </w:r>
            <w:r>
              <w:rPr>
                <w:rFonts w:ascii="Times New Roman;Times;Serif" w:hAnsi="Times New Roman;Times;Serif"/>
                <w:position w:val="5"/>
                <w:sz w:val="13"/>
                <w:sz w:val="16"/>
              </w:rPr>
              <w:t>(5)</w:t>
            </w:r>
          </w:p>
        </w:tc>
        <w:tc>
          <w:tcPr>
            <w:tcW w:w="7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125"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Net Fee Due</w:t>
            </w:r>
          </w:p>
        </w:tc>
        <w:tc>
          <w:tcPr>
            <w:tcW w:w="7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$158,826.38</w:t>
            </w:r>
          </w:p>
        </w:tc>
        <w:tc>
          <w:tcPr>
            <w:tcW w:w="8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0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left"/>
              <w:rPr/>
            </w:pPr>
            <w:r>
              <w:rPr/>
              <w:t>In the event of a stock split, stock dividend or similar transaction involving the registrant’s common stock, the number of shares registered hereby shall automatically be adjusted in accordance with Rule 416 under the Securities Act of 1933, as amended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left"/>
              <w:rPr/>
            </w:pPr>
            <w:r>
              <w:rPr/>
              <w:t>Represents an aggregate of 265,693,703 shares of common stock issued to Ayar Third Investment Company ("Ayar") pursuant to the Subscription Agreement, dated as of May 31, 2023 between the Company and Ayar.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283"/>
              <w:jc w:val="left"/>
              <w:rPr/>
            </w:pPr>
            <w:r>
              <w:rPr/>
              <w:t>Estimated solely for the purpose of calculating the registration fee pursuant to Rule 457(c) under the Securities Act. The Proposed Maximum Offering Price Per Share is based on the average of the high and low prices of the Registrant’s common stock on The Nasdaq Global Select Market on November 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71"/>
        <w:gridCol w:w="9107"/>
      </w:tblGrid>
      <w:tr>
        <w:trPr/>
        <w:tc>
          <w:tcPr>
            <w:tcW w:w="12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(4)</w:t>
            </w:r>
          </w:p>
        </w:tc>
        <w:tc>
          <w:tcPr>
            <w:tcW w:w="9107" w:type="dxa"/>
            <w:tcBorders/>
            <w:vAlign w:val="center"/>
          </w:tcPr>
          <w:p>
            <w:pPr>
              <w:pStyle w:val="TableContents"/>
              <w:bidi w:val="0"/>
              <w:spacing w:before="0" w:after="283"/>
              <w:jc w:val="left"/>
              <w:rPr/>
            </w:pPr>
            <w:r>
              <w:rPr/>
              <w:t>Rounded to the nearest cent.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42"/>
        <w:gridCol w:w="9479"/>
      </w:tblGrid>
      <w:tr>
        <w:trPr/>
        <w:tc>
          <w:tcPr>
            <w:tcW w:w="8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(5)</w:t>
            </w:r>
          </w:p>
        </w:tc>
        <w:tc>
          <w:tcPr>
            <w:tcW w:w="9479" w:type="dxa"/>
            <w:tcBorders/>
            <w:vAlign w:val="center"/>
          </w:tcPr>
          <w:p>
            <w:pPr>
              <w:pStyle w:val="TableContents"/>
              <w:bidi w:val="0"/>
              <w:spacing w:before="0" w:after="283"/>
              <w:jc w:val="left"/>
              <w:rPr/>
            </w:pPr>
            <w:r>
              <w:rPr/>
              <w:t>The Registrant does not have any fee offsets.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811210/000162828023005540/lcid-20221231.htm" TargetMode="External"/><Relationship Id="rId4" Type="http://schemas.openxmlformats.org/officeDocument/2006/relationships/hyperlink" Target="http://www.sec.gov/ix?doc=/Archives/edgar/data/1811210/000162828023016405/lcid-20230331.htm" TargetMode="External"/><Relationship Id="rId5" Type="http://schemas.openxmlformats.org/officeDocument/2006/relationships/hyperlink" Target="http://www.sec.gov/ix?doc=/Archives/edgar/data/1811210/000162828023027785/lcid-20230630.htm" TargetMode="External"/><Relationship Id="rId6" Type="http://schemas.openxmlformats.org/officeDocument/2006/relationships/hyperlink" Target="https://www.sec.gov/ix?doc=/Archives/edgar/data/0001811210/000162828023037354/lcid-20230930.htm" TargetMode="External"/><Relationship Id="rId7" Type="http://schemas.openxmlformats.org/officeDocument/2006/relationships/hyperlink" Target="http://www.sec.gov/ix?doc=/Archives/edgar/data/1811210/000110465923031532/tm232032d5_def14a.htm" TargetMode="External"/><Relationship Id="rId8" Type="http://schemas.openxmlformats.org/officeDocument/2006/relationships/hyperlink" Target="http://www.sec.gov/ix?doc=/Archives/edgar/data/1811210/000110465923007598/tm234549d1_8k.htm" TargetMode="External"/><Relationship Id="rId9" Type="http://schemas.openxmlformats.org/officeDocument/2006/relationships/hyperlink" Target="http://www.sec.gov/ix?doc=/Archives/edgar/data/1811210/000110465923008803/tm234958d1_8k.htm" TargetMode="External"/><Relationship Id="rId10" Type="http://schemas.openxmlformats.org/officeDocument/2006/relationships/hyperlink" Target="http://www.sec.gov/ix?doc=/Archives/edgar/data/1811210/000110465923010817/tm235543d1_8k.htm" TargetMode="External"/><Relationship Id="rId11" Type="http://schemas.openxmlformats.org/officeDocument/2006/relationships/hyperlink" Target="http://www.sec.gov/ix?doc=/Archives/edgar/data/1811210/000162828023004559/lcid-20230222.htm" TargetMode="External"/><Relationship Id="rId12" Type="http://schemas.openxmlformats.org/officeDocument/2006/relationships/hyperlink" Target="http://www.sec.gov/ix?doc=/Archives/edgar/data/1811210/000110465923028423/tm238322d1_8k.htm" TargetMode="External"/><Relationship Id="rId13" Type="http://schemas.openxmlformats.org/officeDocument/2006/relationships/hyperlink" Target="http://www.sec.gov/ix?doc=/Archives/edgar/data/1811210/000110465923037708/tm2310732d1_8k.htm" TargetMode="External"/><Relationship Id="rId14" Type="http://schemas.openxmlformats.org/officeDocument/2006/relationships/hyperlink" Target="http://www.sec.gov/ix?doc=/Archives/edgar/data/1811210/000110465923049685/tm2313633d1_8k.htm" TargetMode="External"/><Relationship Id="rId15" Type="http://schemas.openxmlformats.org/officeDocument/2006/relationships/hyperlink" Target="http://www.sec.gov/ix?doc=/Archives/edgar/data/1811210/000110465923054825/tm2314261d1_8k.htm" TargetMode="External"/><Relationship Id="rId16" Type="http://schemas.openxmlformats.org/officeDocument/2006/relationships/hyperlink" Target="http://www.sec.gov/ix?doc=/Archives/edgar/data/1811210/000110465923066270/tm2317326d2_8k.htm" TargetMode="External"/><Relationship Id="rId17" Type="http://schemas.openxmlformats.org/officeDocument/2006/relationships/hyperlink" Target="http://www.sec.gov/ix?doc=/Archives/edgar/data/1811210/000110465923068017/tm2317789d1_8k.htm" TargetMode="External"/><Relationship Id="rId18" Type="http://schemas.openxmlformats.org/officeDocument/2006/relationships/hyperlink" Target="http://www.sec.gov/ix?doc=/Archives/edgar/data/1811210/000110465923074454/tm2319564d1_8k.htm" TargetMode="External"/><Relationship Id="rId19" Type="http://schemas.openxmlformats.org/officeDocument/2006/relationships/hyperlink" Target="http://www.sec.gov/ix?doc=/Archives/edgar/data/1811210/000110465923088343/tm2323018d1_8k.htm" TargetMode="External"/><Relationship Id="rId20" Type="http://schemas.openxmlformats.org/officeDocument/2006/relationships/hyperlink" Target="http://www.sec.gov/ix?doc=/Archives/edgar/data/1811210/000110465923100823/tm2326095d1_8k.htm" TargetMode="External"/><Relationship Id="rId21" Type="http://schemas.openxmlformats.org/officeDocument/2006/relationships/hyperlink" Target="https://www.sec.gov/ix?doc=/Archives/edgar/data/0001811210/000162828023037347/lcid-20231107.htm" TargetMode="External"/><Relationship Id="rId22" Type="http://schemas.openxmlformats.org/officeDocument/2006/relationships/hyperlink" Target="http://www.sec.gov/Archives/edgar/data/1811210/000110465921095277/tm2120294d8_8a12b.htm" TargetMode="External"/><Relationship Id="rId23" Type="http://schemas.openxmlformats.org/officeDocument/2006/relationships/image" Target="media/image1.jpeg"/><Relationship Id="rId24" Type="http://schemas.openxmlformats.org/officeDocument/2006/relationships/hyperlink" Target="http://www.sec.gov/Archives/edgar/data/1811210/000110465923049685/tm2313633d1_ex3-1.htm" TargetMode="External"/><Relationship Id="rId25" Type="http://schemas.openxmlformats.org/officeDocument/2006/relationships/hyperlink" Target="http://www.sec.gov/Archives/edgar/data/1811210/000110465923028423/tm238322d1_ex3-2.htm" TargetMode="External"/><Relationship Id="rId26" Type="http://schemas.openxmlformats.org/officeDocument/2006/relationships/hyperlink" Target="http://www.sec.gov/Archives/edgar/data/1811210/000110465921095842/tm2120294d5_ex4-1.htm" TargetMode="External"/><Relationship Id="rId27" Type="http://schemas.openxmlformats.org/officeDocument/2006/relationships/hyperlink" Target="http://www.sec.gov/Archives/edgar/data/1811210/000110465921026357/tm217491d2_ex10-1.htm" TargetMode="External"/><Relationship Id="rId28" Type="http://schemas.openxmlformats.org/officeDocument/2006/relationships/hyperlink" Target="http://www.sec.gov/Archives/edgar/data/1811210/000110465922115976/tm2229867d2_ex10-2.htm" TargetMode="External"/><Relationship Id="rId29" Type="http://schemas.openxmlformats.org/officeDocument/2006/relationships/hyperlink" Target="http://www.sec.gov/Archives/edgar/data/1811210/000110465923068017/tm2317789d1_ex10-2.htm" TargetMode="External"/><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18687</Words>
  <Characters>100314</Characters>
  <CharactersWithSpaces>119805</CharactersWithSpaces>
  <Paragraphs>1338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