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2" w:lineRule="exact"/>
        <w:rPr>
          <w:sz w:val="24"/>
          <w:szCs w:val="24"/>
          <w:color w:val="auto"/>
        </w:rPr>
      </w:pPr>
    </w:p>
    <w:p>
      <w:pPr>
        <w:ind w:left="420" w:right="1680" w:hanging="367"/>
        <w:spacing w:after="0" w:line="302" w:lineRule="auto"/>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420" w:hanging="367"/>
        <w:spacing w:after="0"/>
        <w:tabs>
          <w:tab w:leader="none" w:pos="4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34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3340" w:type="dxa"/>
            <w:vAlign w:val="bottom"/>
          </w:tcPr>
          <w:p>
            <w:pPr>
              <w:spacing w:after="0"/>
              <w:rPr>
                <w:sz w:val="24"/>
                <w:szCs w:val="24"/>
                <w:color w:val="auto"/>
              </w:rPr>
            </w:pPr>
          </w:p>
        </w:tc>
        <w:tc>
          <w:tcPr>
            <w:tcW w:w="4340" w:type="dxa"/>
            <w:vAlign w:val="bottom"/>
            <w:gridSpan w:val="2"/>
          </w:tcPr>
          <w:p>
            <w:pPr>
              <w:jc w:val="center"/>
              <w:ind w:left="159"/>
              <w:spacing w:after="0"/>
              <w:rPr>
                <w:sz w:val="20"/>
                <w:szCs w:val="20"/>
                <w:color w:val="auto"/>
              </w:rPr>
            </w:pPr>
            <w:r>
              <w:rPr>
                <w:rFonts w:ascii="Times New Roman" w:cs="Times New Roman" w:eastAsia="Times New Roman" w:hAnsi="Times New Roman"/>
                <w:sz w:val="18"/>
                <w:szCs w:val="18"/>
                <w:b w:val="1"/>
                <w:bCs w:val="1"/>
                <w:color w:val="auto"/>
              </w:rPr>
              <w:t>Commission File Number: 001-39408</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jc w:val="center"/>
              <w:ind w:right="604"/>
              <w:spacing w:after="0"/>
              <w:rPr>
                <w:sz w:val="20"/>
                <w:szCs w:val="20"/>
                <w:color w:val="auto"/>
              </w:rPr>
            </w:pPr>
            <w:r>
              <w:rPr>
                <w:rFonts w:ascii="Times New Roman" w:cs="Times New Roman" w:eastAsia="Times New Roman" w:hAnsi="Times New Roman"/>
                <w:sz w:val="32"/>
                <w:szCs w:val="32"/>
                <w:b w:val="1"/>
                <w:bCs w:val="1"/>
                <w:color w:val="auto"/>
              </w:rPr>
              <w:t>Lucid Group, Inc.</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434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4"/>
        </w:trPr>
        <w:tc>
          <w:tcPr>
            <w:tcW w:w="3340" w:type="dxa"/>
            <w:vAlign w:val="bottom"/>
          </w:tcPr>
          <w:p>
            <w:pPr>
              <w:jc w:val="center"/>
              <w:ind w:left="139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940" w:type="dxa"/>
            <w:vAlign w:val="bottom"/>
          </w:tcPr>
          <w:p>
            <w:pPr>
              <w:spacing w:after="0"/>
              <w:rPr>
                <w:sz w:val="24"/>
                <w:szCs w:val="24"/>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85-0891392</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280" w:type="dxa"/>
            <w:vAlign w:val="bottom"/>
            <w:gridSpan w:val="2"/>
          </w:tcPr>
          <w:p>
            <w:pPr>
              <w:jc w:val="center"/>
              <w:ind w:left="459"/>
              <w:spacing w:after="0"/>
              <w:rPr>
                <w:sz w:val="20"/>
                <w:szCs w:val="20"/>
                <w:color w:val="auto"/>
              </w:rPr>
            </w:pPr>
            <w:r>
              <w:rPr>
                <w:rFonts w:ascii="Times New Roman" w:cs="Times New Roman" w:eastAsia="Times New Roman" w:hAnsi="Times New Roman"/>
                <w:sz w:val="14"/>
                <w:szCs w:val="14"/>
                <w:b w:val="1"/>
                <w:bCs w:val="1"/>
                <w:i w:val="1"/>
                <w:iCs w:val="1"/>
                <w:color w:val="auto"/>
              </w:rPr>
              <w:t>(State or other jurisdiction of incorporation or organization)</w:t>
            </w:r>
          </w:p>
        </w:tc>
        <w:tc>
          <w:tcPr>
            <w:tcW w:w="6740" w:type="dxa"/>
            <w:vAlign w:val="bottom"/>
            <w:gridSpan w:val="2"/>
          </w:tcPr>
          <w:p>
            <w:pPr>
              <w:jc w:val="center"/>
              <w:ind w:right="759"/>
              <w:spacing w:after="0"/>
              <w:rPr>
                <w:sz w:val="20"/>
                <w:szCs w:val="20"/>
                <w:color w:val="auto"/>
              </w:rPr>
            </w:pPr>
            <w:r>
              <w:rPr>
                <w:rFonts w:ascii="Times New Roman" w:cs="Times New Roman" w:eastAsia="Times New Roman" w:hAnsi="Times New Roman"/>
                <w:sz w:val="14"/>
                <w:szCs w:val="14"/>
                <w:b w:val="1"/>
                <w:bCs w:val="1"/>
                <w:i w:val="1"/>
                <w:iCs w:val="1"/>
                <w:color w:val="auto"/>
              </w:rPr>
              <w:t>(I.R.S. Employer Identification No.)</w:t>
            </w:r>
          </w:p>
        </w:tc>
        <w:tc>
          <w:tcPr>
            <w:tcW w:w="0" w:type="dxa"/>
            <w:vAlign w:val="bottom"/>
          </w:tcPr>
          <w:p>
            <w:pPr>
              <w:spacing w:after="0"/>
              <w:rPr>
                <w:sz w:val="1"/>
                <w:szCs w:val="1"/>
                <w:color w:val="auto"/>
              </w:rPr>
            </w:pPr>
          </w:p>
        </w:tc>
      </w:tr>
      <w:tr>
        <w:trPr>
          <w:trHeight w:val="442"/>
        </w:trPr>
        <w:tc>
          <w:tcPr>
            <w:tcW w:w="3340" w:type="dxa"/>
            <w:vAlign w:val="bottom"/>
          </w:tcPr>
          <w:p>
            <w:pPr>
              <w:spacing w:after="0"/>
              <w:rPr>
                <w:sz w:val="24"/>
                <w:szCs w:val="24"/>
                <w:color w:val="auto"/>
              </w:rPr>
            </w:pPr>
          </w:p>
        </w:tc>
        <w:tc>
          <w:tcPr>
            <w:tcW w:w="4340" w:type="dxa"/>
            <w:vAlign w:val="bottom"/>
            <w:gridSpan w:val="2"/>
          </w:tcPr>
          <w:p>
            <w:pPr>
              <w:jc w:val="center"/>
              <w:ind w:left="139"/>
              <w:spacing w:after="0"/>
              <w:rPr>
                <w:sz w:val="20"/>
                <w:szCs w:val="20"/>
                <w:color w:val="auto"/>
              </w:rPr>
            </w:pPr>
            <w:r>
              <w:rPr>
                <w:rFonts w:ascii="Times New Roman" w:cs="Times New Roman" w:eastAsia="Times New Roman" w:hAnsi="Times New Roman"/>
                <w:sz w:val="18"/>
                <w:szCs w:val="18"/>
                <w:b w:val="1"/>
                <w:bCs w:val="1"/>
                <w:color w:val="auto"/>
              </w:rPr>
              <w:t>7373 Gateway Boulevard, Newark, CA 94560</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434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 (Zip code)</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jc w:val="center"/>
              <w:ind w:right="624"/>
              <w:spacing w:after="0"/>
              <w:rPr>
                <w:sz w:val="20"/>
                <w:szCs w:val="20"/>
                <w:color w:val="auto"/>
              </w:rPr>
            </w:pPr>
            <w:r>
              <w:rPr>
                <w:rFonts w:ascii="Times New Roman" w:cs="Times New Roman" w:eastAsia="Times New Roman" w:hAnsi="Times New Roman"/>
                <w:sz w:val="18"/>
                <w:szCs w:val="18"/>
                <w:b w:val="1"/>
                <w:bCs w:val="1"/>
                <w:color w:val="auto"/>
                <w:w w:val="99"/>
              </w:rPr>
              <w:t>(510) 648-3553</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4340" w:type="dxa"/>
            <w:vAlign w:val="bottom"/>
            <w:gridSpan w:val="2"/>
          </w:tcPr>
          <w:p>
            <w:pPr>
              <w:jc w:val="center"/>
              <w:ind w:left="139"/>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94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340" w:type="dxa"/>
            <w:vAlign w:val="bottom"/>
          </w:tcPr>
          <w:p>
            <w:pPr>
              <w:jc w:val="center"/>
              <w:ind w:left="1139"/>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9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7"/>
        </w:trPr>
        <w:tc>
          <w:tcPr>
            <w:tcW w:w="4280" w:type="dxa"/>
            <w:vAlign w:val="bottom"/>
            <w:gridSpan w:val="2"/>
          </w:tcPr>
          <w:p>
            <w:pPr>
              <w:jc w:val="center"/>
              <w:ind w:left="179"/>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LCID</w:t>
            </w: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81"/>
        </w:trPr>
        <w:tc>
          <w:tcPr>
            <w:tcW w:w="3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73" w:lineRule="exact"/>
        <w:rPr>
          <w:sz w:val="24"/>
          <w:szCs w:val="24"/>
          <w:color w:val="auto"/>
        </w:rPr>
      </w:pPr>
    </w:p>
    <w:p>
      <w:pPr>
        <w:ind w:right="20"/>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40"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14"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1180" w:type="dxa"/>
        <w:tblCellMar>
          <w:top w:w="0" w:type="dxa"/>
          <w:left w:w="0" w:type="dxa"/>
          <w:bottom w:w="0" w:type="dxa"/>
          <w:right w:w="0" w:type="dxa"/>
        </w:tblCellMar>
      </w:tblP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740" w:type="dxa"/>
            <w:vAlign w:val="bottom"/>
            <w:vMerge w:val="restart"/>
          </w:tcPr>
          <w:p>
            <w:pPr>
              <w:jc w:val="right"/>
              <w:ind w:right="688"/>
              <w:spacing w:after="0"/>
              <w:rPr>
                <w:sz w:val="20"/>
                <w:szCs w:val="20"/>
                <w:color w:val="auto"/>
              </w:rPr>
            </w:pPr>
            <w:r>
              <w:rPr>
                <w:rFonts w:ascii="Wingdings" w:cs="Wingdings" w:eastAsia="Wingdings" w:hAnsi="Wingdings"/>
                <w:sz w:val="14"/>
                <w:szCs w:val="14"/>
                <w:b w:val="1"/>
                <w:bCs w:val="1"/>
                <w:color w:val="auto"/>
              </w:rPr>
              <w:t>x</w:t>
            </w:r>
          </w:p>
        </w:tc>
        <w:tc>
          <w:tcPr>
            <w:tcW w:w="34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rPr>
              <w:t>Accelerated Filer</w:t>
            </w:r>
          </w:p>
        </w:tc>
        <w:tc>
          <w:tcPr>
            <w:tcW w:w="1080" w:type="dxa"/>
            <w:vAlign w:val="bottom"/>
            <w:vMerge w:val="restart"/>
          </w:tcPr>
          <w:p>
            <w:pPr>
              <w:ind w:left="960"/>
              <w:spacing w:after="0"/>
              <w:rPr>
                <w:sz w:val="20"/>
                <w:szCs w:val="20"/>
                <w:color w:val="auto"/>
              </w:rPr>
            </w:pPr>
            <w:r>
              <w:rPr>
                <w:rFonts w:ascii="Wingdings" w:cs="Wingdings" w:eastAsia="Wingdings" w:hAnsi="Wingdings"/>
                <w:sz w:val="14"/>
                <w:szCs w:val="14"/>
                <w:b w:val="1"/>
                <w:bCs w:val="1"/>
                <w:color w:val="auto"/>
                <w:w w:val="79"/>
              </w:rPr>
              <w:t>o</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34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2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2"/>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1740" w:type="dxa"/>
            <w:vAlign w:val="bottom"/>
          </w:tcPr>
          <w:p>
            <w:pPr>
              <w:jc w:val="right"/>
              <w:ind w:right="688"/>
              <w:spacing w:after="0"/>
              <w:rPr>
                <w:sz w:val="20"/>
                <w:szCs w:val="20"/>
                <w:color w:val="auto"/>
              </w:rPr>
            </w:pPr>
            <w:r>
              <w:rPr>
                <w:rFonts w:ascii="Wingdings" w:cs="Wingdings" w:eastAsia="Wingdings" w:hAnsi="Wingdings"/>
                <w:sz w:val="14"/>
                <w:szCs w:val="14"/>
                <w:b w:val="1"/>
                <w:bCs w:val="1"/>
                <w:color w:val="auto"/>
              </w:rPr>
              <w:t>o</w:t>
            </w:r>
          </w:p>
        </w:tc>
        <w:tc>
          <w:tcPr>
            <w:tcW w:w="342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80" w:type="dxa"/>
            <w:vAlign w:val="bottom"/>
          </w:tcPr>
          <w:p>
            <w:pPr>
              <w:ind w:left="960"/>
              <w:spacing w:after="0"/>
              <w:rPr>
                <w:sz w:val="20"/>
                <w:szCs w:val="20"/>
                <w:color w:val="auto"/>
              </w:rPr>
            </w:pPr>
            <w:r>
              <w:rPr>
                <w:rFonts w:ascii="Wingdings" w:cs="Wingdings" w:eastAsia="Wingdings" w:hAnsi="Wingdings"/>
                <w:sz w:val="14"/>
                <w:szCs w:val="14"/>
                <w:b w:val="1"/>
                <w:bCs w:val="1"/>
                <w:color w:val="auto"/>
                <w:w w:val="79"/>
              </w:rPr>
              <w:t>o</w:t>
            </w:r>
          </w:p>
        </w:tc>
        <w:tc>
          <w:tcPr>
            <w:tcW w:w="0" w:type="dxa"/>
            <w:vAlign w:val="bottom"/>
          </w:tcPr>
          <w:p>
            <w:pPr>
              <w:spacing w:after="0"/>
              <w:rPr>
                <w:sz w:val="1"/>
                <w:szCs w:val="1"/>
                <w:color w:val="auto"/>
              </w:rPr>
            </w:pPr>
          </w:p>
        </w:tc>
      </w:tr>
      <w:tr>
        <w:trPr>
          <w:trHeight w:val="323"/>
        </w:trPr>
        <w:tc>
          <w:tcPr>
            <w:tcW w:w="2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2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80" w:type="dxa"/>
            <w:vAlign w:val="bottom"/>
          </w:tcPr>
          <w:p>
            <w:pPr>
              <w:ind w:left="960"/>
              <w:spacing w:after="0"/>
              <w:rPr>
                <w:sz w:val="20"/>
                <w:szCs w:val="20"/>
                <w:color w:val="auto"/>
              </w:rPr>
            </w:pPr>
            <w:r>
              <w:rPr>
                <w:rFonts w:ascii="Wingdings" w:cs="Wingdings" w:eastAsia="Wingdings" w:hAnsi="Wingdings"/>
                <w:sz w:val="14"/>
                <w:szCs w:val="14"/>
                <w:b w:val="1"/>
                <w:bCs w:val="1"/>
                <w:color w:val="auto"/>
                <w:w w:val="79"/>
              </w:rPr>
              <w:t>o</w:t>
            </w:r>
          </w:p>
        </w:tc>
        <w:tc>
          <w:tcPr>
            <w:tcW w:w="0" w:type="dxa"/>
            <w:vAlign w:val="bottom"/>
          </w:tcPr>
          <w:p>
            <w:pPr>
              <w:spacing w:after="0"/>
              <w:rPr>
                <w:sz w:val="1"/>
                <w:szCs w:val="1"/>
                <w:color w:val="auto"/>
              </w:rPr>
            </w:pPr>
          </w:p>
        </w:tc>
      </w:tr>
    </w:tbl>
    <w:p>
      <w:pPr>
        <w:spacing w:after="0" w:line="204"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4" w:lineRule="exact"/>
        <w:rPr>
          <w:sz w:val="24"/>
          <w:szCs w:val="24"/>
          <w:color w:val="auto"/>
        </w:rPr>
      </w:pPr>
    </w:p>
    <w:p>
      <w:pPr>
        <w:spacing w:after="0"/>
        <w:tabs>
          <w:tab w:leader="none" w:pos="71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Yes</w:t>
      </w:r>
      <w:r>
        <w:rPr>
          <w:sz w:val="20"/>
          <w:szCs w:val="20"/>
          <w:color w:val="auto"/>
        </w:rPr>
        <w:tab/>
      </w:r>
      <w:r>
        <w:rPr>
          <w:rFonts w:ascii="Wingdings" w:cs="Wingdings" w:eastAsia="Wingdings" w:hAnsi="Wingdings"/>
          <w:sz w:val="12"/>
          <w:szCs w:val="12"/>
          <w:b w:val="1"/>
          <w:bCs w:val="1"/>
          <w:color w:val="auto"/>
        </w:rPr>
        <w:t xml:space="preserve">x </w:t>
      </w:r>
      <w:r>
        <w:rPr>
          <w:rFonts w:ascii="Times New Roman" w:cs="Times New Roman" w:eastAsia="Times New Roman" w:hAnsi="Times New Roman"/>
          <w:sz w:val="12"/>
          <w:szCs w:val="12"/>
          <w:color w:val="auto"/>
        </w:rPr>
        <w:t>No</w:t>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the registrant’s common stock outstanding at July 30, 2025: 3,072,494,911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1065530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700" w:type="dxa"/>
            <w:vAlign w:val="bottom"/>
            <w:gridSpan w:val="11"/>
          </w:tcPr>
          <w:p>
            <w:pPr>
              <w:ind w:left="500"/>
              <w:spacing w:after="0"/>
              <w:rPr>
                <w:sz w:val="20"/>
                <w:szCs w:val="20"/>
                <w:color w:val="auto"/>
              </w:rPr>
            </w:pPr>
            <w:r>
              <w:rPr>
                <w:rFonts w:ascii="Times New Roman" w:cs="Times New Roman" w:eastAsia="Times New Roman" w:hAnsi="Times New Roman"/>
                <w:sz w:val="18"/>
                <w:szCs w:val="18"/>
                <w:b w:val="1"/>
                <w:bCs w:val="1"/>
                <w:color w:val="auto"/>
              </w:rPr>
              <w:t>INDEX TO FORM 10-Q</w:t>
            </w: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600" w:type="dxa"/>
            <w:vAlign w:val="bottom"/>
          </w:tcPr>
          <w:p>
            <w:pPr>
              <w:spacing w:after="0"/>
              <w:rPr>
                <w:sz w:val="24"/>
                <w:szCs w:val="24"/>
                <w:color w:val="auto"/>
              </w:rPr>
            </w:pPr>
          </w:p>
        </w:tc>
        <w:tc>
          <w:tcPr>
            <w:tcW w:w="928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E32E1"/>
              </w:rPr>
              <w:t>PART I. FINANCIAL INFORMATION</w:t>
            </w: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9280" w:type="dxa"/>
            <w:vAlign w:val="bottom"/>
            <w:gridSpan w:val="22"/>
            <w:vMerge w:val="continue"/>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94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60" w:type="dxa"/>
            <w:vAlign w:val="bottom"/>
            <w:tcBorders>
              <w:bottom w:val="single" w:sz="8" w:color="0E32E1"/>
            </w:tcBorders>
            <w:gridSpan w:val="11"/>
          </w:tcPr>
          <w:p>
            <w:pPr>
              <w:spacing w:after="0"/>
              <w:rPr>
                <w:sz w:val="20"/>
                <w:szCs w:val="20"/>
                <w:color w:val="auto"/>
              </w:rPr>
            </w:pPr>
            <w:r>
              <w:rPr>
                <w:rFonts w:ascii="Times New Roman" w:cs="Times New Roman" w:eastAsia="Times New Roman" w:hAnsi="Times New Roman"/>
                <w:sz w:val="18"/>
                <w:szCs w:val="18"/>
                <w:color w:val="0E32E1"/>
                <w:w w:val="99"/>
              </w:rPr>
              <w:t>Cautionary Note Regarding Forward-Looking Statements</w:t>
            </w:r>
          </w:p>
        </w:tc>
        <w:tc>
          <w:tcPr>
            <w:tcW w:w="418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3</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0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w w:val="98"/>
              </w:rPr>
              <w:t>Frequently Used Terms</w:t>
            </w:r>
          </w:p>
        </w:tc>
        <w:tc>
          <w:tcPr>
            <w:tcW w:w="6640" w:type="dxa"/>
            <w:vAlign w:val="bottom"/>
            <w:gridSpan w:val="14"/>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6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34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Condensed Consolidated Financial Statements (Unaudited)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860" w:type="dxa"/>
            <w:vAlign w:val="bottom"/>
            <w:gridSpan w:val="2"/>
            <w:shd w:val="clear" w:color="auto" w:fill="0E32E1"/>
          </w:tcPr>
          <w:p>
            <w:pPr>
              <w:spacing w:after="0" w:line="20" w:lineRule="exact"/>
              <w:rPr>
                <w:sz w:val="1"/>
                <w:szCs w:val="1"/>
                <w:color w:val="auto"/>
              </w:rPr>
            </w:pPr>
          </w:p>
        </w:tc>
        <w:tc>
          <w:tcPr>
            <w:tcW w:w="1620" w:type="dxa"/>
            <w:vAlign w:val="bottom"/>
            <w:gridSpan w:val="2"/>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60" w:type="dxa"/>
            <w:vAlign w:val="bottom"/>
            <w:tcBorders>
              <w:bottom w:val="single" w:sz="8" w:color="0E32E1"/>
            </w:tcBorders>
            <w:gridSpan w:val="17"/>
          </w:tcPr>
          <w:p>
            <w:pPr>
              <w:spacing w:after="0"/>
              <w:rPr>
                <w:sz w:val="20"/>
                <w:szCs w:val="20"/>
                <w:color w:val="auto"/>
              </w:rPr>
            </w:pPr>
            <w:r>
              <w:rPr>
                <w:rFonts w:ascii="Times New Roman" w:cs="Times New Roman" w:eastAsia="Times New Roman" w:hAnsi="Times New Roman"/>
                <w:sz w:val="18"/>
                <w:szCs w:val="18"/>
                <w:color w:val="0E32E1"/>
                <w:w w:val="99"/>
              </w:rPr>
              <w:t>Condensed Consolidated Balance Sheets as of June 30, 2025 and December 31, 2024 (Unaudited)</w:t>
            </w:r>
          </w:p>
        </w:tc>
        <w:tc>
          <w:tcPr>
            <w:tcW w:w="128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34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Condensed Consolidated Statements of Operations and Comprehensive Loss for the Three and Six Months Ended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40" w:type="dxa"/>
            <w:vAlign w:val="bottom"/>
            <w:tcBorders>
              <w:top w:val="single" w:sz="8" w:color="0E32E1"/>
              <w:bottom w:val="single" w:sz="8" w:color="0E32E1"/>
            </w:tcBorders>
            <w:gridSpan w:val="10"/>
          </w:tcPr>
          <w:p>
            <w:pPr>
              <w:spacing w:after="0" w:line="156" w:lineRule="exact"/>
              <w:rPr>
                <w:sz w:val="20"/>
                <w:szCs w:val="20"/>
                <w:color w:val="auto"/>
              </w:rPr>
            </w:pPr>
            <w:r>
              <w:rPr>
                <w:rFonts w:ascii="Times New Roman" w:cs="Times New Roman" w:eastAsia="Times New Roman" w:hAnsi="Times New Roman"/>
                <w:sz w:val="18"/>
                <w:szCs w:val="18"/>
                <w:color w:val="0E32E1"/>
                <w:w w:val="99"/>
              </w:rPr>
              <w:t>June 30, 2025 and 2024 (Unaudited)</w:t>
            </w:r>
          </w:p>
        </w:tc>
        <w:tc>
          <w:tcPr>
            <w:tcW w:w="5560" w:type="dxa"/>
            <w:vAlign w:val="bottom"/>
            <w:tcBorders>
              <w:top w:val="single" w:sz="8" w:color="0E32E1"/>
            </w:tcBorders>
            <w:gridSpan w:val="8"/>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34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Condensed Consolidated Statements of Redeemable Convertible Preferred Stock and Stockholders’ Equity for the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20" w:type="dxa"/>
            <w:vAlign w:val="bottom"/>
            <w:tcBorders>
              <w:top w:val="single" w:sz="8" w:color="0E32E1"/>
            </w:tcBorders>
            <w:gridSpan w:val="19"/>
          </w:tcPr>
          <w:p>
            <w:pPr>
              <w:spacing w:after="0" w:line="156" w:lineRule="exact"/>
              <w:rPr>
                <w:sz w:val="20"/>
                <w:szCs w:val="20"/>
                <w:color w:val="auto"/>
              </w:rPr>
            </w:pPr>
            <w:r>
              <w:rPr>
                <w:rFonts w:ascii="Times New Roman" w:cs="Times New Roman" w:eastAsia="Times New Roman" w:hAnsi="Times New Roman"/>
                <w:sz w:val="18"/>
                <w:szCs w:val="18"/>
                <w:color w:val="0E32E1"/>
              </w:rPr>
              <w:t>Three and Six Months Ended June 30, 2025 and 2024 (Unaudited)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2580" w:type="dxa"/>
            <w:vAlign w:val="bottom"/>
            <w:gridSpan w:val="5"/>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300" w:type="dxa"/>
            <w:vAlign w:val="bottom"/>
            <w:tcBorders>
              <w:bottom w:val="single" w:sz="8" w:color="0E32E1"/>
            </w:tcBorders>
            <w:gridSpan w:val="20"/>
          </w:tcPr>
          <w:p>
            <w:pPr>
              <w:spacing w:after="0"/>
              <w:rPr>
                <w:sz w:val="20"/>
                <w:szCs w:val="20"/>
                <w:color w:val="auto"/>
              </w:rPr>
            </w:pPr>
            <w:r>
              <w:rPr>
                <w:rFonts w:ascii="Times New Roman" w:cs="Times New Roman" w:eastAsia="Times New Roman" w:hAnsi="Times New Roman"/>
                <w:sz w:val="18"/>
                <w:szCs w:val="18"/>
                <w:color w:val="0E32E1"/>
                <w:w w:val="99"/>
              </w:rPr>
              <w:t>Condensed Consolidated Statements of Cash Flows for the Six Months Ended June 30, 2025 and 2024 (Unaudited)</w:t>
            </w: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920" w:type="dxa"/>
            <w:vAlign w:val="bottom"/>
            <w:tcBorders>
              <w:bottom w:val="single" w:sz="8" w:color="0E32E1"/>
            </w:tcBorders>
            <w:gridSpan w:val="15"/>
          </w:tcPr>
          <w:p>
            <w:pPr>
              <w:spacing w:after="0"/>
              <w:rPr>
                <w:sz w:val="20"/>
                <w:szCs w:val="20"/>
                <w:color w:val="auto"/>
              </w:rPr>
            </w:pPr>
            <w:r>
              <w:rPr>
                <w:rFonts w:ascii="Times New Roman" w:cs="Times New Roman" w:eastAsia="Times New Roman" w:hAnsi="Times New Roman"/>
                <w:sz w:val="18"/>
                <w:szCs w:val="18"/>
                <w:color w:val="0E32E1"/>
                <w:w w:val="99"/>
              </w:rPr>
              <w:t>Notes to Condensed Consolidated Financial Statements (Unaudited)</w:t>
            </w:r>
          </w:p>
        </w:tc>
        <w:tc>
          <w:tcPr>
            <w:tcW w:w="342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34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Management’s Discussion and Analysis of Financial Condition and Results of Operations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E32E1"/>
            </w:tcBorders>
            <w:gridSpan w:val="16"/>
          </w:tcPr>
          <w:p>
            <w:pPr>
              <w:spacing w:after="0"/>
              <w:rPr>
                <w:sz w:val="20"/>
                <w:szCs w:val="20"/>
                <w:color w:val="auto"/>
              </w:rPr>
            </w:pPr>
            <w:r>
              <w:rPr>
                <w:rFonts w:ascii="Times New Roman" w:cs="Times New Roman" w:eastAsia="Times New Roman" w:hAnsi="Times New Roman"/>
                <w:sz w:val="18"/>
                <w:szCs w:val="18"/>
                <w:color w:val="0E32E1"/>
              </w:rPr>
              <w:t>Quantitative and Qualitative Disclosures About Market Risk</w:t>
            </w:r>
          </w:p>
        </w:tc>
        <w:tc>
          <w:tcPr>
            <w:tcW w:w="188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E32E1"/>
              <w:bottom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w w:val="99"/>
              </w:rPr>
              <w:t>Controls and Procedures</w:t>
            </w:r>
          </w:p>
        </w:tc>
        <w:tc>
          <w:tcPr>
            <w:tcW w:w="2580" w:type="dxa"/>
            <w:vAlign w:val="bottom"/>
            <w:tcBorders>
              <w:top w:val="single" w:sz="8" w:color="0E32E1"/>
            </w:tcBorders>
            <w:gridSpan w:val="5"/>
          </w:tcPr>
          <w:p>
            <w:pPr>
              <w:spacing w:after="0"/>
              <w:rPr>
                <w:sz w:val="18"/>
                <w:szCs w:val="18"/>
                <w:color w:val="auto"/>
              </w:rPr>
            </w:pPr>
          </w:p>
        </w:tc>
        <w:tc>
          <w:tcPr>
            <w:tcW w:w="3980" w:type="dxa"/>
            <w:vAlign w:val="bottom"/>
            <w:gridSpan w:val="8"/>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600" w:type="dxa"/>
            <w:vAlign w:val="bottom"/>
          </w:tcPr>
          <w:p>
            <w:pPr>
              <w:spacing w:after="0"/>
              <w:rPr>
                <w:sz w:val="24"/>
                <w:szCs w:val="24"/>
                <w:color w:val="auto"/>
              </w:rPr>
            </w:pPr>
          </w:p>
        </w:tc>
        <w:tc>
          <w:tcPr>
            <w:tcW w:w="258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w w:val="97"/>
              </w:rPr>
              <w:t>PART II. OTHER INFORMATION</w:t>
            </w:r>
          </w:p>
        </w:tc>
        <w:tc>
          <w:tcPr>
            <w:tcW w:w="6700" w:type="dxa"/>
            <w:vAlign w:val="bottom"/>
            <w:gridSpan w:val="15"/>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8"/>
              </w:rPr>
              <w:t>Legal Proceedings</w:t>
            </w:r>
          </w:p>
        </w:tc>
        <w:tc>
          <w:tcPr>
            <w:tcW w:w="7000" w:type="dxa"/>
            <w:vAlign w:val="bottom"/>
            <w:gridSpan w:val="16"/>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34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Risk Factors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20" w:type="dxa"/>
            <w:vAlign w:val="bottom"/>
            <w:gridSpan w:val="1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w w:val="98"/>
              </w:rPr>
              <w:t>Other Information</w:t>
            </w:r>
          </w:p>
        </w:tc>
        <w:tc>
          <w:tcPr>
            <w:tcW w:w="7020" w:type="dxa"/>
            <w:vAlign w:val="bottom"/>
            <w:gridSpan w:val="17"/>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34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Exhibits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7740" w:type="dxa"/>
            <w:vAlign w:val="bottom"/>
            <w:gridSpan w:val="1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0" w:type="dxa"/>
            <w:vAlign w:val="bottom"/>
          </w:tcPr>
          <w:p>
            <w:pPr>
              <w:spacing w:after="0"/>
              <w:rPr>
                <w:sz w:val="24"/>
                <w:szCs w:val="24"/>
                <w:color w:val="auto"/>
              </w:rPr>
            </w:pPr>
          </w:p>
        </w:tc>
        <w:tc>
          <w:tcPr>
            <w:tcW w:w="110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96"/>
              </w:rPr>
              <w:t>SIGNATURES</w:t>
            </w:r>
          </w:p>
        </w:tc>
        <w:tc>
          <w:tcPr>
            <w:tcW w:w="8180" w:type="dxa"/>
            <w:vAlign w:val="bottom"/>
            <w:gridSpan w:val="20"/>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60" w:type="dxa"/>
            <w:vAlign w:val="bottom"/>
            <w:gridSpan w:val="11"/>
          </w:tcPr>
          <w:p>
            <w:pPr>
              <w:ind w:left="40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Quarterly Report on Form 10-Q and include, but are not limited to, statements regarding our intentions, beliefs or current expectations concerning, among other things, results of operations, financial condition, liquidity, capital expenditures, prospects, growth, production volumes, strategies, management,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battery and powertrain systems, software, and strategic partnerships, technology features and capabilities, manufacturing capabilities and facilities, logistics and supply chain, studio openings, sales channels and strategies, future vehicle programs, expansion and the potential success of our direct-to-consumer strategy, our financial and operating outlook, future market launches and international expansion, including our manufacturing facility in Saudi Arabia and related timing and value to us, our needs for additional financing, our search for a new CEO, the contemplated reverse stock split, the closing of the private placement with SMB Holding Corporation, and the promise of Lucid’s technology. Such forward-looking statements are based on available current market material and our current expectations, beliefs and forecasts concerning future developments. Factors that may impact such forward-looking statements include:</w:t>
      </w:r>
    </w:p>
    <w:p>
      <w:pPr>
        <w:spacing w:after="0" w:line="193" w:lineRule="exact"/>
        <w:rPr>
          <w:sz w:val="20"/>
          <w:szCs w:val="20"/>
          <w:color w:val="auto"/>
        </w:rPr>
      </w:pPr>
    </w:p>
    <w:p>
      <w:pPr>
        <w:ind w:left="660" w:right="1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economic, market, financial, political, regulatory and legal conditions, including changes of policies, imposition of tariffs, export controls, threat of a trade war, the risk of a global economic recession or other downturn, bank closures and liquidity concerns at financial institutions, and global or regional conflicts or other geopolitical events;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overall demand for our products and services and cancellation of orders for our vehicles;</w:t>
      </w:r>
    </w:p>
    <w:p>
      <w:pPr>
        <w:spacing w:after="0" w:line="117" w:lineRule="exact"/>
        <w:rPr>
          <w:rFonts w:ascii="Times New Roman" w:cs="Times New Roman" w:eastAsia="Times New Roman" w:hAnsi="Times New Roman"/>
          <w:sz w:val="18"/>
          <w:szCs w:val="18"/>
          <w:color w:val="auto"/>
        </w:rPr>
      </w:pPr>
    </w:p>
    <w:p>
      <w:pPr>
        <w:ind w:left="660" w:right="60" w:hanging="328"/>
        <w:spacing w:after="0" w:line="312"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prices and availability of commodities, including rare-earth minerals, materials, our supply chain, logistics, inventory management and quality control, and our ability to complete the tooling of our manufacturing facilities over time and scale production of our vehicles;</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uncertainty of our projected financial and operational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of expected business milestones and commercial product launches;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construction and expansion of our manufacturing facilities and the increase of our production capacity;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expenses and control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market adoption of our offerings;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the pace and depth of electric vehicle adoption generally on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governmental incentives;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fuel and energy prices;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rapidly innovate;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or maintain partnerships with original equipment manufacturers, vendors and technology providers, including our ability to realize the anticipated benefits of our transactions with Aston Martin, Uber and Nuro;</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recruit and retain key employees, including our executive team;</w:t>
      </w:r>
    </w:p>
    <w:p>
      <w:pPr>
        <w:spacing w:after="0" w:line="11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need to attract, retain, and motivate key employees, including engineering and management employees, as we have undertaken multiple significant management changes in the past, including our CEO;</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vehicle recalls;</w:t>
      </w:r>
    </w:p>
    <w:p>
      <w:pPr>
        <w:spacing w:after="0" w:line="11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expand our brand, and capture additional market share, and the risks associated with negative press or reputational harm;</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outstanding Redeemable Convertible Preferred Stock;</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reduction or elimination of, and our ability to obtain and effectively utilize, zero emission vehicle credits, tax incentives, and other governmental and regulatory programs and incentives;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equity, equity-linked, or debt financing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interest and principal on our indebtedness;</w:t>
      </w:r>
    </w:p>
    <w:p>
      <w:pPr>
        <w:sectPr>
          <w:pgSz w:w="11900" w:h="16838" w:orient="portrait"/>
          <w:cols w:equalWidth="0" w:num="1">
            <w:col w:w="11220"/>
          </w:cols>
          <w:pgMar w:left="320" w:top="769" w:right="35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3" w:name="page4"/>
    <w:bookmarkEnd w:id="3"/>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to vehicle specifications which may impact performance, features, pricing, and other expectations;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potential litigation, government and regulatory proceedings, investigations and inquiries;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this Quarterly Report on Form 10-Q or our other filings with the Securities and Exchange Commission (the “SEC”).</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Quarterly Report on Form 10-Q.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Quarterly Report on Form 10-Q.</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stated in Item 1. Financial Statements and accompanying footnotes, or the context otherwise requires, references in this Quarterly Report on Form 10-Q to: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Notes” are to the 1.25% Convertible Senior Notes due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“2030 Notes” are to the 5.00% Convertible Senior Notes due 2030;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“AMP-1” are to our Advanced Manufacturing Plant-1 in Casa Grande, Arizona;</w:t>
      </w:r>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“AMP-2” are to our planned Advanced Manufacturing Plant-2 in Saudi Arabia, which consists of a semi knocked-down (“SKD”) portion that has been completed and a completely-built-up (“CBU”) portion that will be constructed;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“Ayar” are to Ayar Third Investment Company, an affiliate of the PIF and the controlling stockholder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or “Board of Directors” are to the board of directors of Lucid Group Inc., a Delaware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Designations” refers to Series A Certificate of Designations and Series B Certificate of Designations, together;</w:t>
      </w:r>
    </w:p>
    <w:p>
      <w:pPr>
        <w:spacing w:after="0" w:line="252" w:lineRule="exact"/>
        <w:rPr>
          <w:sz w:val="20"/>
          <w:szCs w:val="20"/>
          <w:color w:val="auto"/>
        </w:rPr>
      </w:pPr>
    </w:p>
    <w:p>
      <w:pPr>
        <w:ind w:right="740"/>
        <w:spacing w:after="0" w:line="312" w:lineRule="auto"/>
        <w:rPr>
          <w:sz w:val="20"/>
          <w:szCs w:val="20"/>
          <w:color w:val="auto"/>
        </w:rPr>
      </w:pPr>
      <w:r>
        <w:rPr>
          <w:rFonts w:ascii="Times New Roman" w:cs="Times New Roman" w:eastAsia="Times New Roman" w:hAnsi="Times New Roman"/>
          <w:sz w:val="17"/>
          <w:szCs w:val="17"/>
          <w:color w:val="auto"/>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“Churchill IPO” are to the initial public offering by Churchill which closed on August 3,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are to the consummation of the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are to July 23, 2021, the date on which the Transactions were consummated;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are to the Class A common stock of Lucid Group, Inc., par value $0.0001 per share;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Senior Notes” refers to the 2026 Notes and the 2030 Notes;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“ESG” are to Environmental, Social and Governance;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 are to electric vehicle;</w:t>
      </w:r>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“Investor Rights Agreement” are to the Investor Rights Agreement, dated as of February 22, 2021 and as amended from time-to-time, by and among the Company, the Sponsor, Ayar and certain other parties thereto;</w:t>
      </w:r>
    </w:p>
    <w:p>
      <w:pPr>
        <w:sectPr>
          <w:pgSz w:w="11900" w:h="16838" w:orient="portrait"/>
          <w:cols w:equalWidth="0" w:num="1">
            <w:col w:w="11140"/>
          </w:cols>
          <w:pgMar w:left="320" w:top="877" w:right="4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77" w:right="439" w:bottom="1440" w:gutter="0" w:footer="0" w:header="0"/>
          <w:type w:val="continuous"/>
        </w:sectPr>
      </w:pPr>
    </w:p>
    <w:bookmarkStart w:id="4" w:name="page5"/>
    <w:bookmarkEnd w:id="4"/>
    <w:p>
      <w:pPr>
        <w:ind w:right="280"/>
        <w:spacing w:after="0" w:line="282" w:lineRule="auto"/>
        <w:rPr>
          <w:sz w:val="20"/>
          <w:szCs w:val="20"/>
          <w:color w:val="auto"/>
        </w:rPr>
      </w:pPr>
      <w:r>
        <w:rPr>
          <w:rFonts w:ascii="Times New Roman" w:cs="Times New Roman" w:eastAsia="Times New Roman" w:hAnsi="Times New Roman"/>
          <w:sz w:val="18"/>
          <w:szCs w:val="18"/>
          <w:color w:val="auto"/>
        </w:rPr>
        <w:t>“Legacy Lucid” are to Atieva, Inc., d/b/a Lucid Motors, an exempted company incorporated with limited liability under the laws of the Cayman Islands, and its consolidated subsidiaries before the Closing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“LPM-1” are to our Lucid Powertrain Manufacturing Plant-1 in Casa Grande, Arizona;</w:t>
      </w:r>
    </w:p>
    <w:p>
      <w:pPr>
        <w:spacing w:after="0" w:line="23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“Merger” are to the merger of a merger subsidiary of Churchill and Atieva, Inc., with Atieva, Inc. surviving such merger as a wholly owned subsidiary of Churchill;</w:t>
      </w:r>
    </w:p>
    <w:p>
      <w:pPr>
        <w:spacing w:after="0" w:line="1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time-to-time;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“PIF” are to the Public Investment Fund, the sovereign wealth fund of Saudi Arabia;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“Private Placement Warrants” are to Churchill’s warrants issued to the Sponsor in a private placement simultaneously with the closing of the Churchill IPO;</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“Redeemable Convertible Preferred Stock” are to the Series A Convertible Preferred Stock and Series B Convertible Preferred Stock, together;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 Certificate of Designations” refers to the Certificate of Designations of Series A Redeemable Convertible Preferred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 Redeemable Convertible Preferred Stock” are to the Series A Convertible Preferred Stock of Lucid Group, Inc., par value $0.0001 per share;</w:t>
      </w:r>
    </w:p>
    <w:p>
      <w:pPr>
        <w:spacing w:after="0" w:line="25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“Series A Subscription Agreement” refers to the subscription agreement entered into on March 24, 2024, by the Company and Ayar to purchase from the Company 100,000 shares of its Series A Convertible Preferred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Certificate of Designations” refers to the Certificate of Designations of Series B Redeemable Convertible Preferred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Redeemable Convertible Preferred Stock” are to the Series B Convertible Preferred Stock of Lucid Group, Inc., par value $0.0001 per share;</w:t>
      </w:r>
    </w:p>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“Series B Subscription Agreement” refers to the subscription agreement entered into on August 4, 2024, by the Company and Ayar to purchase from the Company 75,000 shares of its Series B Convertible Preferred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“Sponsor” are to Churchill Sponsor IV LLC, a Delaware limited liability company and an affiliate of M. Klein and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are to the Merger, together with the other transactions consummated under the Merger Agreement and the related agreements; and</w:t>
      </w:r>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“Warrant Agreement” are to the Warrant Agreement, dated July 29, 2020, entered into in connection with the Churchill IPO by and between Continental Stock Transfer &amp; Trust Company and Churchill.</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12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5"/>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1,795,719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1,606,865</w:t>
            </w:r>
          </w:p>
        </w:tc>
        <w:tc>
          <w:tcPr>
            <w:tcW w:w="0" w:type="dxa"/>
            <w:vAlign w:val="bottom"/>
          </w:tcPr>
          <w:p>
            <w:pPr>
              <w:spacing w:after="0"/>
              <w:rPr>
                <w:sz w:val="1"/>
                <w:szCs w:val="1"/>
                <w:color w:val="auto"/>
              </w:rPr>
            </w:pPr>
          </w:p>
        </w:tc>
      </w:tr>
      <w:tr>
        <w:trPr>
          <w:trHeight w:val="162"/>
        </w:trPr>
        <w:tc>
          <w:tcPr>
            <w:tcW w:w="862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Short-term investments (including $35,000 and $15,000 associated with a related party as of June 30, 2025 and December 31,</w:t>
            </w: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1,030,140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2,424,103</w:t>
            </w:r>
          </w:p>
        </w:tc>
        <w:tc>
          <w:tcPr>
            <w:tcW w:w="0" w:type="dxa"/>
            <w:vAlign w:val="bottom"/>
          </w:tcPr>
          <w:p>
            <w:pPr>
              <w:spacing w:after="0"/>
              <w:rPr>
                <w:sz w:val="1"/>
                <w:szCs w:val="1"/>
                <w:color w:val="auto"/>
              </w:rPr>
            </w:pPr>
          </w:p>
        </w:tc>
      </w:tr>
      <w:tr>
        <w:trPr>
          <w:trHeight w:val="129"/>
        </w:trPr>
        <w:tc>
          <w:tcPr>
            <w:tcW w:w="86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2024, respectively)</w:t>
            </w:r>
          </w:p>
        </w:tc>
        <w:tc>
          <w:tcPr>
            <w:tcW w:w="2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6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8620" w:type="dxa"/>
            <w:vAlign w:val="bottom"/>
            <w:gridSpan w:val="2"/>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Accounts receivable, net (including $63,508 and $57,909 from a related party as of June 30, 2025 and December 31, 2024,</w:t>
            </w: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125,265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112,025</w:t>
            </w:r>
          </w:p>
        </w:tc>
        <w:tc>
          <w:tcPr>
            <w:tcW w:w="0" w:type="dxa"/>
            <w:vAlign w:val="bottom"/>
          </w:tcPr>
          <w:p>
            <w:pPr>
              <w:spacing w:after="0"/>
              <w:rPr>
                <w:sz w:val="1"/>
                <w:szCs w:val="1"/>
                <w:color w:val="auto"/>
              </w:rPr>
            </w:pPr>
          </w:p>
        </w:tc>
      </w:tr>
      <w:tr>
        <w:trPr>
          <w:trHeight w:val="129"/>
        </w:trPr>
        <w:tc>
          <w:tcPr>
            <w:tcW w:w="86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862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19" w:right="339" w:bottom="1440" w:gutter="0" w:footer="0" w:header="0"/>
        </w:sectPr>
      </w:pPr>
    </w:p>
    <w:p>
      <w:pPr>
        <w:ind w:left="180"/>
        <w:spacing w:after="0"/>
        <w:rPr>
          <w:sz w:val="20"/>
          <w:szCs w:val="20"/>
          <w:color w:val="auto"/>
        </w:rPr>
      </w:pPr>
      <w:r>
        <w:rPr>
          <w:rFonts w:ascii="Times New Roman" w:cs="Times New Roman" w:eastAsia="Times New Roman" w:hAnsi="Times New Roman"/>
          <w:sz w:val="16"/>
          <w:szCs w:val="16"/>
          <w:color w:val="auto"/>
        </w:rPr>
        <w:t>Inventory</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520" w:right="420" w:hanging="323"/>
        <w:spacing w:after="0" w:line="245" w:lineRule="auto"/>
        <w:rPr>
          <w:sz w:val="20"/>
          <w:szCs w:val="20"/>
          <w:color w:val="auto"/>
        </w:rPr>
      </w:pPr>
      <w:r>
        <w:rPr>
          <w:rFonts w:ascii="Times New Roman" w:cs="Times New Roman" w:eastAsia="Times New Roman" w:hAnsi="Times New Roman"/>
          <w:sz w:val="16"/>
          <w:szCs w:val="16"/>
          <w:color w:val="auto"/>
        </w:rPr>
        <w:t>Other current assets (including nil and $34,503 associated with a related party as of June 30, 2025 and December 31, 2024, respectively)</w:t>
      </w:r>
    </w:p>
    <w:p>
      <w:pPr>
        <w:spacing w:after="0" w:line="20" w:lineRule="exact"/>
        <w:rPr>
          <w:sz w:val="20"/>
          <w:szCs w:val="20"/>
          <w:color w:val="auto"/>
        </w:rPr>
      </w:pPr>
      <w:r>
        <w:rPr>
          <w:sz w:val="20"/>
          <w:szCs w:val="20"/>
          <w:color w:val="auto"/>
        </w:rPr>
        <w:br w:type="column"/>
      </w:r>
    </w:p>
    <w:p>
      <w:pPr>
        <w:spacing w:after="0"/>
        <w:tabs>
          <w:tab w:leader="none" w:pos="1320" w:val="left"/>
        </w:tabs>
        <w:rPr>
          <w:sz w:val="20"/>
          <w:szCs w:val="20"/>
          <w:color w:val="auto"/>
        </w:rPr>
      </w:pPr>
      <w:r>
        <w:rPr>
          <w:rFonts w:ascii="Times New Roman" w:cs="Times New Roman" w:eastAsia="Times New Roman" w:hAnsi="Times New Roman"/>
          <w:sz w:val="16"/>
          <w:szCs w:val="16"/>
          <w:color w:val="auto"/>
        </w:rPr>
        <w:t>713,269</w:t>
      </w:r>
      <w:r>
        <w:rPr>
          <w:sz w:val="20"/>
          <w:szCs w:val="20"/>
          <w:color w:val="auto"/>
        </w:rPr>
        <w:tab/>
      </w:r>
      <w:r>
        <w:rPr>
          <w:rFonts w:ascii="Times New Roman" w:cs="Times New Roman" w:eastAsia="Times New Roman" w:hAnsi="Times New Roman"/>
          <w:sz w:val="16"/>
          <w:szCs w:val="16"/>
          <w:color w:val="auto"/>
        </w:rPr>
        <w:t>407,774</w:t>
      </w:r>
    </w:p>
    <w:p>
      <w:pPr>
        <w:spacing w:after="0" w:line="32"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6"/>
          <w:szCs w:val="16"/>
          <w:color w:val="auto"/>
        </w:rPr>
        <w:t>63,336</w:t>
      </w:r>
      <w:r>
        <w:rPr>
          <w:sz w:val="20"/>
          <w:szCs w:val="20"/>
          <w:color w:val="auto"/>
        </w:rPr>
        <w:tab/>
      </w:r>
      <w:r>
        <w:rPr>
          <w:rFonts w:ascii="Times New Roman" w:cs="Times New Roman" w:eastAsia="Times New Roman" w:hAnsi="Times New Roman"/>
          <w:sz w:val="16"/>
          <w:szCs w:val="16"/>
          <w:color w:val="auto"/>
        </w:rPr>
        <w:t>52,951</w:t>
      </w:r>
    </w:p>
    <w:p>
      <w:pPr>
        <w:spacing w:after="0" w:line="11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6"/>
          <w:szCs w:val="16"/>
          <w:color w:val="auto"/>
        </w:rPr>
        <w:t>223,391</w:t>
      </w:r>
      <w:r>
        <w:rPr>
          <w:sz w:val="20"/>
          <w:szCs w:val="20"/>
          <w:color w:val="auto"/>
        </w:rPr>
        <w:tab/>
      </w:r>
      <w:r>
        <w:rPr>
          <w:rFonts w:ascii="Times New Roman" w:cs="Times New Roman" w:eastAsia="Times New Roman" w:hAnsi="Times New Roman"/>
          <w:sz w:val="16"/>
          <w:szCs w:val="16"/>
          <w:color w:val="auto"/>
        </w:rPr>
        <w:t>270,218</w:t>
      </w:r>
    </w:p>
    <w:p>
      <w:pPr>
        <w:spacing w:after="0" w:line="112" w:lineRule="exact"/>
        <w:rPr>
          <w:sz w:val="20"/>
          <w:szCs w:val="20"/>
          <w:color w:val="auto"/>
        </w:rPr>
      </w:pPr>
    </w:p>
    <w:p>
      <w:pPr>
        <w:sectPr>
          <w:pgSz w:w="11900" w:h="16838" w:orient="portrait"/>
          <w:cols w:equalWidth="0" w:num="2">
            <w:col w:w="8580" w:space="720"/>
            <w:col w:w="1940"/>
          </w:cols>
          <w:pgMar w:left="320" w:top="819"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right="320"/>
        <w:spacing w:after="0" w:line="245" w:lineRule="auto"/>
        <w:rPr>
          <w:sz w:val="20"/>
          <w:szCs w:val="20"/>
          <w:color w:val="auto"/>
        </w:rPr>
      </w:pPr>
      <w:r>
        <w:rPr>
          <w:rFonts w:ascii="Times New Roman" w:cs="Times New Roman" w:eastAsia="Times New Roman" w:hAnsi="Times New Roman"/>
          <w:sz w:val="16"/>
          <w:szCs w:val="16"/>
          <w:color w:val="auto"/>
        </w:rPr>
        <w:t>Long-term investments (including $30,000 and $20,000 associated with a related party as of June 30, 2025 and December 31, 2024, respectively)</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Investments in equity securities of a related party</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Current liabilities:</w:t>
      </w:r>
    </w:p>
    <w:p>
      <w:pPr>
        <w:spacing w:after="0" w:line="32" w:lineRule="exact"/>
        <w:rPr>
          <w:sz w:val="20"/>
          <w:szCs w:val="20"/>
          <w:color w:val="auto"/>
        </w:rPr>
      </w:pPr>
    </w:p>
    <w:p>
      <w:pPr>
        <w:ind w:left="180" w:right="440"/>
        <w:spacing w:after="0" w:line="245" w:lineRule="auto"/>
        <w:rPr>
          <w:sz w:val="20"/>
          <w:szCs w:val="20"/>
          <w:color w:val="auto"/>
        </w:rPr>
      </w:pPr>
      <w:r>
        <w:rPr>
          <w:rFonts w:ascii="Times New Roman" w:cs="Times New Roman" w:eastAsia="Times New Roman" w:hAnsi="Times New Roman"/>
          <w:sz w:val="16"/>
          <w:szCs w:val="16"/>
          <w:color w:val="auto"/>
        </w:rPr>
        <w:t>Accounts payable (including $18,010 and nil associated with a related party as of June 30,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6"/>
          <w:szCs w:val="16"/>
          <w:color w:val="auto"/>
        </w:rPr>
        <w:t>Finance lease liabilities, current portion</w:t>
      </w:r>
    </w:p>
    <w:p>
      <w:pPr>
        <w:spacing w:after="0" w:line="32" w:lineRule="exact"/>
        <w:rPr>
          <w:sz w:val="20"/>
          <w:szCs w:val="20"/>
          <w:color w:val="auto"/>
        </w:rPr>
      </w:pPr>
    </w:p>
    <w:p>
      <w:pPr>
        <w:ind w:left="520" w:hanging="323"/>
        <w:spacing w:after="0" w:line="245" w:lineRule="auto"/>
        <w:rPr>
          <w:sz w:val="20"/>
          <w:szCs w:val="20"/>
          <w:color w:val="auto"/>
        </w:rPr>
      </w:pPr>
      <w:r>
        <w:rPr>
          <w:rFonts w:ascii="Times New Roman" w:cs="Times New Roman" w:eastAsia="Times New Roman" w:hAnsi="Times New Roman"/>
          <w:sz w:val="16"/>
          <w:szCs w:val="16"/>
          <w:color w:val="auto"/>
        </w:rPr>
        <w:t>Other current liabilities (including $233,308 and $126,417 associated with related parties as of June 30,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40"/>
        <w:spacing w:after="0"/>
        <w:tabs>
          <w:tab w:leader="none" w:pos="1860" w:val="left"/>
        </w:tabs>
        <w:rPr>
          <w:sz w:val="20"/>
          <w:szCs w:val="20"/>
          <w:color w:val="auto"/>
        </w:rPr>
      </w:pPr>
      <w:r>
        <w:rPr>
          <w:rFonts w:ascii="Times New Roman" w:cs="Times New Roman" w:eastAsia="Times New Roman" w:hAnsi="Times New Roman"/>
          <w:sz w:val="16"/>
          <w:szCs w:val="16"/>
          <w:color w:val="auto"/>
        </w:rPr>
        <w:t>3,951,120</w:t>
      </w:r>
      <w:r>
        <w:rPr>
          <w:sz w:val="20"/>
          <w:szCs w:val="20"/>
          <w:color w:val="auto"/>
        </w:rPr>
        <w:tab/>
      </w:r>
      <w:r>
        <w:rPr>
          <w:rFonts w:ascii="Times New Roman" w:cs="Times New Roman" w:eastAsia="Times New Roman" w:hAnsi="Times New Roman"/>
          <w:sz w:val="16"/>
          <w:szCs w:val="16"/>
          <w:color w:val="auto"/>
        </w:rPr>
        <w:t>4,873,936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20320</wp:posOffset>
            </wp:positionV>
            <wp:extent cx="16630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6" w:lineRule="exact"/>
        <w:rPr>
          <w:sz w:val="20"/>
          <w:szCs w:val="20"/>
          <w:color w:val="auto"/>
        </w:rPr>
      </w:pPr>
    </w:p>
    <w:p>
      <w:pPr>
        <w:ind w:left="540"/>
        <w:spacing w:after="0"/>
        <w:tabs>
          <w:tab w:leader="none" w:pos="1860" w:val="left"/>
        </w:tabs>
        <w:rPr>
          <w:sz w:val="20"/>
          <w:szCs w:val="20"/>
          <w:color w:val="auto"/>
        </w:rPr>
      </w:pPr>
      <w:r>
        <w:rPr>
          <w:rFonts w:ascii="Times New Roman" w:cs="Times New Roman" w:eastAsia="Times New Roman" w:hAnsi="Times New Roman"/>
          <w:sz w:val="16"/>
          <w:szCs w:val="16"/>
          <w:color w:val="auto"/>
        </w:rPr>
        <w:t>3,568,248</w:t>
      </w:r>
      <w:r>
        <w:rPr>
          <w:sz w:val="20"/>
          <w:szCs w:val="20"/>
          <w:color w:val="auto"/>
        </w:rPr>
        <w:tab/>
      </w:r>
      <w:r>
        <w:rPr>
          <w:rFonts w:ascii="Times New Roman" w:cs="Times New Roman" w:eastAsia="Times New Roman" w:hAnsi="Times New Roman"/>
          <w:sz w:val="16"/>
          <w:szCs w:val="16"/>
          <w:color w:val="auto"/>
        </w:rPr>
        <w:t>3,262,612</w:t>
      </w:r>
    </w:p>
    <w:p>
      <w:pPr>
        <w:spacing w:after="0" w:line="32" w:lineRule="exact"/>
        <w:rPr>
          <w:sz w:val="20"/>
          <w:szCs w:val="20"/>
          <w:color w:val="auto"/>
        </w:rPr>
      </w:pPr>
    </w:p>
    <w:p>
      <w:pPr>
        <w:jc w:val="both"/>
        <w:ind w:left="660"/>
        <w:spacing w:after="0"/>
        <w:tabs>
          <w:tab w:leader="none" w:pos="2000" w:val="left"/>
        </w:tabs>
        <w:rPr>
          <w:sz w:val="20"/>
          <w:szCs w:val="20"/>
          <w:color w:val="auto"/>
        </w:rPr>
      </w:pPr>
      <w:r>
        <w:rPr>
          <w:rFonts w:ascii="Times New Roman" w:cs="Times New Roman" w:eastAsia="Times New Roman" w:hAnsi="Times New Roman"/>
          <w:sz w:val="16"/>
          <w:szCs w:val="16"/>
          <w:color w:val="auto"/>
        </w:rPr>
        <w:t>235,821</w:t>
      </w:r>
      <w:r>
        <w:rPr>
          <w:sz w:val="20"/>
          <w:szCs w:val="20"/>
          <w:color w:val="auto"/>
        </w:rPr>
        <w:tab/>
      </w:r>
      <w:r>
        <w:rPr>
          <w:rFonts w:ascii="Times New Roman" w:cs="Times New Roman" w:eastAsia="Times New Roman" w:hAnsi="Times New Roman"/>
          <w:sz w:val="16"/>
          <w:szCs w:val="16"/>
          <w:color w:val="auto"/>
        </w:rPr>
        <w:t>211,886</w:t>
      </w:r>
    </w:p>
    <w:p>
      <w:pPr>
        <w:spacing w:after="0" w:line="11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6"/>
          <w:szCs w:val="16"/>
          <w:color w:val="auto"/>
        </w:rPr>
        <w:t>776,677</w:t>
      </w:r>
      <w:r>
        <w:rPr>
          <w:sz w:val="20"/>
          <w:szCs w:val="20"/>
          <w:color w:val="auto"/>
        </w:rPr>
        <w:tab/>
      </w:r>
      <w:r>
        <w:rPr>
          <w:rFonts w:ascii="Times New Roman" w:cs="Times New Roman" w:eastAsia="Times New Roman" w:hAnsi="Times New Roman"/>
          <w:sz w:val="16"/>
          <w:szCs w:val="16"/>
          <w:color w:val="auto"/>
        </w:rPr>
        <w:t>1,012,223</w:t>
      </w:r>
    </w:p>
    <w:p>
      <w:pPr>
        <w:spacing w:after="0" w:line="11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6"/>
          <w:szCs w:val="16"/>
          <w:color w:val="auto"/>
        </w:rPr>
        <w:t>306,095</w:t>
      </w:r>
      <w:r>
        <w:rPr>
          <w:sz w:val="20"/>
          <w:szCs w:val="20"/>
          <w:color w:val="auto"/>
        </w:rPr>
        <w:tab/>
      </w:r>
      <w:r>
        <w:rPr>
          <w:rFonts w:ascii="Times New Roman" w:cs="Times New Roman" w:eastAsia="Times New Roman" w:hAnsi="Times New Roman"/>
          <w:sz w:val="16"/>
          <w:szCs w:val="16"/>
          <w:color w:val="auto"/>
        </w:rPr>
        <w:t>249,443</w:t>
      </w:r>
    </w:p>
    <w:p>
      <w:pPr>
        <w:spacing w:after="0" w:line="32" w:lineRule="exact"/>
        <w:rPr>
          <w:sz w:val="20"/>
          <w:szCs w:val="20"/>
          <w:color w:val="auto"/>
        </w:rPr>
      </w:pPr>
    </w:p>
    <w:p>
      <w:pPr>
        <w:ind w:left="740"/>
        <w:spacing w:after="0"/>
        <w:tabs>
          <w:tab w:leader="none" w:pos="2060" w:val="left"/>
        </w:tabs>
        <w:rPr>
          <w:sz w:val="20"/>
          <w:szCs w:val="20"/>
          <w:color w:val="auto"/>
        </w:rPr>
      </w:pPr>
      <w:r>
        <w:rPr>
          <w:rFonts w:ascii="Times New Roman" w:cs="Times New Roman" w:eastAsia="Times New Roman" w:hAnsi="Times New Roman"/>
          <w:sz w:val="16"/>
          <w:szCs w:val="16"/>
          <w:color w:val="auto"/>
        </w:rPr>
        <w:t>31,117</w:t>
      </w:r>
      <w:r>
        <w:rPr>
          <w:sz w:val="20"/>
          <w:szCs w:val="20"/>
          <w:color w:val="auto"/>
        </w:rPr>
        <w:tab/>
      </w:r>
      <w:r>
        <w:rPr>
          <w:rFonts w:ascii="Times New Roman" w:cs="Times New Roman" w:eastAsia="Times New Roman" w:hAnsi="Times New Roman"/>
          <w:sz w:val="16"/>
          <w:szCs w:val="16"/>
          <w:color w:val="auto"/>
        </w:rPr>
        <w:t>37,831</w:t>
      </w:r>
    </w:p>
    <w:p>
      <w:pPr>
        <w:spacing w:after="0" w:line="44" w:lineRule="exact"/>
        <w:rPr>
          <w:sz w:val="20"/>
          <w:szCs w:val="20"/>
          <w:color w:val="auto"/>
        </w:rPr>
      </w:pPr>
    </w:p>
    <w:p>
      <w:pPr>
        <w:spacing w:after="0"/>
        <w:tabs>
          <w:tab w:leader="none" w:pos="520" w:val="left"/>
          <w:tab w:leader="none" w:pos="1320" w:val="left"/>
          <w:tab w:leader="none" w:pos="1860" w:val="left"/>
        </w:tabs>
        <w:rPr>
          <w:sz w:val="20"/>
          <w:szCs w:val="20"/>
          <w:color w:val="auto"/>
        </w:rPr>
      </w:pP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8,869,078</w:t>
        <w:tab/>
        <w:t>$</w:t>
      </w:r>
      <w:r>
        <w:rPr>
          <w:sz w:val="20"/>
          <w:szCs w:val="20"/>
          <w:color w:val="auto"/>
        </w:rPr>
        <w:tab/>
      </w:r>
      <w:r>
        <w:rPr>
          <w:rFonts w:ascii="Times New Roman" w:cs="Times New Roman" w:eastAsia="Times New Roman" w:hAnsi="Times New Roman"/>
          <w:sz w:val="16"/>
          <w:szCs w:val="16"/>
          <w:b w:val="1"/>
          <w:bCs w:val="1"/>
          <w:color w:val="auto"/>
        </w:rPr>
        <w:t>9,647,931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47625</wp:posOffset>
            </wp:positionV>
            <wp:extent cx="16630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640" w:val="left"/>
          <w:tab w:leader="none" w:pos="1320" w:val="left"/>
          <w:tab w:leader="none" w:pos="19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213,656</w:t>
        <w:tab/>
        <w:t>$</w:t>
      </w:r>
      <w:r>
        <w:rPr>
          <w:sz w:val="20"/>
          <w:szCs w:val="20"/>
          <w:color w:val="auto"/>
        </w:rPr>
        <w:tab/>
      </w:r>
      <w:r>
        <w:rPr>
          <w:rFonts w:ascii="Times New Roman" w:cs="Times New Roman" w:eastAsia="Times New Roman" w:hAnsi="Times New Roman"/>
          <w:sz w:val="16"/>
          <w:szCs w:val="16"/>
          <w:color w:val="auto"/>
        </w:rPr>
        <w:t>133,832</w:t>
      </w:r>
    </w:p>
    <w:p>
      <w:pPr>
        <w:spacing w:after="0" w:line="113" w:lineRule="exact"/>
        <w:rPr>
          <w:sz w:val="20"/>
          <w:szCs w:val="20"/>
          <w:color w:val="auto"/>
        </w:rPr>
      </w:pPr>
    </w:p>
    <w:p>
      <w:pPr>
        <w:ind w:left="820"/>
        <w:spacing w:after="0"/>
        <w:tabs>
          <w:tab w:leader="none" w:pos="2140" w:val="left"/>
        </w:tabs>
        <w:rPr>
          <w:sz w:val="20"/>
          <w:szCs w:val="20"/>
          <w:color w:val="auto"/>
        </w:rPr>
      </w:pPr>
      <w:r>
        <w:rPr>
          <w:rFonts w:ascii="Times New Roman" w:cs="Times New Roman" w:eastAsia="Times New Roman" w:hAnsi="Times New Roman"/>
          <w:sz w:val="16"/>
          <w:szCs w:val="16"/>
          <w:color w:val="auto"/>
        </w:rPr>
        <w:t>8,141</w:t>
      </w:r>
      <w:r>
        <w:rPr>
          <w:sz w:val="20"/>
          <w:szCs w:val="20"/>
          <w:color w:val="auto"/>
        </w:rPr>
        <w:tab/>
      </w:r>
      <w:r>
        <w:rPr>
          <w:rFonts w:ascii="Times New Roman" w:cs="Times New Roman" w:eastAsia="Times New Roman" w:hAnsi="Times New Roman"/>
          <w:sz w:val="16"/>
          <w:szCs w:val="16"/>
          <w:color w:val="auto"/>
        </w:rPr>
        <w:t>6,788</w:t>
      </w:r>
    </w:p>
    <w:p>
      <w:pPr>
        <w:spacing w:after="0" w:line="113" w:lineRule="exact"/>
        <w:rPr>
          <w:sz w:val="20"/>
          <w:szCs w:val="20"/>
          <w:color w:val="auto"/>
        </w:rPr>
      </w:pPr>
    </w:p>
    <w:p>
      <w:pPr>
        <w:ind w:left="540"/>
        <w:spacing w:after="0"/>
        <w:tabs>
          <w:tab w:leader="none" w:pos="1860" w:val="left"/>
        </w:tabs>
        <w:rPr>
          <w:sz w:val="20"/>
          <w:szCs w:val="20"/>
          <w:color w:val="auto"/>
        </w:rPr>
      </w:pPr>
      <w:r>
        <w:rPr>
          <w:rFonts w:ascii="Times New Roman" w:cs="Times New Roman" w:eastAsia="Times New Roman" w:hAnsi="Times New Roman"/>
          <w:sz w:val="16"/>
          <w:szCs w:val="16"/>
          <w:color w:val="auto"/>
        </w:rPr>
        <w:t>1,312,157</w:t>
      </w:r>
      <w:r>
        <w:rPr>
          <w:sz w:val="20"/>
          <w:szCs w:val="20"/>
          <w:color w:val="auto"/>
        </w:rPr>
        <w:tab/>
      </w:r>
      <w:r>
        <w:rPr>
          <w:rFonts w:ascii="Times New Roman" w:cs="Times New Roman" w:eastAsia="Times New Roman" w:hAnsi="Times New Roman"/>
          <w:sz w:val="16"/>
          <w:szCs w:val="16"/>
          <w:color w:val="auto"/>
        </w:rPr>
        <w:t>1,024,671</w:t>
      </w:r>
    </w:p>
    <w:p>
      <w:pPr>
        <w:spacing w:after="0" w:line="111" w:lineRule="exact"/>
        <w:rPr>
          <w:sz w:val="20"/>
          <w:szCs w:val="20"/>
          <w:color w:val="auto"/>
        </w:rPr>
      </w:pPr>
    </w:p>
    <w:p>
      <w:pPr>
        <w:sectPr>
          <w:pgSz w:w="11900" w:h="16838" w:orient="portrait"/>
          <w:cols w:equalWidth="0" w:num="2">
            <w:col w:w="8480" w:space="160"/>
            <w:col w:w="2600"/>
          </w:cols>
          <w:pgMar w:left="320" w:top="819"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86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1,533,954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1,165,291</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net of current portion</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76,096</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warrant liability</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19,514</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2,038,928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2,002,151</w:t>
            </w:r>
          </w:p>
        </w:tc>
        <w:tc>
          <w:tcPr>
            <w:tcW w:w="0" w:type="dxa"/>
            <w:vAlign w:val="bottom"/>
          </w:tcPr>
          <w:p>
            <w:pPr>
              <w:spacing w:after="0"/>
              <w:rPr>
                <w:sz w:val="1"/>
                <w:szCs w:val="1"/>
                <w:color w:val="auto"/>
              </w:rPr>
            </w:pPr>
          </w:p>
        </w:tc>
      </w:tr>
      <w:tr>
        <w:trPr>
          <w:trHeight w:val="162"/>
        </w:trPr>
        <w:tc>
          <w:tcPr>
            <w:tcW w:w="8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Other long-term liabilities (including $122,889 and $121,136 associated with related parties as of June 30, 2025 and December 31,</w:t>
            </w:r>
          </w:p>
        </w:tc>
        <w:tc>
          <w:tcPr>
            <w:tcW w:w="2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600,321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572,800</w:t>
            </w:r>
          </w:p>
        </w:tc>
        <w:tc>
          <w:tcPr>
            <w:tcW w:w="0" w:type="dxa"/>
            <w:vAlign w:val="bottom"/>
          </w:tcPr>
          <w:p>
            <w:pPr>
              <w:spacing w:after="0"/>
              <w:rPr>
                <w:sz w:val="1"/>
                <w:szCs w:val="1"/>
                <w:color w:val="auto"/>
              </w:rPr>
            </w:pPr>
          </w:p>
        </w:tc>
      </w:tr>
      <w:tr>
        <w:trPr>
          <w:trHeight w:val="129"/>
        </w:trPr>
        <w:tc>
          <w:tcPr>
            <w:tcW w:w="86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2024, respectively)</w:t>
            </w:r>
          </w:p>
        </w:tc>
        <w:tc>
          <w:tcPr>
            <w:tcW w:w="2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6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associated with redeemable convertible preferred stock (related party)</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639,425</w:t>
            </w:r>
          </w:p>
        </w:tc>
        <w:tc>
          <w:tcPr>
            <w:tcW w:w="0" w:type="dxa"/>
            <w:vAlign w:val="bottom"/>
          </w:tcPr>
          <w:p>
            <w:pPr>
              <w:spacing w:after="0"/>
              <w:rPr>
                <w:sz w:val="1"/>
                <w:szCs w:val="1"/>
                <w:color w:val="auto"/>
              </w:rPr>
            </w:pPr>
          </w:p>
        </w:tc>
      </w:tr>
      <w:tr>
        <w:trPr>
          <w:trHeight w:val="207"/>
        </w:trPr>
        <w:tc>
          <w:tcPr>
            <w:tcW w:w="86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4,596,897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4,475,277</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REDEEMABLE CONVERTIBLE PREFERRED STOCK</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Preferred stock 10,000,000 shares authorized as of June 30, 2025 and December 31, 2024, Series A redeemable convertible</w:t>
            </w:r>
          </w:p>
        </w:tc>
        <w:tc>
          <w:tcPr>
            <w:tcW w:w="2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1,084,589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730,025</w:t>
            </w:r>
          </w:p>
        </w:tc>
        <w:tc>
          <w:tcPr>
            <w:tcW w:w="0" w:type="dxa"/>
            <w:vAlign w:val="bottom"/>
          </w:tcPr>
          <w:p>
            <w:pPr>
              <w:spacing w:after="0"/>
              <w:rPr>
                <w:sz w:val="1"/>
                <w:szCs w:val="1"/>
                <w:color w:val="auto"/>
              </w:rPr>
            </w:pPr>
          </w:p>
        </w:tc>
      </w:tr>
      <w:tr>
        <w:trPr>
          <w:trHeight w:val="162"/>
        </w:trPr>
        <w:tc>
          <w:tcPr>
            <w:tcW w:w="86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preferred stock, par value $0.0001; 100,000 shares issued and outstanding as of June 30, 2025 and December 31, 2024;</w:t>
            </w: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liquidation preference of $1,239,789 and $1,138,825 as of June 30, 2025 and December 31, 2024, respectively (related party)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6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Preferred stock 10,000,000 shares authorized as of June 30, 2025 and December 31, 2024, Series B redeemable convertible</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780,001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569,817</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preferred stock, par value $0.0001; 75,000 shares issued and outstanding as of June 30, 2025 and December 31, 2024;</w:t>
            </w:r>
          </w:p>
        </w:tc>
        <w:tc>
          <w:tcPr>
            <w:tcW w:w="2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liquidation preference of $871,051 and $800,442 as of June 30, 2025 and December 31, 2024, respectively (related party)</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6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redeemable convertible preferred stock</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1,864,590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1,299,842</w:t>
            </w: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6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Common stock, par value $0.0001; 15,000,000,000 shares authorized as of June 30, 2025 and December 31, 2024; 3,073,203,419</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162"/>
        </w:trPr>
        <w:tc>
          <w:tcPr>
            <w:tcW w:w="862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and 3,032,219,724 shares issued and 3,072,345,594 and 3,031,361,899 shares outstanding as of June 30, 2025 and</w:t>
            </w:r>
          </w:p>
        </w:tc>
        <w:tc>
          <w:tcPr>
            <w:tcW w:w="2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16,231,681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16,808,018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at cost, 857,825 shares at June 30, 2025 and December 31, 2024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(20,716)</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(13,818,297)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(12,912,694)</w:t>
            </w:r>
          </w:p>
        </w:tc>
        <w:tc>
          <w:tcPr>
            <w:tcW w:w="0" w:type="dxa"/>
            <w:vAlign w:val="bottom"/>
          </w:tcPr>
          <w:p>
            <w:pPr>
              <w:spacing w:after="0"/>
              <w:rPr>
                <w:sz w:val="1"/>
                <w:szCs w:val="1"/>
                <w:color w:val="auto"/>
              </w:rPr>
            </w:pPr>
          </w:p>
        </w:tc>
      </w:tr>
      <w:tr>
        <w:trPr>
          <w:trHeight w:val="207"/>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2,407,591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3,872,812</w:t>
            </w:r>
          </w:p>
        </w:tc>
        <w:tc>
          <w:tcPr>
            <w:tcW w:w="0" w:type="dxa"/>
            <w:vAlign w:val="bottom"/>
          </w:tcPr>
          <w:p>
            <w:pPr>
              <w:spacing w:after="0"/>
              <w:rPr>
                <w:sz w:val="1"/>
                <w:szCs w:val="1"/>
                <w:color w:val="auto"/>
              </w:rPr>
            </w:pPr>
          </w:p>
        </w:tc>
      </w:tr>
      <w:tr>
        <w:trPr>
          <w:trHeight w:val="236"/>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REDEEMABLE CONVERTIBLE PREFERRED STOCK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8,869,078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9,647,931</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240"/>
          </w:cols>
          <w:pgMar w:left="320" w:top="819" w:right="339" w:bottom="1440" w:gutter="0" w:footer="0" w:header="0"/>
          <w:type w:val="continuous"/>
        </w:sectPr>
      </w:pP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46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Revenue (including $30,247 and $36,470 from a related party for the three months</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8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ended June 30, 2025 and 2024, and $35,343 and $87,836 for the six months ended</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259,432</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200,581</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494,480</w:t>
            </w: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373,321</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30, 2025 and 2024, respectively)</w:t>
            </w:r>
          </w:p>
        </w:tc>
        <w:tc>
          <w:tcPr>
            <w:tcW w:w="2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Cost of revenue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531,783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470,355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995,343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875,151</w:t>
            </w: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273,839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287,170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525,085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571,797</w:t>
            </w:r>
          </w:p>
        </w:tc>
        <w:tc>
          <w:tcPr>
            <w:tcW w:w="0" w:type="dxa"/>
            <w:vAlign w:val="bottom"/>
          </w:tcPr>
          <w:p>
            <w:pPr>
              <w:spacing w:after="0"/>
              <w:rPr>
                <w:sz w:val="1"/>
                <w:szCs w:val="1"/>
                <w:color w:val="auto"/>
              </w:rPr>
            </w:pPr>
          </w:p>
        </w:tc>
      </w:tr>
      <w:tr>
        <w:trPr>
          <w:trHeight w:val="226"/>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256,857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210,245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469,032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423,477</w:t>
            </w: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Restructuring charges</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20,228</w:t>
            </w:r>
          </w:p>
        </w:tc>
        <w:tc>
          <w:tcPr>
            <w:tcW w:w="0" w:type="dxa"/>
            <w:vAlign w:val="bottom"/>
          </w:tcPr>
          <w:p>
            <w:pPr>
              <w:spacing w:after="0"/>
              <w:rPr>
                <w:sz w:val="1"/>
                <w:szCs w:val="1"/>
                <w:color w:val="auto"/>
              </w:rPr>
            </w:pPr>
          </w:p>
        </w:tc>
      </w:tr>
      <w:tr>
        <w:trPr>
          <w:trHeight w:val="219"/>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cost and expenses</w:t>
            </w: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1,062,479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987,998</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1,989,460</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1,890,653</w:t>
            </w:r>
          </w:p>
        </w:tc>
        <w:tc>
          <w:tcPr>
            <w:tcW w:w="0" w:type="dxa"/>
            <w:vAlign w:val="bottom"/>
          </w:tcPr>
          <w:p>
            <w:pPr>
              <w:spacing w:after="0"/>
              <w:rPr>
                <w:sz w:val="1"/>
                <w:szCs w:val="1"/>
                <w:color w:val="auto"/>
              </w:rPr>
            </w:pPr>
          </w:p>
        </w:tc>
      </w:tr>
      <w:tr>
        <w:trPr>
          <w:trHeight w:val="200"/>
        </w:trPr>
        <w:tc>
          <w:tcPr>
            <w:tcW w:w="5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(803,047)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(787,417)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(1,494,980)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(1,517,332)</w:t>
            </w:r>
          </w:p>
        </w:tc>
        <w:tc>
          <w:tcPr>
            <w:tcW w:w="0" w:type="dxa"/>
            <w:vAlign w:val="bottom"/>
          </w:tcPr>
          <w:p>
            <w:pPr>
              <w:spacing w:after="0"/>
              <w:rPr>
                <w:sz w:val="1"/>
                <w:szCs w:val="1"/>
                <w:color w:val="auto"/>
              </w:rPr>
            </w:pPr>
          </w:p>
        </w:tc>
      </w:tr>
      <w:tr>
        <w:trPr>
          <w:trHeight w:val="220"/>
        </w:trPr>
        <w:tc>
          <w:tcPr>
            <w:tcW w:w="5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common stock warrant liability</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34,593</w:t>
            </w:r>
          </w:p>
        </w:tc>
        <w:tc>
          <w:tcPr>
            <w:tcW w:w="0" w:type="dxa"/>
            <w:vAlign w:val="bottom"/>
          </w:tcPr>
          <w:p>
            <w:pPr>
              <w:spacing w:after="0"/>
              <w:rPr>
                <w:sz w:val="1"/>
                <w:szCs w:val="1"/>
                <w:color w:val="auto"/>
              </w:rPr>
            </w:pPr>
          </w:p>
        </w:tc>
      </w:tr>
      <w:tr>
        <w:trPr>
          <w:trHeight w:val="226"/>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fair value of equity securities of a related party</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(29,323)</w:t>
            </w:r>
          </w:p>
        </w:tc>
        <w:tc>
          <w:tcPr>
            <w:tcW w:w="0" w:type="dxa"/>
            <w:vAlign w:val="bottom"/>
          </w:tcPr>
          <w:p>
            <w:pPr>
              <w:spacing w:after="0"/>
              <w:rPr>
                <w:sz w:val="1"/>
                <w:szCs w:val="1"/>
                <w:color w:val="auto"/>
              </w:rPr>
            </w:pPr>
          </w:p>
        </w:tc>
      </w:tr>
      <w:tr>
        <w:trPr>
          <w:trHeight w:val="171"/>
        </w:trPr>
        <w:tc>
          <w:tcPr>
            <w:tcW w:w="586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7"/>
                <w:szCs w:val="17"/>
                <w:color w:val="auto"/>
              </w:rPr>
              <w:t>Change in fair value of derivative liabilities associated with redeemable convertible</w:t>
            </w:r>
          </w:p>
        </w:tc>
        <w:tc>
          <w:tcPr>
            <w:tcW w:w="2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393,175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103,000</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preferred stock (related party)</w:t>
            </w:r>
          </w:p>
        </w:tc>
        <w:tc>
          <w:tcPr>
            <w:tcW w:w="2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54,553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96,527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105,184</w:t>
            </w:r>
          </w:p>
        </w:tc>
        <w:tc>
          <w:tcPr>
            <w:tcW w:w="0" w:type="dxa"/>
            <w:vAlign w:val="bottom"/>
          </w:tcPr>
          <w:p>
            <w:pPr>
              <w:spacing w:after="0"/>
              <w:rPr>
                <w:sz w:val="1"/>
                <w:szCs w:val="1"/>
                <w:color w:val="auto"/>
              </w:rPr>
            </w:pPr>
          </w:p>
        </w:tc>
      </w:tr>
      <w:tr>
        <w:trPr>
          <w:trHeight w:val="167"/>
        </w:trPr>
        <w:tc>
          <w:tcPr>
            <w:tcW w:w="586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Interest expense (including $4,912 and $1,322 to a related party for the three</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60" w:type="dxa"/>
            <w:vAlign w:val="bottom"/>
          </w:tcPr>
          <w:p>
            <w:pPr>
              <w:ind w:left="140"/>
              <w:spacing w:after="0" w:line="171" w:lineRule="exact"/>
              <w:rPr>
                <w:sz w:val="20"/>
                <w:szCs w:val="20"/>
                <w:color w:val="auto"/>
              </w:rPr>
            </w:pPr>
            <w:r>
              <w:rPr>
                <w:rFonts w:ascii="Times New Roman" w:cs="Times New Roman" w:eastAsia="Times New Roman" w:hAnsi="Times New Roman"/>
                <w:sz w:val="17"/>
                <w:szCs w:val="17"/>
                <w:color w:val="auto"/>
              </w:rPr>
              <w:t>months ended June 30, 2025 and 2024, and $8,612 and $2,703 for the six months</w:t>
            </w: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(23,749)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(6,673)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(35,632)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(14,174)</w:t>
            </w:r>
          </w:p>
        </w:tc>
        <w:tc>
          <w:tcPr>
            <w:tcW w:w="0" w:type="dxa"/>
            <w:vAlign w:val="bottom"/>
          </w:tcPr>
          <w:p>
            <w:pPr>
              <w:spacing w:after="0"/>
              <w:rPr>
                <w:sz w:val="1"/>
                <w:szCs w:val="1"/>
                <w:color w:val="auto"/>
              </w:rPr>
            </w:pPr>
          </w:p>
        </w:tc>
      </w:tr>
      <w:tr>
        <w:trPr>
          <w:trHeight w:val="226"/>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ended June 30, 2025 and 2024, respectively)</w:t>
            </w: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(5,067)</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6,537</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(6,074)</w:t>
            </w:r>
          </w:p>
        </w:tc>
        <w:tc>
          <w:tcPr>
            <w:tcW w:w="0" w:type="dxa"/>
            <w:vAlign w:val="bottom"/>
          </w:tcPr>
          <w:p>
            <w:pPr>
              <w:spacing w:after="0"/>
              <w:rPr>
                <w:sz w:val="1"/>
                <w:szCs w:val="1"/>
                <w:color w:val="auto"/>
              </w:rPr>
            </w:pPr>
          </w:p>
        </w:tc>
      </w:tr>
      <w:tr>
        <w:trPr>
          <w:trHeight w:val="219"/>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other income, net</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261,246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143,962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585,645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193,206</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provision for (benefit from) income taxes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(541,801)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(643,455)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(909,335)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(1,324,126)</w:t>
            </w:r>
          </w:p>
        </w:tc>
        <w:tc>
          <w:tcPr>
            <w:tcW w:w="0" w:type="dxa"/>
            <w:vAlign w:val="bottom"/>
          </w:tcPr>
          <w:p>
            <w:pPr>
              <w:spacing w:after="0"/>
              <w:rPr>
                <w:sz w:val="1"/>
                <w:szCs w:val="1"/>
                <w:color w:val="auto"/>
              </w:rPr>
            </w:pPr>
          </w:p>
        </w:tc>
      </w:tr>
      <w:tr>
        <w:trPr>
          <w:trHeight w:val="22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(539,432)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(643,390)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(905,603)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(1,324,249)</w:t>
            </w:r>
          </w:p>
        </w:tc>
        <w:tc>
          <w:tcPr>
            <w:tcW w:w="0" w:type="dxa"/>
            <w:vAlign w:val="bottom"/>
          </w:tcPr>
          <w:p>
            <w:pPr>
              <w:spacing w:after="0"/>
              <w:rPr>
                <w:sz w:val="1"/>
                <w:szCs w:val="1"/>
                <w:color w:val="auto"/>
              </w:rPr>
            </w:pPr>
          </w:p>
        </w:tc>
      </w:tr>
      <w:tr>
        <w:trPr>
          <w:trHeight w:val="226"/>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(199,823)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(146,861)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(564,748)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(150,762)</w:t>
            </w:r>
          </w:p>
        </w:tc>
        <w:tc>
          <w:tcPr>
            <w:tcW w:w="0" w:type="dxa"/>
            <w:vAlign w:val="bottom"/>
          </w:tcPr>
          <w:p>
            <w:pPr>
              <w:spacing w:after="0"/>
              <w:rPr>
                <w:sz w:val="1"/>
                <w:szCs w:val="1"/>
                <w:color w:val="auto"/>
              </w:rPr>
            </w:pPr>
          </w:p>
        </w:tc>
      </w:tr>
      <w:tr>
        <w:trPr>
          <w:trHeight w:val="252"/>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stockholders, basic</w:t>
            </w: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(790,251)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(1,470,351)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(1,475,011)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Interest expense on 2026 Notes</w:t>
            </w: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86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4,283</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stockholders, diluted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(855,306)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(790,251)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(1,582,428)</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(1,475,011)</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shares outstanding attributable to common stockholders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3,056,404,834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2,310,360,525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3,046,411,837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2,306,209,050</w:t>
            </w:r>
          </w:p>
        </w:tc>
        <w:tc>
          <w:tcPr>
            <w:tcW w:w="0" w:type="dxa"/>
            <w:vAlign w:val="bottom"/>
          </w:tcPr>
          <w:p>
            <w:pPr>
              <w:spacing w:after="0"/>
              <w:rPr>
                <w:sz w:val="1"/>
                <w:szCs w:val="1"/>
                <w:color w:val="auto"/>
              </w:rPr>
            </w:pPr>
          </w:p>
        </w:tc>
      </w:tr>
      <w:tr>
        <w:trPr>
          <w:trHeight w:val="226"/>
        </w:trPr>
        <w:tc>
          <w:tcPr>
            <w:tcW w:w="58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3,057,882,724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2,310,360,525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3,056,708,079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2,306,209,050</w:t>
            </w:r>
          </w:p>
        </w:tc>
        <w:tc>
          <w:tcPr>
            <w:tcW w:w="0" w:type="dxa"/>
            <w:vAlign w:val="bottom"/>
          </w:tcPr>
          <w:p>
            <w:pPr>
              <w:spacing w:after="0"/>
              <w:rPr>
                <w:sz w:val="1"/>
                <w:szCs w:val="1"/>
                <w:color w:val="auto"/>
              </w:rPr>
            </w:pPr>
          </w:p>
        </w:tc>
      </w:tr>
      <w:tr>
        <w:trPr>
          <w:trHeight w:val="220"/>
        </w:trPr>
        <w:tc>
          <w:tcPr>
            <w:tcW w:w="5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share attributable to common stockholders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0" w:type="dxa"/>
            <w:vAlign w:val="bottom"/>
          </w:tcPr>
          <w:p>
            <w:pPr>
              <w:spacing w:after="0"/>
              <w:rPr>
                <w:sz w:val="1"/>
                <w:szCs w:val="1"/>
                <w:color w:val="auto"/>
              </w:rPr>
            </w:pPr>
          </w:p>
        </w:tc>
      </w:tr>
      <w:tr>
        <w:trPr>
          <w:trHeight w:val="226"/>
        </w:trPr>
        <w:tc>
          <w:tcPr>
            <w:tcW w:w="58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8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0" w:type="dxa"/>
            <w:vAlign w:val="bottom"/>
          </w:tcPr>
          <w:p>
            <w:pPr>
              <w:spacing w:after="0"/>
              <w:rPr>
                <w:sz w:val="1"/>
                <w:szCs w:val="1"/>
                <w:color w:val="auto"/>
              </w:rPr>
            </w:pPr>
          </w:p>
        </w:tc>
      </w:tr>
      <w:tr>
        <w:trPr>
          <w:trHeight w:val="220"/>
        </w:trPr>
        <w:tc>
          <w:tcPr>
            <w:tcW w:w="5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6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unrealized gains (losses) on investments, net of tax</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(4,219)</w:t>
            </w:r>
          </w:p>
        </w:tc>
        <w:tc>
          <w:tcPr>
            <w:tcW w:w="0" w:type="dxa"/>
            <w:vAlign w:val="bottom"/>
          </w:tcPr>
          <w:p>
            <w:pPr>
              <w:spacing w:after="0"/>
              <w:rPr>
                <w:sz w:val="1"/>
                <w:szCs w:val="1"/>
                <w:color w:val="auto"/>
              </w:rPr>
            </w:pPr>
          </w:p>
        </w:tc>
      </w:tr>
      <w:tr>
        <w:trPr>
          <w:trHeight w:val="226"/>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12,870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(4,790)</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(9,009)</w:t>
            </w:r>
          </w:p>
        </w:tc>
        <w:tc>
          <w:tcPr>
            <w:tcW w:w="0" w:type="dxa"/>
            <w:vAlign w:val="bottom"/>
          </w:tcPr>
          <w:p>
            <w:pPr>
              <w:spacing w:after="0"/>
              <w:rPr>
                <w:sz w:val="1"/>
                <w:szCs w:val="1"/>
                <w:color w:val="auto"/>
              </w:rPr>
            </w:pPr>
          </w:p>
        </w:tc>
      </w:tr>
      <w:tr>
        <w:trPr>
          <w:trHeight w:val="219"/>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(530,166)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(645,149)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(888,888)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(1,333,258)</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(146,861)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(564,748)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(150,762)</w:t>
            </w:r>
          </w:p>
        </w:tc>
        <w:tc>
          <w:tcPr>
            <w:tcW w:w="0" w:type="dxa"/>
            <w:vAlign w:val="bottom"/>
          </w:tcPr>
          <w:p>
            <w:pPr>
              <w:spacing w:after="0"/>
              <w:rPr>
                <w:sz w:val="1"/>
                <w:szCs w:val="1"/>
                <w:color w:val="auto"/>
              </w:rPr>
            </w:pPr>
          </w:p>
        </w:tc>
      </w:tr>
      <w:tr>
        <w:trPr>
          <w:trHeight w:val="227"/>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 attributable to common stockholders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(729,989)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(792,010)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(1,453,636)</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(1,484,020)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240"/>
          </w:cols>
          <w:pgMar w:left="320" w:top="981" w:right="339" w:bottom="1440" w:gutter="0" w:footer="0" w:header="0"/>
        </w:sect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20" w:type="dxa"/>
            <w:vAlign w:val="bottom"/>
            <w:shd w:val="clear" w:color="auto" w:fill="000000"/>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6"/>
            <w:vMerge w:val="restart"/>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Convertible</w:t>
            </w:r>
          </w:p>
        </w:tc>
        <w:tc>
          <w:tcPr>
            <w:tcW w:w="20" w:type="dxa"/>
            <w:vAlign w:val="bottom"/>
            <w:shd w:val="clear" w:color="auto" w:fill="000000"/>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520" w:type="dxa"/>
            <w:vAlign w:val="bottom"/>
            <w:gridSpan w:val="6"/>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restart"/>
          </w:tcPr>
          <w:p>
            <w:pPr>
              <w:jc w:val="center"/>
              <w:ind w:right="107"/>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67"/>
        </w:trPr>
        <w:tc>
          <w:tcPr>
            <w:tcW w:w="2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gridSpan w:val="5"/>
            <w:vMerge w:val="restart"/>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80" w:type="dxa"/>
            <w:vAlign w:val="bottom"/>
            <w:vMerge w:val="restart"/>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7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w w:val="98"/>
              </w:rPr>
              <w:t>Treasury</w:t>
            </w:r>
          </w:p>
        </w:tc>
        <w:tc>
          <w:tcPr>
            <w:tcW w:w="12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6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shd w:val="clear" w:color="auto" w:fill="000000"/>
          </w:tcPr>
          <w:p>
            <w:pPr>
              <w:spacing w:after="0"/>
              <w:rPr>
                <w:sz w:val="18"/>
                <w:szCs w:val="18"/>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4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8"/>
                <w:szCs w:val="18"/>
                <w:color w:val="auto"/>
              </w:rPr>
            </w:pPr>
          </w:p>
        </w:tc>
        <w:tc>
          <w:tcPr>
            <w:tcW w:w="820" w:type="dxa"/>
            <w:vAlign w:val="bottom"/>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175,000</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b w:val="1"/>
                <w:bCs w:val="1"/>
                <w:color w:val="auto"/>
                <w:w w:val="99"/>
              </w:rPr>
              <w:t>$ 1,664,767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9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3,048,800,731</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305</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$ 16,477,601</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 (20,716)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5,350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(13,278,865)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3,183,675</w:t>
            </w:r>
          </w:p>
        </w:tc>
        <w:tc>
          <w:tcPr>
            <w:tcW w:w="0" w:type="dxa"/>
            <w:vAlign w:val="bottom"/>
          </w:tcPr>
          <w:p>
            <w:pPr>
              <w:spacing w:after="0"/>
              <w:rPr>
                <w:sz w:val="1"/>
                <w:szCs w:val="1"/>
                <w:color w:val="auto"/>
              </w:rPr>
            </w:pPr>
          </w:p>
        </w:tc>
      </w:tr>
      <w:tr>
        <w:trPr>
          <w:trHeight w:val="213"/>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6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(539,432)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(539,432)</w:t>
            </w:r>
          </w:p>
        </w:tc>
        <w:tc>
          <w:tcPr>
            <w:tcW w:w="0" w:type="dxa"/>
            <w:vAlign w:val="bottom"/>
          </w:tcPr>
          <w:p>
            <w:pPr>
              <w:spacing w:after="0"/>
              <w:rPr>
                <w:sz w:val="1"/>
                <w:szCs w:val="1"/>
                <w:color w:val="auto"/>
              </w:rPr>
            </w:pPr>
          </w:p>
        </w:tc>
      </w:tr>
      <w:tr>
        <w:trPr>
          <w:trHeight w:val="219"/>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9"/>
                <w:szCs w:val="19"/>
                <w:color w:val="auto"/>
              </w:rPr>
            </w:pPr>
          </w:p>
        </w:tc>
        <w:tc>
          <w:tcPr>
            <w:tcW w:w="104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9,266</w:t>
            </w:r>
          </w:p>
        </w:tc>
        <w:tc>
          <w:tcPr>
            <w:tcW w:w="0" w:type="dxa"/>
            <w:vAlign w:val="bottom"/>
          </w:tcPr>
          <w:p>
            <w:pPr>
              <w:spacing w:after="0"/>
              <w:rPr>
                <w:sz w:val="1"/>
                <w:szCs w:val="1"/>
                <w:color w:val="auto"/>
              </w:rPr>
            </w:pPr>
          </w:p>
        </w:tc>
      </w:tr>
      <w:tr>
        <w:trPr>
          <w:trHeight w:val="162"/>
        </w:trPr>
        <w:tc>
          <w:tcPr>
            <w:tcW w:w="2920" w:type="dxa"/>
            <w:vAlign w:val="bottom"/>
            <w:gridSpan w:val="3"/>
          </w:tcPr>
          <w:p>
            <w:pPr>
              <w:ind w:left="100"/>
              <w:spacing w:after="0" w:line="162" w:lineRule="exact"/>
              <w:rPr>
                <w:sz w:val="20"/>
                <w:szCs w:val="20"/>
                <w:color w:val="auto"/>
              </w:rPr>
            </w:pPr>
            <w:r>
              <w:rPr>
                <w:rFonts w:ascii="Times New Roman" w:cs="Times New Roman" w:eastAsia="Times New Roman" w:hAnsi="Times New Roman"/>
                <w:sz w:val="16"/>
                <w:szCs w:val="16"/>
                <w:color w:val="auto"/>
              </w:rPr>
              <w:t>Tax withholding payments for net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settlement of employee awards</w:t>
            </w:r>
          </w:p>
        </w:tc>
        <w:tc>
          <w:tcPr>
            <w:tcW w:w="6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(6,172)</w:t>
            </w:r>
          </w:p>
        </w:tc>
        <w:tc>
          <w:tcPr>
            <w:tcW w:w="8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(6,172)</w:t>
            </w:r>
          </w:p>
        </w:tc>
        <w:tc>
          <w:tcPr>
            <w:tcW w:w="0" w:type="dxa"/>
            <w:vAlign w:val="bottom"/>
          </w:tcPr>
          <w:p>
            <w:pPr>
              <w:spacing w:after="0"/>
              <w:rPr>
                <w:sz w:val="1"/>
                <w:szCs w:val="1"/>
                <w:color w:val="auto"/>
              </w:rPr>
            </w:pPr>
          </w:p>
        </w:tc>
      </w:tr>
      <w:tr>
        <w:trPr>
          <w:trHeight w:val="165"/>
        </w:trPr>
        <w:tc>
          <w:tcPr>
            <w:tcW w:w="2920" w:type="dxa"/>
            <w:vAlign w:val="bottom"/>
            <w:gridSpan w:val="3"/>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Issuance of common stock upon vesting</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 employee RSUs</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8"/>
                <w:szCs w:val="18"/>
                <w:color w:val="auto"/>
              </w:rPr>
            </w:pPr>
          </w:p>
        </w:tc>
        <w:tc>
          <w:tcPr>
            <w:tcW w:w="9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14,642,058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gridSpan w:val="3"/>
          </w:tcPr>
          <w:p>
            <w:pPr>
              <w:ind w:left="100"/>
              <w:spacing w:after="0" w:line="162"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6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6,854,017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12,695</w:t>
            </w:r>
          </w:p>
        </w:tc>
        <w:tc>
          <w:tcPr>
            <w:tcW w:w="8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12,696</w:t>
            </w:r>
          </w:p>
        </w:tc>
        <w:tc>
          <w:tcPr>
            <w:tcW w:w="0" w:type="dxa"/>
            <w:vAlign w:val="bottom"/>
          </w:tcPr>
          <w:p>
            <w:pPr>
              <w:spacing w:after="0"/>
              <w:rPr>
                <w:sz w:val="1"/>
                <w:szCs w:val="1"/>
                <w:color w:val="auto"/>
              </w:rPr>
            </w:pPr>
          </w:p>
        </w:tc>
      </w:tr>
      <w:tr>
        <w:trPr>
          <w:trHeight w:val="165"/>
        </w:trPr>
        <w:tc>
          <w:tcPr>
            <w:tcW w:w="2920" w:type="dxa"/>
            <w:vAlign w:val="bottom"/>
            <w:gridSpan w:val="3"/>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Issuance of common stock upon exercise</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 stock options</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8"/>
                <w:szCs w:val="18"/>
                <w:color w:val="auto"/>
              </w:rPr>
            </w:pPr>
          </w:p>
        </w:tc>
        <w:tc>
          <w:tcPr>
            <w:tcW w:w="9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2,048,788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213"/>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Purchase of capped call options</w:t>
            </w:r>
          </w:p>
        </w:tc>
        <w:tc>
          <w:tcPr>
            <w:tcW w:w="6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(118,250)</w:t>
            </w:r>
          </w:p>
        </w:tc>
        <w:tc>
          <w:tcPr>
            <w:tcW w:w="8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(118,250)</w:t>
            </w:r>
          </w:p>
        </w:tc>
        <w:tc>
          <w:tcPr>
            <w:tcW w:w="0" w:type="dxa"/>
            <w:vAlign w:val="bottom"/>
          </w:tcPr>
          <w:p>
            <w:pPr>
              <w:spacing w:after="0"/>
              <w:rPr>
                <w:sz w:val="1"/>
                <w:szCs w:val="1"/>
                <w:color w:val="auto"/>
              </w:rPr>
            </w:pPr>
          </w:p>
        </w:tc>
      </w:tr>
      <w:tr>
        <w:trPr>
          <w:trHeight w:val="165"/>
        </w:trPr>
        <w:tc>
          <w:tcPr>
            <w:tcW w:w="2920" w:type="dxa"/>
            <w:vAlign w:val="bottom"/>
            <w:gridSpan w:val="3"/>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Accretion of redeemable convertible</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preferred stock (related party)</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199,823</w:t>
            </w: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4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(199,823)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(199,823)</w:t>
            </w:r>
          </w:p>
        </w:tc>
        <w:tc>
          <w:tcPr>
            <w:tcW w:w="0" w:type="dxa"/>
            <w:vAlign w:val="bottom"/>
          </w:tcPr>
          <w:p>
            <w:pPr>
              <w:spacing w:after="0"/>
              <w:rPr>
                <w:sz w:val="1"/>
                <w:szCs w:val="1"/>
                <w:color w:val="auto"/>
              </w:rPr>
            </w:pPr>
          </w:p>
        </w:tc>
      </w:tr>
      <w:tr>
        <w:trPr>
          <w:trHeight w:val="213"/>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6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64,770</w:t>
            </w:r>
          </w:p>
        </w:tc>
        <w:tc>
          <w:tcPr>
            <w:tcW w:w="8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64,770</w:t>
            </w:r>
          </w:p>
        </w:tc>
        <w:tc>
          <w:tcPr>
            <w:tcW w:w="0" w:type="dxa"/>
            <w:vAlign w:val="bottom"/>
          </w:tcPr>
          <w:p>
            <w:pPr>
              <w:spacing w:after="0"/>
              <w:rPr>
                <w:sz w:val="1"/>
                <w:szCs w:val="1"/>
                <w:color w:val="auto"/>
              </w:rPr>
            </w:pPr>
          </w:p>
        </w:tc>
      </w:tr>
      <w:tr>
        <w:trPr>
          <w:trHeight w:val="224"/>
        </w:trPr>
        <w:tc>
          <w:tcPr>
            <w:tcW w:w="29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66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175,000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b w:val="1"/>
                <w:bCs w:val="1"/>
                <w:color w:val="auto"/>
                <w:w w:val="99"/>
              </w:rPr>
              <w:t>$ 1,864,590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96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3,072,345,594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307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$ 16,231,681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 (20,716)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(13,818,297)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2,407,591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6"/>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6"/>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Convertible</w:t>
            </w:r>
          </w:p>
        </w:tc>
        <w:tc>
          <w:tcPr>
            <w:tcW w:w="20" w:type="dxa"/>
            <w:vAlign w:val="bottom"/>
            <w:shd w:val="clear" w:color="auto" w:fill="000000"/>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520" w:type="dxa"/>
            <w:vAlign w:val="bottom"/>
            <w:gridSpan w:val="6"/>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restart"/>
          </w:tcPr>
          <w:p>
            <w:pPr>
              <w:jc w:val="center"/>
              <w:ind w:right="107"/>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0" w:type="dxa"/>
            <w:vAlign w:val="bottom"/>
            <w:vMerge w:val="restart"/>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Borders>
              <w:bottom w:val="single" w:sz="8" w:color="auto"/>
            </w:tcBorders>
            <w:gridSpan w:val="5"/>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7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w w:val="98"/>
              </w:rPr>
              <w:t>Treasury</w:t>
            </w:r>
          </w:p>
        </w:tc>
        <w:tc>
          <w:tcPr>
            <w:tcW w:w="120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$ 504,450</w:t>
            </w: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2,306,928,813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231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$ 15,134,686</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 (20,716)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(10,879,611)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4,232,190</w:t>
            </w:r>
          </w:p>
        </w:tc>
        <w:tc>
          <w:tcPr>
            <w:tcW w:w="0" w:type="dxa"/>
            <w:vAlign w:val="bottom"/>
          </w:tcPr>
          <w:p>
            <w:pPr>
              <w:spacing w:after="0"/>
              <w:rPr>
                <w:sz w:val="1"/>
                <w:szCs w:val="1"/>
                <w:color w:val="auto"/>
              </w:rPr>
            </w:pPr>
          </w:p>
        </w:tc>
      </w:tr>
      <w:tr>
        <w:trPr>
          <w:trHeight w:val="213"/>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6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(643,390)</w:t>
            </w:r>
          </w:p>
        </w:tc>
        <w:tc>
          <w:tcPr>
            <w:tcW w:w="0" w:type="dxa"/>
            <w:vAlign w:val="bottom"/>
          </w:tcPr>
          <w:p>
            <w:pPr>
              <w:spacing w:after="0"/>
              <w:rPr>
                <w:sz w:val="1"/>
                <w:szCs w:val="1"/>
                <w:color w:val="auto"/>
              </w:rPr>
            </w:pPr>
          </w:p>
        </w:tc>
      </w:tr>
      <w:tr>
        <w:trPr>
          <w:trHeight w:val="219"/>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9"/>
                <w:szCs w:val="19"/>
                <w:color w:val="auto"/>
              </w:rPr>
            </w:pPr>
          </w:p>
        </w:tc>
        <w:tc>
          <w:tcPr>
            <w:tcW w:w="104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0" w:type="dxa"/>
            <w:vAlign w:val="bottom"/>
          </w:tcPr>
          <w:p>
            <w:pPr>
              <w:spacing w:after="0"/>
              <w:rPr>
                <w:sz w:val="1"/>
                <w:szCs w:val="1"/>
                <w:color w:val="auto"/>
              </w:rPr>
            </w:pPr>
          </w:p>
        </w:tc>
      </w:tr>
      <w:tr>
        <w:trPr>
          <w:trHeight w:val="162"/>
        </w:trPr>
        <w:tc>
          <w:tcPr>
            <w:tcW w:w="2920" w:type="dxa"/>
            <w:vAlign w:val="bottom"/>
            <w:gridSpan w:val="3"/>
          </w:tcPr>
          <w:p>
            <w:pPr>
              <w:ind w:left="100"/>
              <w:spacing w:after="0" w:line="162" w:lineRule="exact"/>
              <w:rPr>
                <w:sz w:val="20"/>
                <w:szCs w:val="20"/>
                <w:color w:val="auto"/>
              </w:rPr>
            </w:pPr>
            <w:r>
              <w:rPr>
                <w:rFonts w:ascii="Times New Roman" w:cs="Times New Roman" w:eastAsia="Times New Roman" w:hAnsi="Times New Roman"/>
                <w:sz w:val="16"/>
                <w:szCs w:val="16"/>
                <w:color w:val="auto"/>
              </w:rPr>
              <w:t>Tax withholding payments for net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settlement of employee awards</w:t>
            </w:r>
          </w:p>
        </w:tc>
        <w:tc>
          <w:tcPr>
            <w:tcW w:w="6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8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0" w:type="dxa"/>
            <w:vAlign w:val="bottom"/>
          </w:tcPr>
          <w:p>
            <w:pPr>
              <w:spacing w:after="0"/>
              <w:rPr>
                <w:sz w:val="1"/>
                <w:szCs w:val="1"/>
                <w:color w:val="auto"/>
              </w:rPr>
            </w:pPr>
          </w:p>
        </w:tc>
      </w:tr>
      <w:tr>
        <w:trPr>
          <w:trHeight w:val="165"/>
        </w:trPr>
        <w:tc>
          <w:tcPr>
            <w:tcW w:w="2920" w:type="dxa"/>
            <w:vAlign w:val="bottom"/>
            <w:gridSpan w:val="3"/>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Issuance of common stock upon vesting of</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employee RSUs</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8"/>
                <w:szCs w:val="18"/>
                <w:color w:val="auto"/>
              </w:rPr>
            </w:pPr>
          </w:p>
        </w:tc>
        <w:tc>
          <w:tcPr>
            <w:tcW w:w="9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6,472,275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gridSpan w:val="3"/>
          </w:tcPr>
          <w:p>
            <w:pPr>
              <w:ind w:left="100"/>
              <w:spacing w:after="0" w:line="162"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6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4,601,557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11,104</w:t>
            </w:r>
          </w:p>
        </w:tc>
        <w:tc>
          <w:tcPr>
            <w:tcW w:w="8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11,104</w:t>
            </w:r>
          </w:p>
        </w:tc>
        <w:tc>
          <w:tcPr>
            <w:tcW w:w="0" w:type="dxa"/>
            <w:vAlign w:val="bottom"/>
          </w:tcPr>
          <w:p>
            <w:pPr>
              <w:spacing w:after="0"/>
              <w:rPr>
                <w:sz w:val="1"/>
                <w:szCs w:val="1"/>
                <w:color w:val="auto"/>
              </w:rPr>
            </w:pPr>
          </w:p>
        </w:tc>
      </w:tr>
      <w:tr>
        <w:trPr>
          <w:trHeight w:val="165"/>
        </w:trPr>
        <w:tc>
          <w:tcPr>
            <w:tcW w:w="2920" w:type="dxa"/>
            <w:vAlign w:val="bottom"/>
            <w:gridSpan w:val="3"/>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Issuance of common stock upon exercise</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 stock options</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8"/>
                <w:szCs w:val="18"/>
                <w:color w:val="auto"/>
              </w:rPr>
            </w:pPr>
          </w:p>
        </w:tc>
        <w:tc>
          <w:tcPr>
            <w:tcW w:w="9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683,259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162"/>
        </w:trPr>
        <w:tc>
          <w:tcPr>
            <w:tcW w:w="2920" w:type="dxa"/>
            <w:vAlign w:val="bottom"/>
            <w:gridSpan w:val="3"/>
          </w:tcPr>
          <w:p>
            <w:pPr>
              <w:ind w:left="100"/>
              <w:spacing w:after="0" w:line="162" w:lineRule="exact"/>
              <w:rPr>
                <w:sz w:val="20"/>
                <w:szCs w:val="20"/>
                <w:color w:val="auto"/>
              </w:rPr>
            </w:pPr>
            <w:r>
              <w:rPr>
                <w:rFonts w:ascii="Times New Roman" w:cs="Times New Roman" w:eastAsia="Times New Roman" w:hAnsi="Times New Roman"/>
                <w:sz w:val="16"/>
                <w:szCs w:val="16"/>
                <w:color w:val="auto"/>
              </w:rPr>
              <w:t>Accretion of Series A redeemable</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convertible preferred stock (related party)</w:t>
            </w:r>
          </w:p>
        </w:tc>
        <w:tc>
          <w:tcPr>
            <w:tcW w:w="6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7"/>
              <w:spacing w:after="0"/>
              <w:rPr>
                <w:sz w:val="20"/>
                <w:szCs w:val="20"/>
                <w:color w:val="auto"/>
              </w:rPr>
            </w:pPr>
            <w:r>
              <w:rPr>
                <w:rFonts w:ascii="Times New Roman" w:cs="Times New Roman" w:eastAsia="Times New Roman" w:hAnsi="Times New Roman"/>
                <w:sz w:val="14"/>
                <w:szCs w:val="14"/>
                <w:color w:val="auto"/>
              </w:rPr>
              <w:t>146,861</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(146,861)</w:t>
            </w:r>
          </w:p>
        </w:tc>
        <w:tc>
          <w:tcPr>
            <w:tcW w:w="8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(146,861)</w:t>
            </w:r>
          </w:p>
        </w:tc>
        <w:tc>
          <w:tcPr>
            <w:tcW w:w="0" w:type="dxa"/>
            <w:vAlign w:val="bottom"/>
          </w:tcPr>
          <w:p>
            <w:pPr>
              <w:spacing w:after="0"/>
              <w:rPr>
                <w:sz w:val="1"/>
                <w:szCs w:val="1"/>
                <w:color w:val="auto"/>
              </w:rPr>
            </w:pPr>
          </w:p>
        </w:tc>
      </w:tr>
      <w:tr>
        <w:trPr>
          <w:trHeight w:val="219"/>
        </w:trPr>
        <w:tc>
          <w:tcPr>
            <w:tcW w:w="2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9"/>
                <w:szCs w:val="19"/>
                <w:color w:val="auto"/>
              </w:rPr>
            </w:pPr>
          </w:p>
        </w:tc>
        <w:tc>
          <w:tcPr>
            <w:tcW w:w="104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65,897</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65,897</w:t>
            </w:r>
          </w:p>
        </w:tc>
        <w:tc>
          <w:tcPr>
            <w:tcW w:w="0" w:type="dxa"/>
            <w:vAlign w:val="bottom"/>
          </w:tcPr>
          <w:p>
            <w:pPr>
              <w:spacing w:after="0"/>
              <w:rPr>
                <w:sz w:val="1"/>
                <w:szCs w:val="1"/>
                <w:color w:val="auto"/>
              </w:rPr>
            </w:pPr>
          </w:p>
        </w:tc>
      </w:tr>
      <w:tr>
        <w:trPr>
          <w:trHeight w:val="236"/>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100,000</w:t>
            </w:r>
          </w:p>
        </w:tc>
        <w:tc>
          <w:tcPr>
            <w:tcW w:w="6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$ 651,311</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2,318,685,904</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232</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$ 15,063,541</w:t>
            </w: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(20,716)</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(4,159)</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(11,523,001)</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3,515,897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19"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EQUITY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jc w:val="center"/>
              <w:ind w:left="85"/>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2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4"/>
            <w:vMerge w:val="restart"/>
          </w:tcPr>
          <w:p>
            <w:pPr>
              <w:jc w:val="center"/>
              <w:ind w:left="25"/>
              <w:spacing w:after="0" w:line="162" w:lineRule="exact"/>
              <w:rPr>
                <w:sz w:val="20"/>
                <w:szCs w:val="20"/>
                <w:color w:val="auto"/>
              </w:rPr>
            </w:pPr>
            <w:r>
              <w:rPr>
                <w:rFonts w:ascii="Times New Roman" w:cs="Times New Roman" w:eastAsia="Times New Roman" w:hAnsi="Times New Roman"/>
                <w:sz w:val="16"/>
                <w:szCs w:val="16"/>
                <w:b w:val="1"/>
                <w:bCs w:val="1"/>
                <w:color w:val="auto"/>
              </w:rPr>
              <w:t>Convertible</w:t>
            </w:r>
          </w:p>
        </w:tc>
        <w:tc>
          <w:tcPr>
            <w:tcW w:w="2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restart"/>
          </w:tcPr>
          <w:p>
            <w:pPr>
              <w:jc w:val="center"/>
              <w:ind w:right="107"/>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94"/>
        </w:trPr>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5"/>
            <w:vMerge w:val="restart"/>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0" w:type="dxa"/>
            <w:vAlign w:val="bottom"/>
            <w:tcBorders>
              <w:right w:val="single" w:sz="8" w:color="auto"/>
            </w:tcBorders>
            <w:vMerge w:val="restart"/>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5"/>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Borders>
              <w:bottom w:val="single" w:sz="8" w:color="auto"/>
            </w:tcBorders>
            <w:gridSpan w:val="3"/>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740" w:type="dxa"/>
            <w:vAlign w:val="bottom"/>
            <w:gridSpan w:val="2"/>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Treasury</w:t>
            </w:r>
          </w:p>
        </w:tc>
        <w:tc>
          <w:tcPr>
            <w:tcW w:w="120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80" w:type="dxa"/>
            <w:vAlign w:val="bottom"/>
          </w:tcPr>
          <w:p>
            <w:pPr>
              <w:spacing w:after="0" w:line="20" w:lineRule="exact"/>
              <w:rPr>
                <w:sz w:val="1"/>
                <w:szCs w:val="1"/>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80" w:type="dxa"/>
            <w:vAlign w:val="bottom"/>
          </w:tcPr>
          <w:p>
            <w:pPr>
              <w:spacing w:after="0" w:line="20" w:lineRule="exact"/>
              <w:rPr>
                <w:sz w:val="1"/>
                <w:szCs w:val="1"/>
                <w:color w:val="auto"/>
              </w:rPr>
            </w:pPr>
          </w:p>
        </w:tc>
        <w:tc>
          <w:tcPr>
            <w:tcW w:w="78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line="20" w:lineRule="exact"/>
              <w:rPr>
                <w:sz w:val="1"/>
                <w:szCs w:val="1"/>
                <w:color w:val="auto"/>
              </w:rPr>
            </w:pP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4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8"/>
                <w:szCs w:val="18"/>
                <w:color w:val="auto"/>
              </w:rPr>
            </w:pPr>
          </w:p>
        </w:tc>
        <w:tc>
          <w:tcPr>
            <w:tcW w:w="820" w:type="dxa"/>
            <w:vAlign w:val="bottom"/>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January 1, 2025</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175,000</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$ 1,299,842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b w:val="1"/>
                <w:bCs w:val="1"/>
                <w:color w:val="auto"/>
                <w:w w:val="99"/>
              </w:rPr>
              <w:t>3,031,361,899</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303</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b w:val="1"/>
                <w:bCs w:val="1"/>
                <w:color w:val="auto"/>
                <w:w w:val="97"/>
              </w:rPr>
              <w:t>$ 16,808,018</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 (20,716)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(12,912,694)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3,872,812</w:t>
            </w:r>
          </w:p>
        </w:tc>
        <w:tc>
          <w:tcPr>
            <w:tcW w:w="0" w:type="dxa"/>
            <w:vAlign w:val="bottom"/>
          </w:tcPr>
          <w:p>
            <w:pPr>
              <w:spacing w:after="0"/>
              <w:rPr>
                <w:sz w:val="1"/>
                <w:szCs w:val="1"/>
                <w:color w:val="auto"/>
              </w:rPr>
            </w:pPr>
          </w:p>
        </w:tc>
      </w:tr>
      <w:tr>
        <w:trPr>
          <w:trHeight w:val="213"/>
        </w:trPr>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(905,603)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(905,603)</w:t>
            </w:r>
          </w:p>
        </w:tc>
        <w:tc>
          <w:tcPr>
            <w:tcW w:w="0" w:type="dxa"/>
            <w:vAlign w:val="bottom"/>
          </w:tcPr>
          <w:p>
            <w:pPr>
              <w:spacing w:after="0"/>
              <w:rPr>
                <w:sz w:val="1"/>
                <w:szCs w:val="1"/>
                <w:color w:val="auto"/>
              </w:rPr>
            </w:pPr>
          </w:p>
        </w:tc>
      </w:tr>
      <w:tr>
        <w:trPr>
          <w:trHeight w:val="219"/>
        </w:trPr>
        <w:tc>
          <w:tcPr>
            <w:tcW w:w="2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16,715</w:t>
            </w:r>
          </w:p>
        </w:tc>
        <w:tc>
          <w:tcPr>
            <w:tcW w:w="0" w:type="dxa"/>
            <w:vAlign w:val="bottom"/>
          </w:tcPr>
          <w:p>
            <w:pPr>
              <w:spacing w:after="0"/>
              <w:rPr>
                <w:sz w:val="1"/>
                <w:szCs w:val="1"/>
                <w:color w:val="auto"/>
              </w:rPr>
            </w:pPr>
          </w:p>
        </w:tc>
      </w:tr>
      <w:tr>
        <w:trPr>
          <w:trHeight w:val="162"/>
        </w:trPr>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6"/>
                <w:szCs w:val="16"/>
                <w:color w:val="auto"/>
              </w:rPr>
              <w:t>Tax withholding payments for net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settlement of employee awards</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(9,449)</w:t>
            </w:r>
          </w:p>
        </w:tc>
        <w:tc>
          <w:tcPr>
            <w:tcW w:w="8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(9,449)</w:t>
            </w:r>
          </w:p>
        </w:tc>
        <w:tc>
          <w:tcPr>
            <w:tcW w:w="0" w:type="dxa"/>
            <w:vAlign w:val="bottom"/>
          </w:tcPr>
          <w:p>
            <w:pPr>
              <w:spacing w:after="0"/>
              <w:rPr>
                <w:sz w:val="1"/>
                <w:szCs w:val="1"/>
                <w:color w:val="auto"/>
              </w:rPr>
            </w:pPr>
          </w:p>
        </w:tc>
      </w:tr>
      <w:tr>
        <w:trPr>
          <w:trHeight w:val="165"/>
        </w:trPr>
        <w:tc>
          <w:tcPr>
            <w:tcW w:w="2940" w:type="dxa"/>
            <w:vAlign w:val="bottom"/>
            <w:gridSpan w:val="2"/>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Issuance of common stock upon vesting</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 employee RSUs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31,732,762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6,854,017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12,695</w:t>
            </w:r>
          </w:p>
        </w:tc>
        <w:tc>
          <w:tcPr>
            <w:tcW w:w="8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12,696</w:t>
            </w:r>
          </w:p>
        </w:tc>
        <w:tc>
          <w:tcPr>
            <w:tcW w:w="0" w:type="dxa"/>
            <w:vAlign w:val="bottom"/>
          </w:tcPr>
          <w:p>
            <w:pPr>
              <w:spacing w:after="0"/>
              <w:rPr>
                <w:sz w:val="1"/>
                <w:szCs w:val="1"/>
                <w:color w:val="auto"/>
              </w:rPr>
            </w:pPr>
          </w:p>
        </w:tc>
      </w:tr>
      <w:tr>
        <w:trPr>
          <w:trHeight w:val="165"/>
        </w:trPr>
        <w:tc>
          <w:tcPr>
            <w:tcW w:w="2940" w:type="dxa"/>
            <w:vAlign w:val="bottom"/>
            <w:gridSpan w:val="2"/>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Issuance of common stock upon exercise</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 stock options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2,396,916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1,274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0" w:type="dxa"/>
            <w:vAlign w:val="bottom"/>
          </w:tcPr>
          <w:p>
            <w:pPr>
              <w:spacing w:after="0"/>
              <w:rPr>
                <w:sz w:val="1"/>
                <w:szCs w:val="1"/>
                <w:color w:val="auto"/>
              </w:rPr>
            </w:pPr>
          </w:p>
        </w:tc>
      </w:tr>
      <w:tr>
        <w:trPr>
          <w:trHeight w:val="213"/>
        </w:trPr>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Purchase of capped call options</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(118,250)</w:t>
            </w:r>
          </w:p>
        </w:tc>
        <w:tc>
          <w:tcPr>
            <w:tcW w:w="8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(118,250)</w:t>
            </w:r>
          </w:p>
        </w:tc>
        <w:tc>
          <w:tcPr>
            <w:tcW w:w="0" w:type="dxa"/>
            <w:vAlign w:val="bottom"/>
          </w:tcPr>
          <w:p>
            <w:pPr>
              <w:spacing w:after="0"/>
              <w:rPr>
                <w:sz w:val="1"/>
                <w:szCs w:val="1"/>
                <w:color w:val="auto"/>
              </w:rPr>
            </w:pPr>
          </w:p>
        </w:tc>
      </w:tr>
      <w:tr>
        <w:trPr>
          <w:trHeight w:val="165"/>
        </w:trPr>
        <w:tc>
          <w:tcPr>
            <w:tcW w:w="2940" w:type="dxa"/>
            <w:vAlign w:val="bottom"/>
            <w:gridSpan w:val="2"/>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Accretion of redeemable convertible</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preferred stock (related party)</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564,748</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(564,748)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(564,748)</w:t>
            </w:r>
          </w:p>
        </w:tc>
        <w:tc>
          <w:tcPr>
            <w:tcW w:w="0" w:type="dxa"/>
            <w:vAlign w:val="bottom"/>
          </w:tcPr>
          <w:p>
            <w:pPr>
              <w:spacing w:after="0"/>
              <w:rPr>
                <w:sz w:val="1"/>
                <w:szCs w:val="1"/>
                <w:color w:val="auto"/>
              </w:rPr>
            </w:pPr>
          </w:p>
        </w:tc>
      </w:tr>
      <w:tr>
        <w:trPr>
          <w:trHeight w:val="213"/>
        </w:trPr>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102,144</w:t>
            </w:r>
          </w:p>
        </w:tc>
        <w:tc>
          <w:tcPr>
            <w:tcW w:w="8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102,144</w:t>
            </w:r>
          </w:p>
        </w:tc>
        <w:tc>
          <w:tcPr>
            <w:tcW w:w="0" w:type="dxa"/>
            <w:vAlign w:val="bottom"/>
          </w:tcPr>
          <w:p>
            <w:pPr>
              <w:spacing w:after="0"/>
              <w:rPr>
                <w:sz w:val="1"/>
                <w:szCs w:val="1"/>
                <w:color w:val="auto"/>
              </w:rPr>
            </w:pPr>
          </w:p>
        </w:tc>
      </w:tr>
      <w:tr>
        <w:trPr>
          <w:trHeight w:val="224"/>
        </w:trPr>
        <w:tc>
          <w:tcPr>
            <w:tcW w:w="2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66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175,000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$ 1,864,590</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b w:val="1"/>
                <w:bCs w:val="1"/>
                <w:color w:val="auto"/>
                <w:w w:val="99"/>
              </w:rPr>
              <w:t>3,072,345,594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307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b w:val="1"/>
                <w:bCs w:val="1"/>
                <w:color w:val="auto"/>
                <w:w w:val="97"/>
              </w:rPr>
              <w:t>$ 16,231,681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 (20,716)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(13,818,297)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2,407,591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4"/>
            <w:vMerge w:val="restart"/>
          </w:tcPr>
          <w:p>
            <w:pPr>
              <w:jc w:val="center"/>
              <w:ind w:left="105"/>
              <w:spacing w:after="0" w:line="162" w:lineRule="exact"/>
              <w:rPr>
                <w:sz w:val="20"/>
                <w:szCs w:val="20"/>
                <w:color w:val="auto"/>
              </w:rPr>
            </w:pPr>
            <w:r>
              <w:rPr>
                <w:rFonts w:ascii="Times New Roman" w:cs="Times New Roman" w:eastAsia="Times New Roman" w:hAnsi="Times New Roman"/>
                <w:sz w:val="16"/>
                <w:szCs w:val="16"/>
                <w:b w:val="1"/>
                <w:bCs w:val="1"/>
                <w:color w:val="auto"/>
              </w:rPr>
              <w:t>Convertible</w:t>
            </w:r>
          </w:p>
        </w:tc>
        <w:tc>
          <w:tcPr>
            <w:tcW w:w="2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restart"/>
          </w:tcPr>
          <w:p>
            <w:pPr>
              <w:jc w:val="center"/>
              <w:ind w:right="107"/>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95"/>
        </w:trPr>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5"/>
            <w:vMerge w:val="restart"/>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0" w:type="dxa"/>
            <w:vAlign w:val="bottom"/>
            <w:tcBorders>
              <w:right w:val="single" w:sz="8" w:color="auto"/>
            </w:tcBorders>
            <w:vMerge w:val="restart"/>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Borders>
              <w:bottom w:val="single" w:sz="8" w:color="auto"/>
            </w:tcBorders>
            <w:gridSpan w:val="5"/>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Borders>
              <w:bottom w:val="single" w:sz="8" w:color="auto"/>
            </w:tcBorders>
            <w:gridSpan w:val="3"/>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740" w:type="dxa"/>
            <w:vAlign w:val="bottom"/>
            <w:gridSpan w:val="2"/>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Treasury</w:t>
            </w:r>
          </w:p>
        </w:tc>
        <w:tc>
          <w:tcPr>
            <w:tcW w:w="120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80" w:type="dxa"/>
            <w:vAlign w:val="bottom"/>
          </w:tcPr>
          <w:p>
            <w:pPr>
              <w:spacing w:after="0" w:line="20" w:lineRule="exact"/>
              <w:rPr>
                <w:sz w:val="1"/>
                <w:szCs w:val="1"/>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line="20" w:lineRule="exact"/>
              <w:rPr>
                <w:sz w:val="1"/>
                <w:szCs w:val="1"/>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right w:val="single" w:sz="8" w:color="auto"/>
            </w:tcBorders>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line="20" w:lineRule="exact"/>
              <w:rPr>
                <w:sz w:val="1"/>
                <w:szCs w:val="1"/>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9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right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January 1, 2024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b w:val="1"/>
                <w:bCs w:val="1"/>
                <w:color w:val="auto"/>
                <w:w w:val="99"/>
              </w:rPr>
              <w:t>2,299,253,664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230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b w:val="1"/>
                <w:bCs w:val="1"/>
                <w:color w:val="auto"/>
                <w:w w:val="97"/>
              </w:rPr>
              <w:t>$ 15,066,080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 (20,716)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(10,198,752)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4,851,692</w:t>
            </w:r>
          </w:p>
        </w:tc>
        <w:tc>
          <w:tcPr>
            <w:tcW w:w="0" w:type="dxa"/>
            <w:vAlign w:val="bottom"/>
          </w:tcPr>
          <w:p>
            <w:pPr>
              <w:spacing w:after="0"/>
              <w:rPr>
                <w:sz w:val="1"/>
                <w:szCs w:val="1"/>
                <w:color w:val="auto"/>
              </w:rPr>
            </w:pPr>
          </w:p>
        </w:tc>
      </w:tr>
      <w:tr>
        <w:trPr>
          <w:trHeight w:val="213"/>
        </w:trPr>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(1,324,249)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(1,324,249)</w:t>
            </w:r>
          </w:p>
        </w:tc>
        <w:tc>
          <w:tcPr>
            <w:tcW w:w="0" w:type="dxa"/>
            <w:vAlign w:val="bottom"/>
          </w:tcPr>
          <w:p>
            <w:pPr>
              <w:spacing w:after="0"/>
              <w:rPr>
                <w:sz w:val="1"/>
                <w:szCs w:val="1"/>
                <w:color w:val="auto"/>
              </w:rPr>
            </w:pPr>
          </w:p>
        </w:tc>
      </w:tr>
      <w:tr>
        <w:trPr>
          <w:trHeight w:val="219"/>
        </w:trPr>
        <w:tc>
          <w:tcPr>
            <w:tcW w:w="2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(9,009)</w:t>
            </w:r>
          </w:p>
        </w:tc>
        <w:tc>
          <w:tcPr>
            <w:tcW w:w="0" w:type="dxa"/>
            <w:vAlign w:val="bottom"/>
          </w:tcPr>
          <w:p>
            <w:pPr>
              <w:spacing w:after="0"/>
              <w:rPr>
                <w:sz w:val="1"/>
                <w:szCs w:val="1"/>
                <w:color w:val="auto"/>
              </w:rPr>
            </w:pPr>
          </w:p>
        </w:tc>
      </w:tr>
      <w:tr>
        <w:trPr>
          <w:trHeight w:val="162"/>
        </w:trPr>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6"/>
                <w:szCs w:val="16"/>
                <w:color w:val="auto"/>
              </w:rPr>
              <w:t>Tax withholding payments for net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settlement of employee awards</w:t>
            </w: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w:t>
            </w:r>
          </w:p>
        </w:tc>
        <w:tc>
          <w:tcPr>
            <w:tcW w:w="8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w:t>
            </w:r>
          </w:p>
        </w:tc>
        <w:tc>
          <w:tcPr>
            <w:tcW w:w="0" w:type="dxa"/>
            <w:vAlign w:val="bottom"/>
          </w:tcPr>
          <w:p>
            <w:pPr>
              <w:spacing w:after="0"/>
              <w:rPr>
                <w:sz w:val="1"/>
                <w:szCs w:val="1"/>
                <w:color w:val="auto"/>
              </w:rPr>
            </w:pPr>
          </w:p>
        </w:tc>
      </w:tr>
      <w:tr>
        <w:trPr>
          <w:trHeight w:val="165"/>
        </w:trPr>
        <w:tc>
          <w:tcPr>
            <w:tcW w:w="2940" w:type="dxa"/>
            <w:vAlign w:val="bottom"/>
            <w:gridSpan w:val="2"/>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Issuance of common stock upon vesting of</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employee RSUs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12,732,126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 purchase plan</w:t>
            </w: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4,601,557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11,104</w:t>
            </w:r>
          </w:p>
        </w:tc>
        <w:tc>
          <w:tcPr>
            <w:tcW w:w="8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11,104</w:t>
            </w:r>
          </w:p>
        </w:tc>
        <w:tc>
          <w:tcPr>
            <w:tcW w:w="0" w:type="dxa"/>
            <w:vAlign w:val="bottom"/>
          </w:tcPr>
          <w:p>
            <w:pPr>
              <w:spacing w:after="0"/>
              <w:rPr>
                <w:sz w:val="1"/>
                <w:szCs w:val="1"/>
                <w:color w:val="auto"/>
              </w:rPr>
            </w:pPr>
          </w:p>
        </w:tc>
      </w:tr>
      <w:tr>
        <w:trPr>
          <w:trHeight w:val="165"/>
        </w:trPr>
        <w:tc>
          <w:tcPr>
            <w:tcW w:w="2940" w:type="dxa"/>
            <w:vAlign w:val="bottom"/>
            <w:gridSpan w:val="2"/>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Issuance of common stock upon exercise</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 stock options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2,098,557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2,311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0" w:type="dxa"/>
            <w:vAlign w:val="bottom"/>
          </w:tcPr>
          <w:p>
            <w:pPr>
              <w:spacing w:after="0"/>
              <w:rPr>
                <w:sz w:val="1"/>
                <w:szCs w:val="1"/>
                <w:color w:val="auto"/>
              </w:rPr>
            </w:pPr>
          </w:p>
        </w:tc>
      </w:tr>
      <w:tr>
        <w:trPr>
          <w:trHeight w:val="162"/>
        </w:trPr>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6"/>
                <w:szCs w:val="16"/>
                <w:color w:val="auto"/>
              </w:rPr>
              <w:t>Issuance of Series A redeemable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6"/>
                <w:szCs w:val="16"/>
                <w:color w:val="auto"/>
              </w:rPr>
              <w:t>convertible preferred stock, net of</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6"/>
                <w:szCs w:val="16"/>
                <w:color w:val="auto"/>
              </w:rPr>
              <w:t>derivative liability and issuance costs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(related party)</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100,000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500,549</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940" w:type="dxa"/>
            <w:vAlign w:val="bottom"/>
            <w:gridSpan w:val="2"/>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Accretion of Series A redeemable</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convertible preferred stock (related party)</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150,762</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(150,762)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(150,762)</w:t>
            </w:r>
          </w:p>
        </w:tc>
        <w:tc>
          <w:tcPr>
            <w:tcW w:w="0" w:type="dxa"/>
            <w:vAlign w:val="bottom"/>
          </w:tcPr>
          <w:p>
            <w:pPr>
              <w:spacing w:after="0"/>
              <w:rPr>
                <w:sz w:val="1"/>
                <w:szCs w:val="1"/>
                <w:color w:val="auto"/>
              </w:rPr>
            </w:pPr>
          </w:p>
        </w:tc>
      </w:tr>
      <w:tr>
        <w:trPr>
          <w:trHeight w:val="213"/>
        </w:trPr>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140,122</w:t>
            </w:r>
          </w:p>
        </w:tc>
        <w:tc>
          <w:tcPr>
            <w:tcW w:w="8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140,122</w:t>
            </w:r>
          </w:p>
        </w:tc>
        <w:tc>
          <w:tcPr>
            <w:tcW w:w="0" w:type="dxa"/>
            <w:vAlign w:val="bottom"/>
          </w:tcPr>
          <w:p>
            <w:pPr>
              <w:spacing w:after="0"/>
              <w:rPr>
                <w:sz w:val="1"/>
                <w:szCs w:val="1"/>
                <w:color w:val="auto"/>
              </w:rPr>
            </w:pPr>
          </w:p>
        </w:tc>
      </w:tr>
      <w:tr>
        <w:trPr>
          <w:trHeight w:val="224"/>
        </w:trPr>
        <w:tc>
          <w:tcPr>
            <w:tcW w:w="2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100,000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$ 651,311</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b w:val="1"/>
                <w:bCs w:val="1"/>
                <w:color w:val="auto"/>
                <w:w w:val="99"/>
              </w:rPr>
              <w:t>2,318,685,904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232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b w:val="1"/>
                <w:bCs w:val="1"/>
                <w:color w:val="auto"/>
                <w:w w:val="97"/>
              </w:rPr>
              <w:t>$ 15,063,541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 (20,716)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(11,523,001)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3,515,897</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1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(905,603)</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(1,324,249)</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135,021</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insurance premium</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17,314</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15,136</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120,709</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 and firm purchase commitments write-downs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277,541</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common stock warrant liability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(34,593)</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equity securities of a related party</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29,323</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liabilities associated with redeemable convertible preferred stock (related party)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(103,000)</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accretion of investment discounts/premiums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(44,308)</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non-cash items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4,944</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6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Accounts receivable (including $(5,599) and $(42,282) from a related party for the six months ended June 30, 2025 and 2024,</w:t>
            </w:r>
          </w:p>
        </w:tc>
        <w:tc>
          <w:tcPr>
            <w:tcW w:w="3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(13,260)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(49,612)</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(586,043)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(83,410)</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(19,269)</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(22,310)</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(23,392)</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71,722</w:t>
            </w:r>
          </w:p>
        </w:tc>
        <w:tc>
          <w:tcPr>
            <w:tcW w:w="0" w:type="dxa"/>
            <w:vAlign w:val="bottom"/>
          </w:tcPr>
          <w:p>
            <w:pPr>
              <w:spacing w:after="0"/>
              <w:rPr>
                <w:sz w:val="1"/>
                <w:szCs w:val="1"/>
                <w:color w:val="auto"/>
              </w:rPr>
            </w:pPr>
          </w:p>
        </w:tc>
      </w:tr>
      <w:tr>
        <w:trPr>
          <w:trHeight w:val="207"/>
        </w:trPr>
        <w:tc>
          <w:tcPr>
            <w:tcW w:w="86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(1,258,854)</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(1,023,732)</w:t>
            </w:r>
          </w:p>
        </w:tc>
        <w:tc>
          <w:tcPr>
            <w:tcW w:w="0" w:type="dxa"/>
            <w:vAlign w:val="bottom"/>
          </w:tcPr>
          <w:p>
            <w:pPr>
              <w:spacing w:after="0"/>
              <w:rPr>
                <w:sz w:val="1"/>
                <w:szCs w:val="1"/>
                <w:color w:val="auto"/>
              </w:rPr>
            </w:pPr>
          </w:p>
        </w:tc>
      </w:tr>
      <w:tr>
        <w:trPr>
          <w:trHeight w:val="19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6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Purchases of property, plant and equipment (including $(67,668) and $(34,068) from a related party for the six months ended</w:t>
            </w:r>
          </w:p>
        </w:tc>
        <w:tc>
          <w:tcPr>
            <w:tcW w:w="3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(343,904)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(432,512)</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June 30, 2025 and 2024, respectively)</w:t>
            </w: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60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Purchases of investments (including $(30,000) and nil from a related party for the six months ended June 30, 2025 and 2024,</w:t>
            </w: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(309,557)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(1,854,127)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3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maturities of investments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1,961,485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2,287,894</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07"/>
        </w:trPr>
        <w:tc>
          <w:tcPr>
            <w:tcW w:w="86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1,308,024</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6,255</w:t>
            </w:r>
          </w:p>
        </w:tc>
        <w:tc>
          <w:tcPr>
            <w:tcW w:w="0" w:type="dxa"/>
            <w:vAlign w:val="bottom"/>
          </w:tcPr>
          <w:p>
            <w:pPr>
              <w:spacing w:after="0"/>
              <w:rPr>
                <w:sz w:val="1"/>
                <w:szCs w:val="1"/>
                <w:color w:val="auto"/>
              </w:rPr>
            </w:pPr>
          </w:p>
        </w:tc>
      </w:tr>
      <w:tr>
        <w:trPr>
          <w:trHeight w:val="19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Series A redeemable convertible preferred stock to a related party</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of issuance costs for Series A redeemable convertible preferred stock</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for finance lease liabilities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issuance of 2030 Notes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of transaction costs for the issuance of 2030 Notes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capped call options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2026 Notes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(931,433)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borrowings from a related party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borrowings to a related party</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(4,266)</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11,104</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 withholding payments for net settlement of employee awards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(5,312)</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Payment for credit facility issuance costs to a related party</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141,676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999,565</w:t>
            </w:r>
          </w:p>
        </w:tc>
        <w:tc>
          <w:tcPr>
            <w:tcW w:w="0" w:type="dxa"/>
            <w:vAlign w:val="bottom"/>
          </w:tcPr>
          <w:p>
            <w:pPr>
              <w:spacing w:after="0"/>
              <w:rPr>
                <w:sz w:val="1"/>
                <w:szCs w:val="1"/>
                <w:color w:val="auto"/>
              </w:rPr>
            </w:pPr>
          </w:p>
        </w:tc>
      </w:tr>
      <w:tr>
        <w:trPr>
          <w:trHeight w:val="20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190,846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(17,912)</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cash, cash equivalents, and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1,607,052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1,371,507</w:t>
            </w:r>
          </w:p>
        </w:tc>
        <w:tc>
          <w:tcPr>
            <w:tcW w:w="0" w:type="dxa"/>
            <w:vAlign w:val="bottom"/>
          </w:tcPr>
          <w:p>
            <w:pPr>
              <w:spacing w:after="0"/>
              <w:rPr>
                <w:sz w:val="1"/>
                <w:szCs w:val="1"/>
                <w:color w:val="auto"/>
              </w:rPr>
            </w:pPr>
          </w:p>
        </w:tc>
      </w:tr>
      <w:tr>
        <w:trPr>
          <w:trHeight w:val="20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cash, cash equivalents, and restricted cash</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1,797,898</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1,353,595</w:t>
            </w: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240"/>
          </w:cols>
          <w:pgMar w:left="320" w:top="671"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16,387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11,587</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taxes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3,405</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73"/>
        </w:trPr>
        <w:tc>
          <w:tcPr>
            <w:tcW w:w="8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activity:</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Increases (decreases) in purchases of property, plant and equipment included in accounts payable and other current liabilities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12,399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(14,310)</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 grant (related party) reflected in property, plant and equipment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(32,640)</w:t>
            </w: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and right-of-use assets obtained through leases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143,403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240"/>
          </w:cols>
          <w:pgMar w:left="320" w:top="671" w:right="339" w:bottom="1001"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1" w:right="339" w:bottom="1001"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Lucid Group, Inc. (“Lucid”) is a technology company that is setting new standards with the world’s most advanced electric vehicles (“EVs”), the award-winning Lucid Air and new Lucid Gravity.</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Throughout the notes to the condensed consolidated financial statements, unless otherwise noted, the “Company,” “we,” “us” or “our” and similar terms refer to Lucid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The Company devotes its efforts to business planning, vehicle sales and servicing, technology access, research and development, construction and expansion of manufacturing facilities, expansion of retail studios and service centers, recruitment of management and technical staff, acquisition of operating assets, and capital raising.</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From inception through June 30, 2025, the Company has incurred operating losses and negative cash flows from operating activities. For the six months ended June 30, 2025 and 2024, the Company has incurred net losses of $0.9 billion and $1.3 billion, respectively. The Company had an accumulated deficit of $13.8 billion as of June 30, 2025.</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completed the first phase of the construction of its Advanced Manufacturing Plant-1 in Casa Grande, Arizona (“AMP-1”) in 2021, transitioned general assembly to the AMP-1 phase 2 manufacturing facility and completed the semi knocked-down (“SKD”) portion of its Advanced Manufacturing Plant-2 in Saudi Arabia (“AMP-2”) in September 2023. The Company also completed key manufacturing activities, including the paint shop, stamping, a new body shop for the Lucid Gravity, and a majority of the powertrain shop, of the AMP-1 phase 2 manufacturing facility in 2024. The Company began commercial production of its first vehicle, the Lucid Air, in September 2021 and delivered its first vehicles in late October 2021. The Company began commercial production and deliveries of its second vehicle, the Lucid Gravity, in December 2024. Currently, the AMP-1 phase 2 facility manufactures the Lucid Air and the Lucid Gravity. The Company continues to expand AMP-1, construct the completely-built-up (“CBU”) portion of AMP-2, and build a network of retail sales and service locations. The Company has plans for continued development of additional vehicle model types for future release. The aforementioned activities will require considerable capital, which is above and beyond the expected cash inflows from the current sales of Lucid vehicles. As such, the future operating plan involves considerable risk if secure funding sources are not identified and confirmed.</w:t>
      </w:r>
    </w:p>
    <w:p>
      <w:pPr>
        <w:spacing w:after="0" w:line="1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existing sources of liquidity include cash, cash equivalents, investments, and credit facilities. The Company funded operations primarily with issuances of common stock, convertible preferred stock, and convertible notes.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2022, the Company entered into a loan agreement with the Saudi Industrial Development Fund (“SIDF”) with an aggregate principal amount of up to approximately $1.4 billion, a five-year senior secured asset-based revolving credit facility (“ABL Credit Facility”) with an initial aggregate principal commitment amount of up to $1.0 billion, and revolving credit facilities (the “GIB Facility Agreement”) with Gulf International Bank (“GIB”) in an aggregate principal amount of approximately $266.1 million. The GIB Facility Agreement provided for two committed revolving credit facilities, of which $173.0 million was available as a bridge financing (the “Bridge Facility”) and $93.1 million was for general corporate purposes (the “Working Capital Facility”).</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March 2023, the Company amended the GIB Facility Agreement (together with the GIB Facility Agreement, the “2023 Amended GIB Facility Agreement”) to combine the Bridge Facility and the Working Capital Facility into a committed $266.1 million revolving credit facility (the “2023 GIB Credit Facility”). In February 2025, Lucid LLC, a limited liability company established in Saudi Arabia and a subsidiary of the Company (“Lucid LLC”), entered into an agreement to renew the 2023 GIB Credit Facility (the “2025 GIB Credit Facility”) maturing on February 24, 2028 to increase the credit facility committed amount from SAR 1.0 billion (approximately $266.1 million) to SAR 1.9 billion (approximately $506.6 million). See Note 6 “Debt” for more information.</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 w:name="page13"/>
    <w:bookmarkEnd w:id="12"/>
    <w:p>
      <w:pPr>
        <w:ind w:right="60"/>
        <w:spacing w:after="0" w:line="255" w:lineRule="auto"/>
        <w:rPr>
          <w:sz w:val="20"/>
          <w:szCs w:val="20"/>
          <w:color w:val="auto"/>
        </w:rPr>
      </w:pPr>
      <w:r>
        <w:rPr>
          <w:rFonts w:ascii="Times New Roman" w:cs="Times New Roman" w:eastAsia="Times New Roman" w:hAnsi="Times New Roman"/>
          <w:sz w:val="18"/>
          <w:szCs w:val="18"/>
          <w:color w:val="auto"/>
        </w:rPr>
        <w:t>In May 2023, the Company entered into an underwriting agreement (the “2023 Underwriting Agreement”) with BofA Securities, Inc. (the “Underwriter”), under which the Underwriter agreed to purchase from the Company shares of the Company’s common stock in a public offering for aggregate net proceeds to the Company of $1.2 billion. In May 2023, the Company also entered into a subscription agreement (the “2023 Subscription Agreement”) with Ayar Third Investment Company, the controlling stockholder of the Company (“Ayar”), pursuant to which Ayar agreed to purchase from the Company shares of the Company’s common stock in a private placement for aggregate net proceeds of $1.8 billion. In June 2023, the Company completed the public offering pursuant to the 2023 Underwriting Agreement for aggregate net proceeds of $1.2 billion and also consummated the private placement to Ayar pursuant to the 2023 Subscription Agreement for aggregate net proceeds of $1.8 billion. See Note 16 “Related Party Transactions” for more information.</w:t>
      </w:r>
    </w:p>
    <w:p>
      <w:pPr>
        <w:spacing w:after="0" w:line="18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In March 2024, the Company entered into a subscription agreement (the “Series A Subscription Agreement”) with Ayar. Pursuant to the Series A Subscription Agreement, Ayar agreed to purchase from the Company 100,000 shares of its Series A convertible preferred stock, par value $0.0001 per share (the “Series A Redeemable Convertible Preferred Stock”), for an aggregate purchase price of $1.0 billion in a private placement. Subsequently, in March 2024, the Company issued the shares to Ayar pursuant to the Series A Subscription Agreement and received aggregate net proceeds of</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$997.6 million. In August 2024, the Company entered into a subscription agreement (the “Series B Subscription Agreement”) with Ayar. Pursuant to the Series B Subscription Agreement, Ayar agreed to purchase from the Company 75,000 shares of its Series B convertible preferred stock, par value $0.0001 per share (the “Series B Redeemable Convertible Preferred Stock”), for an aggregate purchase price of $750.0 million in a private placement. Subsequently, in August 2024, the Company issued the shares to Ayar pursuant to the Series B Subscription Agreement and received aggregate net proceeds of $749.4 million. See Note 8 “Redeemable Convertible Preferred Stock” and Note 16 “Related Party Transactions” for more information.</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Series A Redeemable Convertible Preferred Stock and the Series B Redeemable Convertible Preferred Stock (the “Redeemable Convertible Preferred Stock”) are convertible at the option of the holder (i) at any time the closing price per share of the common stock on the trading date immediately preceding the date on which the holder delivers the relevant notice of conversion is at least a certain price threshold as noted in the certificate of designations of Series A Redeemable Convertible Preferred Stock (the “Series A Certificate of Designations”) and in the certificate of designations of the Series B Redeemable Convertible Preferred Stock (the “Series B Certificate of Designations”) of the Company or (ii) during specified periods preceding a fundamental change or optional redemption by the Company under the terms of the Redeemable Convertible Preferred Stock. See Note 8 “Redeemable Convertible Preferred Stock” for more information.</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August 2024, the Company entered into a $750.0 million five-year unsecured delayed draw term loan credit facility (the “DDTL Credit Facility”) with Ayar. See Note 6 “Debt” and Note 16 “Related Party Transactions” for more information.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2024, the Company entered into an underwriting agreement (the “2024 Underwriting Agreement”) with the Underwriter, under which the Underwriter agreed to purchase shares of the Company’s common stock. The Company also granted the Underwriter a 30-day option to purchase additional shares of its common stock (the “Overallotment Option”), and the Underwriter exercised the Overallotment Option to purchase additional shares. In October 2024, the Company also entered into a subscription agreement (the “2024 Subscription Agreement”) with Ayar, pursuant to which Ayar agreed to purchase from the Company shares of the Company’s common stock in a private placement. In addition, given the Underwriter’s exercise of the Overallotment Option, Ayar agreed to purchase additional shares of the Company’s common stock. In October 2024, the Company completed the public offering pursuant to the 2024 Underwriting Agreement for aggregate net proceeds of $718.4 million and also consummated the private placement of shares to Ayar pursuant to the 2024 Subscription Agreement for aggregate net proceeds of $1,025.7 million. See Note 16 “Related Party Transactions” for more information.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2025, the Company issued $1.10 billion aggregate principal amount of 5.00% convertible senior notes due in April 2030 (the “2030 Notes”) in a private offering. The net proceeds from the offering were $1.08 billion, after deducting debt issuance costs. In connection with the 2030 Notes offering, the Company paid $118.3 million to enter into privately negotiated capped call transactions with certain financial institutions to increase the effective conversion premium to $4.80 per share. See Note 6 “Debt” for more information.</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Contemporaneously with the 2030 Notes offering, the Company repurchased $1,052.5 million aggregate principal amount of its 1.25% convertible senior notes due 2026 (the “2026 Notes”), using $931.4 million of the net proceeds of the 2030 Notes. See Note 6 “Debt” for more information.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Certain Significant Risks and Uncertainties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current business activities consist of (i) generating sales from the deliveries and service of vehicles, (ii) research and development efforts to design, engineer and develop high-performance fully EVs and advanced EV powertrain components, including battery pack systems, (iii) construction of the CBU portion of AMP-2 in Saudi Arabia, (iv) further construction of AMP-1 in Casa Grande, Arizona, (v) expansion of its retail studios and service center capabilities throughout North America and across the globe, and (vi) providing access to its technology to third parties. The Company is subject to the risks associated with such activities, including the need to further develop its technology, its marketing, and distribution channels; the need to further develop its sourcing, logistics, supply chain and manufacturing; and the need to hire additional management and other employees. Successful completion of the Company’s development program and, ultimately, the attainment of profitable operations are dependent upon future events, including our ability to access potential markets, and secure long-term financing on commercially reasonable terms.</w:t>
      </w:r>
    </w:p>
    <w:p>
      <w:pPr>
        <w:spacing w:after="0" w:line="1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participates in a dynamic high-technology industry. Changes in any of the following areas could have a material adverse impact on the Company’s future financial position, results of operations, and/or cash flows: changes in the overall demand for its products and services; advances and trends in new technologies; competitive pressures; acceptance of the Company’s products and services; litigation or claims against the Company based on intellectual property (including patents); supply chain and logistical challenges and uncertainties; uncertainties surrounding trade policies as well as domestic and foreign tariffs and export controls; political, regulatory, social, environmental and economic conditions or other factors; and the Company’s ability to attract and retain employees necessary to support its business operations.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global economic recession, downturn or other adverse economic conditions, whether due to changes or uncertainties in trade policies, the imposition or proposed imposition of tariffs, export controls, threat of trade war, persistent inflation, political instability, global or regional conflicts or other geopolitical events, public health crises, interest rate changes or other central bank policy actions, government closures of banks and liquidity concerns at financial institutions, or other factors, may have an adverse impact on the Company’s business, prospects, financial condition and results of operations. Adverse economic conditions and uncertainty about the current and future domestic or global economic conditions may cause the Company’s customers to defer purchases or cancel their orders in response to higher interest rates, limited consumer credit availability, lower cash reserves, fluctuations in foreign currency exchange rates, and weakened consumer confidence. A reduction in demand for the Company’s products may result in a decline in product sales, with a corresponding material adverse impact on the Company’s business, prospects, financial condition and results of operations. Given the Company’s premium brand positioning and pricing, an economic recession or downturn is likely to have a disproportionate adverse effect on the Company compared to its competitors in the EV and traditional automotive sectors, to the extent that consumer demand for luxury goods declines in favor of more cost-conscious alternatives. In addition, adverse economic conditions and uncertainties surrounding trade policies, tariffs and export controls have caused, and may continue to cause, supply chain and logistical challenges and operational risks. In particular, the U.S. federal government recently enacted the law commonly referred to as the One Big, Beautiful Bill Act (“OBBBA”), which eliminates, limits or phases out certain tax credits that had previously provided significant benefits to lessees and purchasers of EVs and adds new eligibility requirements on manufacturers to continue claiming tax credits on EV components. It also eliminates certain penalties for noncompliance with certain fuel efficiency standards and introduces certain key tax law modifications. The Company is currently assessing the impact of OBBBA on the consolidated financial statements. If any of the Company’s suppliers, sub-suppliers or partners experience financial distress, insolvency or disruptions in operations, they may be unable to fulfill their obligations or meet the Company’s production and quality requirements.</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Taken together, adverse economic conditions and uncertainties surrounding trade policies, tariffs and export controls, coupled with supply chain challenges and the potential difficulty of passing costs to customers or sharing the burden with suppliers, could reduce demand for the Company’s products and have a material adverse effect on the Company’s business, prospects, results of operations and financial condition. In addition, the deterioration of conditions in the financial markets may limit the Company’s ability to obtain external financing to fund its operations and capital expenditures on terms favorable to the Company, if at all. See “Risk Factors” in Part II, Item 1A of this Quarterly Report on Form 10-Q (the “Quarterly Report”) for more information regarding risks associated with a global economic recession, downturn or other adverse economic conditions.</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the current circumstances, any impact on the Company’s financial condition, results of operations or cash flows in the future continues to be difficult to estimate and predict, as it depends on future events that are highly uncertain and cannot be predicted with accuracy.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included herein have been prepared in accordance with generally accepted accounting principles in the United States of America (“U.S. GAAP”) and applicable rules and regulations of the U.S. Securities and Exchange Commission (the “SEC”) regarding interim financial reporting. Certain information and disclosures normally included in the financial statements prepared in accordance with U.S.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February 25, 2025.</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management’s opinion, these unaudited condensed consolidated financial statements have been prepared on the same basis as the annual financial statements and reflect all adjustments, which include normal recurring adjustments, necessary for the fair statement of the Company’s financial position as of June 30, 2025 and the results of operations for the three and six months ended June 30, 2025 and 2024. The results of operations for the three and six months ended June 30, 2025 are not necessarily indicative of the results to be expected for the full year ending December 31, 2025 or any other future interim or annual period.</w:t>
      </w:r>
    </w:p>
    <w:p>
      <w:pPr>
        <w:spacing w:after="0" w:line="18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significant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and one reportable segment, as the CODM reviews financial information presented on a consolidated basis for purposes of making operating decisions, allocating resources, and evaluating financial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inventory valuation, warranty reserve, useful lives of property, plant and equipment, fair value of common stock warrants, fair value of derivative liabilities associated with the Redeemable Convertible Preferred Stock, estimates of residual value guarantee (“RVG”) liability, deferred revenue related to technology access fees and over-the-air (“OTA”) software updates, sales return reserves, assumptions used to measure stock-based compensation expense, income taxes, and estimated incremental borrowing rates for assessing operating and finance leases.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prior-period amount has been reclassified in the accompanying condensed consolidated financial statements and notes thereto in order to conform to the current period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at the date of purchase of three months or less to be cash equivalents.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to amounts shown in the statements of cash flows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1,795,719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1,606,865</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1,797,898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1,607,052</w:t>
            </w:r>
          </w:p>
        </w:tc>
      </w:tr>
      <w:tr>
        <w:trPr>
          <w:trHeight w:val="21"/>
        </w:trPr>
        <w:tc>
          <w:tcPr>
            <w:tcW w:w="8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Accounts receivable consists of receivables from our customers and from financial institutions offering financing products to our customers for the sale of vehicles, sales of powertrain kits, services, and regulatory credits. The Company provides an allowance against accounts receivable for any potential uncollectible amounts. The Company recorded immaterial allowance for credit losses as of June 30, 2025 and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cash equivalents, investments and accounts receivable. The Company places its cash primarily with domestic financial institutions that are federally insured within statutory limits, but its deposits exceed federally insured limits. As of June 30, 2025 and December 31, 2024, accounts receivable from the EV purchase agreement with the Government of Saudi Arabia, a related party of the Public Investment Fund (“PIF”), which is an affiliate of Ayar, as represented by the Ministry of Finance (the “EV Purchase Agreement”), represented 50.7% and 51.7% of the total accounts receivable balance, respectively. See Note 16 “Related Party Transactions”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Supply Risk</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is dependent on its suppliers, the majority of which are single-source suppliers. The inability of these suppliers to deliver necessary components of its products according to the schedule and at prices, quality levels and volumes acceptable to the Company, whether due to changes or uncertainties in trade policies, the imposition or proposed imposition of tariffs, threat of trade war or otherwise, or its inability to efficiently manage these components, or the unavailability of stable domestic suppliers, could have a material adverse effect on the Company’s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Sales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Vehicle Sales without Residual Value Guarantee</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Vehicle sales revenue is generated from the sale of EVs to customers. Vehicle sales without RVG totaled $64.3 million and $99.5 million during the three and six months ended June 30, 2025, respectively, and $81.9 million and $149.4 million for the same periods in the prior year, respectively. There are two performance obligations identified in vehicle sale arrangements. These are the vehicle including an onboard advanced driver assistance system (“ADAS”), and the right to unspecified OTA software updates to be provided as and when available over the term of the basic vehicle warranty, which is generally four years. Payment is typically received at the time of delivery or shortly after delivery of the vehicle to the customer, except for vehicle sales under the EV Purchase Agreement. The Company recognizes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the time of revenue recognition, the Company reduces the transaction price and records a sales return reserve against revenue for estimated variable consideration related to future product returns. Return rate estimates are based on historical experience and the sales return reserve balance was not material as of June 30, 2025 and December 31,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i w:val="1"/>
          <w:iCs w:val="1"/>
          <w:color w:val="auto"/>
        </w:rPr>
        <w:t>Vehicle Sales with Residual Value Guarantee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provides an RVG to its commercial banking partners in connection with its vehicle leasing program. Vehicle sales with RVG totaled</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$132.8 million and $265.9 million during the three and six months ended June 30, 2025, respectively, and $118.7 million and $190.9 million for the same periods in the prior year, respectively. Under the vehicle leasing program, the Company generally receives payment for the vehicle sales price at the time of delivery or shortly after the delivery. The Company recognizes revenue when control transfers upon delivery when the consumer-lessee takes physical possession of the vehicle, and bifurcates the RVG at fair value and accounts for it as a guarantee liability. The remaining amount of the transaction price is allocated among the performance obligations, including the vehicle, the right to unspecified OTA software updates and remarketing activities, in proportion to the standalone selling price of the Company’s performance obligations. Any fees or incentives that are paid or payable by the Company to commercial banking partners are recognized as a reduction to vehicle sales revenue. The guarantee liability represents the estimated amount the Company expects to pay at the end of the lease term. The Company is released from residual risk upon either expiration or settlement of the RVG. The Company evaluates variables such as third-party residual value publications, risk of future price deterioration due to changes in market conditions and reconditioning costs to determine the estimated RVG liability. The Company recorded $77.3 million and $58.0 million of RVG liabilities as of June 30, 2025 and December 31, 2024, respectively. As the Company accumulates more data related to the resale value of our vehicles or as market conditions change, there could be material changes to the estimated guarantee liabilities. The maximum potential amount of future payments (in excess of RVG liabilities recorded) that the Company could be required to make was $524.6 million and $401.1 million as of June 30, 2025 and December 31, 2024, respectively.</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Vehicle Operating Lease Revenue</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accounts for sales of vehicles with repurchase obligations as operating leases. The Company sells vehicles primarily to rental companies with an obligation to repurchase the vehicles at an agreed upon repurchase price. The Company records the difference between the proceeds received and the agreed upon repurchase price as vehicle leasing revenue on a straight-line basis over the term of the lease. Deferred leasing revenue and repurchase obligation were recorded in other current liabilities and other long-term liabilities in the condensed consolidated balance sheets, and were not material as of June 30, 2025 and December 31, 2024. The operating lease revenue was not material for the three and six months ended June 30, 2025 and 2024.</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 and Leaseback Transactions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enters into sales and leaseback transactions in which the Company transfers control of vehicles to rental companies and simultaneously leases them back as operating leases. The Company recognizes revenue related to the vehicles under the arrangement when the rental companies obtain control of the vehicles and separately recognize the leaseback obligations based on the present value of the future payments to the rental companies. The Company also records right-of-use assets which are amortized over the term of the leaseback. Operating lease expense is recognized on a straight-line basis over the term of the leaseback.</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recorded revenue from sale and leaseback transactions of $19.0 million and $44.9 million during the three and six months ended June 30, 2025, respectively, and $0.3 million and $6.8 million for the same periods in the prior year, respectively. Operating lease expenses were not material.</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Used Vehicle Sales</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Used vehicle sales revenue is generated from the sale of used Lucid vehicles. The revenue from sales of used Lucid vehicles was not material for the three and six months ended June 30, 2025 and 2024.</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Vehicle Sales Deferred Revenue</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June 30, 2025 and December 31, 2024, the Company recorded $65.6 million and $53.3 million of total deferred revenue from all vehicle sales primarily related to OTA and remarketing activities for vehicle sales, respectively. The Company recorded $23.9 million and $18.5 million of the total deferred revenue within other current liabilities and the remaining $41.7 million and $34.8 million within other long-term liabilities in the condensed consolidated balance sheets as of June 30, 2025 and December 31, 2024, respectively. Revenue recognized that was included in the deferred revenue at the beginning of the period was not material during the three and six months ended June 30, 2025 and 2024.</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Other consists primarily of revenue from non-warranty after-sales vehicle services and parts, sales of battery pack systems, powertrain kits, retail merchandise, and regulatory credits, and sales of non-Lucid vehicles acquired as part of trade-in program. The Company generates regulatory credits revenue from the sale of tradable credits the Company earns under various regulations. This include credits related to zero emission vehicles and greenhouse gas, and the Corporate Average Fuel Economy credits. Regulatory credit revenue totaled $18.7 million and $50.2 million during the three and six months ended June 30, 2025, respectively, and $12.1 million and $17.5 million for the same periods in the prior year, respectively. The revenue from sales of non-Lucid vehicles was not material for the three and six months ended June 30,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Accounting for the redeemable convertible preferred stock requires an evaluation to determine if liability classification is required under Accounting Standards Codification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Securities that do not meet the scoping criteria to be classified as a liability under ASC 480 are subject to redeemable equity guidance, which prescribes securities that may be subject to redemption upon an event not solely within the Company’s control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The Company accretes the redeemable convertible preferred stock to its redemption value. In certain circumstances, the redemption price may vary based on changes in stock price, in which case the Company recognizes changes in the redemption value immediately as they occur and adjust the carrying value of the security to equal the then current maximum redemption value at the end of each reporting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all of its financial instruments, including convertible notes and redeemable convertible preferred stock, to determine if such instruments are derivatives or contain features that qualify as embedded derivatives. The Company applies significant judgment to identify and evaluate complex terms and conditions in these contracts and agreements to determine whether embedded derivatives exist. Embedded derivatives must be separately measured from the host contracts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condensed consolidated statements of operations and comprehensive loss at each reporting period end. Bifurcated embedded derivatives are classified as a separate liability in the condensed consolidated balance sheet.</w:t>
      </w:r>
    </w:p>
    <w:p>
      <w:pPr>
        <w:spacing w:after="0" w:line="18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Company’s derivative liabilities are related to the conversion features embedded in the Redeemable Convertible Preferred Stock. See Note 8 “Redeemable Convertible Preferred Stock” for more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the policies described above, there have been no significant changes to accounting policies during the three and six months ended June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requires incremental annual income tax disclosures. This amendment includes disclosures of specific categories in the rate reconciliation and additional information for reconciling items that meet a quantitative threshold; income taxes paid (net of refunds received) disaggregated by federal, state, and foreign taxes, and also disaggregated by individual jurisdictions that meet a quantitative threshold; income (or loss) from continuing operations before income tax expenses (or benefit) disaggregated between domestic and foreign; and income tax expense (or benefit) from continuing operations disaggregated by federal, state and foreign. The guidance is effective for annual periods beginning after December 15, 2024. Early adoption is permitted and should be applied prospectively (with retrospective application permitted). The Company is evaluating the impact of this amendment and does not expect a material impact to the related financial statement disclosures.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March 2024, the SEC issued its final rule that requires certain climate-related disclosures in annual reports, including governance, oversight, and risk management processes on material climate-related risks; material impact of climate risks on the Company’s strategy, business model, and outlook; material climate targets and goals; and material financial statements impacts due to severe weather events and other natural conditions. In April 2024, the SEC stayed implementation of the final rule pending completion of judicial review. In March 2025, the SEC stated that it has ended its defense of the rule. The Company continues to monitor the status of these rules.</w:t>
      </w:r>
    </w:p>
    <w:p>
      <w:pPr>
        <w:sectPr>
          <w:pgSz w:w="11900" w:h="16838" w:orient="portrait"/>
          <w:cols w:equalWidth="0" w:num="1">
            <w:col w:w="11240"/>
          </w:cols>
          <w:pgMar w:left="320" w:top="983" w:right="3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18" w:name="page19"/>
    <w:bookmarkEnd w:id="18"/>
    <w:p>
      <w:pPr>
        <w:ind w:right="10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which requires disclosure of specified information about certain costs and expenses (such as purchases of inventory, employee compensation, depreciation, and amortization) within the relevant expense captions presented on the face of the statements of operations and comprehensive loss. The guidance is effective for annual reporting periods beginning after December 15, 2026, and interim reporting periods within annual reporting periods beginning after December 15, 2027. Early adoption is permitted, and should be applied either prospectively or retrospectively. The Company is evaluating the impact of this amendment to the related financial statement disclosures.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financial statements or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RESTRUCTURING</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May 24, 2024, the Company announced a restructuring plan (the “2024 Restructuring Plan”) intended to optimize operating expenses in response to evolving business needs and productivity improvement through a reduction in workforce. The Company completed the 2024 Restructuring Plan during the first quarter of 2025. During the three and six months ended June 30, 2024, the Company recorded restructuring charges of $20.2 million.</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March 28, 2023, the Company announced a restructuring plan (the “2023 Restructuring Plan”) intended to reduce operating expenses in response to evolving business needs and productivity improvement through a reduction in workforce. The Company completed the 2023 Restructuring Plan during the first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restructuring liabilities associated with the restructuring plans was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60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28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6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6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liabilities - beginning of period</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Restructuring charges excluding non-cash items</w:t>
            </w:r>
            <w:r>
              <w:rPr>
                <w:rFonts w:ascii="Times New Roman" w:cs="Times New Roman" w:eastAsia="Times New Roman" w:hAnsi="Times New Roman"/>
                <w:sz w:val="23"/>
                <w:szCs w:val="23"/>
                <w:color w:val="auto"/>
                <w:vertAlign w:val="superscript"/>
              </w:rPr>
              <w:t>(1)</w:t>
            </w:r>
          </w:p>
        </w:tc>
        <w:tc>
          <w:tcPr>
            <w:tcW w:w="86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21,708</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8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liabilities - end of period</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17,567</w:t>
            </w:r>
          </w:p>
        </w:tc>
      </w:tr>
      <w:tr>
        <w:trPr>
          <w:trHeight w:val="20"/>
        </w:trPr>
        <w:tc>
          <w:tcPr>
            <w:tcW w:w="6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380" w:firstLine="8"/>
        <w:spacing w:after="0" w:line="248" w:lineRule="auto"/>
        <w:tabs>
          <w:tab w:leader="none" w:pos="145"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Excluded non-cash items of $1.5 million for the three and six months ended June 30, 2024 related to the 2024 Restructuring Plan, which was net of accelerated stock-based compensation expense of $3.2 million and a reversal of $4.7 million related to previously recognized stock-based compensation expenses for unvested restricted stock awards.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the restructuring liabilities associated with the 2024 Restructuring Plan were nil and immaterial,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BALANCE SHEETS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as of June 30, 2025 and December 31, 2024 was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160,532</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36,628</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217,599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210,614</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713,269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407,774</w:t>
            </w:r>
          </w:p>
        </w:tc>
      </w:tr>
      <w:tr>
        <w:trPr>
          <w:trHeight w:val="20"/>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Inventory as of June 30, 2025 and December 31, 2024 was comprised of raw materials, work in progress related to the production of vehicles for sale and SKD units for final assembly in Saudi Arabia, and finished goods inventory including new vehicles available for sale, vehicles in transit to fulfill customer orders, and used vehicles which the Company intends to sell. The Company recorded write-downs of $184.7 million and $336.3 million for the three and six months ended June 30, 2025, respectively, and $154.2 million and $292.0 million for the same periods in the prior year, respectively, to reduce its inventories to its net realizable values and for any excess or obsolete inventories, as well as losses from firm purchase commitments (“LCNRV”). While the final scope and application of recently announced changes in trade policy remain uncertain at this time, higher tariffs on imports and subsequent retaliatory tariffs could adversely impact the Company’s financial results.</w:t>
      </w:r>
    </w:p>
    <w:p>
      <w:pPr>
        <w:sectPr>
          <w:pgSz w:w="11900" w:h="16838" w:orient="portrait"/>
          <w:cols w:equalWidth="0" w:num="1">
            <w:col w:w="11240"/>
          </w:cols>
          <w:pgMar w:left="320" w:top="985" w:right="3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as of June 30, 2025 and December 31, 2024 was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70,967</w:t>
            </w:r>
          </w:p>
        </w:tc>
      </w:tr>
      <w:tr>
        <w:trPr>
          <w:trHeight w:val="229"/>
        </w:trPr>
        <w:tc>
          <w:tcPr>
            <w:tcW w:w="8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Building and improvements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1,075,349</w:t>
            </w:r>
          </w:p>
        </w:tc>
      </w:tr>
      <w:tr>
        <w:trPr>
          <w:trHeight w:val="230"/>
        </w:trPr>
        <w:tc>
          <w:tcPr>
            <w:tcW w:w="8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Machinery, tooling and vehicles</w:t>
            </w:r>
            <w:r>
              <w:rPr>
                <w:rFonts w:ascii="Times New Roman" w:cs="Times New Roman" w:eastAsia="Times New Roman" w:hAnsi="Times New Roman"/>
                <w:sz w:val="23"/>
                <w:szCs w:val="23"/>
                <w:color w:val="auto"/>
                <w:vertAlign w:val="superscript"/>
              </w:rPr>
              <w:t>(2)(3)</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2,183,345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1,720,517</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105,012</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268,091</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51,238</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86,852</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579,873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672,534</w:t>
            </w:r>
          </w:p>
        </w:tc>
      </w:tr>
      <w:tr>
        <w:trPr>
          <w:trHeight w:val="223"/>
        </w:trPr>
        <w:tc>
          <w:tcPr>
            <w:tcW w:w="8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4,563,274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4,050,560</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(995,026)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(787,948)</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3,568,248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3,262,612</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460" w:firstLine="8"/>
        <w:spacing w:after="0" w:line="281" w:lineRule="auto"/>
        <w:tabs>
          <w:tab w:leader="none" w:pos="132" w:val="left"/>
        </w:tabs>
        <w:numPr>
          <w:ilvl w:val="0"/>
          <w:numId w:val="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As of June 30, 2025 and December 31, 2024, $127.5 million of capital expenditure support received from Ministry of Investment of Saudi Arabia (“MISA”) was primarily recorded as a deduction to the AMP-2 building balance. See Note 16 “Related Party Transactions” for more information.</w:t>
      </w:r>
    </w:p>
    <w:p>
      <w:pPr>
        <w:ind w:left="140" w:hanging="132"/>
        <w:spacing w:after="0"/>
        <w:tabs>
          <w:tab w:leader="none" w:pos="1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$41.7 million and $39.5 million of service loaner vehicles as of June 30, 2025 and December 31, 2024, respectively.</w:t>
      </w:r>
    </w:p>
    <w:p>
      <w:pPr>
        <w:spacing w:after="0" w:line="14" w:lineRule="exact"/>
        <w:rPr>
          <w:rFonts w:ascii="Times New Roman" w:cs="Times New Roman" w:eastAsia="Times New Roman" w:hAnsi="Times New Roman"/>
          <w:sz w:val="9"/>
          <w:szCs w:val="9"/>
          <w:color w:val="auto"/>
        </w:rPr>
      </w:pPr>
    </w:p>
    <w:p>
      <w:pPr>
        <w:ind w:left="140" w:hanging="132"/>
        <w:spacing w:after="0" w:line="228" w:lineRule="auto"/>
        <w:tabs>
          <w:tab w:leader="none" w:pos="14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$31.1 million and $34.7 million of operating lease vehicles sold to rental companies as of June 30, 2025 and December 31, 2024, respectively.</w:t>
      </w:r>
    </w:p>
    <w:p>
      <w:pPr>
        <w:spacing w:after="0" w:line="2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Construction in progress represents the costs incurred in connection with the construction of buildings or new additions to the Company’s plant facilities, including tooling with outside vendors. Costs classified as construction in progress include all costs of obtaining the asset, installation of the asset, and bringing it to the location and the condition necessary for its intended use. No depreciation is provided for construction in progress until such time as the asset is completed and is ready for its intended use. Construction in progress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tooling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561,858</w:t>
            </w:r>
          </w:p>
        </w:tc>
      </w:tr>
      <w:tr>
        <w:trPr>
          <w:trHeight w:val="229"/>
        </w:trPr>
        <w:tc>
          <w:tcPr>
            <w:tcW w:w="8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Construction of AMP-1 and AMP-2</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78,254</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 and other</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32,422</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construction in progress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579,873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672,534</w:t>
            </w:r>
          </w:p>
        </w:tc>
      </w:tr>
      <w:tr>
        <w:trPr>
          <w:trHeight w:val="20"/>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260" w:firstLine="8"/>
        <w:spacing w:after="0" w:line="337" w:lineRule="auto"/>
        <w:tabs>
          <w:tab w:leader="none" w:pos="132" w:val="left"/>
        </w:tabs>
        <w:numPr>
          <w:ilvl w:val="0"/>
          <w:numId w:val="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As of June 30, 2025 and December 31, 2024, $67.3 million, of capital expenditure support received from MISA was recorded primarily as a deduction to the AMP-2 facility construction in progress balance. See Note 16 “Related Party Transactions” for more information.</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$111.1 million and $209.0 million for the three and six months ended June 30, 2025, respectively, and $66.2 million and $135.0 million for the same periods in the prior year, respectively. The amount of interest capitalized on construction in progress related to significant capital asset constructions was not material for the three and six months ended June 30, 2025 and 2024.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as of June 30, 2025 and December 31, 2024 were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design, and testing accrual</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53,666</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accrual</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39,043</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201,880</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Accrued purchases</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31,318</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leasehold improvements accrual</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services accrual</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26,353</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Tooling liability</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110,249</w:t>
            </w: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126,417</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35,596</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loss on firm inventory purchase commitments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119,672</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36,752</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Deferred revenue</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18,473</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incentive accrual</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18,336</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RVG liabilities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17,755</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185,572</w:t>
            </w:r>
          </w:p>
        </w:tc>
        <w:tc>
          <w:tcPr>
            <w:tcW w:w="0" w:type="dxa"/>
            <w:vAlign w:val="bottom"/>
          </w:tcPr>
          <w:p>
            <w:pPr>
              <w:spacing w:after="0"/>
              <w:rPr>
                <w:sz w:val="1"/>
                <w:szCs w:val="1"/>
                <w:color w:val="auto"/>
              </w:rPr>
            </w:pP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1,312,157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1,024,671</w:t>
            </w:r>
          </w:p>
        </w:tc>
        <w:tc>
          <w:tcPr>
            <w:tcW w:w="0" w:type="dxa"/>
            <w:vAlign w:val="bottom"/>
          </w:tcPr>
          <w:p>
            <w:pPr>
              <w:spacing w:after="0"/>
              <w:rPr>
                <w:sz w:val="1"/>
                <w:szCs w:val="1"/>
                <w:color w:val="auto"/>
              </w:rPr>
            </w:pPr>
          </w:p>
        </w:tc>
      </w:tr>
      <w:tr>
        <w:trPr>
          <w:trHeight w:val="21"/>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Primarily represent accruals for inventory related purchases and transportation charges that had not been invoiced.</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8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580" w:type="dxa"/>
            <w:vAlign w:val="bottom"/>
          </w:tcPr>
          <w:p>
            <w:pPr>
              <w:spacing w:after="0"/>
              <w:rPr>
                <w:sz w:val="20"/>
                <w:szCs w:val="20"/>
                <w:color w:val="auto"/>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4"/>
                <w:szCs w:val="14"/>
                <w:color w:val="auto"/>
              </w:rPr>
              <w:t>Represent deferred revenue from vehicle sales primarily related to OTA and remarketing activities.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liabilities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 as of June 30, 2025 and December 31, 2024 were as follows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4"/>
                <w:szCs w:val="14"/>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229,835</w:t>
            </w: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long-term liabilities</w:t>
            </w:r>
            <w:r>
              <w:rPr>
                <w:rFonts w:ascii="Times New Roman" w:cs="Times New Roman" w:eastAsia="Times New Roman" w:hAnsi="Times New Roman"/>
                <w:sz w:val="23"/>
                <w:szCs w:val="23"/>
                <w:color w:val="auto"/>
                <w:vertAlign w:val="superscript"/>
              </w:rPr>
              <w:t>(1)(2)</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366,684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342,965</w:t>
            </w: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600,321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572,800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60" w:firstLine="8"/>
        <w:spacing w:after="0" w:line="341" w:lineRule="auto"/>
        <w:tabs>
          <w:tab w:leader="none" w:pos="132"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As of June 30, 2025 and December 31, 2024, $114.1 million and $112.7 million of deferred revenue was recorded within other long-term liabilities in the condensed consolidated balance sheets, respectively, in connection with the strategic technology and supply arrangement, and integration and supply arrangements with Aston Martin Lagonda Global Holdings plc (together with its subsidiaries, “Aston Martin”). See Note 16 “Related Party Transactions” for more information.</w:t>
      </w:r>
    </w:p>
    <w:p>
      <w:pPr>
        <w:spacing w:after="0" w:line="104" w:lineRule="exact"/>
        <w:rPr>
          <w:rFonts w:ascii="Times New Roman" w:cs="Times New Roman" w:eastAsia="Times New Roman" w:hAnsi="Times New Roman"/>
          <w:sz w:val="15"/>
          <w:szCs w:val="15"/>
          <w:color w:val="auto"/>
          <w:vertAlign w:val="superscript"/>
        </w:rPr>
      </w:pPr>
    </w:p>
    <w:p>
      <w:pPr>
        <w:ind w:left="140" w:hanging="132"/>
        <w:spacing w:after="0"/>
        <w:tabs>
          <w:tab w:leader="none" w:pos="14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accrued warranty balance of $82.6 million and $75.7 million as of June 30, 2025 and December 31, 2024,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warranty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warranty activities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36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5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8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b w:val="1"/>
                <w:bCs w:val="1"/>
                <w:color w:val="auto"/>
              </w:rPr>
              <w:t>Accrued warranty - beginning of period</w:t>
            </w:r>
            <w:r>
              <w:rPr>
                <w:rFonts w:ascii="Times New Roman" w:cs="Times New Roman" w:eastAsia="Times New Roman" w:hAnsi="Times New Roman"/>
                <w:sz w:val="23"/>
                <w:szCs w:val="23"/>
                <w:b w:val="1"/>
                <w:bCs w:val="1"/>
                <w:color w:val="auto"/>
                <w:vertAlign w:val="superscript"/>
              </w:rPr>
              <w:t>(2)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rPr>
              <w:t>48,163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6"/>
              </w:rPr>
              <w:t>46,076</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costs incurred</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w w:val="97"/>
              </w:rPr>
              <w:t>(17,818)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rPr>
              <w:t>(35,886)</w:t>
            </w:r>
          </w:p>
        </w:tc>
      </w:tr>
      <w:tr>
        <w:trPr>
          <w:trHeight w:val="230"/>
        </w:trPr>
        <w:tc>
          <w:tcPr>
            <w:tcW w:w="5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Provision for warranty</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rPr>
              <w:t>48,151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6"/>
              </w:rPr>
              <w:t>68,306</w:t>
            </w:r>
          </w:p>
        </w:tc>
      </w:tr>
      <w:tr>
        <w:trPr>
          <w:trHeight w:val="223"/>
        </w:trPr>
        <w:tc>
          <w:tcPr>
            <w:tcW w:w="58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Accrued warranty - end of period</w:t>
            </w:r>
            <w:r>
              <w:rPr>
                <w:rFonts w:ascii="Times New Roman" w:cs="Times New Roman" w:eastAsia="Times New Roman" w:hAnsi="Times New Roman"/>
                <w:sz w:val="23"/>
                <w:szCs w:val="23"/>
                <w:b w:val="1"/>
                <w:bCs w:val="1"/>
                <w:color w:val="auto"/>
                <w:vertAlign w:val="superscript"/>
              </w:rPr>
              <w:t>(2)</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center"/>
              <w:ind w:left="234"/>
              <w:spacing w:after="0"/>
              <w:rPr>
                <w:sz w:val="20"/>
                <w:szCs w:val="20"/>
                <w:color w:val="auto"/>
              </w:rPr>
            </w:pPr>
            <w:r>
              <w:rPr>
                <w:rFonts w:ascii="Times New Roman" w:cs="Times New Roman" w:eastAsia="Times New Roman" w:hAnsi="Times New Roman"/>
                <w:sz w:val="18"/>
                <w:szCs w:val="18"/>
                <w:color w:val="auto"/>
              </w:rPr>
              <w:t>78,496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124,391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center"/>
              <w:ind w:left="254"/>
              <w:spacing w:after="0"/>
              <w:rPr>
                <w:sz w:val="20"/>
                <w:szCs w:val="20"/>
                <w:color w:val="auto"/>
              </w:rPr>
            </w:pPr>
            <w:r>
              <w:rPr>
                <w:rFonts w:ascii="Times New Roman" w:cs="Times New Roman" w:eastAsia="Times New Roman" w:hAnsi="Times New Roman"/>
                <w:sz w:val="18"/>
                <w:szCs w:val="18"/>
                <w:color w:val="auto"/>
                <w:w w:val="96"/>
              </w:rPr>
              <w:t>78,496</w:t>
            </w:r>
          </w:p>
        </w:tc>
      </w:tr>
      <w:tr>
        <w:trPr>
          <w:trHeight w:val="21"/>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60" w:firstLine="8"/>
        <w:spacing w:after="0" w:line="365" w:lineRule="auto"/>
        <w:tabs>
          <w:tab w:leader="none" w:pos="145"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Provision for warranty for the three and six months ended June 30, 2025 and 2024 included estimated costs related to the recalls identified and/or special campaigns to repair or replace items under warranties. During the three and six months ended June 30, 2024, the Company recorded $30.7 million and $41.5 million provision associated with a special warranty campaign, respectively.</w:t>
      </w:r>
    </w:p>
    <w:p>
      <w:pPr>
        <w:spacing w:after="0" w:line="1" w:lineRule="exact"/>
        <w:rPr>
          <w:rFonts w:ascii="Times New Roman" w:cs="Times New Roman" w:eastAsia="Times New Roman" w:hAnsi="Times New Roman"/>
          <w:sz w:val="17"/>
          <w:szCs w:val="17"/>
          <w:color w:val="auto"/>
          <w:vertAlign w:val="superscript"/>
        </w:rPr>
      </w:pPr>
    </w:p>
    <w:p>
      <w:pPr>
        <w:ind w:right="120" w:firstLine="8"/>
        <w:spacing w:after="0" w:line="338" w:lineRule="auto"/>
        <w:tabs>
          <w:tab w:leader="none" w:pos="132" w:val="left"/>
        </w:tabs>
        <w:numPr>
          <w:ilvl w:val="0"/>
          <w:numId w:val="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Accrued warranty balance of $41.8 million and $36.8 million was recorded within other current liabilities, and $82.6 million and $75.7 million was recorded within other long-term liabilities, in the condensed consolidated balance sheets as of June 30, 2025 and December 31, 2024, respectively.</w:t>
      </w:r>
    </w:p>
    <w:p>
      <w:pPr>
        <w:sectPr>
          <w:pgSz w:w="11900" w:h="16838" w:orient="portrait"/>
          <w:cols w:equalWidth="0" w:num="1">
            <w:col w:w="11240"/>
          </w:cols>
          <w:pgMar w:left="320" w:top="981"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 AND FINANCIAL INSTRUMENTS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certain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spacing w:after="0" w:line="18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—Quoted prices (unadjusted)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6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—Observable inputs other than quoted prices in active markets for identical assets and liabilities, quoted prices for identical or similar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or liabilities in inactive markets, or other inputs that are observable or can be corroborated by observable market data for substantially the full term of the assets or liabilities.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—Inputs that are generally unobservable and typically reflect management’s estimates of assumptions that market participants would use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Cash, cash equivalents and investments are reported at their respective fair values on the Company’s condensed consolidated balance sheets. The Company’s short-term and long-term investments are classified as available-for-sale securities. Carrying amounts of accounts receivable, accounts payable, and other current liabilities approximate their estimated fair values.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subject to fair value measurements on a recurring basis by level within the fair value hierarchy as of June 30, 2025 and December 31, 2024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0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00" w:type="dxa"/>
            <w:vAlign w:val="bottom"/>
          </w:tcPr>
          <w:p>
            <w:pPr>
              <w:spacing w:after="0"/>
              <w:rPr>
                <w:sz w:val="10"/>
                <w:szCs w:val="10"/>
                <w:color w:val="auto"/>
              </w:rPr>
            </w:pPr>
          </w:p>
        </w:tc>
        <w:tc>
          <w:tcPr>
            <w:tcW w:w="8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6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28"/>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684,563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684,563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684,563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1,051,568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1,055,304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155,475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555,793</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344,036</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1,909,873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1,913,609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344,036</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Time deposits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168,863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402,641</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1,001,216</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1,004,364</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97,376</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474,347</w:t>
            </w:r>
          </w:p>
        </w:tc>
        <w:tc>
          <w:tcPr>
            <w:tcW w:w="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432,641</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3,595,652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3,602,536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1,795,719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1,030,140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776,677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80" w:firstLine="8"/>
        <w:spacing w:after="0" w:line="248" w:lineRule="auto"/>
        <w:tabs>
          <w:tab w:leader="none" w:pos="145"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Included $35.0 million and $30.0 million of time deposits with GIB in short-term investments and long-term investments, respectively. GIB is a related party of the PIF, which is an affiliate of Ayar. See Note 16 “Related Party Transactions” for more information.</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0"/>
                <w:szCs w:val="10"/>
                <w:color w:val="auto"/>
              </w:rPr>
            </w:pPr>
          </w:p>
        </w:tc>
        <w:tc>
          <w:tcPr>
            <w:tcW w:w="840" w:type="dxa"/>
            <w:vAlign w:val="bottom"/>
          </w:tcPr>
          <w:p>
            <w:pPr>
              <w:jc w:val="center"/>
              <w:ind w:right="34"/>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0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00" w:type="dxa"/>
            <w:vAlign w:val="bottom"/>
          </w:tcPr>
          <w:p>
            <w:pPr>
              <w:spacing w:after="0"/>
              <w:rPr>
                <w:sz w:val="10"/>
                <w:szCs w:val="10"/>
                <w:color w:val="auto"/>
              </w:rPr>
            </w:pPr>
          </w:p>
        </w:tc>
        <w:tc>
          <w:tcPr>
            <w:tcW w:w="8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40" w:type="dxa"/>
            <w:vAlign w:val="bottom"/>
          </w:tcPr>
          <w:p>
            <w:pPr>
              <w:jc w:val="center"/>
              <w:ind w:right="34"/>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8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28"/>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610,201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610,201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610,201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2,310,538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2,312,827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1,605,369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534,117</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2,990,539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1,605,369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534,117</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Time deposits</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781,178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781,906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313,631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458,106</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1,441,701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1,442,451</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145,611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818,734</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478,106</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5,040,152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5,043,191</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1,606,865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2,424,103</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1,012,223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20" w:firstLine="8"/>
        <w:spacing w:after="0" w:line="221" w:lineRule="auto"/>
        <w:tabs>
          <w:tab w:leader="none" w:pos="157"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$15.0 million and $20.0 million of time deposits with GIB in short-term investments and long-term investments, respectively. See Note 16 “Related Party Transactions” for more information.</w:t>
      </w:r>
    </w:p>
    <w:p>
      <w:pPr>
        <w:spacing w:after="0" w:line="2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there were immaterial gross realized gains or losses on the sale of available-for-sale securities. Accrued interest receivable excluded from both the fair value and amortized cost basis of the available-for-sale securities was $22.7 million and $19.6 million as of June 30, 2025 and December 31, 2024, respectively, and was recorded in other current assets on its condensed consolidated balance sheets. As of June 30, 2025 and December 31, 2024, no allowance for credit losses was recorded related to an impairment of available-for-sale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available-for-sale securities by contractual maturity: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4"/>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3"/>
        </w:trPr>
        <w:tc>
          <w:tcPr>
            <w:tcW w:w="8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14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95"/>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1,028,547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1,030,140</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one year through three years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771,387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776,677</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1,799,934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1,806,817</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6, 2023, the Company received 28,352,273 ordinary shares of Aston Martin with an initial fair value of $73.2 million.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remeasured the shares and recorded fair values of $31.1 million and $37.8 million within investments in equity securities of a related party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 as of June 30, 2025 and December 31, 2024, respectively. These equity securities are publicly traded stocks (where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are denominated in GBP) measured at fair value on a recurring basis and classified within level 1 in the fair value hierarchy.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an unrealized gain of $3.9 million and an unrealized loss of $9.5 million during the three and six months ended June 30, 2025, respectively,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losses of $9.4 million and $29.3 million for the same periods in the prior year, respectively, in change of fair value of equity securities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in the condensed consolidated statement of operations and comprehensive loss. The Company also recognized unrealized foreign 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of $1.6 million and $2.8 million during the three and six months ended June 30, 2025, respectively, and an unrealized foreign currency gain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and an unrealized foreign currency loss of $0.7 million for the same periods in the prior year, respectively, related to these equity securities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in the condensed consolidated statement of operations and comprehensive loss. See Note 16 “Related Party Transactions”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information.</w:t>
      </w:r>
    </w:p>
    <w:p>
      <w:pPr>
        <w:spacing w:after="0" w:line="20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Level 3 liabilities consist of the common stock warrant liability and the derivative liabilities associated with the Redeemable Convertible Preferred Stock, of which the fair values were measured upon issuance of the Private Placement Warrants and the Redeemable Convertible Preferred Stock and are remeasured at each reporting period. The valuation methodology and underlying assumptions are discussed further in Note 7 “Common Stock Warrant Liability” and Note 8 “Redeemable Convertible Preferred Stock”, respectively. Level 3 liabilities also consist of residual value guarantee liabilities, of which the fair value is measured initially upon delivery of vehicles and assessed subsequently for any changes on a quarterly basis. Significant changes in the unobservable inputs used in determining the fair value would result in significant changes to the fair value measurement.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common stock warrant liability measured and recorded at fair value on a recurring basis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8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5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value-beginning of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8"/>
              </w:rPr>
              <w:t>6,653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26,610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6"/>
              </w:rPr>
              <w:t>53,664</w:t>
            </w:r>
          </w:p>
        </w:tc>
      </w:tr>
      <w:tr>
        <w:trPr>
          <w:trHeight w:val="229"/>
        </w:trPr>
        <w:tc>
          <w:tcPr>
            <w:tcW w:w="5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77"/>
              <w:spacing w:after="0"/>
              <w:rPr>
                <w:sz w:val="20"/>
                <w:szCs w:val="20"/>
                <w:color w:val="auto"/>
              </w:rPr>
            </w:pPr>
            <w:r>
              <w:rPr>
                <w:rFonts w:ascii="Times New Roman" w:cs="Times New Roman" w:eastAsia="Times New Roman" w:hAnsi="Times New Roman"/>
                <w:sz w:val="18"/>
                <w:szCs w:val="18"/>
                <w:color w:val="auto"/>
                <w:w w:val="98"/>
              </w:rPr>
              <w:t>(5,322)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8"/>
              </w:rPr>
              <w:t>(7,539)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35"/>
              <w:spacing w:after="0"/>
              <w:rPr>
                <w:sz w:val="20"/>
                <w:szCs w:val="20"/>
                <w:color w:val="auto"/>
              </w:rPr>
            </w:pPr>
            <w:r>
              <w:rPr>
                <w:rFonts w:ascii="Times New Roman" w:cs="Times New Roman" w:eastAsia="Times New Roman" w:hAnsi="Times New Roman"/>
                <w:sz w:val="18"/>
                <w:szCs w:val="18"/>
                <w:color w:val="auto"/>
              </w:rPr>
              <w:t>(34,593)</w:t>
            </w: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8"/>
              </w:rPr>
              <w:t>1,331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19,071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6"/>
              </w:rPr>
              <w:t>19,071</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derivative liabilities associated with the Redeemable Convertible Preferred Stock measured and recorded at fair value on a recurring basis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6"/>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6"/>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40" w:type="dxa"/>
            <w:vAlign w:val="bottom"/>
          </w:tcPr>
          <w:p>
            <w:pPr>
              <w:spacing w:after="0"/>
              <w:rPr>
                <w:sz w:val="16"/>
                <w:szCs w:val="16"/>
                <w:color w:val="auto"/>
              </w:rPr>
            </w:pPr>
          </w:p>
        </w:tc>
      </w:tr>
      <w:tr>
        <w:trPr>
          <w:trHeight w:val="23"/>
        </w:trPr>
        <w:tc>
          <w:tcPr>
            <w:tcW w:w="3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3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35"/>
        </w:trPr>
        <w:tc>
          <w:tcPr>
            <w:tcW w:w="3140" w:type="dxa"/>
            <w:vAlign w:val="bottom"/>
          </w:tcPr>
          <w:p>
            <w:pPr>
              <w:spacing w:after="0"/>
              <w:rPr>
                <w:sz w:val="11"/>
                <w:szCs w:val="11"/>
                <w:color w:val="auto"/>
              </w:rPr>
            </w:pPr>
          </w:p>
        </w:tc>
        <w:tc>
          <w:tcPr>
            <w:tcW w:w="136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Series A Derivative</w:t>
            </w: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Series B Derivative</w:t>
            </w:r>
          </w:p>
        </w:tc>
        <w:tc>
          <w:tcPr>
            <w:tcW w:w="8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Series A Derivative</w:t>
            </w:r>
          </w:p>
        </w:tc>
        <w:tc>
          <w:tcPr>
            <w:tcW w:w="100" w:type="dxa"/>
            <w:vAlign w:val="bottom"/>
          </w:tcPr>
          <w:p>
            <w:pPr>
              <w:spacing w:after="0"/>
              <w:rPr>
                <w:sz w:val="11"/>
                <w:szCs w:val="11"/>
                <w:color w:val="auto"/>
              </w:rPr>
            </w:pPr>
          </w:p>
        </w:tc>
        <w:tc>
          <w:tcPr>
            <w:tcW w:w="136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Series A Derivative</w:t>
            </w: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Series B Derivative</w:t>
            </w:r>
          </w:p>
        </w:tc>
        <w:tc>
          <w:tcPr>
            <w:tcW w:w="8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Series A Derivative</w:t>
            </w:r>
          </w:p>
        </w:tc>
      </w:tr>
      <w:tr>
        <w:trPr>
          <w:trHeight w:val="196"/>
        </w:trPr>
        <w:tc>
          <w:tcPr>
            <w:tcW w:w="3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4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0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4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40" w:type="dxa"/>
            <w:vAlign w:val="bottom"/>
          </w:tcPr>
          <w:p>
            <w:pPr>
              <w:spacing w:after="0"/>
              <w:rPr>
                <w:sz w:val="17"/>
                <w:szCs w:val="17"/>
                <w:color w:val="auto"/>
              </w:rPr>
            </w:pPr>
          </w:p>
        </w:tc>
        <w:tc>
          <w:tcPr>
            <w:tcW w:w="10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22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value-beginning of period</w:t>
            </w: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232,100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408,800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230,625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497,100</w:t>
            </w:r>
          </w:p>
        </w:tc>
      </w:tr>
      <w:tr>
        <w:trPr>
          <w:trHeight w:val="229"/>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(253,600)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w:t>
            </w: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value-end of period</w:t>
            </w: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155,200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91,050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155,200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91,050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394,100</w:t>
            </w:r>
          </w:p>
        </w:tc>
      </w:tr>
      <w:tr>
        <w:trPr>
          <w:trHeight w:val="20"/>
        </w:trPr>
        <w:tc>
          <w:tcPr>
            <w:tcW w:w="3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accounted for the issuances of the 2026 Notes and the 2030 Notes as single liabilities measured at its respective amortized cost, as no other embedded features require bifurcation and recognition as derivatives. The fair value of Notes was determined based on quoted prices in markets that are not active, which is considered a Level 2 valuation input. The following table sets forth a summary of the 2026 Notes and the 2030 Notes as of June 30, 2025 and December 31, 2024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 Debt</w:t>
            </w:r>
          </w:p>
        </w:tc>
        <w:tc>
          <w:tcPr>
            <w:tcW w:w="180" w:type="dxa"/>
            <w:vAlign w:val="bottom"/>
          </w:tcPr>
          <w:p>
            <w:pPr>
              <w:spacing w:after="0"/>
              <w:rPr>
                <w:sz w:val="11"/>
                <w:szCs w:val="11"/>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6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Discounts and</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8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380" w:type="dxa"/>
            <w:vAlign w:val="bottom"/>
            <w:tcBorders>
              <w:top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1,000.4</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 Debt</w:t>
            </w:r>
          </w:p>
        </w:tc>
        <w:tc>
          <w:tcPr>
            <w:tcW w:w="180" w:type="dxa"/>
            <w:vAlign w:val="bottom"/>
          </w:tcPr>
          <w:p>
            <w:pPr>
              <w:spacing w:after="0"/>
              <w:rPr>
                <w:sz w:val="11"/>
                <w:szCs w:val="11"/>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820" w:type="dxa"/>
            <w:vAlign w:val="bottom"/>
          </w:tcPr>
          <w:p>
            <w:pPr>
              <w:spacing w:after="0"/>
              <w:rPr>
                <w:sz w:val="12"/>
                <w:szCs w:val="12"/>
                <w:color w:val="auto"/>
              </w:rPr>
            </w:pPr>
          </w:p>
        </w:tc>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6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Discounts and</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8"/>
        </w:trPr>
        <w:tc>
          <w:tcPr>
            <w:tcW w:w="582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8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380" w:type="dxa"/>
            <w:vAlign w:val="bottom"/>
            <w:tcBorders>
              <w:top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1,579.8</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interest rate for the 2026 Notes and the 2030 Notes is 1.5% and 5.4%, respectively. The components of interest expense related to the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the 2030 Notes were as follows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56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w:t>
            </w: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discounts and debt issuance costs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527"/>
        </w:trPr>
        <w:tc>
          <w:tcPr>
            <w:tcW w:w="5160" w:type="dxa"/>
            <w:vAlign w:val="bottom"/>
          </w:tcPr>
          <w:p>
            <w:pPr>
              <w:spacing w:after="0"/>
              <w:rPr>
                <w:sz w:val="24"/>
                <w:szCs w:val="24"/>
                <w:color w:val="auto"/>
              </w:rPr>
            </w:pPr>
          </w:p>
        </w:tc>
        <w:tc>
          <w:tcPr>
            <w:tcW w:w="9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24</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9"/>
        </w:trPr>
        <w:tc>
          <w:tcPr>
            <w:tcW w:w="51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2030 Notes and Capped Call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April 2025, the Company issued an aggregate of $1,100.0 million principal amount of 5.00% convertible senior notes due in April 2030 in a private offering to qualified institutional buyers pursuant to Rule 144A under the Securities Act of 1933, as amended, at an issuance price equal to 100.0% of the principal amount of the 2030 Notes. The 2030 Notes were issued pursuant to and are governed by an indenture dated April 8, 2025, between the Company and U.S. Bank Trust Company, National Association as the trustee. The proceeds from the issuance of the 2030 Notes were $1,081.8 million, net of the debt issuance costs. Contemporaneously with the 2030 Notes offering, the Company entered into privately negotiated transactions with certain holders of the 2026 Notes to repurchase $1,052.5 million aggregate principal amount of the 2026 Notes, using $931.4 million of the net proceeds of the 2030 Notes.</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2030 Notes are unsecured obligations which bear regular interest at 5.00% per annum and are payable semi-annually in arrears on April 1 and October 1 of each year, beginning on October 1, 2025. The 2030 Notes will mature on April 1, 2030, unless repurchased, redeemed, or converted in accordance with their terms prior to such date. The 2030 Notes are convertible into cash, shares of our Class A common stock, or a combination of cash and shares of our Class A common stock, at the Company’s election, at an initial conversion rate of 333.3333 shares of Class A common stock per $1,000 principal amount of the 2030 Notes, which is equivalent to an initial conversion price of approximately $3.00 per share of our Class A common stock. The conversion rate and conversion price will be subject to customary adjustments upon the occurrence of certain events, including a reverse stock split. The Company may redeem for cash all or any portion of the 2030 Notes, at the Company’s option, on or after April 6, 2028 if the last reported sale price of our Class A common stock has been at least 130% of the conversion price then in effect for at least 20 trading days at a redemption price equal to 100% of the principal amount of the 2030 Notes to be redeemed, plus accrued and unpaid interest up to the day before the redemption date. The holders may require the Company to repurchase the 2030 Notes upon the occurrence of certain fundamental change transactions at a redemption price equal to 100% of the principal amount of the 2030 Notes redeemed, plus accrued and unpaid interest up to the day before the redemption date.</w:t>
      </w:r>
    </w:p>
    <w:p>
      <w:pPr>
        <w:spacing w:after="0" w:line="19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Holders of the 2030 Notes may convert all or a portion of their 2030 Notes at their option prior to January 1, 2030, in multiples of $1,000 principal amounts, only under the following circumstances:</w:t>
      </w:r>
    </w:p>
    <w:p>
      <w:pPr>
        <w:spacing w:after="0" w:line="108" w:lineRule="exact"/>
        <w:rPr>
          <w:sz w:val="20"/>
          <w:szCs w:val="20"/>
          <w:color w:val="auto"/>
        </w:rPr>
      </w:pPr>
    </w:p>
    <w:p>
      <w:pPr>
        <w:ind w:left="660" w:right="3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quarter ended on June 30, 2025 (and only during such calendar quarter), if the Company’s common stock price exceeds 130% of the conversion price for at least 20 trading days during the 30 consecutive trading days at the end of the prior calendar quarter;</w:t>
      </w:r>
    </w:p>
    <w:p>
      <w:pPr>
        <w:spacing w:after="0" w:line="12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or</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2030 Notes for redemption, at any time prior to the close of business on the scheduled trading day immediately preceding the redemption date, but only with respect to the notes called for redemption.</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or after January 1, 2030, the 2030 Notes are convertible at any time until the close of business on the second scheduled trading day immediately preceding the maturity date. Holders of the 2030 Notes who convert the 2030 Notes in connection with a make-whole fundamental change, as defined in the indenture governing the 2030 Notes, or in connection with a redemption may be entitled to an increase in the conversion rate.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2030 Notes were not eligible for conversion as of June 30, 2025. No sinking fund is provided for the 2030 Notes, which means that the Company is not required to redeem or retire them periodically. As of June 30, 2025, the Company was in compliance with applicable covenants under the indentures governing the 2030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2030 Notes offering, the Company paid $118.3 million to enter into privately negotiated capped call transactions (the “Capped Call Transactions”) with certain financial institutions. The Capped Call Transactions cover, subject to anti-dilution adjustments, the number of shares of the Company’s common stock initially underlying the 2030 Notes. The Capped Call Transactions have an expiration date of April 1, 2030.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5" w:name="page26"/>
    <w:bookmarkEnd w:id="25"/>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expects the Capped Call Transactions generally would reduce the potential dilution to the Company’s common stock upon conversion of the notes and/or offset any cash payments that the Company could be required to make in excess of the principal amount of any converted notes, as the case may be, in the event that the market price per share of Lucid’s common stock, as measured under the terms of the Capped Call Transactions, is greater than the strike price of the Capped Call Transactions. The initial strike price of the Capped Call Transactions corresponds to the initial conversion price of the 2030 Notes, or approximately $3.00 per share of the Company’s common stock. The initial cap price of the Capped Call Transactions was $4.80 per share of the Company’s common stock and is subject to customary anti-dilution adjustments.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Capped Call Transactions were separate transactions, entered into by the Company with certain financial institutions, and were not part of the terms of the 2030 Notes. Holders of the 2030 Notes will not have any rights with respect to the Capped Call Transactions. The Company recorded the Capped Call Transactions as a reduction to additional paid-in capital in the condensed consolidated balance sheet as of June 30, 2025, with no remeasurement in subsequent periods as they meet the conditions for equity classification.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Ayar Prepaid Forward Transaction</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2030 Notes, Ayar entered into a privately negotiated prepaid forward transaction with a forward counterparty that is an affiliate of one of the initial purchasers of the 2030 Notes (the “Forward Counterparty”), pursuant to which Ayar will purchase approximately $430.0 million of the Company’s common stock with delivery expected to occur on or about the maturity date for the 2030 Notes, subject to the ability of the Forward Counterparty to elect to settle all or a portion of the prepaid forward transaction early.</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not a party to the prepaid forward transaction. In connection with Ayar agreeing to enter into and fund the prepaid forward transaction, the Company has agreed to pay a periodic cash fee to Ayar, which shall initially accrue at a rate of 0.5% per annum on the amount of prepaid forward transaction and be recalculated to reflect any early settlement of the prepaid forward transaction. The periodic fee incurred associated with the prepaid forward transaction was not material for the three and six months ended June 30,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December 2021, the Company issued an aggregate of $2,012.5 million principal amount of 1.25% convertible senior notes due in December 2026 in a private offering to qualified institutional buyers pursuant to Rule 144A under the Securities Act of 1933, as amended, at an issuance price equal to 99.5% of the principal amount of 2026 Notes. The Company has designated the 2026 Notes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2026 Notes are unsecured obligations which bear regular interest at 1.25% per annum and are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and conversion price will be subject to customary adjustments upon the occurrence of certain events, including a reverse stock split.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w:t>
      </w:r>
    </w:p>
    <w:p>
      <w:pPr>
        <w:spacing w:after="0" w:line="19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Holders of the 2026 Notes may convert all or a portion of their 2026 Notes at their option prior to September 15, 2026, in multiples of $1,000 principal amounts, only under the following circumstances:</w:t>
      </w:r>
    </w:p>
    <w:p>
      <w:pPr>
        <w:spacing w:after="0" w:line="108" w:lineRule="exact"/>
        <w:rPr>
          <w:sz w:val="20"/>
          <w:szCs w:val="20"/>
          <w:color w:val="auto"/>
        </w:rPr>
      </w:pPr>
    </w:p>
    <w:p>
      <w:pPr>
        <w:jc w:val="both"/>
        <w:ind w:left="660" w:right="34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quarter ended on March 31, 2022 (and only during such calendar quarter), if the Company’s common stock price exceeds 130% of the conversion price for at least 20 trading days during the 30 consecutive trading days at the end of the prior calendar quarter;</w:t>
      </w:r>
    </w:p>
    <w:p>
      <w:pPr>
        <w:spacing w:after="0" w:line="12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or</w:t>
      </w:r>
    </w:p>
    <w:p>
      <w:pPr>
        <w:sectPr>
          <w:pgSz w:w="11900" w:h="16838" w:orient="portrait"/>
          <w:cols w:equalWidth="0" w:num="1">
            <w:col w:w="11240"/>
          </w:cols>
          <w:pgMar w:left="320" w:top="985"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6" w:name="page27"/>
    <w:bookmarkEnd w:id="26"/>
    <w:p>
      <w:pPr>
        <w:ind w:left="660" w:right="3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2026 Notes for redemption, at any time prior to the close of business on the scheduled trading day immediately preceding the redemption date, but only with respect to the notes called for redemption.</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April 2025, contemporaneously with the 2030 Notes offering, the Company repurchased $1,052.5 million aggregate principal amount of the 2026 Notes, using $931.4 million of the net proceeds of the 2030 Notes. The repurchases of the 2026 Notes were accounted for as a debt extinguishment. The difference between the consideration paid to repurchase a portion of the 2026 Notes principal amount and the then carrying value of the 2026 Notes resulted in a gain of $116.4 million, and was recorded within gain on extinguishment of debt in the condensed consolidated statement of operations and comprehensive loss during the three and six months ended June 30, 2025. Following the redemption, the Company’s outstanding principal balance of the 2026 Notes was $960.0 million.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2026 Notes were not eligible for conversion as of June 30, 2025 and December 31, 2024. No sinking fund is provided for the 2026 Notes, which means that the Company is not required to redeem or retire them periodically. As of June 30, 2025 and December 31, 2024, the Company was in compliance with applicable covenants under the indentures governing the 2026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SIDF Loan Agreement</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February 27, 2022, Lucid LLC entered into a loan agreement (as subsequently amended, the “SIDF Loan Agreement”) with SIDF, a related party of the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spacing w:after="0" w:line="19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 xml:space="preserve">SIDF Loans will not bear interest. Instead, Lucid LLC will be required to pay SIDF service fees, consisting of follow-up and technical evaluation fees, ranging, in aggregate, from SAR 415 million (approximately $110.7 million) to SAR 1.77 billion (approximately $471.9 million), over the term of the SIDF Loans. SIDF Loans will be secured by security interests in the </w:t>
      </w:r>
      <w:r>
        <w:rPr>
          <w:rFonts w:ascii="Times New Roman" w:cs="Times New Roman" w:eastAsia="Times New Roman" w:hAnsi="Times New Roman"/>
          <w:sz w:val="18"/>
          <w:szCs w:val="18"/>
          <w:color w:val="242424"/>
        </w:rPr>
        <w:t>equipment, machines and assets funded thereby.</w:t>
      </w:r>
    </w:p>
    <w:p>
      <w:pPr>
        <w:spacing w:after="0" w:line="17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w:t>
      </w:r>
      <w:r>
        <w:rPr>
          <w:rFonts w:ascii="Times New Roman" w:cs="Times New Roman" w:eastAsia="Times New Roman" w:hAnsi="Times New Roman"/>
          <w:sz w:val="18"/>
          <w:szCs w:val="18"/>
          <w:color w:val="242424"/>
        </w:rPr>
        <w:t>As of</w:t>
      </w:r>
      <w:r>
        <w:rPr>
          <w:rFonts w:ascii="Times New Roman" w:cs="Times New Roman" w:eastAsia="Times New Roman" w:hAnsi="Times New Roman"/>
          <w:sz w:val="18"/>
          <w:szCs w:val="18"/>
          <w:color w:val="auto"/>
        </w:rPr>
        <w:t xml:space="preserve"> June 30, 2025 and December 31, 2024, no amount </w:t>
      </w:r>
      <w:r>
        <w:rPr>
          <w:rFonts w:ascii="Times New Roman" w:cs="Times New Roman" w:eastAsia="Times New Roman" w:hAnsi="Times New Roman"/>
          <w:sz w:val="18"/>
          <w:szCs w:val="18"/>
          <w:color w:val="242424"/>
        </w:rPr>
        <w:t>was outstanding under the SIDF Loan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GIB Facility Agreement</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April 29, 2022, Lucid LLC entered into the GIB Facility Agreement with GIB, maturing on February 28, 2025. GIB is a related party of the PIF, which is an affiliate of Ayar. The GIB Facility Agreement provided for two committed revolving credit facilities in an aggregate principal amount of SAR</w:t>
      </w:r>
    </w:p>
    <w:p>
      <w:pPr>
        <w:ind w:right="20"/>
        <w:spacing w:after="0" w:line="251" w:lineRule="auto"/>
        <w:rPr>
          <w:sz w:val="20"/>
          <w:szCs w:val="20"/>
          <w:color w:val="auto"/>
        </w:rPr>
      </w:pPr>
      <w:r>
        <w:rPr>
          <w:rFonts w:ascii="Times New Roman" w:cs="Times New Roman" w:eastAsia="Times New Roman" w:hAnsi="Times New Roman"/>
          <w:sz w:val="18"/>
          <w:szCs w:val="18"/>
          <w:color w:val="auto"/>
        </w:rPr>
        <w:t>1.0 billion (approximately $266.1 million). SAR 650 million (approximately $173.0 million) under the GIB Facility Agreement was available as the Bridge Facility for the financing of Lucid LLC’s capital expenditures in connection with AMP-2. The remaining SAR 350 million (approximately $93.1 million) was available as the Working Capital Facility and might be used for general corporate purposes. On March 12, 2023, Lucid LLC entered into the 2023 Amended GIB Facility Agreement to combine the Bridge Facility and the Working Capital Facility into a committed SAR 1.0 billion (approximately $266.1 million) 2023 GIB Credit Facility which may be used for general corporate purposes. Loans under the 2023 Amended GIB Credit Facility Agreement had a maturity of no more than 12 months and bore interest at a rate of 1.40% per annum over SAIBOR (based on the term of borrowing) and associated fees. Under the 2023 Amended GIB Credit Facility Agreement, the Company was required to pay a quarterly commitment fee of 0.15% per annum based on the unutilized portion of the 2023 GIB Credit Facility.</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spacing w:after="0" w:line="256" w:lineRule="auto"/>
        <w:rPr>
          <w:sz w:val="20"/>
          <w:szCs w:val="20"/>
          <w:color w:val="auto"/>
        </w:rPr>
      </w:pPr>
      <w:r>
        <w:rPr>
          <w:rFonts w:ascii="Times New Roman" w:cs="Times New Roman" w:eastAsia="Times New Roman" w:hAnsi="Times New Roman"/>
          <w:sz w:val="18"/>
          <w:szCs w:val="18"/>
          <w:color w:val="auto"/>
        </w:rPr>
        <w:t>On February 24, 2025, Lucid LLC entered into the 2025 GIB Credit Facility maturing on February 24, 2028 to increase the credit facility committed amount from SAR 1.0 billion (approximately $266.1 million) to SAR 1.9 billion (approximately $506.6 million). Loans under the 2025 GIB Credit Facility may be used for general corporate purposes, have a maturity of no more than 12 months, and bear interest at a rate of 1.40% per annum over SAIBOR (based on the term of borrowing) and associated fees. The Company is required to pay a quarterly commitment fee of 0.25% per annum based on the unutilized portion of the 2025 GIB Credit Facility. Commitments under the 2025 GIB Credit Facility will terminate, and all amounts then outstanding thereunder would become payable, on the maturity date of the 2025 GIB Credit Facility.</w:t>
      </w:r>
    </w:p>
    <w:p>
      <w:pPr>
        <w:spacing w:after="0" w:line="18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commitment fees for the three and six months ended June 30, 2025 and 2024 were not material. The 2025 GIB Credit Facility contains certain conditions precedent to drawdowns, representations and warranties and covenants of Lucid LLC and events of default.</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of June 30, 2025 and December 31, 2024, the Company had outstanding borrowings of SAR 875 million (approximately $233.3 million) and SAR 475 million (approximately $126.4 million), respectively. The outstanding borrowings were recorded within other current liabilities in the condensed consolidated balance sheets. The weighted average interest rate on the outstanding borrowings was 6.90% and 7.04% as of June 30, 2025 and December 31, 2024, respectively. As of June 30, 2025 and December 31, 2024, availability under the GIB credit facility was SAR 1,024 million (approximately $272.9 million) and SAR 523 million (approximately $139.2 million), respectively, after giving effect to the outstanding letters of credit. The Company recorded interest expense of $3.6 million and $6.1 million during the three and six months ended June 30, 2025, respectively, and $1.3 million and $2.7 million for the same periods in the prior year, respectively. As of June 30, 2025 and December 31, 2024, the Company was in compliance with applicable covenants under the GIB credit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Credit Facility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June 2022, the Company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In June 2024, the Company amended the ABL Credit Facility to update the Canadian reference rate.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financial covenant, in each case on terms set forth in the credit agreement governing the ABL Credit Facility. As of June 30, 2025 and December 31, 2024, the Company was in compliance with applicable covenants under the ABL Credit Facility.</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June 30, 2025 and December 31, 2024, the Company had no outstanding borrowings under the ABL Credit Facility. Outstanding letters of credit under the ABL Credit Facility were $102.5 million and $56.9 million as of June 30, 2025 and December 31, 2024, respectively. Availability under the ABL Credit Facility was $392.9 million (including $195.2 million cash and cash equivalents) and $354.9 million (including $191.1 million cash and cash equivalents) as of June 30, 2025 and December 31, 2024, respectively, after giving effect to the borrowing base and the outstanding letters of credit. The Company incurred issuance costs of $6.3 million to obtain the ABL Credit Facility, which was capitalized within other noncurrent assets in the condensed consolidated balance sheets and amortized over the facility term using the straight-line method. Commitment fee and amortization of the deferred issuance costs were not material for the three and six months ended June 30,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DDTL Credit Facility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August 2024, the Company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Borrowings under the DDTL Credit Facility bear interest at the applicable interest rates specified in the credit agreement governing the DDTL Credit Facility. The Company is required to pay a quarterly undrawn fee of 0.50% per annum based on the unutilized portion of the DDTL Credit Facility.</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8" w:name="page29"/>
    <w:bookmarkEnd w:id="28"/>
    <w:p>
      <w:pPr>
        <w:ind w:right="40"/>
        <w:spacing w:after="0" w:line="258" w:lineRule="auto"/>
        <w:rPr>
          <w:sz w:val="20"/>
          <w:szCs w:val="20"/>
          <w:color w:val="auto"/>
        </w:rPr>
      </w:pPr>
      <w:r>
        <w:rPr>
          <w:rFonts w:ascii="Times New Roman" w:cs="Times New Roman" w:eastAsia="Times New Roman" w:hAnsi="Times New Roman"/>
          <w:sz w:val="18"/>
          <w:szCs w:val="18"/>
          <w:color w:val="auto"/>
        </w:rPr>
        <w:t>The DDTL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includes a minimum liquidity covenant. As of June 30, 2025 and December 31, 2024, the Company was in compliance with applicable covenants under the DDTL Credit Facility.</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the Company had no outstanding borrowings under the DDTL Credit Facility. The Company incurred issuance costs of $6.2 million to obtain the DDTL Credit Facility, which was capitalized within other noncurrent assets in the condensed consolidated balance sheet and amortized over the facility term using the straight-line method. Commitment fee and amortization of the deferred issuance costs were not material for the three and six months ended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COMMON STOCK WARRANT LIABILITY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23, 2021, in connection with the merger, the Company effectively issued 44,350,000 Private Placement Warrants to purchase shares of Lucid’s common stock at an exercise price of $11.50. The Private Placement Warrants were initially recognized as a liability with a fair value of $812.0 million and were remeasured to a fair value of $19.5 million as of December 31, 2024. The Private Placement Warrants remained unexercised and were remeasured to a fair value of $1.3 million as of June 30, 2025. The Company recognized gains of $5.3 million and $18.2 million for the three and six months ended</w:t>
      </w:r>
    </w:p>
    <w:p>
      <w:pPr>
        <w:spacing w:after="0" w:line="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June 30, 2025, respectively, and gains of $7.5 million and $34.6 million for the same periods in the prior year, respectively, in the condensed consolidated statements of operations and comprehensive loss.</w:t>
      </w:r>
    </w:p>
    <w:p>
      <w:pPr>
        <w:spacing w:after="0" w:line="18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fair value of the Private Placement Warrants that are not subject to the contingent forfeiture provisions was estimated using a Black-Scholes option pricing model, and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Private Placement Warrants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bl>
    <w:p>
      <w:pPr>
        <w:spacing w:after="0" w:line="2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Assumptions used in the Black-Scholes option pricing model take into account the contract terms as well as the quoted price of the Company’s common stock in an active market. The volatility is based on the Company’s historical volatility. The expected life is based on the remaining contractual term of the warrants, and the risk-free interest rate is based on the implied yield available on U.S. Treasury securities with a maturity equivalent to the warrants’ expected life. The level 3 fair value inputs used in the Black-Scholes option pricing models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9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95.0 %</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6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REDEEMABLE CONVERTIBLE 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the Company entered into the Series A Subscription Agreement with Ayar. Pursuant to the Series A Subscription Agreement, Ayar agreed to purchase from the Company 100,000 shares of the Series A Redeemable Convertible Preferred Stock for an aggregate purchase price of $1.0 billion in a private placement. Subsequently, in March 2024, the Company issued the shares to Ayar pursuant to the Series A Subscription Agreement and received aggregate gross proceeds of $1.0 billion.</w:t>
      </w:r>
    </w:p>
    <w:p>
      <w:pPr>
        <w:spacing w:after="0" w:line="16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In August 2024, the Company entered into the Series B Subscription Agreement with Ayar. Pursuant to the Series B Subscription Agreement, Ayar agreed to purchase from the Company 75,000 shares of the Series B Redeemable Convertible Preferred Stock for an aggregate purchase price of $750.0 million in a private placement. Subsequently, in August 2024, the Company issued the shares to Ayar pursuant to the Series B Subscription Agreement and received aggregate gross proceeds of $750.0 million.</w:t>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shares of the Series A Redeemable Convertible Preferred Stock and the Series B Redeemable Convertible Preferred Stock were issued pursuant to the Series A Certificate of Designations and the Series B Certificate of Designations (the “Certificate of Designations”), respectively. Pursuant to the Series A Subscription Agreement and the Series B Subscription Agreement, Ayar has agreed, with certain exceptions, that without prior written consent of the Company, it will not sell or transfer the Redeemable Convertible Preferred Stock for the twelve months after the date of the closing of the respective private placement.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Redeemable Convertible Preferred Stock ranks senior to the common stock with respect to dividends and distributions of assets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liquidation, dissolution or winding up. The Redeemable Convertible Preferred Stock has an initial value of $10,000 per share (the “Initial Value” and the Initial Value plus compounded and accrued dividends, the “Accrued Value”). Dividends on the Redeemable Convertible Preferred Stock are payable in the form of compounded cumulative dividends upon each share of the Redeemable Convertible Preferred Stock (paid-in-kind). Dividends accrue daily on the Initial Value (as increased for any compounded dividends previously compounded thereon) of each share of the Redeemable Convertible Preferred Stock at a rate of 9% per annum and compound on the basis of quarterly dividend payment dates on each March 31, June 30, September 30 and December 31 of each year, commencing June 30, 2024 for the Series A Redeemable Convertible Preferred Stock and September 30, 2024 for the Series B Redeemable Convertible Preferred Stock.</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Upon a liquidation, dissolution or winding up of the Company, each holder of shares of the Redeemable Convertible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(“Holder”) will be entitled to receive, with respect to each share of then-outstanding Redeemable Convertible Preferred Stock, out of the assets of the Company available for distribution to its stockholders an amount in cash equal to the greater of (a) an amount per share of the Redeemable Convertible Preferred Stock as of the date of such liquidation, dissolution or winding up equal to (i) the per share Accrued Value as of the relevant date multiplied by</w:t>
      </w:r>
    </w:p>
    <w:p>
      <w:pPr>
        <w:spacing w:after="0" w:line="3" w:lineRule="exact"/>
        <w:rPr>
          <w:sz w:val="20"/>
          <w:szCs w:val="20"/>
          <w:color w:val="auto"/>
        </w:rPr>
      </w:pPr>
    </w:p>
    <w:p>
      <w:pPr>
        <w:ind w:right="200" w:firstLine="8"/>
        <w:spacing w:after="0" w:line="252"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percentage (the product of (i) and (ii), the “Minimum Consideration”); and (b) the amount that such Holder would have received with respect to such share of the Redeemable Convertible Preferred Stock if all shares of the Redeemable Convertible Preferred Stock had been converted at their Accrued Value into shares of common stock on the business day immediately prior to the date of such liquidation, dissolution or winding up. As of June 30, 2025 and December 31, 2024, the liquidation preference of the Series A Redeemable Convertible Preferred Stock was $1,239.8 million and $1,138.8 million, respectively. As of June 30, 2025 and December 31, 2024, the liquidation preference of the Series B Redeemable Convertible Preferred Stock was $871.1 million and $800.4 million, respectively.</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is entitled to the number of votes equal to the number of whole shares of common stock into which the aggregate shares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Redeemable Convertible Preferred Stock held by such Holder are convertible on the record date for determining stockholders entitled to vote on any matter presented to the stockholders of the Company for their action or consideration at any meeting of stockholders and on which matter holders of the common stock shall be entitled to vote. Holders are entitled to notice of any meeting of stockholders and, except as otherwise provided in the Certificate of Designations or otherwise required by law, to vote together as a single class with the holders of the common stock and any other class or series of stock entitled to vote thereon. The voting power of Holders is subject to a voting cap per share equal to the quotient of the $10,000 Initial Value and the minimum price ($2.77 for the Series A Redeemable Convertible Preferred Stock and $3.12 for the Series B Redeemable Convertible Preferred Stock).</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long as at least 10% of the aggregate number of shares issued on the respective initial issue date remain outstanding, and subject to certain other conditions, Holders are entitled to a separate class vote with respect to, among other things, amendments to the Company’s organizational documents that have an adverse effect on the Redeemable Convertible Preferred Stock, authorizations or issuances by the Company of capital stock of the Company that ranks senior or equal to the Redeemable Convertible Preferred Stock with respect to dividends or distributions on liquidation or the terms of which provide for cash dividends (other than the common stock), winding-up and dissolution, and decreases in the number of authorized shares of the Redeemable Convertible Preferred Stock. The Company also agreed that as long as Ayar owns at least 50% of the shares issued on the respective initial issue date, the Company will comply with certain debt incurrence covenants in its Credit Agreement, dated as of June 9, 2022, by and among the Company, as the Borrower Representative, the other Borrowers party thereto from time-to-time, the Lenders and Issuing Banks from time-to-time party thereto and Bank of America, N.A., as Administrative Agent, as amended, which agreement may be waived with the sole consent of Ayar.</w:t>
      </w:r>
    </w:p>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Each share of the Redeemable Convertible Preferred Stock is convertible, at the option of the respective Holder, from time-to-time after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 issue date, and without the payment of additional consideration by the Holder, (a) at any time that the closing price per share of the common stock on the trading day immediately preceding the date on which the Holder delivers the relevant notice of conversion is at least $5.50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applicable conversion price in effect as of such conversion date, which shall initially be $3.5952 for the Series A Redeemable Convertible Preferred Stock and $4.3799 for the Series B Redeemable Convertible Preferred Stock, subject to customary anti-dilution adjustments, including in the event of any stock split, stock dividend, recapitalization or similar events (the “Conversion Price”).</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ind w:right="1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Mandatory Conversion: </w:t>
      </w:r>
      <w:r>
        <w:rPr>
          <w:rFonts w:ascii="Times New Roman" w:cs="Times New Roman" w:eastAsia="Times New Roman" w:hAnsi="Times New Roman"/>
          <w:sz w:val="18"/>
          <w:szCs w:val="18"/>
          <w:color w:val="auto"/>
        </w:rPr>
        <w:t>On or after the third anniversary of the initial issue date, if at any time (i) the daily VWAP of the common stock has been at least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 of the Conversion Price for at least twenty (20) trading days (whether or not consecutive) during any thirty (30) consecutive trading days (including the last day of such period) and (ii) certain common stock liquidity conditions are satisfied, the Company will have the right, exercisable at its election within fifteen (15) business days following completion of the applicable thirty (30) trading day period, to cause all or any portion of the Redeemable Convertible Preferred Stock to convert into number of fully paid and non-assessable shares of common stock, as determined by dividing (i) the applicable Accrued Value as of the conversion date by (ii) the Conversion Price in effect as of such conversion date. The Company will be required to pay an additional amount per share of the Redeemable Convertible Preferred Stock payable in cash, shares of common stock valued based on a five-day average daily VWAP or a combination thereof in respect of such conversion equal to the greater of (x) the difference between (i) the Minimum Consideration and (ii) the value of the shares of common stock delivered upon mandatory conversion thereof and (y) zero.</w:t>
      </w:r>
    </w:p>
    <w:p>
      <w:pPr>
        <w:spacing w:after="0" w:line="1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Fundamental Change: </w:t>
      </w:r>
      <w:r>
        <w:rPr>
          <w:rFonts w:ascii="Times New Roman" w:cs="Times New Roman" w:eastAsia="Times New Roman" w:hAnsi="Times New Roman"/>
          <w:sz w:val="18"/>
          <w:szCs w:val="18"/>
          <w:color w:val="auto"/>
        </w:rPr>
        <w:t>Upon a fundamental change, the Holders will be entitled, on the fundamental change repurchase date specified by the Company,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an amount equal to the greater of (a) the Minimum Consideration and (b) an amount equal to the value that such Holder would have received if it had converted its shares of the Redeemable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are not satisfied.</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Optional Redemption: </w:t>
      </w:r>
      <w:r>
        <w:rPr>
          <w:rFonts w:ascii="Times New Roman" w:cs="Times New Roman" w:eastAsia="Times New Roman" w:hAnsi="Times New Roman"/>
          <w:sz w:val="18"/>
          <w:szCs w:val="18"/>
          <w:color w:val="auto"/>
        </w:rPr>
        <w:t>On or after the fifth anniversary of the initial issue date, the Company may redeem all or any portion of the Redeemable Convertible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at a redemption price per share equal to the greater of (a) the Minimum Consideration and (b) an amount equal to the value (calculated based on a twenty (20)-day average daily VWAP) of the number of shares of common stock if it had converted its shares of the Redeemable Convertible Preferred Stock into shares of common stock as of the redemption date. Such redemption price may be paid in cash, shares of common stock valued based on a twenty (20)-day average daily VWAP, or a combination thereof, at the Company’s election. The Company may not pay any portion of such redemption price in shares of common stock if the common stock liquidity conditions are not satisfied.</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While the Redeemable Convertible Preferred Stock is callable after five years at the Company’s option, the Redeemable Convertible Preferred Stock is considered redeemable at the option of Ayar and was classified as mezzanine equity, because it is the majority shareholder of the Company. The Company recorded the Series A Redeemable Convertible Preferred Stock initially at its issuance price, net of issuance costs of $2.4 million and net of the initial value of the bifurcated derivative liability of $497.1 million. The Company also recorded the Series B Redeemable Convertible Preferred Stock initially at its issuance price, net of issuance costs of $0.6 million and net of the initial value of the bifurcated derivative liability of $297.7 million.</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accretes the Redeemable Convertible Preferred Stock to its redemption value, which is greater of (a) the Minimum Consideration and (b) an amount equal to the value that such Holder would have received if it had converted its shares of the Redeemable Convertible Preferred Stock into shares of common stock as of the Redemption Date. In certain circumstances, the redemption price may vary based on changes in stock price, in which case the Company recognizes changes in the redemption value immediately as they occur and adjust the carrying value of the security to equal the then current maximum redemption value at the end of each reporting period. The Company recorded accretion of $129.2 million and $354.5 million related to the Series A Redeemable Convertible Preferred Stock during the three and six months ended June 30, 2025, respectively, and $146.9 million and $150.8 million for the same periods in the prior year, respectively. The Company recorded accretion of $70.6 million and $210.2 million related to the Series B Redeemable Convertible Preferred Stock during the three and six months ended June 30, 2025, respectively. Accretion of the Redeemable Convertible Preferred Stock was reflected as adjustments to additional paid-in capital in the condensed consolidated balance sheets as of June 30, 2025 and December 31, 2024. The carrying value of the Series A Redeemable Convertible Preferred Stock was $1,084.6 million and $730.0 million as of June 30, 2025 and December 31, 2024, respectively. The carrying value of the Series B Redeemable Convertible Preferred Stock was $780.0 million and $569.8 million as of June 30, 2025 and December 31, 2024, respectively.</w:t>
      </w:r>
    </w:p>
    <w:p>
      <w:pPr>
        <w:spacing w:after="0" w:line="19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assessed the above features to determine whether any features are required to be bifurcated and separately accounted for as an embedded feature. The Company concluded that the conversion features, inclusive of all settlement outcomes where the pay-off is indexed to the if-converted value, meets all the requirements to be separately accounted for as a bifurcated derivative. As a result, the Company bifurcated the Redeemable Convertible Preferred Stock between (i) the host contracts which are accounted for within mezzanine equity as described above, and (ii) the bifurcated derivative liabilities related to the conversion features. The proceeds from issuance were first allocated to the fair value of the bifurcated derivatives with the residual being allocated to the host contracts. The bifurcated derivatives are remeasured to fair value at each reporting period with changes in fair value recorded in the condensed consolidated statement of operations and comprehensive loss.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ind w:right="140"/>
        <w:spacing w:after="0" w:line="241" w:lineRule="auto"/>
        <w:rPr>
          <w:sz w:val="20"/>
          <w:szCs w:val="20"/>
          <w:color w:val="auto"/>
        </w:rPr>
      </w:pPr>
      <w:r>
        <w:rPr>
          <w:rFonts w:ascii="Times New Roman" w:cs="Times New Roman" w:eastAsia="Times New Roman" w:hAnsi="Times New Roman"/>
          <w:sz w:val="18"/>
          <w:szCs w:val="18"/>
          <w:color w:val="auto"/>
        </w:rPr>
        <w:t>As of June 30, 2025 and December 31, 2024, the Company remeasured the derivative liabilities for the Redeemable Convertible Preferred Stock to fair value of $246.3 million and $639.4 million, comprising of $155.2 million and $408.8 million related to Series A Redeemable Convertible Preferred Stock and $91.1 million and $230.6 million related to Series B Redeemable Convertible Preferred Stock, respectively. The Company recognized gains of $111.5 million and $393.2 million for the three and six months ended June 30, 2025, respectively, and a gain of $103.0 million for the same periods in the prior year, in change in fair value of derivative liabilities associated with redeemable convertible preferred stock (related party) in the condensed consolidated statements of operations and comprehensive loss.</w:t>
      </w:r>
    </w:p>
    <w:p>
      <w:pPr>
        <w:spacing w:after="0" w:line="19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the derivative liabilities using a binomial lattice model with the volatility, credit spread, and term as significant unobservable inputs. Assumptions used in the valuation also take into account the contractual terms as well as the quoted price of the Company’s common stock in an active market. Significant changes in any of those inputs in isolation would result in significant changes to the fair value measurement.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 3 fair value inputs used in the valuation of the derivative liabilities associated with the Redeemable Convertible Preferred Stock were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40" w:type="dxa"/>
            <w:vAlign w:val="bottom"/>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304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31"/>
        </w:trPr>
        <w:tc>
          <w:tcPr>
            <w:tcW w:w="47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center"/>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ind w:right="435"/>
              <w:spacing w:after="0" w:line="131" w:lineRule="exact"/>
              <w:rPr>
                <w:sz w:val="20"/>
                <w:szCs w:val="20"/>
                <w:color w:val="auto"/>
              </w:rPr>
            </w:pPr>
            <w:r>
              <w:rPr>
                <w:rFonts w:ascii="Times New Roman" w:cs="Times New Roman" w:eastAsia="Times New Roman" w:hAnsi="Times New Roman"/>
                <w:sz w:val="14"/>
                <w:szCs w:val="14"/>
                <w:b w:val="1"/>
                <w:bCs w:val="1"/>
                <w:color w:val="auto"/>
              </w:rPr>
              <w:t>Series B</w:t>
            </w:r>
          </w:p>
        </w:tc>
      </w:tr>
      <w:tr>
        <w:trPr>
          <w:trHeight w:val="195"/>
        </w:trPr>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 Liability</w:t>
            </w: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 Liability</w:t>
            </w:r>
          </w:p>
        </w:tc>
        <w:tc>
          <w:tcPr>
            <w:tcW w:w="14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 Liability</w:t>
            </w:r>
          </w:p>
        </w:tc>
        <w:tc>
          <w:tcPr>
            <w:tcW w:w="140" w:type="dxa"/>
            <w:vAlign w:val="bottom"/>
          </w:tcPr>
          <w:p>
            <w:pPr>
              <w:spacing w:after="0"/>
              <w:rPr>
                <w:sz w:val="16"/>
                <w:szCs w:val="16"/>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Derivative Liability</w:t>
            </w:r>
          </w:p>
        </w:tc>
      </w:tr>
      <w:tr>
        <w:trPr>
          <w:trHeight w:val="228"/>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spread</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3.02</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(in years)</w:t>
            </w:r>
          </w:p>
        </w:tc>
        <w:tc>
          <w:tcPr>
            <w:tcW w:w="140" w:type="dxa"/>
            <w:vAlign w:val="bottom"/>
          </w:tcPr>
          <w:p>
            <w:pPr>
              <w:spacing w:after="0"/>
              <w:rPr>
                <w:sz w:val="19"/>
                <w:szCs w:val="19"/>
                <w:color w:val="auto"/>
              </w:rPr>
            </w:pPr>
          </w:p>
        </w:tc>
        <w:tc>
          <w:tcPr>
            <w:tcW w:w="142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repurchased an aggregate of 857,825 shares of its common stock, including 712,742 shares from certain employees and 145,083 shares from board of directors of the Company’s predecessor, Atieva, Inc. at $24.15 per share. No common stock was repurchased during the three and six months ended June 30,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Issuance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reserved for future issuances as of June 30, 2025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4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3"/>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Warrants to purchase common stock</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44,350,000</w:t>
            </w:r>
          </w:p>
        </w:tc>
        <w:tc>
          <w:tcPr>
            <w:tcW w:w="0" w:type="dxa"/>
            <w:vAlign w:val="bottom"/>
          </w:tcPr>
          <w:p>
            <w:pPr>
              <w:spacing w:after="0"/>
              <w:rPr>
                <w:sz w:val="1"/>
                <w:szCs w:val="1"/>
                <w:color w:val="auto"/>
              </w:rPr>
            </w:pP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22,073,185</w:t>
            </w:r>
          </w:p>
        </w:tc>
        <w:tc>
          <w:tcPr>
            <w:tcW w:w="0" w:type="dxa"/>
            <w:vAlign w:val="bottom"/>
          </w:tcPr>
          <w:p>
            <w:pPr>
              <w:spacing w:after="0"/>
              <w:rPr>
                <w:sz w:val="1"/>
                <w:szCs w:val="1"/>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94,687,406</w:t>
            </w:r>
          </w:p>
        </w:tc>
        <w:tc>
          <w:tcPr>
            <w:tcW w:w="0" w:type="dxa"/>
            <w:vAlign w:val="bottom"/>
          </w:tcPr>
          <w:p>
            <w:pPr>
              <w:spacing w:after="0"/>
              <w:rPr>
                <w:sz w:val="1"/>
                <w:szCs w:val="1"/>
                <w:color w:val="auto"/>
              </w:rPr>
            </w:pP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grants under equity plans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201,788,658</w:t>
            </w:r>
          </w:p>
        </w:tc>
        <w:tc>
          <w:tcPr>
            <w:tcW w:w="0" w:type="dxa"/>
            <w:vAlign w:val="bottom"/>
          </w:tcPr>
          <w:p>
            <w:pPr>
              <w:spacing w:after="0"/>
              <w:rPr>
                <w:sz w:val="1"/>
                <w:szCs w:val="1"/>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2026 Notes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17,525,210</w:t>
            </w:r>
          </w:p>
        </w:tc>
        <w:tc>
          <w:tcPr>
            <w:tcW w:w="0" w:type="dxa"/>
            <w:vAlign w:val="bottom"/>
          </w:tcPr>
          <w:p>
            <w:pPr>
              <w:spacing w:after="0"/>
              <w:rPr>
                <w:sz w:val="1"/>
                <w:szCs w:val="1"/>
                <w:color w:val="auto"/>
              </w:rPr>
            </w:pP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2030 Notes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366,666,630</w:t>
            </w:r>
          </w:p>
        </w:tc>
        <w:tc>
          <w:tcPr>
            <w:tcW w:w="0" w:type="dxa"/>
            <w:vAlign w:val="bottom"/>
          </w:tcPr>
          <w:p>
            <w:pPr>
              <w:spacing w:after="0"/>
              <w:rPr>
                <w:sz w:val="1"/>
                <w:szCs w:val="1"/>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Series A redeemable convertible preferred stock</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311,108,563</w:t>
            </w:r>
          </w:p>
        </w:tc>
        <w:tc>
          <w:tcPr>
            <w:tcW w:w="0" w:type="dxa"/>
            <w:vAlign w:val="bottom"/>
          </w:tcPr>
          <w:p>
            <w:pPr>
              <w:spacing w:after="0"/>
              <w:rPr>
                <w:sz w:val="1"/>
                <w:szCs w:val="1"/>
                <w:color w:val="auto"/>
              </w:rPr>
            </w:pP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Series B redeemable convertible preferred stock</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185,162,444</w:t>
            </w:r>
          </w:p>
        </w:tc>
        <w:tc>
          <w:tcPr>
            <w:tcW w:w="0" w:type="dxa"/>
            <w:vAlign w:val="bottom"/>
          </w:tcPr>
          <w:p>
            <w:pPr>
              <w:spacing w:after="0"/>
              <w:rPr>
                <w:sz w:val="1"/>
                <w:szCs w:val="1"/>
                <w:color w:val="auto"/>
              </w:rPr>
            </w:pP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1,243,362,096</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32</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97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7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NOTE 10 – STOCK-BASED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for the six months ended June 30, 2025 was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58"/>
        </w:trPr>
        <w:tc>
          <w:tcPr>
            <w:tcW w:w="5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2"/>
        </w:trPr>
        <w:tc>
          <w:tcPr>
            <w:tcW w:w="5240" w:type="dxa"/>
            <w:vAlign w:val="bottom"/>
          </w:tcPr>
          <w:p>
            <w:pPr>
              <w:spacing w:after="0"/>
              <w:rPr>
                <w:sz w:val="14"/>
                <w:szCs w:val="14"/>
                <w:color w:val="auto"/>
              </w:rPr>
            </w:pP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220" w:type="dxa"/>
            <w:vAlign w:val="bottom"/>
          </w:tcPr>
          <w:p>
            <w:pPr>
              <w:spacing w:after="0"/>
              <w:rPr>
                <w:sz w:val="14"/>
                <w:szCs w:val="14"/>
                <w:color w:val="auto"/>
              </w:rPr>
            </w:pPr>
          </w:p>
        </w:tc>
        <w:tc>
          <w:tcPr>
            <w:tcW w:w="13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90"/>
        </w:trPr>
        <w:tc>
          <w:tcPr>
            <w:tcW w:w="5240" w:type="dxa"/>
            <w:vAlign w:val="bottom"/>
          </w:tcPr>
          <w:p>
            <w:pPr>
              <w:spacing w:after="0"/>
              <w:rPr>
                <w:sz w:val="16"/>
                <w:szCs w:val="16"/>
                <w:color w:val="auto"/>
              </w:rPr>
            </w:pP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6"/>
                <w:szCs w:val="16"/>
                <w:color w:val="auto"/>
              </w:rPr>
            </w:pPr>
          </w:p>
        </w:tc>
        <w:tc>
          <w:tcPr>
            <w:tcW w:w="13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52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26,894,103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48,886</w:t>
            </w:r>
          </w:p>
        </w:tc>
      </w:tr>
      <w:tr>
        <w:trPr>
          <w:trHeight w:val="234"/>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(4,490,688)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
        </w:trPr>
        <w:tc>
          <w:tcPr>
            <w:tcW w:w="5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7"/>
        </w:trPr>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canceled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(330,230)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5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22,073,185</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20,608</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276"/>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June 30, 2025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20,509,721</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As of June 30, 2025, unrecognized stock-based compensation cost related to outstanding unvested stock options that are expected to vest was $4.9 million, and is expected to be recognized over a weighted-average period of 2.0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RSUs activity for the six months ended June 30, 2025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3"/>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Time-Based Shares</w:t>
            </w:r>
          </w:p>
        </w:tc>
        <w:tc>
          <w:tcPr>
            <w:tcW w:w="1360" w:type="dxa"/>
            <w:vAlign w:val="bottom"/>
            <w:gridSpan w:val="2"/>
            <w:vMerge w:val="continue"/>
          </w:tcPr>
          <w:p>
            <w:pPr>
              <w:spacing w:after="0"/>
              <w:rPr>
                <w:sz w:val="12"/>
                <w:szCs w:val="12"/>
                <w:color w:val="auto"/>
              </w:rPr>
            </w:pPr>
          </w:p>
        </w:tc>
        <w:tc>
          <w:tcPr>
            <w:tcW w:w="12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87,969,008</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15,996,461</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103,965,469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30,400,463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1,623,784</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32,024,247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(29,324,838)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(4,985,271)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(34,310,109)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(6,210,649)</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(781,552)</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(6,992,201)</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82,833,984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11,853,422</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94,687,406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unrecognized stock-based compensation cost related to outstanding unvested time-based RSUs that are expected to vest was $252.5 million, which is expected to be recognized over a weighted-average period of 1.7 years.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2021, the Company granted performance-based RSUs to the former CEO and they were subject to performance and market conditions. The performance condition was satisfied upon the closing of the merger. The Company recognized compensation expense using a graded vesting attribution method over the derived service period for the former CEO’s performance-based awards. Stock-based compensation expense was recognized when the relevant performance condition was considered probable of achievement for the performance-based award. During the year ended December 31, 2022, the market condition was met for the performance-based awards of the former CEO for four of the five tranches and certified by the Company’s board of directors (the “Board of Directors”), representing an aggregate of 13,934,271 performance RSUs. The unamortized expense of $8.2 million as of December 31, 2022 for the fifth tranche, representing 2,090,140 RSUs, was fully recognized during the year ended December 31, 2023.</w:t>
      </w:r>
    </w:p>
    <w:p>
      <w:pPr>
        <w:spacing w:after="0" w:line="189"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7"/>
          <w:szCs w:val="17"/>
          <w:color w:val="auto"/>
        </w:rPr>
        <w:t>The Company granted 13,834,748 shares of the time-based RSUs to the former CEO that would vest in sixteen equal quarterly installments, beginning on December 5, 2021, and were subject to continuous employment. The Company recognized compensation expense for these time-based RSUs on a graded vesting schedule over the requisite vesting period. The Company withheld approximately 0.5 million and 1.0 million shares of common stock for the three and six months ended June 30, 2025 and 2024, respectively, by net settlement to meet the related tax withholding requirements related to the former CEO’s time-based RSUs. In February 2025, the Company announced the former CEO’s resignation and transition. In connection with this transition, the Company recorded a reversal of $41.6 million related to previously recognized stock-based compensation expenses for his unvested time-based RSUs, resulted from modification accounting. As of June 30, 2025, there were no unrecognized stock-based compensation expenses related to the time-based RSUs.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granted performance-based RSUs to certain employees and they are subject to (i) corporate performance conditions and/or individual performance and (ii) a service condition which will be met generally over 3 years. The number of awards granted represents 100% of the target goal. Under the terms of the awards, the recipient may earn between 0% to 150% of the original number of grants based on actual achievement of corporate performance goals and/or individual performance. Stock-based compensation expense is recognized when the relevant performance condition is considered probable of achievement for the performance-based award. The Company recorded stock-based compensation expenses of $3.5 million and $12.4 million during the three and six months ended June 30, 2025, respectively, and $3.3 million and $8.0 million for the same periods in the prior year, respectively, related to these performance-based RSUs. As of June 30, 2025, the unamortized expense for the performance-based RSUs was $12.3 million, which will be recognized over a weighted-average period of 0.9 years primarily contingent upon realization of the corporate performance conditions.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(“ESPP”)</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ESPP authorizes the issuance of shares of common stock pursuant to purchase rights granted to employees. The plan provides for 24-month offering periods beginning in December and June of each year, and each offering period will consist of four six-month purchase periods. The purchase price for each share purchased during an offering period will be the lesser of 85% of the fair market value of the share on the purchase date or 85% of the fair market value of the share on the offering date. As of June 30, 2025, unrecognized stock-based compensation cost related to the ESPP was $25.1 million which is expected to be recognized over a weighted-average period of 1.5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Total employee and nonemployee stock-based compensation expense for the three and six months ended June 30, 2025 and 2024, was classified in the condensed consolidated statements of operations and comprehensive loss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3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5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71,059</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49,319</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120,709</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 capitalized stock-based compensation expenses of $8.5 million and $18.3 million for the three and six months ended June 30, 2025, respectively, and $8.9 million and $19.4 million for the same periods in the prior year, respectively, primarily as part of the cost of inventory.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has entered into various non-cancellable operating and finance lease agreements for certain of the Company’s offices, manufacturing and warehouse facilities, retail and service locations, equipment and vehicles, worldwide.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August 2022, the Company entered into a four-year agreement (“Lease Agreement”) to lease land in Casa Grande, Arizona adjacent to our manufacturing facility. The Company classifies this lease as a finance lease because the Lease Agreement contains a purchase option which the Company is reasonably certain to exercise. As of June 30, 2025 and December 31, 2024, assets associated with the finance lease were $79.3 million. As of June 30, 2025 and December 31, 2024, liabilities associated with the finance lease were $79.7 million and $80.0 million, respectively.</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Contemporaneously with the execution of the Lease Agreement, the Company entered into a sale agreement, pursuant to which the Company sold certain parcels of land for $31.7 million to the lessor and leased back these parcels of land under the Lease Agreement. The sale of the land and subsequent lease did not result in change in the transfer of control of the land; therefore, the sale-leaseback transaction is accounted for as a failed sale and leaseback financing obligation. The Company recorded $31.7 million of sales proceeds received as a financial liability within other long-term liabilities in the condensed consolidated balance sheets as of June 30, 2025 and December 31, 2024.</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ind w:right="120"/>
        <w:spacing w:after="0" w:line="282" w:lineRule="auto"/>
        <w:rPr>
          <w:sz w:val="20"/>
          <w:szCs w:val="20"/>
          <w:color w:val="auto"/>
        </w:rPr>
      </w:pPr>
      <w:r>
        <w:rPr>
          <w:rFonts w:ascii="Times New Roman" w:cs="Times New Roman" w:eastAsia="Times New Roman" w:hAnsi="Times New Roman"/>
          <w:sz w:val="18"/>
          <w:szCs w:val="18"/>
          <w:color w:val="auto"/>
        </w:rPr>
        <w:t>The balances for the operating and finance leases where the Company is the lessee are presented as follows within the Company’s condensed consolidated balance sheets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235,821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211,886</w:t>
            </w:r>
          </w:p>
        </w:tc>
      </w:tr>
      <w:tr>
        <w:trPr>
          <w:trHeight w:val="270"/>
        </w:trPr>
        <w:tc>
          <w:tcPr>
            <w:tcW w:w="8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0"/>
        </w:trPr>
        <w:tc>
          <w:tcPr>
            <w:tcW w:w="8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35,596</w:t>
            </w:r>
          </w:p>
        </w:tc>
      </w:tr>
      <w:tr>
        <w:trPr>
          <w:trHeight w:val="229"/>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233,637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229,835</w:t>
            </w:r>
          </w:p>
        </w:tc>
      </w:tr>
      <w:tr>
        <w:trPr>
          <w:trHeight w:val="223"/>
        </w:trPr>
        <w:tc>
          <w:tcPr>
            <w:tcW w:w="8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284,437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265,431</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6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Property, plant and equipment, net</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183,472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82,823</w:t>
            </w:r>
          </w:p>
        </w:tc>
      </w:tr>
      <w:tr>
        <w:trPr>
          <w:trHeight w:val="223"/>
        </w:trPr>
        <w:tc>
          <w:tcPr>
            <w:tcW w:w="8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finance lease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183,472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82,823</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 liabilities, current portion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w:t>
            </w:r>
          </w:p>
        </w:tc>
      </w:tr>
      <w:tr>
        <w:trPr>
          <w:trHeight w:val="230"/>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176,113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76,096</w:t>
            </w:r>
          </w:p>
        </w:tc>
      </w:tr>
      <w:tr>
        <w:trPr>
          <w:trHeight w:val="223"/>
        </w:trPr>
        <w:tc>
          <w:tcPr>
            <w:tcW w:w="8600" w:type="dxa"/>
            <w:vAlign w:val="bottom"/>
          </w:tcPr>
          <w:p>
            <w:pPr>
              <w:ind w:left="520"/>
              <w:spacing w:after="0" w:line="223" w:lineRule="exact"/>
              <w:rPr>
                <w:sz w:val="20"/>
                <w:szCs w:val="20"/>
                <w:color w:val="auto"/>
              </w:rPr>
            </w:pPr>
            <w:r>
              <w:rPr>
                <w:rFonts w:ascii="Times New Roman" w:cs="Times New Roman" w:eastAsia="Times New Roman" w:hAnsi="Times New Roman"/>
                <w:sz w:val="18"/>
                <w:szCs w:val="18"/>
                <w:color w:val="auto"/>
              </w:rPr>
              <w:t>Total finance lease liabilities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184,254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82,884</w:t>
            </w:r>
          </w:p>
        </w:tc>
      </w:tr>
      <w:tr>
        <w:trPr>
          <w:trHeight w:val="21"/>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80" w:firstLine="8"/>
        <w:spacing w:after="0" w:line="248" w:lineRule="auto"/>
        <w:tabs>
          <w:tab w:leader="none" w:pos="145"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 of June 30, 2025, the Company recorded $98.0 million of finance lease assets and $99.0 million of finance lease liabilities related to certain facility leases assumed in connection with the assets acquisition from Nikola Corporation.</w:t>
      </w:r>
    </w:p>
    <w:p>
      <w:pPr>
        <w:spacing w:after="0" w:line="20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components of lease expense were as follows within the Company’s condensed consolidated statements of operations and comprehensive loss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34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9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59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Operating lease expense</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30,429</w:t>
            </w:r>
          </w:p>
        </w:tc>
      </w:tr>
      <w:tr>
        <w:trPr>
          <w:trHeight w:val="230"/>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Variable lease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56"/>
        </w:trPr>
        <w:tc>
          <w:tcPr>
            <w:tcW w:w="5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expense: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30"/>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r>
      <w:tr>
        <w:trPr>
          <w:trHeight w:val="223"/>
        </w:trPr>
        <w:tc>
          <w:tcPr>
            <w:tcW w:w="5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w:t>
            </w:r>
          </w:p>
        </w:tc>
      </w:tr>
      <w:tr>
        <w:trPr>
          <w:trHeight w:val="248"/>
        </w:trPr>
        <w:tc>
          <w:tcPr>
            <w:tcW w:w="59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lease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Excluded short-term leases, which were not material.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where the Company is the lessee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4720" w:type="dxa"/>
            <w:vAlign w:val="bottom"/>
          </w:tcPr>
          <w:p>
            <w:pPr>
              <w:spacing w:after="0"/>
              <w:rPr>
                <w:sz w:val="17"/>
                <w:szCs w:val="17"/>
                <w:color w:val="auto"/>
              </w:rPr>
            </w:pPr>
          </w:p>
        </w:tc>
        <w:tc>
          <w:tcPr>
            <w:tcW w:w="502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4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36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5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5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7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36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5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11.62 %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11.87 %</w:t>
            </w:r>
          </w:p>
        </w:tc>
      </w:tr>
      <w:tr>
        <w:trPr>
          <w:trHeight w:val="230"/>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5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5.73 %</w:t>
            </w:r>
          </w:p>
        </w:tc>
      </w:tr>
      <w:tr>
        <w:trPr>
          <w:trHeight w:val="553"/>
        </w:trPr>
        <w:tc>
          <w:tcPr>
            <w:tcW w:w="4720" w:type="dxa"/>
            <w:vAlign w:val="bottom"/>
          </w:tcPr>
          <w:p>
            <w:pPr>
              <w:spacing w:after="0"/>
              <w:rPr>
                <w:sz w:val="24"/>
                <w:szCs w:val="24"/>
                <w:color w:val="auto"/>
              </w:rPr>
            </w:pPr>
          </w:p>
        </w:tc>
        <w:tc>
          <w:tcPr>
            <w:tcW w:w="3620" w:type="dxa"/>
            <w:vAlign w:val="bottom"/>
          </w:tcPr>
          <w:p>
            <w:pPr>
              <w:jc w:val="right"/>
              <w:ind w:right="2533"/>
              <w:spacing w:after="0"/>
              <w:rPr>
                <w:sz w:val="20"/>
                <w:szCs w:val="20"/>
                <w:color w:val="auto"/>
              </w:rPr>
            </w:pPr>
            <w:r>
              <w:rPr>
                <w:rFonts w:ascii="Times New Roman" w:cs="Times New Roman" w:eastAsia="Times New Roman" w:hAnsi="Times New Roman"/>
                <w:sz w:val="18"/>
                <w:szCs w:val="18"/>
                <w:color w:val="auto"/>
              </w:rPr>
              <w:t>35</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29"/>
        </w:trPr>
        <w:tc>
          <w:tcPr>
            <w:tcW w:w="4720" w:type="dxa"/>
            <w:vAlign w:val="bottom"/>
            <w:tcBorders>
              <w:bottom w:val="single" w:sz="8" w:color="9A9A9A"/>
            </w:tcBorders>
          </w:tcPr>
          <w:p>
            <w:pPr>
              <w:spacing w:after="0"/>
              <w:rPr>
                <w:sz w:val="11"/>
                <w:szCs w:val="11"/>
                <w:color w:val="auto"/>
              </w:rPr>
            </w:pPr>
          </w:p>
        </w:tc>
        <w:tc>
          <w:tcPr>
            <w:tcW w:w="362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As of June 30, 2025, the maturities of the Company’s operating and finance lease liabilities (excluding short-term leases)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40" w:type="dxa"/>
            <w:vAlign w:val="bottom"/>
          </w:tcPr>
          <w:p>
            <w:pPr>
              <w:spacing w:after="0"/>
              <w:rPr>
                <w:sz w:val="16"/>
                <w:szCs w:val="16"/>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8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 of the year)</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92,377</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104,130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188,406</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316,313</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(112,129)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(132,059)</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184,254</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(8,141)</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 of lease obligations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233,637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176,113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June 30, 2025, the Company entered into an additional lease for a facility that has not yet commenced with undiscounted future lease payments of $11.2 million. The lease is expected to commence in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the Company had $1.1 billion and $1.0 billion in commitments related to AMP-1 and AMP-2 plant and equipment, respectively. These commitments represent future expected payments on open purchase orders entered into as of June 30, 2025 and December 31, 2024.</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Company’s non-cancellable long-term commitments primarily related to certain inventory component purchases. On October 1, 2024, the Company entered into amendments (the “Amendments”) to certain battery-supply agreements with Panasonic Energy Co., Ltd. and certain of its affiliates. As of June 30, 2025, pursuant to the terms of the Amendments, the Company had remaining minimum purchase commitments of an aggregate of approximately $2.55 billion, calculated using the current base prices, which could vary period-to-period primarily as a result of changes in raw material indexes. The estimated future payments having a remaining term in excess of one year as of June 30, 2025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0" w:type="dxa"/>
            <w:vAlign w:val="bottom"/>
          </w:tcPr>
          <w:p>
            <w:pPr>
              <w:spacing w:after="0"/>
              <w:rPr>
                <w:sz w:val="1"/>
                <w:szCs w:val="1"/>
                <w:color w:val="auto"/>
              </w:rPr>
            </w:pPr>
          </w:p>
        </w:tc>
      </w:tr>
      <w:tr>
        <w:trPr>
          <w:trHeight w:val="137"/>
        </w:trPr>
        <w:tc>
          <w:tcPr>
            <w:tcW w:w="9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Years ended December 31,</w:t>
            </w:r>
          </w:p>
        </w:tc>
        <w:tc>
          <w:tcPr>
            <w:tcW w:w="160" w:type="dxa"/>
            <w:vAlign w:val="bottom"/>
          </w:tcPr>
          <w:p>
            <w:pPr>
              <w:spacing w:after="0"/>
              <w:rPr>
                <w:sz w:val="11"/>
                <w:szCs w:val="11"/>
                <w:color w:val="auto"/>
              </w:rPr>
            </w:pPr>
          </w:p>
        </w:tc>
        <w:tc>
          <w:tcPr>
            <w:tcW w:w="1120" w:type="dxa"/>
            <w:vAlign w:val="bottom"/>
          </w:tcPr>
          <w:p>
            <w:pPr>
              <w:jc w:val="center"/>
              <w:ind w:right="75"/>
              <w:spacing w:after="0" w:line="137"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214"/>
        </w:trPr>
        <w:tc>
          <w:tcPr>
            <w:tcW w:w="996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0" w:type="dxa"/>
            <w:vAlign w:val="bottom"/>
          </w:tcPr>
          <w:p>
            <w:pPr>
              <w:spacing w:after="0"/>
              <w:rPr>
                <w:sz w:val="1"/>
                <w:szCs w:val="1"/>
                <w:color w:val="auto"/>
              </w:rPr>
            </w:pPr>
          </w:p>
        </w:tc>
      </w:tr>
      <w:tr>
        <w:trPr>
          <w:trHeight w:val="223"/>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 of the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101,466</w:t>
            </w:r>
          </w:p>
        </w:tc>
        <w:tc>
          <w:tcPr>
            <w:tcW w:w="0" w:type="dxa"/>
            <w:vAlign w:val="bottom"/>
          </w:tcPr>
          <w:p>
            <w:pPr>
              <w:spacing w:after="0"/>
              <w:rPr>
                <w:sz w:val="1"/>
                <w:szCs w:val="1"/>
                <w:color w:val="auto"/>
              </w:rPr>
            </w:pPr>
          </w:p>
        </w:tc>
      </w:tr>
      <w:tr>
        <w:trPr>
          <w:trHeight w:val="230"/>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296,610</w:t>
            </w:r>
          </w:p>
        </w:tc>
        <w:tc>
          <w:tcPr>
            <w:tcW w:w="0" w:type="dxa"/>
            <w:vAlign w:val="bottom"/>
          </w:tcPr>
          <w:p>
            <w:pPr>
              <w:spacing w:after="0"/>
              <w:rPr>
                <w:sz w:val="1"/>
                <w:szCs w:val="1"/>
                <w:color w:val="auto"/>
              </w:rPr>
            </w:pPr>
          </w:p>
        </w:tc>
      </w:tr>
      <w:tr>
        <w:trPr>
          <w:trHeight w:val="23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386,965</w:t>
            </w:r>
          </w:p>
        </w:tc>
        <w:tc>
          <w:tcPr>
            <w:tcW w:w="0" w:type="dxa"/>
            <w:vAlign w:val="bottom"/>
          </w:tcPr>
          <w:p>
            <w:pPr>
              <w:spacing w:after="0"/>
              <w:rPr>
                <w:sz w:val="1"/>
                <w:szCs w:val="1"/>
                <w:color w:val="auto"/>
              </w:rPr>
            </w:pPr>
          </w:p>
        </w:tc>
      </w:tr>
      <w:tr>
        <w:trPr>
          <w:trHeight w:val="230"/>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459,349</w:t>
            </w:r>
          </w:p>
        </w:tc>
        <w:tc>
          <w:tcPr>
            <w:tcW w:w="0" w:type="dxa"/>
            <w:vAlign w:val="bottom"/>
          </w:tcPr>
          <w:p>
            <w:pPr>
              <w:spacing w:after="0"/>
              <w:rPr>
                <w:sz w:val="1"/>
                <w:szCs w:val="1"/>
                <w:color w:val="auto"/>
              </w:rPr>
            </w:pPr>
          </w:p>
        </w:tc>
      </w:tr>
      <w:tr>
        <w:trPr>
          <w:trHeight w:val="229"/>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452,240</w:t>
            </w:r>
          </w:p>
        </w:tc>
        <w:tc>
          <w:tcPr>
            <w:tcW w:w="0" w:type="dxa"/>
            <w:vAlign w:val="bottom"/>
          </w:tcPr>
          <w:p>
            <w:pPr>
              <w:spacing w:after="0"/>
              <w:rPr>
                <w:sz w:val="1"/>
                <w:szCs w:val="1"/>
                <w:color w:val="auto"/>
              </w:rPr>
            </w:pPr>
          </w:p>
        </w:tc>
      </w:tr>
      <w:tr>
        <w:trPr>
          <w:trHeight w:val="230"/>
        </w:trPr>
        <w:tc>
          <w:tcPr>
            <w:tcW w:w="9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925,400</w:t>
            </w:r>
          </w:p>
        </w:tc>
        <w:tc>
          <w:tcPr>
            <w:tcW w:w="0" w:type="dxa"/>
            <w:vAlign w:val="bottom"/>
          </w:tcPr>
          <w:p>
            <w:pPr>
              <w:spacing w:after="0"/>
              <w:rPr>
                <w:sz w:val="1"/>
                <w:szCs w:val="1"/>
                <w:color w:val="auto"/>
              </w:rPr>
            </w:pPr>
          </w:p>
        </w:tc>
      </w:tr>
      <w:tr>
        <w:trPr>
          <w:trHeight w:val="248"/>
        </w:trPr>
        <w:tc>
          <w:tcPr>
            <w:tcW w:w="9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2,622,030</w:t>
            </w:r>
          </w:p>
        </w:tc>
        <w:tc>
          <w:tcPr>
            <w:tcW w:w="0" w:type="dxa"/>
            <w:vAlign w:val="bottom"/>
          </w:tcPr>
          <w:p>
            <w:pPr>
              <w:spacing w:after="0"/>
              <w:rPr>
                <w:sz w:val="1"/>
                <w:szCs w:val="1"/>
                <w:color w:val="auto"/>
              </w:rPr>
            </w:pP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From time-to-time,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ind w:right="20"/>
        <w:spacing w:after="0" w:line="253" w:lineRule="auto"/>
        <w:rPr>
          <w:sz w:val="20"/>
          <w:szCs w:val="20"/>
          <w:color w:val="auto"/>
        </w:rPr>
      </w:pPr>
      <w:r>
        <w:rPr>
          <w:rFonts w:ascii="Times New Roman" w:cs="Times New Roman" w:eastAsia="Times New Roman" w:hAnsi="Times New Roman"/>
          <w:sz w:val="18"/>
          <w:szCs w:val="18"/>
          <w:color w:val="auto"/>
        </w:rPr>
        <w:t>On April 1, 2022, and May 31, 2022, two alleged shareholders filed putative class actions under the federal securities laws in the United States District Court for the Northern District of California against Lucid Group, Inc. and certain officers of the Company relating to alleged statements, updated projections and guidance provided from late 2021 to early 2022. The two matters were consolidated as In re Lucid Group, Inc. Securities Litigation. The consolidated complaint named Lucid Group, Inc. and the Company’s former chief executive officer and former chief financial officer as defendants, and generally alleged that defendants purportedly made false or misleading statements regarding delivery and revenue projections and related matters between November 15, 2021, and August 3, 2022. Defendants filed a motion to dismiss on February 23, 2023. On August 8, 2024, the Court granted in part and denied in part the motion to dismiss. On September 20, 2024, Plaintiffs filed an amended consolidated complaint, which named the Company and its former chief executive officer as defendants. Defendants filed a motion to dismiss the Amended Consolidated Complaint, in part, on December 6, 2024. On May 22, 2025, the court issued a ruling granting in part and denying in part the defendants’ motion to dismiss. As a result, the parties have transitioned into the discovery phase of the litigation.</w:t>
      </w:r>
    </w:p>
    <w:p>
      <w:pPr>
        <w:spacing w:after="0" w:line="1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Eight purported shareholders have filed derivative cases in various courts putatively on behalf of the Company against certain of the Company’s current and former directors based on allegations similar to those in the In re Lucid Group, Inc. Securities Litigation action. These cases raise claims such as a breach of fiduciary duty, unjust enrichment, waste of corporate assets, and aiding and abetting a breach of fiduciary duty. On July 11, 2022, a derivative case raising such claims was filed in the Superior Court of California, Alameda County, and is currently stayed. Between September 2024 and December 2024, three other derivative lawsuits were filed in the Delaware Court of Chancery raising similar claims. Two were consolidated into a single action. Between January 29, 2025, and February 7, 2025, two other derivative lawsuits were filed in the Northern District of California also raising similar claims. The parties have submitted a stipulation to consolidate and stay the cases. Between February 28, 2025, and March 7, 2025, two other derivative lawsuits raising similar claims were also filed in the United States District Court for the District of Delaware. They were consolidated into a single action and are currently stayed.</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Moreover, on March 25, 2021, the Illinois Automobile Dealers Association, Chicago Automobile Trade Association, Peoria Metro New Car Dealers Association, Illinois Motorcycle Dealers Association, and 241 individual motor vehicle dealers filed an action against the Office of the Illinois Secretary of State (“SOS”), Jesse White, in his official capacity as the Illinois Secretary of State; Lucid USA, Inc. (“Lucid USA”); and other defendants, in the Circuit Court of Cook County, Illinois, County Department, Chancery Division, Case No. 2021CH01438. The suit generally alleges that Illinois law does not permit manufacturers to obtain licenses as motor vehicle dealers. Plaintiffs seek to prevent Lucid from engaging in the sale of motor vehicles directly to consumers. The SOS granted Lucid USA a dealer’s license on June 3, 2021. In December 2022, the Court granted Defendants’ Motion to Dismiss. Plaintiffs subsequently appealed and the decision was affirmed by the First District Appellate Court on August 23, 2024. Plaintiffs filed a petition for further review of the case by the Illinois Supreme Court and the Illinois Supreme Court denied review.</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Furthermore, while we have registered and applied for trademarks in an effort to protect our brand and goodwill with customers, competitors or other third parties have previously opposed, currently oppose, and may continue to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or be unable to submit specimens of use by the applicable deadline to perfect such trademark rights.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customers, vendors, investors, directors, officers, and certain key employees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utilities infrastructure and other agreements that require securitization. The indemnification obligations were $115.9 million and $72.6 million as of June 30, 2025 and December 31, 2024, respectively, for which no liabilities are recorded in the condensed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s provision for (benefit from) income taxes for interim periods is determined using its effective tax rate that </w:t>
      </w:r>
      <w:r>
        <w:rPr>
          <w:rFonts w:ascii="Times New Roman" w:cs="Times New Roman" w:eastAsia="Times New Roman" w:hAnsi="Times New Roman"/>
          <w:sz w:val="18"/>
          <w:szCs w:val="18"/>
          <w:color w:val="000000"/>
        </w:rPr>
        <w:t>arise during the period.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Company’s quarterly tax provision is subject to variation due to several factors, including variability in pre-tax income (or loss), the mix of jurisdictions to which such income relates, changes in how the Company does business, the valuation allowance against deferred tax assets, and tax law developments.</w:t>
      </w:r>
    </w:p>
    <w:p>
      <w:pPr>
        <w:sectPr>
          <w:pgSz w:w="11900" w:h="16838" w:orient="portrait"/>
          <w:cols w:equalWidth="0" w:num="1">
            <w:col w:w="11240"/>
          </w:cols>
          <w:pgMar w:left="320" w:top="985"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7" w:name="page38"/>
    <w:bookmarkEnd w:id="37"/>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Company’s effective tax rate was 0.4% for the three and six months ended June 30, 2025, and 0.0% for the same periods in the prior year, due to minimal profits in foreign jurisdictions and U.S. losses for which no benefit will be realized.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NET 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are calculated as follows (in thousands, except share and per share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250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(1,324,249)</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Accretion of redeemable convertible preferred stock (related party)</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(146,861)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(564,748)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(150,762)</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 basic</w:t>
            </w: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(790,251)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(1,470,351)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(1,475,011)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Interest expense on 2026 Notes</w:t>
            </w: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tcBorders>
              <w:top w:val="single" w:sz="8" w:color="CCEEFF"/>
            </w:tcBorders>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4,283</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 diluted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(855,306)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(790,251)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(1,582,428)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(1,475,011)</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3,056,404,834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2,310,360,525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3,046,411,837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2,306,209,050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2026 Notes, using if-converted method</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10,296,242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3,057,882,724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2,310,360,525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3,056,708,079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2,306,209,050</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because including them would have had an anti-dilutive effect: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154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Excluded Securities</w:t>
            </w: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vMerge w:val="continue"/>
          </w:tcPr>
          <w:p>
            <w:pPr>
              <w:spacing w:after="0"/>
              <w:rPr>
                <w:sz w:val="18"/>
                <w:szCs w:val="18"/>
                <w:color w:val="auto"/>
              </w:rPr>
            </w:pPr>
          </w:p>
        </w:tc>
        <w:tc>
          <w:tcPr>
            <w:tcW w:w="12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Warrants to purchase common stock</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44,350,000</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to purchase 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22,073,185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30,287,248</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86,406,510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116,586,371</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22,966,125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19,681,061</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2026 Notes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17,525,210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36,737,785</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2030 Notes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366,666,630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Series A redeemable convertible preferred stock</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311,108,563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284,615,599</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Series B redeemable convertible preferred stock</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185,162,444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1,056,258,667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532,258,064</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Capped Call Transactions were also excluded from the computation of diluted net loss per share as they would be anti-dilutive. The 8,280,896 and 9,818,576 shares of common stock equivalents subject to RSUs were excluded from the anti-dilutive table above as the underlying shares remain contingently issuable since the market or corporate and individual performance conditions have not been satisfied as of June 30, 2025 and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EMPLOYEE BENEFIT PLAN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matching contribution expense under the Company’s 401(k) Plan was not material for the three and six months ended June 30, 2025 and 2024.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NOTE 16 -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February 2022, the Company entered into a lease agreement with KAEC, a related party of the PIF, which is an affiliate of Ayar, for its first international manufacturing plant in Saudi Arabia. The lease has an initial term of 25 years expiring in 2047. The right-of-use asset related to this lease was $4.1 million and $4.2 million as of June 30, 2025 and December 31, 2024, respectively. The lease liability was $6.3 million and $6.1 million as of June 30, 2025 and December 31, 2024, respectively. The right-of-use asset and lease liability were recorded in right-of-use assets and other long-term liabilities in the condensed consolidated balance sheets, respectively. The lease expense recorded for the three and six months ended June 30, 2025 and 2024 was immaterial.</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July 2023, the Company entered into a lease agreement with King Abdullah Financial District Development and Management Company, a subsidiary of the PIF, which is an affiliate of Ayar, for its corporate office in Saudi Arabia. The lease has an initial term of six years expiring in 2029. The right-of-use asset related to this lease was $1.8 million and $2.0 million as of June 30, 2025 and December 31, 2024, respectively. The lease liability was $2.5 million and $2.4 million as of June 30, 2025 and December 31, 2024, respectively. The right-of-use asset and lease liability were recorded in right-of-use assets and other long-term liabilities in the condensed consolidated balance sheets, respectively. The lease expense recorded for the three and six months ended June 30, 2025 and 2024 was immaterial.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SIDF Loan Agreement</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February 2022, Lucid LLC entered into the SIDF Loan Agreement with the SIDF, a related party of the PIF, which is an affiliate of Ayar. Under the SIDF Loan Agreement, SIDF has committed to provide the SIDF Loans to Lucid LLC in an aggregate principal amount of up to SAR 5.19 billion (approximately $1.4 billion); provided that SIDF may reduce the availability of SIDF Loans under the facility in certain circumstances. See Note 6 “Debt”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MISA Agreements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February 2022, Lucid LLC entered into agreements with MISA, a related party of the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Pursuant to the agreements, MISA has the right to require Lucid LLC to transfer the ownership of AMP-2 to MISA, at the fair market value thereof, reduced by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Company received support of SAR 366 million (approximately $97.5 million) in cash, of which $62.5 million was recorded as deferred liability within other long-term liabilities and $35.0 million was recorded as a deduction in calculating the carrying amount of the related assets in the consolidated balance sheet as of December 31, 2023. As of December 31, 2024, the Company recorded $97.5 million as a deduction in calculating the carrying amount of the related assets in the consolidated balance sheet. During the three and six months ended June 30, 2025, there were no further deductions to the carrying value of the related assets in the condensed consolidated balance sheet. There were no unfulfilled conditions and contingencies attached to the payments received.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GIB Facility Agreement</w:t>
      </w:r>
    </w:p>
    <w:p>
      <w:pPr>
        <w:spacing w:after="0" w:line="22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 April 2022, Lucid LLC entered into the GIB Facility Agreement with GIB. GIB is a related party of the PIF, which is an affiliate of Ayar. The GIB Facility Agreement provided for two committed revolving credit facilities in an aggregate principal amount of SAR 1.0 billion (approximately $266.1 million).</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March 2023, Lucid LLC entered into an amendment of the 2023 GIB Facility Agreement to combine the Bridge Facility and the Working Capital Facility into a committed SAR 1.0 billion (approximately $266.1 million) 2023 GIB Credit Facility which may be used for general corporate purposes.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February 2025, Lucid LLC entered into the 2025 GIB Credit Facility maturing on February 24, 2028 to increase the credit facility committed amount from SAR 1.0 billion (approximately $266.1 million) to SAR 1.9 billion (approximately $506.6 million). Loans under the 2025 GIB Credit Facility may be used for general corporate purposes. See Note 6 “Debt” for more information.</w:t>
      </w:r>
    </w:p>
    <w:p>
      <w:pPr>
        <w:sectPr>
          <w:pgSz w:w="11900" w:h="16838" w:orient="portrait"/>
          <w:cols w:equalWidth="0" w:num="1">
            <w:col w:w="11240"/>
          </w:cols>
          <w:pgMar w:left="320" w:top="981"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 Service Contract</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Lucid LLC entered into agreements with Al Bawani Company Limited (“Al Bawani”), an affiliate of the PIF, which is an affiliate of Ayar, for certain design and construction services in connection with the development of AMP-2. The capital expenditures incurred to date under these agreements were SAR 1,316.1 million (approximately $350.9 million) and SAR 865.2 million (approximately $230.3 million) as of June 30, 2025 and December 31, 2024, respectively. Amounts due to Al Bawani under these agreements was SAR 67.5 million (approximately $18.0 million) as of June 30, 2025 and was recorded within accounts payable in the condensed consolidated balance sheet. Net advance payments made to Al Bawani under these agreements was SAR 129.6 million (approximately $34.5 million) as of December 31, 2024, and was recorded within other current assets in the condensed consolidated balance sheet.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May 2023, the Company entered into the 2023 Subscription Agreement with Ayar, pursuant to which Ayar agreed to purchase from the Company 265,693,703 shares of the Company’s common stock at a price per share of $6.83 in a private placement for aggregate net proceeds of $1.8 billion. In June 2023, the Company issued the shares to Ayar pursuant to the 2023 Subscription Agreement and received aggregate net proceeds of $1.8 billion after deducting issuance costs of $2.0 million.</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March 2024, the Company entered into the Series A Subscription Agreement with Ayar, pursuant to which Ayar agreed to purchase from the Company 100,000 shares of its Series A Redeemable Convertible Preferred Stock for an aggregate purchase price of $1.0 billion in a private placement. Subsequently, in March 2024, the Company issued the shares to Ayar pursuant to the Series A Subscription Agreement and received aggregate net proceeds of $997.6 million after deducting issuance cost of $2.4 million. In August 2024, the Company entered into the Series B Subscription Agreement with Ayar, pursuant to which Ayar agreed to purchase from the Company 75,000 shares of its Series B Redeemable Convertible Preferred Stock for an aggregate purchase price of $750.0 million in a private placement. Subsequently, in August 2024, the Company issued the shares to Ayar pursuant to the Series B Subscription Agreement and received aggregate net proceeds of $749.4 million after deducting issuance costs of $0.6 million. See Note 8 “Redeemable Convertible Preferred Stock” for more information.</w:t>
      </w: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October 2024, the Company entered into the 2024 Subscription Agreement, pursuant to which Ayar agreed to purchase from the Company 374,717,927 shares of the Company’s common stock in a private placement. In addition, Ayar agreed to purchase an additional 21,470,459 shares of the Company’s common stock. As of October 31, 2024, the Company consummated the private placement of shares to Ayar pursuant to the 2024 Subscription Agreement, at a price per share of $2.59, for aggregate net proceeds of $1,025.7 million after deducting issuance costs of $0.8 million.</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Common stock acquired by Ayar under the 2023 Subscription Agreement, 2024 Subscription Agreement, the Redeemable Convertible Preferred Stock acquired by Ayar under the Series A Subscription Agreement and the Series B Subscription Agreement, and the common stock issuable upon conversion thereof are subject to the Investor Rights Agreement dated February 22, 2021 (as amended from time-to-time, the “Investor Rights Agreement”), which governs the registration for resale of such common stock and the Redeemable Convertible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Resources Development Fund (“HRDF”) Joint Cooperation Agreement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March 2023, Lucid LLC entered into a joint cooperation agreement with HRDF, a related party of the PIF, which is an affiliate of Ayar. Pursuant to the agreement, Lucid LLC will train and develop local personnel in Saudi Arabia, and HRDF agreed to reimburse the Company training related costs in an aggregate maximum amount of SAR 29.3 million (approximately $7.8 million) during the program.</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received payments of SAR 10.9 million (approximately $2.9 million) in cash during the year ended December 31, 2024, and SAR 2.2 million (approximately $0.6 million) and SAR 7.0 million (approximately $1.9 million) in cash during the three and six months ended June 30, 2025, respectively. The deferred liability balance was nil as of June 30, 2025 and December 31, 2024, and the Company recorded the deferred liability balance as a deduction to operating expenses in the consolidated statement of operations and comprehensive loss. The deduction recorded to operating expenses in the condensed consolidated statement of operations and comprehensive loss was not material for the three and six months ended June 30, 2025 and 2024.</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EV Purchase Agreement</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August 2023, Lucid LLC entered into the EV Purchase Agreement with the Government of Saudi Arabia, a related party of the PIF, which is an affiliate of Ayar, as represented by the Ministry of Finance. The EV Purchase Agreement supersedes the letter of undertaking that Lucid LLC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any vehicles that Lucid LLC fails to deliver within six months from the date of the applicable purchase order. The Purchaser also has sole and absolute discretion to decide whether to exercise the option to purchase the additional 50,000 vehicles.</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recognized net vehicle sales amount of SAR 113.5 million (approximately $30.2 million) and SAR 132.6 million (approximately $35.3 million) during the three and six months ended June 30, 2025, respectively, and SAR 136.9 million (approximately $36.5 million) and SAR 329.5 million (approximately $87.8 million) during the same periods in the prior year, respectively. The deferred revenue from the vehicle sales was primarily related to OTA and was recorded within other current liabilities and other long-term liabilities in the condensed consolidated balance sheets. As of June 30, 2025 and December 31, 2024, the deferred revenue balance was not material. The Company recorded amounts due from the Purchaser of SAR 238.2 million (approximately $63.5 million) and SAR 217.6 million (approximately $57.9 million) in accounts receivable, net in the condensed consolidated balance sheets as of June 30, 2025 and December 31, 2024, respectively. See “Vehicle Sales without Residual Value Guarantee” section under Note 2 “Summary of Significant Accounting Policies” for the revenue recognition policies.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Implementation Agreement with Aston Martin</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June 2023, the Company entered into an agreement (the “Implementation Agreement”) with Aston Martin, a related party of the PIF, which is an affiliate of Ayar, under which the Company and Aston Martin have established a long-term strategic technology and supply arrangement. On November 6, 2023, pursuant to the terms of the Implementation Agreement, integration and supply arrangements became effective, under which the Company will provide Aston Martin access to its powertrain, battery system, and software technologies, work with Aston Martin to integrate its powertrain and battery components with Aston Martin’s battery EV chassis, and supply powertrain and battery components to Aston Martin (collectively, the “Strategic Technology Arrangement”). In connection with the commencement of the Strategic Technology Arrangement, the Company received technology access fees in 28,352,273 ordinary shares of Aston Martin (subject to a lock-up provision of 365 days from its issuance) and the first cash installment of</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$33.0 million. These shares were initially measured at a fair value of $73.2 million. As of June 30, 2025 and December 31, 2024, the Company remeasured the shares and recorded fair values of $31.1 million and $37.8 million within investments in equity securities of a related party in the condensed consolidated balance sheets, respectively. The Company will receive the remaining cash payments of $99 million phased over a period of three years. In connection with the Strategic Technology Arrangement, the Company will also receive an aggregate of $10 million for integration service fees phased over a period of three years, of which the Company received $5.8 million from inception through June 30, 2025. The Company recorded accounts receivable of $2.1 million in the condensed consolidated balance sheet as of June 30, 2025. The Company accounts for technology access, integration service, and supply arrangement as a single performance obligation and recognizes revenue related to technology access and integration service based on estimated units of delivery under the supply arrangement. As of June 30, 2025 and December 31, 2024, the Company recorded $114.1 million and $112.7 million as deferred revenue primarily within other long-term liabilities in the condensed consolidated balance sheets, respectively. Aston Martin has also committed to an effective minimum spend with the Company on powertrain components of $225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DDTL Credit Facility</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August 2024, the Company entered into a $750.0 million five year DDTL Credit Facility with Ayar, which may be used for working capital and general corporate purposes. See Note 6 “Debt”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 Deposit</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purchases time deposits with GIB from time-to-time. GIB is a related party of the PIF, which is an affiliate of Ayar. As of June 30, 2025 and December 31, 2024, the Company recorded time deposit balance of $35.0 million and $15.0 million within short-term investments, and $30.0 million and $20.0 million within other long-term investments in the condensed consolidated balance sheets, respectively. See Note 5 “Fair Value Measurements and Financial Instruments”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Ayar Prepaid Forward Transaction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2030 Notes, Ayar entered into a privately negotiated prepaid forward transaction with the Forward Counterparty, pursuant to which Ayar will purchase approximately $430.0 million of the Company’s common stock with delivery expected to occur on or about the maturity date for the 2030 Notes, subject to the ability of the Forward Counterparty to elect to settle all or a portion of the prepaid forward transaction early. The periodic fee incurred associated with the prepaid forward transaction was not material for the three and six months ended June 30, 2025. See Note 6 “Debt” for more information.</w:t>
      </w:r>
    </w:p>
    <w:p>
      <w:pPr>
        <w:sectPr>
          <w:pgSz w:w="11900" w:h="16838" w:orient="portrait"/>
          <w:cols w:equalWidth="0" w:num="1">
            <w:col w:w="11240"/>
          </w:cols>
          <w:pgMar w:left="320" w:top="765" w:right="3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NOTE 17 – SEGMENT REPORTING</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operates in one reportable segment, as the CODM reviews financial information presented on a consolidated basis for purposes of making operating decisions, allocating resources, and evaluating financial performance. The Company’s CODM is its Chief Executive Officer. The Company derives segment revenue primarily from the sale of EVs to customers, and the Company’s reported measure of the segment’s profit or loss is the consolidated net loss reported in the condensed consolidated statements of operations and comprehensive loss. The CODM uses the consolidated net loss for monitoring actual results to assess the Company’s financial performance. The Company’s CODM does not evaluate its reportable segment using asset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disaggregation of the Company’s revenue by geographic area based on the sales location where the sales originated was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28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6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6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0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269,846</w:t>
            </w:r>
          </w:p>
        </w:tc>
      </w:tr>
      <w:tr>
        <w:trPr>
          <w:trHeight w:val="230"/>
        </w:trPr>
        <w:tc>
          <w:tcPr>
            <w:tcW w:w="6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Middle East</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95,231</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259,432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200,581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494,480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373,321</w:t>
            </w:r>
          </w:p>
        </w:tc>
      </w:tr>
      <w:tr>
        <w:trPr>
          <w:trHeight w:val="20"/>
        </w:trPr>
        <w:tc>
          <w:tcPr>
            <w:tcW w:w="6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80" w:firstLine="8"/>
        <w:spacing w:after="0"/>
        <w:tabs>
          <w:tab w:leader="none" w:pos="132" w:val="left"/>
        </w:tabs>
        <w:numPr>
          <w:ilvl w:val="0"/>
          <w:numId w:val="1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United States revenue was $212.7 million and $431.1 million for the three and six months ended June 30, 2025, respectively, and $153.0 million and $266.9 million for the same periods in the prior year, respectively.</w:t>
      </w:r>
    </w:p>
    <w:p>
      <w:pPr>
        <w:spacing w:after="0" w:line="177" w:lineRule="exact"/>
        <w:rPr>
          <w:rFonts w:ascii="Times New Roman" w:cs="Times New Roman" w:eastAsia="Times New Roman" w:hAnsi="Times New Roman"/>
          <w:sz w:val="15"/>
          <w:szCs w:val="15"/>
          <w:color w:val="auto"/>
          <w:vertAlign w:val="superscript"/>
        </w:rPr>
      </w:pPr>
    </w:p>
    <w:p>
      <w:pPr>
        <w:ind w:right="360" w:firstLine="8"/>
        <w:spacing w:after="0" w:line="283" w:lineRule="auto"/>
        <w:tabs>
          <w:tab w:leader="none" w:pos="132"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Kingdom of Saudi Arabia revenue was $35.9 million and $43.4 million for the three and six months ended June 30, 2025, respectively. Middle East represented revenue from Kingdom of Saudi Arabia for the three and six months ended June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included information about reported segment revenue, segment profit or loss, and significant segment expenses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2360" w:type="dxa"/>
            <w:vAlign w:val="bottom"/>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r>
      <w:tr>
        <w:trPr>
          <w:trHeight w:val="23"/>
        </w:trPr>
        <w:tc>
          <w:tcPr>
            <w:tcW w:w="6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373,321</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 - excluding LCNRV and provision for warranty</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(514,856)</w:t>
            </w:r>
          </w:p>
        </w:tc>
      </w:tr>
      <w:tr>
        <w:trPr>
          <w:trHeight w:val="230"/>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 LCNRV</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(291,989)</w:t>
            </w:r>
          </w:p>
        </w:tc>
      </w:tr>
      <w:tr>
        <w:trPr>
          <w:trHeight w:val="230"/>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 - provision for warranty</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(68,306)</w:t>
            </w:r>
          </w:p>
        </w:tc>
      </w:tr>
      <w:tr>
        <w:trPr>
          <w:trHeight w:val="229"/>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(571,797)</w:t>
            </w:r>
          </w:p>
        </w:tc>
      </w:tr>
      <w:tr>
        <w:trPr>
          <w:trHeight w:val="230"/>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(423,477)</w:t>
            </w:r>
          </w:p>
        </w:tc>
      </w:tr>
      <w:tr>
        <w:trPr>
          <w:trHeight w:val="230"/>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(20,228)</w:t>
            </w:r>
          </w:p>
        </w:tc>
      </w:tr>
      <w:tr>
        <w:trPr>
          <w:trHeight w:val="230"/>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common stock warrant liability</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34,593</w:t>
            </w:r>
          </w:p>
        </w:tc>
      </w:tr>
      <w:tr>
        <w:trPr>
          <w:trHeight w:val="229"/>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equity securities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(29,323)</w:t>
            </w:r>
          </w:p>
        </w:tc>
      </w:tr>
      <w:tr>
        <w:trPr>
          <w:trHeight w:val="175"/>
        </w:trPr>
        <w:tc>
          <w:tcPr>
            <w:tcW w:w="60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Change in fair value of derivative liabilities associated with redeemable</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preferred stock (related party)</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393,175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w:t>
            </w:r>
          </w:p>
        </w:tc>
      </w:tr>
      <w:tr>
        <w:trPr>
          <w:trHeight w:val="229"/>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105,184</w:t>
            </w:r>
          </w:p>
        </w:tc>
      </w:tr>
      <w:tr>
        <w:trPr>
          <w:trHeight w:val="230"/>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(14,174)</w:t>
            </w:r>
          </w:p>
        </w:tc>
      </w:tr>
      <w:tr>
        <w:trPr>
          <w:trHeight w:val="230"/>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r>
      <w:tr>
        <w:trPr>
          <w:trHeight w:val="229"/>
        </w:trPr>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(539,432)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(643,390)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(905,603)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(1,324,249)</w:t>
            </w: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(539,432)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(643,390)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(905,603)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(1,324,249)</w:t>
            </w:r>
          </w:p>
        </w:tc>
      </w:tr>
      <w:tr>
        <w:trPr>
          <w:trHeight w:val="20"/>
        </w:trPr>
        <w:tc>
          <w:tcPr>
            <w:tcW w:w="6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were $111.1 million and $209.0 million for the three and six months ended June 30, 2025, respectively, and $66.2 million and $135.0 million for the same periods in the prior year,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The long-lived assets by geographic area were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3,410,362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3,314,720</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393,707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159,778</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long-lived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3,804,069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3,474,498</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of the condensed consolidated financial statements for the three and six months ended June 30, 2025, the Company evaluated subsequent events and concluded there were no subsequent events that required recognition in the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Vehicle Production Agreement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July 16, 2025, the Company entered into a Vehicle Production Agreement (“VPA”) with Uber Technologies, Inc. (“Uber”) under which Uber and its designated fleet operators have agreed to purchase a minimum commitment of 20,000 (the “Minimum Quantity Guarantee”) Lucid Gravity vehicles that have been modified to include certain autonomous driving hardware and other features (the “Lucid Gravity Plus vehicles”) over a six-year period following the start of production, which is targeted to occur in late 2026. Uber and the Company will collaborate with Nuro, Inc., as the provider of autonomous driving software, to develop and deploy a fleet of autonomous vehicles to be used as robotaxis on the Uber platform. As provided in the VPA, the Minimum Quantity Guarantee is conditioned on the Company’s ability to meet certain volume and other requirements and specifications with respect to the Lucid Gravity Plus vehicles, including continued production of the base Lucid Gravity vehicles, meeting certain quality thresholds, and timely fulfillment of orders for the Lucid Gravity Plus vehicles. The VPA also contains customary representations, warranties and covenants.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July 16, 2025, the Company entered into a subscription agreement (the “2025 Subscription Agreement”) with SMB Holding Corporation (“SMB”), a subsidiary of Uber, under which the Company agreed to issue and SMB agreed to purchase, in a private placement (the “Private Placement”), the Company’s common stock equal to (i) $300.0 million in cash divided by (ii) an amount equal to the arithmetic average of the daily volume-weighted average price of the common stock over a period of thirty (30) consecutive trading days ending on, and including, July 15, 2025. The Private Placement is expected to close in the third calendar quarter of 2025, and is subject to regulatory approvals and customary closing conditions.</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shares of common stock to be sold to SMB pursuant to the 2025 Subscription Agreement will be sold in reliance on the exemption from registration provided in Section 4(a)(2) of the Securities Act of 1933, as amended. SMB may not transfer the shares of common stock acquired under the 2025 Subscription Agreement for a period of 18-months after the closing of the Private Placement. The 2025 Subscription Agreement is subject to regulatory approvals and contains customary representations, warranties and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July 28, 2025, the Company filed a definitive proxy statement for a special stockholders’ meeting to authorize the Board of Directors to effect a reverse stock split of the common stock at a ratio of one-for-ten (1:10) (the “Reverse Stock Split”). Completion of the proposed Reverse Stock Split is subject to market and other customary conditions, including obtaining stockholder approval. The Board of Directors reserves the right to elect not to proceed with the Reverse Stock Split if it determines that implementing it is no longer in the best interests of the Company and its stockholders.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and our Annual Report on Form 10-K for the year ended December 31, 2024, filed with the SEC on February 25, 2025. This discussion may contain forward-looking statements based upon Lucid’s current expectation, estimates and projections that involve risks and uncertainties. Our actual results could differ materially from those anticipated in these forward-looking statements as a result of various factors, including those set forth under “Risk Factors”, in Part II, Item 1A of this Quarterly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a technology company with a mission to advance the state-of-the-art of EV technology for the benefit of all. We are setting new standards with the world’s most advanced EVs, the award-winning Lucid Air and new Lucid Gravity. Our focus on in-house hardware and software innovation, vertical integration, and a “clean sheet” approach to engineering and design led to the development of the award-winning Lucid Air and Lucid Gravity.</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sell vehicles directly to consumers through our retail sales network and through direct online sales, including utilizing Lucid Financial Services. We believe that owning and operating our sales network provides an opportunity to closely manage the customer experience, gather direct customer feedback, and ensure that customer interactions are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in some cases as repair hubs for our mobile service offerings.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began delivering the Lucid Air to customers in October 2021. We have leveraged and expanded the technological advancements from the Lucid Air to the Lucid Gravity, which offers an unprecedented combination of performance, interior space, and efficiency, and started commercial production and deliveries in December 2024. During the three months ended June 30, 2025, we produced 3,863 vehicles and delivered 3,309 vehicles. During the six months ended June 30, 2025, we produced 6,075 vehicles and delivered 6,418 vehicles.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Beyond the Lucid Air and the Lucid Gravity, we plan to expand our vehicle lineup with the upcoming Midsize platform, which is scheduled for start of production in late 2026. Introducing a new vehicle is challenging and complex, particularly at our accelerated pace, and we are leveraging insights gained from our Lucid Air and Lucid Gravity production ramps while planning for our Midsize production. The highly uncertain macroeconomic environment and swift-moving trade policies further complicate these efforts. In response to this uncertainty, we are diligently working to optimize our supply chain and manufacturing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2030 Notes and Capped Call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8, 2025, we issued $1.10 billion aggregate principal amount of the 2030 Notes in a private offering. The net proceeds from the offering were $1.08 billion, after deducting debt issuance costs. In connection with the 2030 Notes offering, we paid $118.3 million to enter into the Capped Call Transactions with certain financial institutions to increase the effective conversion premium to $4.80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2026 Notes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Contemporaneously with the 2030 Notes offering, we repurchased $1,052.5 million aggregate principal amount of the 2026 notes, using $931.4 million of the net proceeds of the 2030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Acquisition</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April 2025, we reached an agreement and acquired select facilities and assets in Arizona previously belonging to Nikola Corporation. Additionally, we extended employment offers to more than 300 former Nikola employees in roles across our Arizona facilities. This acquisition is expected to expand our manufacturing footprint and support scaling of our EV production capabilities.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Production Agreement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July 16, 2025, we entered into the VPA with Uber under which Uber and its designated fleet operators have agreed to purchase a minimum commitment of 20,000 Lucid Gravity Plus vehicles over a six-year period following the start of production, which is targeted to occur in late 2026. We and Uber will collaborate with Nuro, Inc., as the provider of autonomous driving software, to develop and deploy a fleet of autonomous vehicles to be used as robotaxis on the Uber platform.</w:t>
      </w:r>
    </w:p>
    <w:p>
      <w:pPr>
        <w:sectPr>
          <w:pgSz w:w="11900" w:h="16838" w:orient="portrait"/>
          <w:cols w:equalWidth="0" w:num="1">
            <w:col w:w="11220"/>
          </w:cols>
          <w:pgMar w:left="320" w:top="981" w:right="359" w:bottom="1440" w:gutter="0" w:footer="0" w:header="0"/>
        </w:sect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On July 16, 2025, we entered into the 2025 Subscription Agreement with SMB, a subsidiary of Uber, under which we agreed to issue and SMB agreed to purchase, in the Private Placement, our common stock equal to (i) $300.0 million in cash divided by (ii) an amount equal to the arithmetic average of the daily volume-weighted average price of the common stock over a period of thirty (30) consecutive trading days ending on, and including, July 15, 2025. The Private Placement is expected to close in the third calendar quarter of 2025, and is subject to regulatory approvals and customary closing conditions.</w:t>
      </w:r>
    </w:p>
    <w:p>
      <w:pPr>
        <w:spacing w:after="0" w:line="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proceeds of the Private Placement will be used to fund non-recurring engineering costs, including the design, development, manufacture, and delivery of the Lucid Gravity Plus vehicles and for general corporate purposes.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July 28, 2025, we filed a definitive proxy statement for a special stockholders’ meeting to authorize our Board of Directors to effect the Reverse Stock Split. Completion of the proposed Reverse Stock Split is subject to market and other customary conditions, including obtaining stockholder approval. Our Board of Directors reserves the right to elect not to proceed with the Reverse Stock Split if it determines that implementing it is no longer in the best interests of us and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Impact of Adverse Economic Conditions and Trade Policy Uncertainties on our Business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global economic recession, downturn or other adverse economic conditions, whether due to changes or uncertainties in trade policies, the imposition or proposed imposition of tariffs, export controls, threat of trade war, persistent inflation, political instability, global or regional conflicts or other geopolitical events, public health crises, interest rate increases or other central bank policy actions, government closures of banks and liquidity concerns at financial institutions, or other factors, may have an adverse impact on our business, prospects, financial condition and results of operations. Adverse economic conditions and uncertainty about the current and future domestic or global economic conditions may cause our customers to defer purchases or cancel their orders in response to higher interest rates, limited consumer credit availability, lower cash reserves, fluctuations in foreign currency exchange rates, and weakened consumer confidence. A reduction in demand for our products may result in a decline in product sales, with a corresponding material adverse impact on our business, prospects, financial condition and results of operations. Given our premium brand positioning and pricing, an economic recession or downturn is likely to have a disproportionate adverse effect on us compared to our competitors in the EV and traditional automotive sectors, to the extent that consumer demand for luxury goods declines in favor of more cost-conscious alternatives. In addition, adverse economic conditions and uncertainties surrounding trade policies, tariffs and export controls could also cause supply chain and logistical challenges and operational risks. In particular, the U.S. federal government recently enacted the law commonly referred to as the OBBBA, which eliminates, limits or phases out certain tax credits that had previously provided significant benefits to lessees and purchasers of EVs and adds new eligibility requirements on manufacturers to continue claiming tax credits on EV components. It also eliminates certain penalties for noncompliance with certain fuel efficiency standards and introduces certain key tax law modifications. If any of our suppliers, sub-suppliers or partners experience financial distress, insolvency or disruptions in operations, they may be unable to fulfill their obligations or meet our production and quality requirements.</w:t>
      </w:r>
    </w:p>
    <w:p>
      <w:pPr>
        <w:spacing w:after="0" w:line="19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Taken together, adverse economic conditions and uncertainties surrounding trade policies, tariffs and export controls, coupled with supply chain challenges and the potential difficulty of passing costs to consumers or sharing the burden with suppliers, could reduce demand for our products and have a material adverse effect on our business, prospects, results of operations and financial condition. In addition, the deterioration of conditions in the financial markets may limit our ability to obtain external financing to fund our operations and capital expenditures on terms favorable to us, if at all. See “Risk Factors” in Part II, Item 1A of this Quarterly Report for more information regarding risks associated with a global economic downturn or recession, changes or uncertainties in trade policies, or the imposition or proposed imposition of tariffs, including under the captions </w:t>
      </w:r>
      <w:r>
        <w:rPr>
          <w:rFonts w:ascii="Times New Roman" w:cs="Times New Roman" w:eastAsia="Times New Roman" w:hAnsi="Times New Roman"/>
          <w:sz w:val="18"/>
          <w:szCs w:val="18"/>
          <w:i w:val="1"/>
          <w:iCs w:val="1"/>
          <w:color w:val="auto"/>
        </w:rPr>
        <w:t>“A global economic recession, downturn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adverse economic conditions may have a material adverse impact on our business, prospects, results of operations and financial condition.” and “Changes in U.S. trade policy, including the imposition of or uncertainties surrounding tariffs or revocation of normal trade relations and the resulting consequences, could adversely affect our business, prospects,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believe that our future success and financial performance depend on a number of factors that present significant opportunities for our business, but also pose risks and challenges, including those discussed below and in the section entitled “Risk Factors” in Part II, Item 1A of this Quarterly Report.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Design and Technology Leadership</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believe that we are positioned to be a leader in the EV market by unlocking the potential for advanced, high-performance, and long-range EVs to co-exist. We designed the Lucid Air and the Lucid Gravity with race-proven battery and powertrain technologies, offering robust performance together with a sleek exterior design and expansive interior space due to our miniaturized key drivetrain components. The Lucid Gravity is a groundbreaking new class of SUV, conceived from the ground up. Enabled by our revolutionary technology, the Lucid Gravity provides the interior space and practicality of a full-size SUV within the exterior footprint of a mid-size SUV. As a result, it provides a sophisticated space for up to seven adults, game-changing versatility, and an unparalleled driving experience.</w:t>
      </w:r>
    </w:p>
    <w:p>
      <w:pPr>
        <w:spacing w:after="0" w:line="18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Lucid Air and the Lucid Gravity are true software-defined vehicles, designed to improve over time, with OTA software updates and key hardware already in place in the vehicle. This holistic systems approach to the integration of hardware and software is what allows us to provide these value-add updates and is what sets us apart in the automotive industry.</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Lucid Gravity is designed to share components with the Lucid Air where possible, and we continue to evaluate opportunities to apply components developed for the Lucid Gravity to the Lucid Air, further expanding the number of common parts while also enhancing the customer experience in the Lucid Air. We anticipate that all of these measures will enable efficiency in design, engineering, and capital expenditure deployment for the Lucid Gravity. We anticipate continued consumer demand for the Lucid Air based on its luxurious design, high-performance technology, sustainability leadership, and the growing acceptance of and demand for EVs as substitutes for gasoline-fueled vehicles. We also anticipate that these attributes will drive customer demand for the Lucid Gravity, and our future models, including our upcoming Midsize platform.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Direct-to-Consumer Model</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operate a direct-to-consumer sales and service model, which we believe allows us to offer a personalized experience for our customers based on their purchase and ownership preferences. We expect to continue to incur significant expenses in our sales, service and marketing operations for sales of the Lucid Air, the Lucid Gravity, and other EVs that we may offer over the coming decade, including to open additional studios, expand our sales force, grow marketing and brand awareness, and establish a robust service center operation. As of June 30, 2025, we have opened 58 studios and service centers (excluding temporary and satellite service centers): 38 in the United States (12 in California, four in each of Florida and New York, two in each of Arizona, Illinois, Massachusetts, New Jersey, Texas, Virginia and Washington, and one in each of Colorado, Georgia, Michigan and Pennsylvania), seven in Germany, five in Canada, three in Saudi Arabia, two in Switzerland, one in Netherlands, one in Norway, and one in the United Arab Emirates. We also plan to hire additional sales, customer service, and service center personnel. We believe that investing in our direct-to-consumer sales and service model will be critical to delivering and servicing the Lucid EVs we manufacture and sell.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and Improving Manufacturing Capacity and Processes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Achieving commercialization and growth for each generation of our EVs requires us to make significant capital expenditures to scale our production capacity and improve our supply chain processes in the United States and internationally. We expect our capital expenditures to increase as we continue constructing the CBU portion of AMP-2 and expanding AMP-1.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EVs, our ability to achieve sales and meet customer demand at anticipated levels, our ability to utilize planned capacity in our existing facilities and our ability to enter new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Innovation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develop in-house battery, powertrain, and software technology, which requires significant capital investment in research and development. The EV market is highly competitive, including both established automotive manufacturers and new entrants. To establish market position and attract customers, we plan to continue making substantial investments in research and development for the commercialization and continued enhancements of the Lucid Air and the Lucid Gravity, the development of our Midsize platform, as well as future generations of our EVs and other products.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periods presented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8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5"/>
        </w:trPr>
        <w:tc>
          <w:tcPr>
            <w:tcW w:w="3520" w:type="dxa"/>
            <w:vAlign w:val="bottom"/>
          </w:tcPr>
          <w:p>
            <w:pPr>
              <w:spacing w:after="0"/>
              <w:rPr>
                <w:sz w:val="16"/>
                <w:szCs w:val="16"/>
                <w:color w:val="auto"/>
              </w:rPr>
            </w:pPr>
          </w:p>
        </w:tc>
        <w:tc>
          <w:tcPr>
            <w:tcW w:w="1180" w:type="dxa"/>
            <w:vAlign w:val="bottom"/>
            <w:tcBorders>
              <w:bottom w:val="single" w:sz="8" w:color="auto"/>
            </w:tcBorders>
            <w:gridSpan w:val="3"/>
          </w:tcPr>
          <w:p>
            <w:pPr>
              <w:jc w:val="center"/>
              <w:ind w:left="54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5"/>
        </w:trPr>
        <w:tc>
          <w:tcPr>
            <w:tcW w:w="3520" w:type="dxa"/>
            <w:vAlign w:val="bottom"/>
          </w:tcPr>
          <w:p>
            <w:pPr>
              <w:spacing w:after="0"/>
              <w:rPr>
                <w:sz w:val="16"/>
                <w:szCs w:val="16"/>
                <w:color w:val="auto"/>
              </w:rPr>
            </w:pPr>
          </w:p>
        </w:tc>
        <w:tc>
          <w:tcPr>
            <w:tcW w:w="860" w:type="dxa"/>
            <w:vAlign w:val="bottom"/>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259,432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200,581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58,851</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494,480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373,321</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  121,159</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bl>
    <w:p>
      <w:pPr>
        <w:spacing w:after="0" w:line="2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recognize revenue from vehicle sales when the customer obtains control of the vehicle, which is upon delivery. We also generate revenue from non-warranty after-sales vehicle services and parts, sales of battery pack systems, powertrain kits, retail merchandise, and regulatory credits, and sales of non-Lucid vehicles acquired as part of trade-in program. We generate regulatory credits revenue from the sale of tradable credits we earn under various regulations. This include credits related to zero emission vehicles and greenhouse gas, and the Corporate Average Fuel Economy credits.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Revenue increased by $58.9 million, or 29%, and $121.2 million, or 32% for the three and six months ended June 30, 2025, respectively, as compared to the same periods in the prior year. The increases were primarily driven by higher Lucid vehicle deliveries, partially offset by a lower average selling price of vehicles for the three and six months ended June 30, 2025, as compared to the same periods in the prior year. The increases in revenue for the three and six months ended June 30, 2025, as compared to the same periods in the prior year, were also due to increases of $6.6 million and $32.7 million in regulatory credit sales, respectively.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cost of revenue for the periods presented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6"/>
        </w:trPr>
        <w:tc>
          <w:tcPr>
            <w:tcW w:w="3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7"/>
                <w:szCs w:val="17"/>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531,783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470,355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61,428</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995,343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875,151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120,192</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16"/>
        </w:trPr>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(269,774)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(2,577)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(501,830)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967</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6"/>
        </w:trPr>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(105.0)%</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(101.3)%</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bl>
    <w:p>
      <w:pPr>
        <w:spacing w:after="0" w:line="2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 Cost of vehicle sales also includes depreciation of operating lease vehicles. Manufacturing credits earned are recorded as a reduction to cost of vehicle sales.</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Cost of other revenue includes direct parts, material and labor costs, manufacturing overhead, including depreciation of tooling costs, shipping and logistic costs. Cost of other revenue also includes costs associated with providing non-warranty after-sales services and costs for retail merchandise.</w:t>
      </w:r>
    </w:p>
    <w:p>
      <w:pPr>
        <w:spacing w:after="0" w:line="16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Cost of revenue increased by $61.4 million, or 13%, and $120.2 million, or 14% for the three and six months ended June 30, 2025, respectively, as compared to the same periods in the prior year. The increases were primarily due to higher delivery volume of the Lucid vehicles and higher inventory write-downs including losses from firm purchase commitments, partially offset by improvements in vehicle cost efficiency. Cost of revenue included approximately $54 million of incremental tariff cost impact in the current quarter.</w:t>
      </w:r>
    </w:p>
    <w:p>
      <w:pPr>
        <w:spacing w:after="0" w:line="20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These impacts were also partially offset by $30.7 million and $41.5 million of provision associated with a special warranty campaign recognized during the three and six months ended June 30, 2024. We expect the ramping of our production volumes to positively impact our cost per vehicle in the second half of 2025. In the near term, we expect our production volume of vehicles to continue to be less than our manufacturing capacity.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ind w:right="40"/>
        <w:spacing w:after="0" w:line="255" w:lineRule="auto"/>
        <w:rPr>
          <w:sz w:val="20"/>
          <w:szCs w:val="20"/>
          <w:color w:val="auto"/>
        </w:rPr>
      </w:pPr>
      <w:r>
        <w:rPr>
          <w:rFonts w:ascii="Times New Roman" w:cs="Times New Roman" w:eastAsia="Times New Roman" w:hAnsi="Times New Roman"/>
          <w:sz w:val="18"/>
          <w:szCs w:val="18"/>
          <w:color w:val="auto"/>
        </w:rPr>
        <w:t>We recorded write-downs of $184.7 million and $336.3 million for the three and six months ended June 30, 2025, respectively, and $154.2 million and $292.0 million for the same periods in the prior year, respectively, to reduce our inventories to their net realizable values, for any excess or obsolete inventories, and losses from firm purchase commitments. The increases in the write-downs were primarily due to higher inventory and firm purchase commitments in anticipation of the Lucid Gravity production ramp-up and tariff impacts for the three and six months ended June 30, 2025, compared to the same periods in the prior year. While the final scope and application of recently announced changes in trade policy remain uncertain at this time, higher tariffs on imports and subsequent retaliatory tariffs could adversely impact our financial results. We expect inventory write-downs could negatively affect our costs of vehicle sales in upcoming periods in the near term as we ramp production volumes up toward our manufacturing capacity.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16, 2022, the Inflation Reduction Act of 2022 (the “IRA”) was enacted with clean energy incentives. For the three and six months ended</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June 30, 2025 and 2024, the impact of the IRA on our results of operations was not material. We will continue to evaluate the expected future impact of the IRA on our business and financial statements upon issuance of additional regulatory guidance.</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Gross margin improved to (105.0)% and (101.3)% for the three and six months ended June 30, 2025, respectively, as compared to (134.5)% and (134.4)% for the same periods in the prior year, respectively, primarily driven by improvements in vehicle cost efficiency and increases in regulatory credit sales, partially offset by higher inventory write-downs and losses from firm purchase commitments and tariff impact, and a lower average selling price of vehicles.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periods presented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4"/>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6"/>
        </w:trPr>
        <w:tc>
          <w:tcPr>
            <w:tcW w:w="35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7"/>
                <w:szCs w:val="17"/>
                <w:color w:val="auto"/>
              </w:rPr>
            </w:pPr>
          </w:p>
        </w:tc>
        <w:tc>
          <w:tcPr>
            <w:tcW w:w="98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273,839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287,170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(13,331)</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525,085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571,797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(46,712)</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256,857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46,612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45,555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(20,228)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(20,228)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3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530,696</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517,643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13,053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994,117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1,015,502</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(21,385)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research and development efforts have primarily focused on the development of our battery and powertrain technology, the Lucid Air, the Lucid Gravity, and future generations of our EVs, including our Midsize platform. Research and development expenses primarily consist of materials, supplies and personnel-related expenses for employees involved in the engineering, designing, and testing of EVs. Personnel-related expenses primarily include salaries, benefits and stock-based compensation. In addition, research and development expenses include prototype material, engineering, design and testing services, and allocated facilities costs, such as office and rent expense and depreciation expense.</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decreased by $13.3 million, or 5% for the three months ended June 30, 2025, as compared to the same period in the prior year. The decrease was primarily attributable to a decrease of $46.9 million in engineering, design and testing services, and prototype materials related mainly to the Lucid Gravity, partially offset by increases of $21.2 million in payroll related expenses and $12.4 million in other expenses.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decreased by $46.7 million, or 8% for the six months ended June 30, 2025, as compared to the same period in the prior year. The decrease was primarily attributable to a decrease of $88.2 million in engineering, design and testing services, and prototype materials related mainly to the Lucid Gravity, partially offset by increases of $32.0 million in payroll related expenses and $13.5 million in other expenses.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sales and marketing expenses and other general corporate expenses. As we continue to grow as a company, build out our sales force, and commercialize the Lucid Air and Lucid Gravity, and future generations of our EVs, including our Midsize platform, we expect that our selling, general and administrative costs will increase.</w:t>
      </w:r>
    </w:p>
    <w:p>
      <w:pPr>
        <w:spacing w:after="0" w:line="18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by $46.6 million, or 22% for the three months ended June 30, 2025, as compared to the same period in the prior year. The increase was primarily attributable to increases of $18.9 million in payroll related expenses, $12.1 million in utilization of contractors and professional fees, and $6.4 million in sales and marketing expenses.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increased by $45.6 million, or 11% for the six months ended June 30, 2025, as compared to the same period in the prior year. The increase was primarily attributable to increases of $32.4 million in payroll related expenses, $14.0 million in facilities and rental related costs, $13.0 million in utilization of contractors and professional fees, and $9.9 million in sales and marketing expenses. These increases were partially offset by a reversal of $35.4 million related to previously recognized stock-based compensation expenses for the former-CEO’s unvested time-based RSUs during the six months ended June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24, 2024, we announced the 2024 Restructuring Plan intended to optimize operating expenses in response to evolving business needs and productivity improvement through a reduction in workforce. We completed the 2024 Restructuring Plan during the first quarter of 2025. During the three and six months ended June 30, 2024, we recorded restructuring charges of $20.2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other income (expense), net for the periods presented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7"/>
                <w:szCs w:val="17"/>
                <w:color w:val="auto"/>
              </w:rPr>
            </w:pPr>
          </w:p>
        </w:tc>
        <w:tc>
          <w:tcPr>
            <w:tcW w:w="68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7"/>
                <w:szCs w:val="17"/>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2"/>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fair value of common stock warrant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5,322</w:t>
            </w:r>
          </w:p>
        </w:tc>
        <w:tc>
          <w:tcPr>
            <w:tcW w:w="8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7,539</w:t>
            </w:r>
          </w:p>
        </w:tc>
        <w:tc>
          <w:tcPr>
            <w:tcW w:w="80" w:type="dxa"/>
            <w:vAlign w:val="bottom"/>
          </w:tcPr>
          <w:p>
            <w:pPr>
              <w:spacing w:after="0"/>
              <w:rPr>
                <w:sz w:val="14"/>
                <w:szCs w:val="14"/>
                <w:color w:val="auto"/>
              </w:rPr>
            </w:pPr>
          </w:p>
        </w:tc>
        <w:tc>
          <w:tcPr>
            <w:tcW w:w="24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18,183</w:t>
            </w:r>
          </w:p>
        </w:tc>
        <w:tc>
          <w:tcPr>
            <w:tcW w:w="8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34,593</w:t>
            </w:r>
          </w:p>
        </w:tc>
        <w:tc>
          <w:tcPr>
            <w:tcW w:w="80" w:type="dxa"/>
            <w:vAlign w:val="bottom"/>
          </w:tcPr>
          <w:p>
            <w:pPr>
              <w:spacing w:after="0"/>
              <w:rPr>
                <w:sz w:val="14"/>
                <w:szCs w:val="14"/>
                <w:color w:val="auto"/>
              </w:rPr>
            </w:pPr>
          </w:p>
        </w:tc>
        <w:tc>
          <w:tcPr>
            <w:tcW w:w="24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(16,410)</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liability</w:t>
            </w:r>
          </w:p>
        </w:tc>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5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 in fair value of equity securities of a</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13,338</w:t>
            </w:r>
          </w:p>
        </w:tc>
        <w:tc>
          <w:tcPr>
            <w:tcW w:w="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i w:val="1"/>
                <w:iCs w:val="1"/>
                <w:color w:val="auto"/>
              </w:rPr>
              <w:t>*nm</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19,818</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w:t>
            </w: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associated with redeemable convertible preferred</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111,475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103,000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8,475</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393,175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103,000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290,175</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282 %</w:t>
            </w:r>
          </w:p>
        </w:tc>
        <w:tc>
          <w:tcPr>
            <w:tcW w:w="0" w:type="dxa"/>
            <w:vAlign w:val="bottom"/>
          </w:tcPr>
          <w:p>
            <w:pPr>
              <w:spacing w:after="0"/>
              <w:rPr>
                <w:sz w:val="1"/>
                <w:szCs w:val="1"/>
                <w:color w:val="auto"/>
              </w:rPr>
            </w:pPr>
          </w:p>
        </w:tc>
      </w:tr>
      <w:tr>
        <w:trPr>
          <w:trHeight w:val="213"/>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(related party)</w:t>
            </w: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116,360</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i w:val="1"/>
                <w:iCs w:val="1"/>
                <w:color w:val="auto"/>
              </w:rPr>
              <w:t>*nm</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116,360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13"/>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(23,749)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0" w:type="dxa"/>
            <w:vAlign w:val="bottom"/>
          </w:tcPr>
          <w:p>
            <w:pPr>
              <w:spacing w:after="0"/>
              <w:rPr>
                <w:sz w:val="1"/>
                <w:szCs w:val="1"/>
                <w:color w:val="auto"/>
              </w:rPr>
            </w:pPr>
          </w:p>
        </w:tc>
      </w:tr>
      <w:tr>
        <w:trPr>
          <w:trHeight w:val="214"/>
        </w:trPr>
        <w:tc>
          <w:tcPr>
            <w:tcW w:w="3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8,639</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6"/>
                <w:szCs w:val="16"/>
                <w:i w:val="1"/>
                <w:iCs w:val="1"/>
                <w:color w:val="auto"/>
              </w:rPr>
              <w:t>*nm</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12,611</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36"/>
        </w:trPr>
        <w:tc>
          <w:tcPr>
            <w:tcW w:w="3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income,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261,246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143,962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117,284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585,645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193,206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392,439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*nm </w:t>
      </w:r>
      <w:r>
        <w:rPr>
          <w:rFonts w:ascii="Times New Roman" w:cs="Times New Roman" w:eastAsia="Times New Roman" w:hAnsi="Times New Roman"/>
          <w:sz w:val="14"/>
          <w:szCs w:val="14"/>
          <w:color w:val="auto"/>
        </w:rPr>
        <w:t>- not meaningful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Common Stock Warrant Liability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Our common stock warrant liability relates to the Private Placement Warrants to purchase shares of our common stock that were effectively issued upon the closing in connection with the merger. Our common stock warrant liability is subject to remeasurement to fair value at each reporting period.</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Private Placement Warrants remained unexercised as of June 30, 2025. The liability was remeasured to a fair value of $1.3 million and $19.5 million as of June 30, 2025 and December 31, 2024, respectively. The change in fair value resulted in unrealized gains of $5.3 million and $18.2 million for the three and six months ended June 30, 2025, respectively, and gains of $7.5 million and $34.6 million for the same periods in the prior year, respectively. The change in fair value was classified within change in fair value of common stock warrant liability in the condensed consolidated statements of operations and comprehensive loss. See Note 7 “Common Stock Warrant Liability” to our condensed consolidated financial statements included elsewhere in this Quarterly Report for more information.</w:t>
      </w:r>
    </w:p>
    <w:p>
      <w:pPr>
        <w:sectPr>
          <w:pgSz w:w="11900" w:h="16838" w:orient="portrait"/>
          <w:cols w:equalWidth="0" w:num="1">
            <w:col w:w="11240"/>
          </w:cols>
          <w:pgMar w:left="320" w:top="983" w:right="339" w:bottom="1440" w:gutter="0" w:footer="0" w:header="0"/>
        </w:sect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Change in Fair Value of Equity Securities of a Related Party</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November 6, 2023, in connection with the commencement of the Strategic Technology Arrangement with Aston Martin, we received 28,352,273 ordinary shares of Aston Martin. The ordinary shares of Aston Martin are subject to remeasurement to fair value at each reporting period. Such shares were remeasured to a fair value of $31.1 million and $37.8 million as of June 30, 2025 and December 31, 2024, respectively. The change in fair value resulted in an unrealized gain of $3.9 million and an unrealized loss of $9.5 million during the three and six months ended June 30, 2025, respectively, and unrealized losses of $9.4 million and $29.3 million for the same periods in the prior year, respectively, and was classified within change in fair value of equity securities of a related party in the condensed consolidated statements of operations and comprehensive loss. See Note 5 “Fair Value Measurements and Financial Instruments” and Note 16 “Related Party Transactions” to our condensed consolidated financial statements included elsewhere in this Quarterly Report for more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Liabilities Associated with Redeemable Convertible Preferred Stock (Related Party)</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March 2024, we entered into the Series A Subscription Agreement with Ayar. Pursuant to the Series A Subscription Agreement, Ayar agreed to purchase from us 100,000 shares of our Series A Redeemable Convertible Preferred Stock for an aggregate purchase price of $1.0 billion in a private placement. Subsequently, in March 2024, we issued the shares to Ayar pursuant to the Series A Subscription Agreement and received aggregate net proceeds of $997.6 million after deducting issuance costs of $2.4 million.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August 2024, we entered into the Series B Subscription Agreement with Ayar. Pursuant to the Series B Subscription Agreement, Ayar agreed to purchase from us 75,000 shares of our Series B Redeemable Convertible Preferred Stock, for an aggregate purchase price of $750.0 million in a private placement. Subsequently, in August 2024, we issued the shares to Ayar pursuant to the Series B Subscription Agreement and received aggregate net proceeds of $749.4 million after deducting issuance costs of $0.6 million.</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concluded that the conversion features, inclusive of all settlement outcomes where the pay-off is indexed to the if-converted value, meets all the requirements to be separately accounted for as a bifurcated derivative. As a result, we bifurcated the Redeemable Convertible Preferred Stock between (i) the host contracts which are accounted for within mezzanine equity, and (ii) the bifurcated derivative liabilities related to the conversion features. The bifurcated derivatives are remeasured to fair value at each reporting period with changes in fair value recorded in the condensed consolidated statement of operations and comprehensive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liabilities of the Redeemable Convertible Preferred Stock were remeasured to a fair value of $246.3 million and $639.4 million as of</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June 30, 2025 and December 31, 2024, respectively. We recognized gains of $111.5 million and $393.2 million for the three and six months ended June 30, 2025, respectively, and a gain of $103.0 million for the same periods in the prior year, primarily driven by decreases in our stock price, within change in fair value of derivative liabilities associated with redeemable convertible preferred stock (related party) in the condensed consolidated statements of operations and comprehensive loss. See Note 8 “Redeemable Convertible Preferred Stock” to our condensed consolidated financial statements included elsewhere in this Quarterly Report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Extinguishment of Debt</w:t>
      </w:r>
    </w:p>
    <w:p>
      <w:pPr>
        <w:spacing w:after="0" w:line="22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April 2025, we repurchased $1,052.5 million aggregate principal amount of the 2026 Notes, using $931.4 million of the net proceeds of the 2030 Notes. The repurchases of the 2026 Notes were accounted for as a debt extinguishment. The difference between the consideration paid to repurchase a portion of the 2026 Notes and the then carrying value of the 2026 Notes resulted in a gain of $116.4 million, and was recorded within gain on extinguishment of debt in the condensed consolidated statement of operations and comprehensive loss during the three and six months ended June 30,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Interest income decreased by $10.2 million, or (19)% for the three months ended June 30, 2025, as compared to the same period in the prior year, primarily due to lower average balances and higher average purchase price of available-for-sale securities, partially offset by higher interest rates on our available-for-sale securities.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Interest income decreased by $8.7 million, or (8)% for the six months ended June 30, 2025, as compared to the same period in the prior year, primarily due to higher average purchase price of available-for-sale securities, partially offset by higher interest rates on our available-for-sale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expense primarily consists of contractual interest and amortization of debt discounts and debt issuance costs incurred related to the 2026 Notes and the 2030 Notes, commitment fees and amortization of deferred issuance costs from the ABL Credit Facility and the DDTL Credit Facility, interest on borrowings from the 2025 GIB Credit Facility and on our finance leases, and capitalized interest on construction in progress related to significant capital asset construction.</w:t>
      </w:r>
    </w:p>
    <w:p>
      <w:pPr>
        <w:sectPr>
          <w:pgSz w:w="11900" w:h="16838" w:orient="portrait"/>
          <w:cols w:equalWidth="0" w:num="1">
            <w:col w:w="11220"/>
          </w:cols>
          <w:pgMar w:left="320" w:top="983" w:right="359" w:bottom="1440" w:gutter="0" w:footer="0" w:header="0"/>
        </w:sect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type w:val="continuous"/>
        </w:sectPr>
      </w:pPr>
    </w:p>
    <w:bookmarkStart w:id="50" w:name="page51"/>
    <w:bookmarkEnd w:id="50"/>
    <w:p>
      <w:pPr>
        <w:ind w:right="120"/>
        <w:spacing w:after="0" w:line="258" w:lineRule="auto"/>
        <w:rPr>
          <w:sz w:val="20"/>
          <w:szCs w:val="20"/>
          <w:color w:val="auto"/>
        </w:rPr>
      </w:pPr>
      <w:r>
        <w:rPr>
          <w:rFonts w:ascii="Times New Roman" w:cs="Times New Roman" w:eastAsia="Times New Roman" w:hAnsi="Times New Roman"/>
          <w:sz w:val="18"/>
          <w:szCs w:val="18"/>
          <w:color w:val="auto"/>
        </w:rPr>
        <w:t>Interest expense increased by $17.1 million, or 256%, and $21.5 million, or 151% for the three and six months ended June 30, 2025, respectively, as compared to the same periods in the prior year. The increases were primarily due to higher interest expense of $12.7 million from the issuance of the 2030 Notes during the three and six months ended June 30, 2025 and higher interest expense of $3.3 million and $5.4 million from the GIB credit facility resulting from higher average borrowings and commitment fees related to the DDTL Credit Facility during the three and six months ended June 30, 2025, respectively, as compared to the same periods in the prior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Other income (expense), net primarily consists of foreign currency gains and losses. Our foreign currency exchange gains and losses relate to transactions and monetary asset and liability balances denominated in currencies other than the U.S. dollar. We expect our foreign currency gains and losses to continue to fluctuate in the future due to changes in foreign currency exchange rates.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(expense), net increased by $8.6 million and $12.6 million for the three and six months ended June 30, 2025, respectively, as compared to the same periods in the prior year, primarily due to changes in foreign exchange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provision for (benefit from) income taxes for the periods presented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5"/>
        </w:trPr>
        <w:tc>
          <w:tcPr>
            <w:tcW w:w="3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3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680" w:type="dxa"/>
            <w:vAlign w:val="bottom"/>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i w:val="1"/>
                <w:iCs w:val="1"/>
                <w:color w:val="auto"/>
              </w:rPr>
              <w:t>*nm</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i w:val="1"/>
                <w:iCs w:val="1"/>
                <w:color w:val="auto"/>
              </w:rPr>
              <w:t>*nm</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*nm </w:t>
      </w:r>
      <w:r>
        <w:rPr>
          <w:rFonts w:ascii="Times New Roman" w:cs="Times New Roman" w:eastAsia="Times New Roman" w:hAnsi="Times New Roman"/>
          <w:sz w:val="14"/>
          <w:szCs w:val="14"/>
          <w:color w:val="auto"/>
        </w:rPr>
        <w:t>- not meaningful</w:t>
      </w:r>
    </w:p>
    <w:p>
      <w:pPr>
        <w:spacing w:after="0" w:line="22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provision for (benefit from) income taxes consists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June 30, 2025, we had $3,602.5 million of cash, cash equivalents and investments and $31.1 million of investment in equity securities of a related party. We also had $750.0 million, $197.7 million, and $272.9 million of unused available credit amounts from the DDTL Credit Facility, the ABL Credit Facility, and the 2025 GIB Credit Facility, respectively, as of June 30, 2025. Our existing sources of liquidity include cash, cash equivalents, investments, and credit facilities. We funded operations primarily with issuances of common stock, convertible preferred stock and convertible notes.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expect that our current sources of liquidity together with our projection of cash flows from operating activities will provide us with adequate liquidity for at least the next 12 months, including investment in funding (i) ongoing operations, (ii) research and development projects for new products/ technologies, (iii) further construction of AMP-1 in Casa Grande, Arizona, (iv) construction of the CBU portion of AMP-2 in Saudi Arabia, (v) vendor tooling, (vi) expansion of retail studios and service centers, and (vii) other initiatives related to the sale of vehicles and/or technology.</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anticipate our cumulative spending on capital expenditures to be in a range of approximately $1.1 billion to $1.2 billion for the fiscal year 2025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We expect to continue to receive financing and support for certain capital expenditures in connection with AMP-2 construction and purchases of machinery, tooling, and equipment. Refer to Note 6 “Debt” and Note 16 “Related Party Transactions” to the condensed consolidated financial statements included elsewhere in this Quarterly Report for more information. Our future capital expenditures may vary and will depend on many factors including the timing and extent of spending and other growth initiatives. In addition, we expect our operating expenses to increase in order to grow and support the operations of a global technology automotive company targeting volumes in line with Lucid’s aspirations.</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June 30, 2025, our total minimum lease payments are $712.9 million, of which $46.8 million is due in fiscal year 2025. We also have non-cancellable long-term commitments of approximately $2.6 billion, primarily relating to certain inventory component purchases. For details regarding these obligations, refer to Note 11 “Leases” and Note 12 “Commitments and Contingencies” to the condensed consolidated financial statements included elsewhere in this Quarterly Report for more information.</w:t>
      </w:r>
    </w:p>
    <w:p>
      <w:pPr>
        <w:sectPr>
          <w:pgSz w:w="11900" w:h="16838" w:orient="portrait"/>
          <w:cols w:equalWidth="0" w:num="1">
            <w:col w:w="11240"/>
          </w:cols>
          <w:pgMar w:left="320" w:top="985" w:right="339"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2030 Notes and Capped Call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2025, we issued $1,100.0 million of the 2030 Notes. Contemporaneously with the 2030 Notes offering, we entered into privately negotiated transactions with certain holders of the 2026 Notes to repurchase $1,052.5 million aggregate principal amount of the 2026 Notes, using $931.4 million of the net proceeds of the 2030 Notes. The 2030 Notes accrue interest at a rate of 5.00% per annum, payable semi-annually in arrears on April 1 and October 1 of each year, beginning on October 1, 2025. The 2030 Notes will mature on April 1, 2030, unless earlier repurchased, redeemed or converted. Before the close of business on the business day immediately before January 1, 2030, noteholders will have the right to convert their Notes only upon the occurrence of certain events. From and after January 1, 2030, noteholders may elect at any time to convert their Notes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333.3333 shares of common stock per $1,000 principal amount of the 2030 Notes, which represents an initial conversion price of approximately $3.00 per share of common stock. The conversion rate and conversion price will be subject to customary adjustments upon the occurrence of certain events, including a reverse stock split. In addition, if certain corporate events that constitute a make-whole fundamental change (as defined in the indenture) occur, then the conversion rate will, in certain circumstances, be increased for a specified period of time. As of June 30, 2025, we were in compliance with applicable covenants under the indenture governing the 2030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2030 Notes offering, we paid $118.3 million to enter into the Capped Call Transactions with certain financial institutions. The Capped Call Transactions cover, subject to anti-dilution adjustments, the number of shares of our common stock initially underlying the 2030 Notes. The Capped Call Transactions have an expiration date of April 1, 2030.</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expect the Capped Call Transactions generally would reduce the potential dilution to our common stock upon conversion of the notes and/or offset any cash payments that we could be required to make in excess of the principal amount of any converted notes, as the case may be, in the event that the market price per share of our common stock, as measured under the terms of the Capped Call Transactions, is greater than the strike price of the Capped Call Transactions. The initial strike price of the Capped Call Transactions corresponds to the initial conversion price of the 2030 Notes, or approximately $3.00 per share of our common stock. The initial cap price of the Capped Call Transactions was $4.80 per share of our common stock and is subject to customary anti-dilution adjustments.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December 2021,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elect at any time to convert their Notes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18.2548 shares of common stock per $1,000 principal amount of the 2026 Notes, which represents an initial conversion price of approximately $54.78 per share of common stock. The conversion rate and conversion price will be subject to customary adjustments upon the occurrence of certain events, including a reverse stock split. In addition, if certain corporate events that constitute a make-whole fundamental change (as defined in the indenture) occur, then the conversion rate will, in certain circumstances, be increased for a specified period of time. As of June 30, 2025 and December 31, 2024, we were in compliance with applicable covenants under the indenture governing the 2026 Notes.</w:t>
      </w:r>
    </w:p>
    <w:p>
      <w:pPr>
        <w:spacing w:after="0" w:line="1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April 2025, contemporaneously with the 2030 Notes offering, we repurchased $1,052.5 million aggregate principal amount of the 2026 Notes, using $931.4 million of the net proceeds of the 2030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Manufacturing Expansion</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February 27, 2022, we announced the selection of KAEC in Saudi Arabia as the location of our first international manufacturing plant and signed related agreements with the MISA, the SIDF, and the Economic City at KAEC. We started the AMP-2 operations with re-assembly of the Lucid Air vehicle “kits” pre-manufactured in the U.S. and, over time, will commence production of complete vehicles.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52" w:name="page53"/>
    <w:bookmarkEnd w:id="52"/>
    <w:p>
      <w:pPr>
        <w:ind w:left="340"/>
        <w:spacing w:after="0"/>
        <w:rPr>
          <w:sz w:val="20"/>
          <w:szCs w:val="20"/>
          <w:color w:val="auto"/>
        </w:rPr>
      </w:pPr>
      <w:r>
        <w:rPr>
          <w:rFonts w:ascii="Times New Roman" w:cs="Times New Roman" w:eastAsia="Times New Roman" w:hAnsi="Times New Roman"/>
          <w:sz w:val="18"/>
          <w:szCs w:val="18"/>
          <w:i w:val="1"/>
          <w:iCs w:val="1"/>
          <w:color w:val="auto"/>
        </w:rPr>
        <w:t>SIDF Loan Agreement</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February 27, 2022, Lucid LLC entered into the SIDF Loan Agreement with SIDF, a related party of the PIF, which is an affiliate of Ayar. Under the SIDF Loan Agreement, SIDF has committed to provide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us or any of our other subsidiaries.</w:t>
      </w:r>
    </w:p>
    <w:p>
      <w:pPr>
        <w:spacing w:after="0" w:line="18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SIDF Loans will not bear interest. Instead, Lucid LLC will be required to pay SIDF service fees, consisting of follow-up and technical evaluation fees, ranging, in aggregate, from SAR 415 million (approximately $110.7 million) to SAR 1.77 billion (approximately $471.9 million), over the term of the SIDF Loans. SIDF Loans will be secured by security interests in the equipment, machines and assets funded thereby.</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June 30, 2025 and December 31, 2024, no amount was outstanding under the SIDF Loan Agreement.</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MISA Agreements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February 2022, Lucid LLC entered into agreements with MISA, a related party of the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Pursuant to the agreements, MISA has the right to require Lucid LLC to transfer the ownership of AMP-2 to MISA, at the fair market value thereof, reduced by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spacing w:after="0" w:line="18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we received support of SAR 366 million (approximately $97.5 million) in cash, of which $62.5 million was recorded as deferred liability within other long-term liabilities and $35.0 million was recorded as a deduction in calculating the carrying amount of the related assets in the consolidated balance sheet as of December 31, 2023. As of December 31, 2024, we recorded $97.5 million as a deduction in calculating the carrying amount of the related assets in the condensed consolidated balance sheet. During the three and six months ended June 30, 2025, there were no further deductions to the carrying value of the related assets in the condensed consolidated balance sheet. There were no unfulfilled conditions and contingencies attached to the payments received.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42424"/>
        </w:rPr>
        <w:t>GIB Facility Agreement</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April 29, 2022, Lucid LLC entered into the GIB Facility Agreement with GIB, maturing on February 28, 2025. GIB is a related party of the PIF, which is an affiliate of Ayar. The GIB Facility Agreement provided for two committed revolving credit facilities in an aggregate principal amount of SAR</w:t>
      </w:r>
    </w:p>
    <w:p>
      <w:pPr>
        <w:spacing w:after="0" w:line="251" w:lineRule="auto"/>
        <w:rPr>
          <w:sz w:val="20"/>
          <w:szCs w:val="20"/>
          <w:color w:val="auto"/>
        </w:rPr>
      </w:pPr>
      <w:r>
        <w:rPr>
          <w:rFonts w:ascii="Times New Roman" w:cs="Times New Roman" w:eastAsia="Times New Roman" w:hAnsi="Times New Roman"/>
          <w:sz w:val="18"/>
          <w:szCs w:val="18"/>
          <w:color w:val="auto"/>
        </w:rPr>
        <w:t>1.0 billion (approximately $266.1 million). The SAR 650 million (approximately $173.0 million) Bridge Facility, under the GIB Facility Agreement, was available to Lucid LLC to support capital expenditures in connection with AMP-2. The remaining SAR 350 million (approximately $93.1 million) Working Capital Facility might be used for general corporate purposes. On March 12, 2023, Lucid LLC entered into the 2023 Amended GIB Facility Agreement to combine the Bridge Facility and the Working Capital Facility into a committed SAR 1.0 billion (approximately $266.1 million) 2023 GIB Credit Facility which may be used for general corporate purposes. Loans under the 2023 Amended GIB Credit Facility Agreement had a maturity of no more than 12 months and bore interest at a rate of 1.40% per annum over SAIBOR (based on the term of borrowing) and associated fees. Under the 2023 Amended GIB Credit Facility Agreement, we were required to pay a quarterly commitment fee of 0.15% per annum based on the unutilized portion of the 2023 GIB Credit Facility.</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53" w:name="page54"/>
    <w:bookmarkEnd w:id="53"/>
    <w:p>
      <w:pPr>
        <w:ind w:right="20"/>
        <w:spacing w:after="0" w:line="256" w:lineRule="auto"/>
        <w:rPr>
          <w:sz w:val="20"/>
          <w:szCs w:val="20"/>
          <w:color w:val="auto"/>
        </w:rPr>
      </w:pPr>
      <w:r>
        <w:rPr>
          <w:rFonts w:ascii="Times New Roman" w:cs="Times New Roman" w:eastAsia="Times New Roman" w:hAnsi="Times New Roman"/>
          <w:sz w:val="18"/>
          <w:szCs w:val="18"/>
          <w:color w:val="auto"/>
        </w:rPr>
        <w:t>On February 24, 2025, Lucid LLC entered into the 2025 GIB Credit Facility maturing on February 24, 2028 to increase the credit facility committed amount from SAR 1.0 billion (approximately $266.1 million) to SAR 1.9 billion (approximately $506.6 million). Loans under the 2025 GIB Credit Facility may be used for general corporate purposes, have a maturity of no more than 12 months, and bear interest at a rate of 1.40% per annum over SAIBOR (based on the term of borrowing) and associated fees. We are required to pay a quarterly commitment fee of 0.25% per annum based on the unutilized portion of the 2025 GIB Credit Facility. Commitments under the 2025 GIB Credit Facility will terminate, and all amounts then outstanding thereunder would become payable, on the maturity date of the 2025 GIB Credit Facility.</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2025 GIB Credit Facility contains certain conditions precedent to drawdowns, representations and warranties and covenants of Lucid LLC and events of default.</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June 30, 2025 and December 31, 2024, we had outstanding borrowings of SAR 875 million (approximately $233.3 million) and SAR 475 million (approximately $126.4 million), respectively. The outstanding borrowings were recorded within other current liabilities in the condensed consolidated balance sheets. The weighted average interest rate on the outstanding borrowings was 6.90% and 7.04% as of June 30, 2025 and December 31, 2024, respectively. As of June 30, 2025 and December 31, 2024, availability under the GIB credit facility was SAR 1,024 million (approximately $272.9 million) and SAR 523 million (approximately $139.2 million), respectively, after giving effect to the outstanding letters of credit. As of June 30, 2025 and December 31, 2024, we were in compliance with applicable covenants under the GIB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Credit Facility</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June 2022, we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w:t>
      </w:r>
      <w:r>
        <w:rPr>
          <w:rFonts w:ascii="Times New Roman" w:cs="Times New Roman" w:eastAsia="Times New Roman" w:hAnsi="Times New Roman"/>
          <w:sz w:val="18"/>
          <w:szCs w:val="18"/>
          <w:color w:val="242424"/>
        </w:rPr>
        <w:t>In June 2024, we amended the ABL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Facility to update the Canadian reference rate. </w:t>
      </w:r>
      <w:r>
        <w:rPr>
          <w:rFonts w:ascii="Times New Roman" w:cs="Times New Roman" w:eastAsia="Times New Roman" w:hAnsi="Times New Roman"/>
          <w:sz w:val="18"/>
          <w:szCs w:val="18"/>
          <w:color w:val="000000"/>
        </w:rPr>
        <w:t>Availability under the ABL Credit Facility is subject to the value of eligible assets in the borrowing base and</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is reduced by outstanding loan borrowings and issuances of letters of credit which bear customary letter of credit fees. Subject to certain terms and conditions, we may request one or more increases in the amount of credit commitments under the ABL Credit Facility in an aggregate amount up to the sum of $500.0 million plus certain other amounts. We are required to pay a quarterly commitment fee of 0.25% per annum based on the unutilized portion of the ABL Credit Facility.</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ABL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our option following satisfaction of certain pre-conditions, may be replaced with a springing, minimum fixed charge coverage ratio financial covenant, in each case on terms set forth in the credit agreement governing the ABL Credit Facility. As of June 30, 2025 and December 31, 2024, we were in compliance with applicable covenants under the ABL Credit Facility.</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we had no outstanding borrowings under the ABL Credit Facility. Outstanding letters of credit under the ABL Credit Facility were $102.5 million and $56.9 million as of June 30, 2025 and December 31, 2024, respectively. Availability under the ABL Credit Facility was $392.9 million (including $195.2 million cash and cash equivalents) and $354.9 million (including $191.1 million cash and cash equivalents) as of June 30, 2025 and December 31, 2024, respectively, after giving effect to the borrowing base and the outstanding letters of credit.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DDTL Credit Facility</w:t>
      </w:r>
    </w:p>
    <w:p>
      <w:pPr>
        <w:spacing w:after="0" w:line="22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In August 2024, we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Borrowings under the DDTL Credit Facility bear interest at the applicable interest rates specified in the credit agreement governing the DDTL Credit Facility. We are required to pay a quarterly undrawn fee of 0.50% per annum based on the unutilized portion of the DDTL Credit Facility.</w:t>
      </w:r>
    </w:p>
    <w:p>
      <w:pPr>
        <w:spacing w:after="0" w:line="1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DDTL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includes a minimum liquidity covenant. As of June 30, 2025 and December 31, 2024, we were in compliance with applicable covenants under the DDTL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we had no outstanding borrowings under the DDTL Credit Facility.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 and Underwriting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2023, we completed the public offering pursuant to the 2023 Underwriting Agreement for aggregate net proceeds of $1.2 billion and also consummated a private placement of shares to Ayar pursuant to the 2023 Subscription Agreement for aggregate net proceeds of $1.8 billion after deducting issuance costs.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2024, we issued 100,000 shares of our Series A Redeemable Convertible Preferred Stock to Ayar pursuant to the Series A Subscription Agreement and received aggregate net proceeds of $997.6 million after deducting issuance costs. In August 2024, we also issued 75,000 shares of our Series B Redeemable Convertible Preferred Stock to Ayar pursuant to the Series B Subscription Agreement and received aggregate net proceeds of $749.4 million after deducting issuance costs. See Note 8 “Redeemable Convertible Preferred Stock” to the condensed consolidated financial statements included elsewhere in this Quarterly Report, for more information.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2024, we completed the public offering pursuant to the 2024 Underwriting Agreement and received net proceeds of $718.4 million and also consummated the private placement of shares to Ayar pursuant to the 2024 Subscription Agreement for net proceeds of $1,025.7 million after deducting issuance costs. See Note 16 “Related Party Transactions” to the condensed consolidated financial statements included elsewhere in this Quarterly Report, for more information.</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have generated significant losses from our operations as reflected in our accumulated deficit of $13.8 billion and $12.9 billion as of June 30, 2025 and December 31, 2024, respectively. Additionally, we have generated significant negative cash flows from operations and investing activities as we continue to support the growth of our business.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and therefore, may affect the timing and magnitude of these anticipated expenditures. These risk and uncertainties are described in more detail in the section entitled “Risk Factors” in Part II, Item 1A of this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4"/>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(1,258,854)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(1,023,732)</w:t>
            </w: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24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1,308,024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w:t>
            </w:r>
          </w:p>
        </w:tc>
      </w:tr>
      <w:tr>
        <w:trPr>
          <w:trHeight w:val="23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141,676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999,565</w:t>
            </w:r>
          </w:p>
        </w:tc>
      </w:tr>
      <w:tr>
        <w:trPr>
          <w:trHeight w:val="21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190,846</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(17,912)</w:t>
            </w:r>
          </w:p>
        </w:tc>
      </w:tr>
      <w:tr>
        <w:trPr>
          <w:trHeight w:val="20"/>
        </w:trPr>
        <w:tc>
          <w:tcPr>
            <w:tcW w:w="8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increased by $235.1 million to $1,258.9 million during the six months ended June 30, 2025, as compared to the same period in the prior year. The increase was primarily due to an increase in net operating assets and liabilities of $365.6 million, partially offset by an improvement in net loss excluding non-cash expenses and gains of $130.5 million during the six months ended June 30, 2025, as compared to the same period in the prior year. The increase in net operating assets and liabilities was primarily attributable to higher inventory purchases in anticipation of the Lucid Gravity ramp-up.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Investing Activities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cash flows provided by investing activities primarily relate to proceeds from maturities of investments, net of purchases of investments and capital expenditures to support our growth.</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increased by $1,301.8 million to $1,308.0 million during the six months ended June 30, 2025, as compared to the same period in the prior year. The increase was primarily attributable to higher volume of investment maturities compared to investment purchases during the six months ended June 30, 2025, compared to the same period in the prior year.</w:t>
      </w:r>
    </w:p>
    <w:p>
      <w:pPr>
        <w:sectPr>
          <w:pgSz w:w="11900" w:h="16838" w:orient="portrait"/>
          <w:cols w:equalWidth="0" w:num="1">
            <w:col w:w="11240"/>
          </w:cols>
          <w:pgMar w:left="320" w:top="981"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Since inception, we have financed our operations primarily from the issuances of equity securities, including the At-the-Market Offering, the private placements to Ayar, convertible preferred stock, the proceeds of the merger, the 2026 Notes, and the 2030 Notes.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decreased by $857.9 million to $141.7 million during the six months ended June 30, 2025, as compared to the same period in the prior year. We received gross proceeds of $1.1 billion from the issuance of the 2030 Notes and repurchased a portion of the 2026 Notes using $931.4 million during the six months ended June 30, 2025. We received gross proceeds of $1.0 billion from the issuance of Series A Redeemable Convertible Preferred Stock during the six months ended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and the related notes thereto included elsewhere in this Quarterly Report are prepared in accordance with U.S. GAAP. The preparation of our condensed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believe that the following accounting policies involve a high degree of judgment and complexity. Accordingly, these are the policies we believe are the most critical to aid in fully understanding and evaluating our condensed consolidated financial condition and results of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follow a five-step process in which we identify the contract, identify the related performance obligations, determine the transaction price, allocate the transaction price to the identified performance obligations, and recognize revenue when (or as) the performance obligations are satisfied.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Sales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Vehicle Sales without Residual Value Guarantee</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Vehicle sales revenue is generated from the sale of EVs to customers. There are two performance obligations identified in vehicle sale arrangements. These are the vehicle including an onboard ADAS, and the right to unspecified OTA software updates to be provided as and when available over the term of the basic vehicle warranty, which is generally four years. Shipping and handling provided by us is considered a fulfillment activity.</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Payment is typically received at the time of delivery or shortly after delivery of the vehicle to the customer, except for vehicle sales under the EV Purchase Agreement. Generally, control transfers to the customer at the time of delivery when the customer takes physical possession of the vehicle, which may be at a Lucid studio or other destination chosen by the customer. Our vehicle contracts do not contain a significant financing component. We have elected to exclude sales taxes from the measurement of the transaction price. We estimate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our performance obligations.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recognize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the time of revenue recognition, we reduce the transaction price and record a sales return reserve against revenue for estimated variable consideration related to future product returns. Such return rate estimates are based on historical experience.</w:t>
      </w:r>
    </w:p>
    <w:p>
      <w:pPr>
        <w:spacing w:after="0" w:line="16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We provide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ind w:left="340"/>
        <w:spacing w:after="0"/>
        <w:rPr>
          <w:sz w:val="20"/>
          <w:szCs w:val="20"/>
          <w:color w:val="auto"/>
        </w:rPr>
      </w:pPr>
      <w:r>
        <w:rPr>
          <w:rFonts w:ascii="Times New Roman" w:cs="Times New Roman" w:eastAsia="Times New Roman" w:hAnsi="Times New Roman"/>
          <w:sz w:val="18"/>
          <w:szCs w:val="18"/>
          <w:i w:val="1"/>
          <w:iCs w:val="1"/>
          <w:color w:val="auto"/>
        </w:rPr>
        <w:t>Vehicle Sales with Residual Value Guarantee</w:t>
      </w:r>
    </w:p>
    <w:p>
      <w:pPr>
        <w:spacing w:after="0" w:line="2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We provide a RVG to our commercial banking partners in connection with its vehicle leasing program. Under the vehicle leasing program, we generally receive payment for the vehicle sales price at the time of delivery or shortly after delivery, do not bear casualty and credit risks during the lease term, and are contractually obligated (or entitled) to share a portion of the shortfall (or excess) between the resale value realized by the commercial banking partners and a predetermined resale value. At the lease inception, we are required to deposit cash collateral equal to a contractual percentage of the residual value of the leased vehicles with the commercial banking partners. The cash collateral is held in a restricted bank account owned by the commercial banking partner until it is used, as applicable, in settlement of the RVG at the end of the lease term. Cash collateral is recorded in other noncurrent assets, subject to an asset impairment review at each reporting period.</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We account for the vehicle leasing program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and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We are the lessor at inception of a lease and immediately transfer the lease as well as the underlying vehicle to our commercial banking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 with the transaction being accounted for as a sale under ASC 606. We recognize revenue when control transfers upon delivery when the consumer-lessee takes physical possession of the vehicle, and bifurcate the RVG at fair value and account for it as a guarantee liability. The remaining amount of the transaction price is allocated among the performance obligations, including the vehicle, the right to unspecified </w:t>
      </w:r>
      <w:r>
        <w:rPr>
          <w:rFonts w:ascii="Times New Roman" w:cs="Times New Roman" w:eastAsia="Times New Roman" w:hAnsi="Times New Roman"/>
          <w:sz w:val="18"/>
          <w:szCs w:val="18"/>
          <w:color w:val="333333"/>
        </w:rPr>
        <w:t>OTA</w:t>
      </w:r>
      <w:r>
        <w:rPr>
          <w:rFonts w:ascii="Times New Roman" w:cs="Times New Roman" w:eastAsia="Times New Roman" w:hAnsi="Times New Roman"/>
          <w:sz w:val="18"/>
          <w:szCs w:val="18"/>
          <w:color w:val="auto"/>
        </w:rPr>
        <w:t xml:space="preserve"> software updates and remarketing activities, in proportion to the standalone selling price of our performance obligations. Any fees or incentives that are paid or payable by us to commercial banking partners are recognized as a reduction to vehicle sales revenue.</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guarantee liability represents the estimated amount we expect to pay at the end of the lease term. We are released from residual risk upon either expiration or settlement of the RVG. We evaluate variables such as third-party residual value publications, risk of future price deterioration due to changes in market conditions and reconditioning costs to determine the estimated residual value guarantee liability. As we accumulate more data related to the resale value of our vehicles or as market conditions change, there could be material changes to the estimated guarantee liabilities.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Vehicle Operating Lease Revenue</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account for sales of vehicles with repurchase obligations as operating leases. We sell vehicles primarily to rental companies with an obligation to repurchase the vehicles at an agreed upon repurchase price. We record the difference between the proceeds received and the agreed upon repurchase price as vehicle leasing revenue on a straight-line basis over the term of the lease. Deferred leasing revenue and repurchase obligation were recorded in other current liabilities and other long-term liabilities in the condensed consolidated balance sheets.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 and Leaseback Transactions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enter into sales and leaseback transactions in which we transfer control of vehicles to rental companies and simultaneously lease them back as operating leases. We recognize revenue related to the vehicles under the arrangement when the rental companies obtain control of the vehicles and separately recognize the leaseback obligations based on the present value of the future payments to the rental companies. We also record right-of-use assets which are amortized over the term of the leaseback. Operating lease expense is recognized on a straight-line basis over the term of the leaseback.</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Used Vehicle 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vehicle sales revenue is generated from the sale of used Lucid vehicles.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computed using standard cost for vehicles, which approximates actual cost on a first-in, first-out basis. We record inventory write-downs for excess or obsolete inventories based upon assumptions about current and future demand forecasts. If inventory on-hand is in excess of future demand forecast and market conditions, the excess amounts are written-off.</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Inventory is also reviewed to determine whether its carrying value exceeds the net amount realizable upon the ultimate sale of the inventory. This requires an assessment to determine the selling price of the vehicles less the estimated cost to convert the inventory on-hand into a finished product. Once inventory is written down, a new lower cost basis for that inventory is established and subsequent changes in facts and circumstances do not result in the restoration or increase in that newly established cost basis.</w:t>
      </w:r>
    </w:p>
    <w:p>
      <w:pPr>
        <w:spacing w:after="0" w:line="1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the event there are changes in our estimates of future selling prices or production costs, we might be required to record additional and potentially material write-downs. A small change in our estimates may result in a material change in our reported financial results.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57" w:name="page58"/>
    <w:bookmarkEnd w:id="57"/>
    <w:p>
      <w:pPr>
        <w:spacing w:after="0" w:line="258" w:lineRule="auto"/>
        <w:rPr>
          <w:sz w:val="20"/>
          <w:szCs w:val="20"/>
          <w:color w:val="auto"/>
        </w:rPr>
      </w:pPr>
      <w:r>
        <w:rPr>
          <w:rFonts w:ascii="Times New Roman" w:cs="Times New Roman" w:eastAsia="Times New Roman" w:hAnsi="Times New Roman"/>
          <w:sz w:val="18"/>
          <w:szCs w:val="18"/>
          <w:color w:val="auto"/>
        </w:rPr>
        <w:t>We periodically review and record write-downs for excess or obsolete inventories based upon assumptions about current and future demand forecasts, considering shelf-life and technological obsolescence of certain inventories. Our current and future demand forecasts are based on our historical sales, market share performance, macroeconomic factors and trends in quantities or prices of orders for our products. We evaluate whether raw materials are approaching the end of their shelf-lives or becoming technologically obsolete, and the likelihood that we will be able to use the raw materials in production. If our inventory on-hand is in excess of future demand forecast and market conditions, the excess amounts are provisioned or written-down.</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Once inventory is written-down, a new lower cost basis for that inventory is established and subsequent changes in facts and circumstances do not result in the restoration or increase in that newly established cost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Accounting for the redeemable convertible preferred stock requires an evaluation to determine if liability classification is required under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Securities that do not meet the scoping criteria to be classified as a liability under ASC 480 are subject to redeemable equity guidance, which prescribes securities that may be subject to redemption upon an event not solely within the control of the issuer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We accrete the redeemable convertible preferred stock to its redemption value. In certain circumstances, the redemption price may vary based on changes in stock price, in which case we will recognize changes in the redemption value immediately as they occur and adjust the carrying value of the security to equal the then current maximum redemption value at the end of each reporting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redeemable convertible preferred stock, we evaluated the instruments for any features that must be bifurcated and separately accounted for as embedded derivatives. We concluded that the conversion features, inclusive of all settlement outcomes where the pay-off is indexed to the if-converted value, meets all the requirements to be separately accounted for as a bifurcated derivative. As a result, we bifurcated the redeemable convertible preferred stock between (i) the host contracts which are accounted for within mezzanine equity, and (ii) the bifurcated derivative liabilities. The proceeds from issuance are first allocated to the fair value of the bifurcated derivatives with the residual being allocated to the host contracts. The bifurcated derivatives are remeasured to fair value each reporting period with changes in fair value recorded in earnings. We estimated the fair value of the derivative liabilities using a binomial lattice model. Inherent in a binomial lattice model are unobservable inputs and assumptions. The inputs for the valuation of the derivative liabilities included the volatility, credit spread, and term. Assumptions used in the valuation also consider the contractual terms as well as the quoted price of our common stock in an active market. Significant changes in any of those inputs in isolation would result in significant changes to the fair value measurement. We remeasure the derivative liabilities at each reporting period and recognize the changes in fair value in the condensed consolidated statement of operations and comprehensive loss.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equity price and inflationary pressure.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applicable to our cash and cash equivalents, and investments. We had cash, cash equivalents, and investments totaling approximately $3.6 billion as of June 30, 2025. Our investment policy is focused on the preservation of capital and supporting our liquidity needs. Under the policy, we invest in highly rated securities, primarily issued by the U.S. government or liquid money market funds. We do not invest in financial instruments for trading or speculative purposes. We utilize external investment managers who adhere to the guidelines of our investment policy. Based on investment positions as of June 30, 2025, a hypothetical 100 basis point increase in interest rates would result in $18.3 million incremental decline in the fair market value of our portfolio.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hold equity securities of Aston Martin. The fair value of these equity securities was $31.1 million as of June 30, 2025. Changes in fair value of</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these equity securities are impacted by the volatility of the stock market and changes in general economic conditions, among other factors. A hypothetical 10% decrease in the stock price of these equity securities would not be material as of June 30,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Risk</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dependent on our suppliers, the majority of which are single-source suppliers. The inability of these suppliers to deliver necessary components of its products according to the schedule and at prices, quality levels and volumes acceptable to us, whether due to changes or uncertainties in trade policies, the imposition or proposed imposition of tariffs, threat of trade war or otherwise, or its inability to efficiently manage these components, or the unavailability of stable domestic suppliers, could have a material adverse effect on our results of operations and financial condition.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on their evaluation, our principal executive officer and principal financial officer concluded that as of June 30, 2025,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15d-15(f) under the Exchange Act) that occurred during the fiscal quarter ended June 30, 2025,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 description of our legal proceedings, please see the description set forth in the “Legal Matters” section in Note 12 “Commitments and Contingencies” in the notes to the condensed consolidated financial statements in Item 1 of Part I of this Quarterly Report, which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Investors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our stockholders could lose all or part of their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spacing w:after="0" w:line="7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evaluating our business and future prospects difficult and may increase the risk of stockholders’ investment.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each year since our inception and expect to incur increasing expenses and substantial losses for the foreseeable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control the substantial costs associated with our operations.</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customers, failure to complete the purchase process with customers, and customer cancellation of orders may have a material adverse impact on our business, prospects, results of operations and financial condition.</w:t>
      </w:r>
    </w:p>
    <w:p>
      <w:pPr>
        <w:spacing w:after="0" w:line="53"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economic recession, downturn or other adverse economic conditions may have a material adverse impact on our business, prospects, results of operations and financial condition.</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primarily on revenue generated from a limited number of models and anticipate continuing to be significantly dependent on a limited number of models in the foreseeable future.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prospects depend significantly on our brand.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third-party retail product distribution and full-service network.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challenges providing charging solutions for our vehicles, both domestically and internationally.</w:t>
      </w:r>
    </w:p>
    <w:p>
      <w:pPr>
        <w:spacing w:after="0" w:line="117"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future growth effectively, we may not be able to develop, manufacture, distribute, market and sell our vehicles successfully.</w:t>
      </w:r>
    </w:p>
    <w:p>
      <w:pPr>
        <w:spacing w:after="0" w:line="5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international operations, including unfavorable regulatory, political, tax and labor conditions, which could harm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automotive industry has significant barriers to entry that we must overcome in order to manufacture and sell EVs at scale.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automotive market is highly competitive, and we may not be successful in competing in this industry.</w:t>
      </w:r>
    </w:p>
    <w:p>
      <w:pPr>
        <w:spacing w:after="0" w:line="11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may in the future experience significant delays in the design, launch and manufacture of our vehicles, including the Lucid Air, the Lucid Gravity and our Midsize platform, which could harm our business and prospects.</w:t>
      </w:r>
    </w:p>
    <w:p>
      <w:pPr>
        <w:spacing w:after="0" w:line="5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1" w:name="page62"/>
    <w:bookmarkEnd w:id="61"/>
    <w:p>
      <w:pPr>
        <w:ind w:left="328" w:right="260" w:hanging="328"/>
        <w:spacing w:after="0" w:line="261"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changes of supply or shortage of materials, in particular for lithium-ion battery cells, could harm our business.</w:t>
      </w:r>
    </w:p>
    <w:p>
      <w:pPr>
        <w:spacing w:after="0" w:line="117" w:lineRule="exact"/>
        <w:rPr>
          <w:rFonts w:ascii="Times New Roman" w:cs="Times New Roman" w:eastAsia="Times New Roman" w:hAnsi="Times New Roman"/>
          <w:sz w:val="18"/>
          <w:szCs w:val="18"/>
          <w:color w:val="auto"/>
        </w:rPr>
      </w:pPr>
    </w:p>
    <w:p>
      <w:pPr>
        <w:ind w:left="328" w:right="140" w:hanging="328"/>
        <w:spacing w:after="0" w:line="282"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successfully construct or tool our manufacturing facilities or if our manufacturing facilities become inoperable, we will be unable to produce our vehicles and our business will be harmed.</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high volume manufacture of our vehicles.</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vehicles fail to perform as expected, our ability to develop, market and sell or lease our products could be harmed.</w:t>
      </w:r>
    </w:p>
    <w:p>
      <w:pPr>
        <w:spacing w:after="0" w:line="117" w:lineRule="exact"/>
        <w:rPr>
          <w:rFonts w:ascii="Times New Roman" w:cs="Times New Roman" w:eastAsia="Times New Roman" w:hAnsi="Times New Roman"/>
          <w:sz w:val="18"/>
          <w:szCs w:val="18"/>
          <w:color w:val="auto"/>
        </w:rPr>
      </w:pPr>
    </w:p>
    <w:p>
      <w:pPr>
        <w:ind w:left="328" w:right="600" w:hanging="328"/>
        <w:spacing w:after="0" w:line="282"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53" w:lineRule="exact"/>
        <w:rPr>
          <w:rFonts w:ascii="Times New Roman" w:cs="Times New Roman" w:eastAsia="Times New Roman" w:hAnsi="Times New Roman"/>
          <w:sz w:val="18"/>
          <w:szCs w:val="18"/>
          <w:color w:val="auto"/>
        </w:rPr>
      </w:pPr>
    </w:p>
    <w:p>
      <w:pPr>
        <w:ind w:left="328" w:right="340" w:hanging="328"/>
        <w:spacing w:after="0" w:line="282"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53"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67" w:lineRule="exact"/>
        <w:rPr>
          <w:rFonts w:ascii="Times New Roman" w:cs="Times New Roman" w:eastAsia="Times New Roman" w:hAnsi="Times New Roman"/>
          <w:sz w:val="18"/>
          <w:szCs w:val="18"/>
          <w:color w:val="auto"/>
        </w:rPr>
      </w:pPr>
    </w:p>
    <w:p>
      <w:pPr>
        <w:ind w:left="328" w:right="100" w:hanging="328"/>
        <w:spacing w:after="0" w:line="266"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spacing w:after="0" w:line="67" w:lineRule="exact"/>
        <w:rPr>
          <w:rFonts w:ascii="Times New Roman" w:cs="Times New Roman" w:eastAsia="Times New Roman" w:hAnsi="Times New Roman"/>
          <w:sz w:val="18"/>
          <w:szCs w:val="18"/>
          <w:color w:val="auto"/>
        </w:rPr>
      </w:pPr>
    </w:p>
    <w:p>
      <w:pPr>
        <w:jc w:val="both"/>
        <w:ind w:left="328" w:right="280" w:hanging="328"/>
        <w:spacing w:after="0" w:line="266"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evolving laws, regulations, standards, policies, and contractual obligations related to data privacy and cybersecurity, and any actual or perceived failure to comply with such obligations could harm our reputation and brand, subject us to significant fines and liability, or otherwise adversely affect our business.</w:t>
      </w:r>
    </w:p>
    <w:p>
      <w:pPr>
        <w:spacing w:after="0" w:line="6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an inability to attract, retain and motivate qualified personnel may impair our ability to expand our business.</w:t>
      </w:r>
    </w:p>
    <w:p>
      <w:pPr>
        <w:spacing w:after="0" w:line="117" w:lineRule="exact"/>
        <w:rPr>
          <w:rFonts w:ascii="Times New Roman" w:cs="Times New Roman" w:eastAsia="Times New Roman" w:hAnsi="Times New Roman"/>
          <w:sz w:val="18"/>
          <w:szCs w:val="18"/>
          <w:color w:val="auto"/>
        </w:rPr>
      </w:pPr>
    </w:p>
    <w:p>
      <w:pPr>
        <w:ind w:left="328" w:right="400" w:hanging="328"/>
        <w:spacing w:after="0" w:line="282"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policy, including the imposition of, or uncertainties surrounding, tariffs or revocation of normal trade relations and the resulting consequences, could adversely affect our business, prospects, results of operations and financial condition.</w:t>
      </w:r>
    </w:p>
    <w:p>
      <w:pPr>
        <w:spacing w:after="0" w:line="53"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67" w:lineRule="exact"/>
        <w:rPr>
          <w:rFonts w:ascii="Times New Roman" w:cs="Times New Roman" w:eastAsia="Times New Roman" w:hAnsi="Times New Roman"/>
          <w:sz w:val="18"/>
          <w:szCs w:val="18"/>
          <w:color w:val="auto"/>
        </w:rPr>
      </w:pPr>
    </w:p>
    <w:p>
      <w:pPr>
        <w:ind w:left="328" w:right="500" w:hanging="328"/>
        <w:spacing w:after="0" w:line="282"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regulatory limitations on our ability to sell vehicles directly, which could materially and adversely affect our ability to sell our vehicles.</w:t>
      </w:r>
    </w:p>
    <w:p>
      <w:pPr>
        <w:spacing w:after="0" w:line="53" w:lineRule="exact"/>
        <w:rPr>
          <w:rFonts w:ascii="Times New Roman" w:cs="Times New Roman" w:eastAsia="Times New Roman" w:hAnsi="Times New Roman"/>
          <w:sz w:val="18"/>
          <w:szCs w:val="18"/>
          <w:color w:val="auto"/>
        </w:rPr>
      </w:pPr>
    </w:p>
    <w:p>
      <w:pPr>
        <w:ind w:left="328" w:right="20" w:hanging="328"/>
        <w:spacing w:after="0" w:line="266"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6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support business growth, and this capital might not be available on commercially reasonable terms, or at all.</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anticipated benefits of our agreements with Aston Martin, Uber and Nuro.</w:t>
      </w:r>
    </w:p>
    <w:p>
      <w:pPr>
        <w:spacing w:after="0" w:line="117" w:lineRule="exact"/>
        <w:rPr>
          <w:rFonts w:ascii="Times New Roman" w:cs="Times New Roman" w:eastAsia="Times New Roman" w:hAnsi="Times New Roman"/>
          <w:sz w:val="18"/>
          <w:szCs w:val="18"/>
          <w:color w:val="auto"/>
        </w:rPr>
      </w:pPr>
    </w:p>
    <w:p>
      <w:pPr>
        <w:ind w:left="328" w:right="200" w:hanging="328"/>
        <w:spacing w:after="0" w:line="266"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67" w:lineRule="exact"/>
        <w:rPr>
          <w:rFonts w:ascii="Times New Roman" w:cs="Times New Roman" w:eastAsia="Times New Roman" w:hAnsi="Times New Roman"/>
          <w:sz w:val="18"/>
          <w:szCs w:val="18"/>
          <w:color w:val="auto"/>
        </w:rPr>
      </w:pPr>
    </w:p>
    <w:p>
      <w:pPr>
        <w:ind w:left="328" w:right="660" w:hanging="328"/>
        <w:spacing w:after="0" w:line="282"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shares of our common stock or other equity or equity-linked securities, including our Redeemable Convertible Preferred Stock, or sales of a significant portion of our common stock, could depress the market price of our common stock.</w:t>
      </w:r>
    </w:p>
    <w:p>
      <w:pPr>
        <w:spacing w:after="0" w:line="53" w:lineRule="exact"/>
        <w:rPr>
          <w:rFonts w:ascii="Times New Roman" w:cs="Times New Roman" w:eastAsia="Times New Roman" w:hAnsi="Times New Roman"/>
          <w:sz w:val="18"/>
          <w:szCs w:val="18"/>
          <w:color w:val="auto"/>
        </w:rPr>
      </w:pPr>
    </w:p>
    <w:p>
      <w:pPr>
        <w:jc w:val="both"/>
        <w:ind w:left="328" w:right="600" w:hanging="328"/>
        <w:spacing w:after="0" w:line="266"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spacing w:after="0" w:line="67" w:lineRule="exact"/>
        <w:rPr>
          <w:rFonts w:ascii="Times New Roman" w:cs="Times New Roman" w:eastAsia="Times New Roman" w:hAnsi="Times New Roman"/>
          <w:sz w:val="18"/>
          <w:szCs w:val="18"/>
          <w:color w:val="auto"/>
        </w:rPr>
      </w:pPr>
    </w:p>
    <w:p>
      <w:pPr>
        <w:ind w:left="328" w:right="340" w:hanging="328"/>
        <w:spacing w:after="0" w:line="282"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PIF and Ayar beneficially own a significant equity interest in us and have significant influence over us, which could decrease the relative ownership interest and voting power other holders of our common stock have over us.</w:t>
      </w:r>
    </w:p>
    <w:p>
      <w:pPr>
        <w:spacing w:after="0" w:line="189"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90170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8"/>
          </w:cols>
          <w:pgMar w:left="652" w:top="877" w:right="399" w:bottom="1440" w:gutter="0" w:footer="0" w:header="0"/>
        </w:sectPr>
      </w:pPr>
    </w:p>
    <w:bookmarkStart w:id="62" w:name="page63"/>
    <w:bookmarkEnd w:id="62"/>
    <w:p>
      <w:pPr>
        <w:ind w:left="660" w:right="10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Redeemable Convertible Preferred Stock are entitled to vote their shares of the Redeemable Convertible Preferred Stock on an as-converted to common stock basis and have rights to approve certain actions, which reduces the relative voting power of the holders of our common stock. The settlement of our obligations upon conversion, redemption, or repurchase of our Redeemable Convertible Preferred Stock is expected to dilute the ownership of common stockholders and may adversely affect the market price of our common stock.</w:t>
      </w:r>
    </w:p>
    <w:p>
      <w:pPr>
        <w:spacing w:after="0" w:line="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Redeemable Convertible Preferred Stock has rights, preferences and privileges that are not held by, and are senior to the rights of, our common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Business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limited operating history makes evaluating our business and future prospects difficult and may increase the risk of stockholders’ investment.</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We are an early-stage company with a limited operating history, operating in a rapidly evolving and highly regulated market. Furthermore, we have only released two commercially available vehicles, and we have limited experience manufacturing or selling a commercial product at scale. We have yet to generate significant revenue from the sale of EVs, and as a result of the capital-intensive nature of our business, we expect to continue to incur substantial operating losses for the foreseeable future.</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We have encountered and expect to continue to encounter risks and uncertainties frequently experienced by early-stage companies in rapidly changing markets, including risks relating to our ability to, among other things:</w:t>
      </w:r>
    </w:p>
    <w:p>
      <w:pPr>
        <w:spacing w:after="0" w:line="5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hire, integrate and retain professional and technical talent, including key members of management;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to make significant investments in research, development, manufacturing, marketing and sales;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successfully design, build, manufacture and market new variants and models of EVs, such as our upcoming Midsize platform;</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build a well-recognized and respected brand;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implement, refine and scale our commercial manufacturing capabilities and distribution infrastructure;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and maintain satisfactory arrangements with third-party suppliers;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and expand a customer base;</w:t>
      </w:r>
    </w:p>
    <w:p>
      <w:pPr>
        <w:spacing w:after="0" w:line="117" w:lineRule="exact"/>
        <w:rPr>
          <w:rFonts w:ascii="Times New Roman" w:cs="Times New Roman" w:eastAsia="Times New Roman" w:hAnsi="Times New Roman"/>
          <w:sz w:val="18"/>
          <w:szCs w:val="18"/>
          <w:color w:val="231F20"/>
        </w:rPr>
      </w:pPr>
    </w:p>
    <w:p>
      <w:pPr>
        <w:ind w:left="660" w:right="34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anticipate and adapt to changing market conditions, including consumer demand for certain vehicle types, models or trim levels, technological developments and changes in competitive landscape;</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navigate an evolving and complex regulatory environment; and</w:t>
      </w:r>
    </w:p>
    <w:p>
      <w:pPr>
        <w:spacing w:after="0" w:line="117" w:lineRule="exact"/>
        <w:rPr>
          <w:rFonts w:ascii="Times New Roman" w:cs="Times New Roman" w:eastAsia="Times New Roman" w:hAnsi="Times New Roman"/>
          <w:sz w:val="18"/>
          <w:szCs w:val="18"/>
          <w:color w:val="231F20"/>
        </w:rPr>
      </w:pPr>
    </w:p>
    <w:p>
      <w:pPr>
        <w:ind w:left="660" w:right="4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successfully obtain, maintain, protect, defend and enforce our intellectual property and defend against claims of intellectual property infringement, misappropriation or other violation.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incurred net losses each year since our inception and expect to incur increasing expenses and substantial losses for the foreseeable future.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incurred net losses each year since our inception, including net loss of $539.4 million and $905.6 million for the three and six months ended June 30, 2025, respectively. As of June 30, 2025, our accumulated deficit was $13.8 billion. We expect to continue to incur substantial losses and increasing expenses in the foreseeable future as we:</w:t>
      </w:r>
    </w:p>
    <w:p>
      <w:pPr>
        <w:spacing w:after="0" w:line="6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to design, develop and manufacture our vehicles;</w:t>
      </w:r>
    </w:p>
    <w:p>
      <w:pPr>
        <w:spacing w:after="0" w:line="117" w:lineRule="exact"/>
        <w:rPr>
          <w:rFonts w:ascii="Times New Roman" w:cs="Times New Roman" w:eastAsia="Times New Roman" w:hAnsi="Times New Roman"/>
          <w:sz w:val="18"/>
          <w:szCs w:val="18"/>
          <w:color w:val="231F20"/>
        </w:rPr>
      </w:pPr>
    </w:p>
    <w:p>
      <w:pPr>
        <w:ind w:left="660" w:right="260" w:hanging="328"/>
        <w:spacing w:after="0" w:line="282" w:lineRule="auto"/>
        <w:tabs>
          <w:tab w:leader="none" w:pos="655"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equip and expand our research, service, battery, powertrain, and manufacturing facilities to produce our vehicles in Arizona and in international locations such as Saudi Arabia;</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build up inventories of parts and components for our vehicles;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manufacture and store an available inventory of our vehicles;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 and deploy geographically dispersed vehicle charging partnerships;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 our design, research, development, maintenance and repair capabilities and facilities;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 our sales, service and marketing activities and develop our distribution infrastructure;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 our general and administrative functions to support our growing operations and status as a public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231F20"/>
        </w:rPr>
        <w:t>If our product development or commercialization of future vehicles is delayed, our costs and expenses may be significantly higher than we currently expect. We will incur the costs and expenses from these efforts before we receive any incremental revenues with respect thereto; therefore, we anticipate our losses in future periods will be significant.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unable to adequately control the substantial costs associated with our operations.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constructing, tooling and expanding our manufacturing facilities; research and development expenses (including expenses related to the development of the Lucid Air, the Lucid Gravity, our Midsize platform and other future products); raw material procurement costs; and general and administrative expenses as we scale our operations and continue to incur the costs of being a public company. Increased competition and adverse economic conditions have in the past and may continue in the future to require us to spend additional resources to attract customers, which in turn may result in higher marketing and incentive expenses. Furthermore, lower production and sales volumes have in the past and may in the future result in an inability to fully utilize our purchase commitments with suppliers which could result in increased costs and excess inventory as well as potential inventory write-offs. We periodically review and record write-downs for excess or obsolete inventories based upon assumptions about current and future demand forecasts, considering shelf-life and technological obsolescence of certain inventories. Our current and future demand forecasts are based on our historical sales, market share performance, macroeconomic factors and trends in quantities or prices of orders for our products. We evaluate whether raw materials are approaching the end of their shelf-lives or becoming technologically obsolete, and the likelihood that we will be able to use the raw materials in production. If our inventory on-hand is in excess of future demand forecast and market conditions, the excess amounts are provisioned or written-down.</w:t>
      </w:r>
    </w:p>
    <w:p>
      <w:pPr>
        <w:spacing w:after="0" w:line="18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231F20"/>
        </w:rPr>
        <w:t>In addition, we have incurred and expect to continue to incur significant costs servicing and maintaining customers’ vehicles, including establishing our service operations and facilities and undertaking product recalls. We have limited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the longer term, our ability to become profitable in the future will depend on our ability not only to effectively manage our capital expenditures and control costs on a timely basis, but also to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Failure to attract customers, failure to complete the purchase process with customers, and customer cancellation of orders may have a material adverse impact on our business, prospects, results of operations and financial condition.</w:t>
      </w:r>
    </w:p>
    <w:p>
      <w:pPr>
        <w:spacing w:after="0" w:line="15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Delays in customer deliveries, delays in the availability of options, potential changes in customer preferences, competitive developments, increased interest rates, negative publicity, decreased demand for EVs, and other factors could result in failure to attract customers, failure to complete the purchase process with customers, and customer cancellation. Increases in interest rates could make financing unaffordable for segments of our customer base and any event or incident which generates negative media coverage about us or the safety or quality of our vehicles could result in failure to attract customers, failure to complete the purchase process, and customer cancellations. In addition, if we encounter delays in customer deliveries of our vehicles that further lengthen wait times or in the event of negative media coverage, a significant number of orders may be cancelled. As such, no assurance can be given that the purchase process will be completed, orders will not be cancelled, and orders will ultimately result in the final purchase, delivery and sale or lease of vehicles.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4" w:name="page65"/>
    <w:bookmarkEnd w:id="64"/>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 global economic recession, downturn or other adverse economic conditions may have a material adverse impact on our business, prospects, results of operations and financial condition.</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 global economic recession, downturn or other adverse economic conditions, whether due to changes or uncertainties in trade policies, the imposition or proposed imposition of tariffs, export controls, threat of trade war, persistent inflation, political instability, global or regional conflicts or other geopolitical events, public health crises, interest rate increases or other central bank policy actions, government closures of banks and liquidity concerns at other financial institutions, or other factors, may have an adverse impact on our business, prospects, financial condition and results of operations. Adverse economic conditions and uncertainty about the current and future domestic or global economic conditions may cause our customers to defer purchases or cancel their orders in response to higher interest rates, limited consumer credit availability, lower cash reserves, fluctuations in foreign currency exchange rates, and weakened consumer confidence. A reduction in demand for our products may result in a decline in product sales, with a corresponding material adverse impact on our business, prospects, financial condition and results of operations. Given our premium brand positioning and pricing, an economic recession or downturn is likely to have a disproportionate adverse effect on us compared to our competitors in the EV and traditional automotive sectors, to the extent that consumer demand for luxury goods declines in favor of more cost-conscious alternatives. In addition, adverse economic conditions and uncertainties surrounding trade policies, tariffs and export controls could also cause supply chain and logistical challenges and operational risks. In particular, the U.S. federal government recently enacted the law commonly referred to as the OBBBA, which eliminates, limits or phases out certain tax credits that had previously provided significant benefits to lessees and purchasers of EVs and adds new eligibility requirements on manufacturers to continue claiming tax credits on EV components. It also eliminates certain penalties for noncompliance with certain fuel efficiency standards and introduces certain key tax law modifications. If any of our suppliers, sub-suppliers or partners experience financial distress, insolvency or disruptions in operations, they may be unable to fulfill their obligations or meet our production and quality requirements. Taken together, adverse economic conditions and uncertainties surrounding trade policies, tariffs and export controls, coupled with supply chain challenges and the potential difficulty of passing costs to customers or sharing the burden with suppliers, could reduce demand for our products and have a material adverse effect on our business, prospects, results of operations and financial condition.</w:t>
      </w:r>
    </w:p>
    <w:p>
      <w:pPr>
        <w:spacing w:after="0" w:line="19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addition, the deterioration of conditions in global credit markets may limit our ability to obtain external financing to fund our operations and capital expenditures on terms favorable to us, if at all.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 See “—Risks Related to Financing and Strategic Transactions — </w:t>
      </w:r>
      <w:r>
        <w:rPr>
          <w:rFonts w:ascii="Times New Roman" w:cs="Times New Roman" w:eastAsia="Times New Roman" w:hAnsi="Times New Roman"/>
          <w:sz w:val="18"/>
          <w:szCs w:val="18"/>
          <w:i w:val="1"/>
          <w:iCs w:val="1"/>
          <w:color w:val="auto"/>
        </w:rPr>
        <w:t>We will require additional capital to support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growth, and this capital might not be available on commercially reasonable terms, or at all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primarily on revenue generated from a limited number of models and anticipate continuing to be significantly dependent on a limited number of models in the foreseeable future.</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currently depend primarily on revenue generated from the Lucid Air, and in the foreseeable future will be significantly dependent on a limited number of models. Although we have started production of the Lucid Gravity and have other vehicle models on our product roadmap, we are not scheduled to introduce another vehicle model for sale until late 2026. We expect to rely on sales from the Lucid Air and the Lucid Gravity, among other sources of financing, for the capital that will be required to develop and commercialize future models on our product roadmap. To the extent that production of our current or future models is delayed or reduced, or if our current or future models are not well-received by the market for any reason, our revenue and cash flow would be adversely affected, we may need to seek additional financing earlier than we expect, and such financing may not be available to us on commercially reasonable terms, or at all.</w:t>
      </w:r>
    </w:p>
    <w:p>
      <w:pPr>
        <w:spacing w:after="0" w:line="185"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fulfill the orders from the Government of Saudi Arabia or if the Government of Saudi Arabia purchases significantly fewer vehicles than we anticipate for any reason, our business, prospects, results of operations and financial condition could be materially and adversely affected.</w:t>
      </w:r>
    </w:p>
    <w:p>
      <w:pPr>
        <w:spacing w:after="0" w:line="13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August 2023, we entered into the EV Purchase Agreement with the Government of Saudi Arabia as represented by the Ministry of Finance, which supersedes the letter of undertaking that we entered into in April 2022. Pursuant to the terms of the EV Purchase Agreement,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we fail to deliver within six months from the date of the applicable purchase order. The Purchaser also has the sole and absolute discretion to decide whether to exercise the option to purchase the additional 50,000 vehicles. See Note 16 “Related Party Transactions” to the condensed consolidated financial statements included elsewhere in this Quarterly Report for more information.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5" w:name="page66"/>
    <w:bookmarkEnd w:id="65"/>
    <w:p>
      <w:pPr>
        <w:jc w:val="both"/>
        <w:ind w:right="500" w:firstLine="324"/>
        <w:spacing w:after="0" w:line="272" w:lineRule="auto"/>
        <w:rPr>
          <w:sz w:val="20"/>
          <w:szCs w:val="20"/>
          <w:color w:val="auto"/>
        </w:rPr>
      </w:pPr>
      <w:r>
        <w:rPr>
          <w:rFonts w:ascii="Times New Roman" w:cs="Times New Roman" w:eastAsia="Times New Roman" w:hAnsi="Times New Roman"/>
          <w:sz w:val="17"/>
          <w:szCs w:val="17"/>
          <w:color w:val="auto"/>
        </w:rPr>
        <w:t>If we experience delays in manufacturing and delivering vehicles ordered by the Purchaser, fail to or experience delays in complying with Saudi Arabian regulations or the requirements of the EV Purchase Agreement, fail to provide adequate service or support for the vehicles, or fail to set the appropriate purchase price for such vehicles, our revenue, cash flow and results of operations and financial condition could be adversely affected.</w:t>
      </w:r>
    </w:p>
    <w:p>
      <w:pPr>
        <w:spacing w:after="0" w:line="2" w:lineRule="exact"/>
        <w:rPr>
          <w:sz w:val="20"/>
          <w:szCs w:val="20"/>
          <w:color w:val="auto"/>
        </w:rPr>
      </w:pPr>
    </w:p>
    <w:p>
      <w:pPr>
        <w:jc w:val="both"/>
        <w:ind w:right="360"/>
        <w:spacing w:after="0" w:line="255" w:lineRule="auto"/>
        <w:rPr>
          <w:sz w:val="20"/>
          <w:szCs w:val="20"/>
          <w:color w:val="auto"/>
        </w:rPr>
      </w:pPr>
      <w:r>
        <w:rPr>
          <w:rFonts w:ascii="Times New Roman" w:cs="Times New Roman" w:eastAsia="Times New Roman" w:hAnsi="Times New Roman"/>
          <w:sz w:val="18"/>
          <w:szCs w:val="18"/>
          <w:color w:val="auto"/>
        </w:rPr>
        <w:t>Furthermore, if the Purchaser reduces the minimum vehicle purchase quantity, delays the purchase of vehicles, does not exercise its option to purchase additional vehicles, or purchases significantly fewer vehicles than we currently anticipate for any reason, including for reasons beyond our control, our business, prospects, results of operations and financial condition could be materially and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prospects depend significantly on our brand.</w:t>
      </w:r>
    </w:p>
    <w:p>
      <w:pPr>
        <w:spacing w:after="0" w:line="22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Our business and prospects will heavily depend on our ab</w:t>
      </w:r>
      <w:r>
        <w:rPr>
          <w:rFonts w:ascii="Times New Roman" w:cs="Times New Roman" w:eastAsia="Times New Roman" w:hAnsi="Times New Roman"/>
          <w:sz w:val="18"/>
          <w:szCs w:val="18"/>
          <w:color w:val="242424"/>
        </w:rPr>
        <w:t>ility to develop, maintain, protect and strengthen the “Lucid” brand association with luxury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and technological excellence. Promoting and positioning our brand will likely depend significantly on our ability to provide a consistently high-quality customer experience, an area in which we have limited experience. To promote our brand, we will be required to invest in, and over time change our customer development and branding practices, which could result in substantially increased expenses, including the need to use public relations and advertising firms.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42424"/>
        </w:rPr>
        <w:t>In particular, any negative publicity, whether or not factual, can quickly proliferate on social media and harm consumer perception and confidence in our brand. The growing use of social media increases the speed with which information and opinions can be shared and, thus, accelerate the impact on a company’s reputation. If we fail to correct or mitigate misinformation or negative information, including information proliferated through social media or traditional media channels, about us, the products we offer, our customer experience, or any aspect of our brand, our business, sales and results of operations could adversely impact us. From time-to-time,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Our sales will depend in part on our ability to establish and maintain confidence in our long-term business prospects among consumers, the investment community and others within our industry.</w:t>
      </w:r>
    </w:p>
    <w:p>
      <w:pPr>
        <w:spacing w:after="0" w:line="15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42424"/>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the investment community and other parties with respect to our liquidity and long-term business prospects.</w:t>
      </w:r>
    </w:p>
    <w:p>
      <w:pPr>
        <w:spacing w:after="0" w:line="183"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242424"/>
        </w:rPr>
        <w:t>Maintaining such confidence may be difficult as a result of many factors, including our limited operating history, others’ unfamiliarity with our products, uncertainty regarding the future of EVs,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EV companies have recently entered the automotive industry, which is an industry that has historically been associated with significant barriers to entry and a high rate of failure. Certain of these new entrants or other traditional automotive manufacturers now producing EVs have become insolvent, and if additional manufacturers producing EVs become insolvent or are perceived to likely become insolvent, discontinue production of EVs, produce vehicles that do not perform as expected or otherwise fail to meet expectations, such failures may have the effect of increasing scrutiny of others in the industry, including us, and further challenging customer, supplier and the investment community’s confidence in our long-term prospects.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242424"/>
        </w:rPr>
        <w:t>We do not have a third-party retail product distribution and full-service network.</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42424"/>
        </w:rPr>
        <w:t>Third-party dealer networks are the traditional method of vehicle sales distribution and service in North America. Currently, we sell directly to consumers; therefore,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We have experienced delays in the construction and opening of our Lucid studios and service centers and any significant delays to establish Lucid studios and service centers in key markets in the future could have an adverse effect on our business, results of operations, prospects and financial condition. In addition,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including developing and implementing the necessary information technology infrastructure to support them, which may prove costly, time-consuming or ineffective. If our use of an in-house sales, marketing and service team is not effective, our results of operations and financial conditions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Our ability to generate meaningful product revenue will depend on consumer adoption of EVs.</w:t>
      </w:r>
    </w:p>
    <w:p>
      <w:pPr>
        <w:spacing w:after="0" w:line="229" w:lineRule="exact"/>
        <w:rPr>
          <w:sz w:val="20"/>
          <w:szCs w:val="20"/>
          <w:color w:val="auto"/>
        </w:rPr>
      </w:pPr>
    </w:p>
    <w:p>
      <w:pPr>
        <w:ind w:right="400" w:firstLine="324"/>
        <w:spacing w:after="0" w:line="273" w:lineRule="auto"/>
        <w:rPr>
          <w:sz w:val="20"/>
          <w:szCs w:val="20"/>
          <w:color w:val="auto"/>
        </w:rPr>
      </w:pPr>
      <w:r>
        <w:rPr>
          <w:rFonts w:ascii="Times New Roman" w:cs="Times New Roman" w:eastAsia="Times New Roman" w:hAnsi="Times New Roman"/>
          <w:sz w:val="17"/>
          <w:szCs w:val="17"/>
          <w:color w:val="242424"/>
        </w:rPr>
        <w:t>We are developing and producing only EVs and, accordingly, our ability to generate meaningful product revenue will highly depend on sustained consumer demand for alternative fuel vehicles in general and EVs in particular. If the market for EVs does not develop as we expect or develops more slowly than we expect, or if there is a decrease in consumer demand for EVs, these factors may harm our business, prospects, financial condition and results of operations. The market for electric and other alternative fuel vehicles is relatively new, rapidly evolving, characterized by rapidly changing technologies, price competition, market entrants, evolving government regulation (including the availability, reduction or elimination of government incentives and subsidies) and industry standards, frequent new vehicle introductions and changing consumer demands and behaviors. Any number of developments or disruptions in the industry could negatively affect consumer demand for EVs broadly and for our EVs in particular.</w:t>
      </w:r>
    </w:p>
    <w:p>
      <w:pPr>
        <w:spacing w:after="0" w:line="17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42424"/>
        </w:rPr>
        <w:t>In addition, demand for EVs may be affected by factors directly impacting automobile prices or the cost of purchasing and operating automobiles such as the availability, reduction or elimination of sales and financing incentives including tax credits, prices of raw materials and parts and components, cost of fuel, availability of consumer credit, interest rates, and governmental regulatio</w:t>
      </w:r>
      <w:r>
        <w:rPr>
          <w:rFonts w:ascii="Times New Roman" w:cs="Times New Roman" w:eastAsia="Times New Roman" w:hAnsi="Times New Roman"/>
          <w:sz w:val="18"/>
          <w:szCs w:val="18"/>
          <w:color w:val="000000"/>
        </w:rPr>
        <w:t>ns, including tariffs, i</w:t>
      </w:r>
      <w:r>
        <w:rPr>
          <w:rFonts w:ascii="Times New Roman" w:cs="Times New Roman" w:eastAsia="Times New Roman" w:hAnsi="Times New Roman"/>
          <w:sz w:val="18"/>
          <w:szCs w:val="18"/>
          <w:color w:val="242424"/>
        </w:rPr>
        <w:t>mport and export regulation and other taxes. Volatility in demand may lead to lower vehicle unit sales, which may result in downward price pressure and adversely affect our business, prospects, financial condition and results of operations. Further, sa</w:t>
      </w:r>
      <w:r>
        <w:rPr>
          <w:rFonts w:ascii="Times New Roman" w:cs="Times New Roman" w:eastAsia="Times New Roman" w:hAnsi="Times New Roman"/>
          <w:sz w:val="18"/>
          <w:szCs w:val="18"/>
          <w:color w:val="231F20"/>
        </w:rPr>
        <w:t>les of vehicles in the automotive industry tend to be cyclical in many markets, which may expose us to</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231F20"/>
        </w:rPr>
        <w:t>increased volatility, especially as we expand and adjust our operations and retail strategies. Specifically, it is uncertain how such macroeconomic factors will impact us as a new entrant in an industry that has globally been experiencing a recent decline in sales.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Other factors that may influence the adoption of EVs include:</w:t>
      </w:r>
    </w:p>
    <w:p>
      <w:pPr>
        <w:spacing w:after="0" w:line="11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perceptions about EV quality, safety, design, performance and cost;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perceptions about the limited range over which EVs may be driven on a single battery charge;</w:t>
      </w:r>
    </w:p>
    <w:p>
      <w:pPr>
        <w:spacing w:after="0" w:line="117" w:lineRule="exact"/>
        <w:rPr>
          <w:rFonts w:ascii="Times New Roman" w:cs="Times New Roman" w:eastAsia="Times New Roman" w:hAnsi="Times New Roman"/>
          <w:sz w:val="18"/>
          <w:szCs w:val="18"/>
          <w:color w:val="231F20"/>
        </w:rPr>
      </w:pPr>
    </w:p>
    <w:p>
      <w:pPr>
        <w:ind w:left="660" w:right="280" w:hanging="328"/>
        <w:spacing w:after="0" w:line="266" w:lineRule="auto"/>
        <w:tabs>
          <w:tab w:leader="none" w:pos="655"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considerations about the total cost of ownership of EVs, including the initial purchase price and accumulated depreciation, as well as operating and maintenance costs, both including and excluding the effect of government and other subsidies and incentives designed to promote the purchase of EVs;</w:t>
      </w:r>
    </w:p>
    <w:p>
      <w:pPr>
        <w:spacing w:after="0" w:line="6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concerns about electric grid capacity and reliability;</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perceptions about the sustainability and environmental impact of EVs, including with respect to both the sourcing and disposal of materials for EV batteries and the generation of electricity provided in the electric grid;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other alternative fuel vehicles, including plug-in hybrid EVs;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improvements in the fuel economy of the internal combustion engine;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quality and availability of service for EVs, especially in international markets;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volatility in the cost of oil and gasoline;</w:t>
      </w:r>
    </w:p>
    <w:p>
      <w:pPr>
        <w:spacing w:after="0" w:line="117"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government regulations and the availability, reduction or elimination of economic incentives promoting fuel efficiency and alternate forms of energy including reductions, limitations or eliminations pursuant to the OBBBA;</w:t>
      </w:r>
    </w:p>
    <w:p>
      <w:pPr>
        <w:spacing w:after="0" w:line="53" w:lineRule="exact"/>
        <w:rPr>
          <w:rFonts w:ascii="Times New Roman" w:cs="Times New Roman" w:eastAsia="Times New Roman" w:hAnsi="Times New Roman"/>
          <w:sz w:val="18"/>
          <w:szCs w:val="18"/>
          <w:color w:val="231F20"/>
        </w:rPr>
      </w:pPr>
    </w:p>
    <w:p>
      <w:pPr>
        <w:ind w:left="660" w:right="240" w:hanging="328"/>
        <w:spacing w:after="0" w:line="282" w:lineRule="auto"/>
        <w:tabs>
          <w:tab w:leader="none" w:pos="655"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access to charging stations compatible with our vehicles and cost to charge an EV, especially in international markets, and related infrastructure costs and standardization;</w:t>
      </w:r>
    </w:p>
    <w:p>
      <w:pPr>
        <w:spacing w:after="0" w:line="53" w:lineRule="exact"/>
        <w:rPr>
          <w:rFonts w:ascii="Times New Roman" w:cs="Times New Roman" w:eastAsia="Times New Roman" w:hAnsi="Times New Roman"/>
          <w:sz w:val="18"/>
          <w:szCs w:val="18"/>
          <w:color w:val="231F20"/>
        </w:rPr>
      </w:pPr>
    </w:p>
    <w:p>
      <w:pPr>
        <w:ind w:left="660" w:right="440" w:hanging="328"/>
        <w:spacing w:after="0" w:line="282" w:lineRule="auto"/>
        <w:tabs>
          <w:tab w:leader="none" w:pos="655"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reduction or elimination of tax and other governmental incentives to purchase and operate EVs or future regulation requiring increased use of nonpolluting vehicles; and</w:t>
      </w:r>
    </w:p>
    <w:p>
      <w:pPr>
        <w:sectPr>
          <w:pgSz w:w="11900" w:h="16838" w:orient="portrait"/>
          <w:cols w:equalWidth="0" w:num="1">
            <w:col w:w="11220"/>
          </w:cols>
          <w:pgMar w:left="320" w:top="981" w:right="359" w:bottom="144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67" w:name="page68"/>
    <w:bookmarkEnd w:id="67"/>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macroeconomic factors.</w:t>
      </w:r>
    </w:p>
    <w:p>
      <w:pPr>
        <w:spacing w:after="0" w:line="22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231F20"/>
        </w:rPr>
        <w:t>The influence of any of the factors described above or any other factors may cause a general reduction in consumer demand for EVs or our EVs in particular, either of which would materially and adversely affect our business, results of operations, financial condition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challenges providing charging solutions for our vehicles, both domestically and internationally.</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Demand for our vehicles will depend in part on the availability of charging infrastructure both domestically and internationally. While the prevalence of charging stations has been increasing, public charging station locations are significantly less widespread than gas stations. Furthermore, public charging stations often experience downtime, leading to customer dissatisfaction. Although we have partnered with third-party EV charging providers to offer charging stations to our customers, the public charging infrastructure available to our customers may be insufficient to meet their needs or expectations, especially in certain international markets. Some potential customers may choose not to purchase our vehicles because of the lack of more widespread and reliable public charging infrastructure. In addition, although we have agreed to join Tesla’s Supercharger network, there may be delays in making changes to our vehicles or the network necessary for Lucid vehicles to charge at Tesla Superchargers, and there is no guarantee that our customers will not experience performance, access or other issues with this or other charging networks. In addition, although the prior U.S. presidential administration proposed a plan to deploy 500,000 additional public charging stations across the United States by 2030, the current administration has issued an executive order pausing the disbursement of funds appropriated through the Inflation Reduction Act of 2022 or the Infrastructure Investment and Jobs Act, including funds designated for EV charging stations through the National Electric Vehicle Infrastructure Formula Program and the Charging and Fueling Infrastructure Discretionary Grant Program. While there is currently litigation challenging the administration’s actions, the ultimate resolution remains uncertain and subject to ongoing legal proceedings. Consequently, the deployment of public charging stations may not occur at planned levels, which could limit the development of public charging infrastructure and decrease the attractiveness of EVs. In addition, the Federal Highway Administration is expected to issue updated guidance for the National EV Infrastructure Formula Program, which could adversely impact the deployment and grant funds made available under that program. Lastly, Congress could seek to pass rescission legislation or amendments to the Inflation Reduction Act of 2022 or the Infrastructure Investment and Jobs Act that, in each case, could adversely impact the availability of funding under these programs.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fail to manage our future growth effectively, we may not be able to develop, manufacture, distribute, market and sell our vehicles successfully.</w:t>
      </w:r>
    </w:p>
    <w:p>
      <w:pPr>
        <w:spacing w:after="0" w:line="229"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231F20"/>
        </w:rPr>
        <w:t>Any failure to manage our growth effectively could materially and adversely affect our business, prospects, results of operations and financial condition. We are expanding our operations significantly and our current and future expansion plans include:</w:t>
      </w:r>
    </w:p>
    <w:p>
      <w:pPr>
        <w:spacing w:after="0" w:line="5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expanding our management team;</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ramping up the production of our current vehicles and releasing new models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or expanding design, manufacturing, distribution, sales and service facilities;</w:t>
      </w:r>
    </w:p>
    <w:p>
      <w:pPr>
        <w:spacing w:after="0" w:line="117" w:lineRule="exact"/>
        <w:rPr>
          <w:rFonts w:ascii="Times New Roman" w:cs="Times New Roman" w:eastAsia="Times New Roman" w:hAnsi="Times New Roman"/>
          <w:sz w:val="18"/>
          <w:szCs w:val="18"/>
          <w:color w:val="231F20"/>
        </w:rPr>
      </w:pPr>
    </w:p>
    <w:p>
      <w:pPr>
        <w:ind w:left="660" w:right="38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implementing and enhancing administrative and business infrastructure, governance, systems and processes, including in connection with our maturation as a public company; and</w:t>
      </w:r>
    </w:p>
    <w:p>
      <w:pPr>
        <w:spacing w:after="0" w:line="53" w:lineRule="exact"/>
        <w:rPr>
          <w:rFonts w:ascii="Times New Roman" w:cs="Times New Roman" w:eastAsia="Times New Roman" w:hAnsi="Times New Roman"/>
          <w:sz w:val="18"/>
          <w:szCs w:val="18"/>
          <w:color w:val="231F20"/>
        </w:rPr>
      </w:pPr>
    </w:p>
    <w:p>
      <w:pPr>
        <w:ind w:left="660" w:right="60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expanding into new markets and establishing sales, service, administrative, distribution, and/or manufacturing operations in many of those markets.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8" w:name="page69"/>
    <w:bookmarkEnd w:id="68"/>
    <w:p>
      <w:pPr>
        <w:ind w:firstLine="324"/>
        <w:spacing w:after="0" w:line="252" w:lineRule="auto"/>
        <w:rPr>
          <w:sz w:val="20"/>
          <w:szCs w:val="20"/>
          <w:color w:val="auto"/>
        </w:rPr>
      </w:pPr>
      <w:r>
        <w:rPr>
          <w:rFonts w:ascii="Times New Roman" w:cs="Times New Roman" w:eastAsia="Times New Roman" w:hAnsi="Times New Roman"/>
          <w:sz w:val="18"/>
          <w:szCs w:val="18"/>
          <w:color w:val="231F20"/>
        </w:rPr>
        <w:t>We require qualified personnel, including design and manufacturing personnel and service technicians for our vehicles. Our vehicles are based on a different technology platform than traditional internal combustion engines, individuals with sufficient training in EVs may not be available to hire, and as a result, we will need to expend significant time and expense training the employees we do hire. Competition for individuals with experience in supply chain management and logistics as well as designing, engineering, manufacturing, producing, selling, and servicing EVs is intense, and we may not be able to identify, attract, train, motivate or retain sufficient highly qualified personnel in the future. Furthermore, we announced a restructuring plan in the second quarter of 2024, which involved the reduction of our employee workforce and may adversely affect our internal programs and initiatives as well as our ability to recruit and retain skilled and motivated personnel in the future. Any such restructuring plan may also be distracting to employees and management and may negatively impact our business operations, reputation, or ability to serve customers. We cannot provide any assurances that we will not have to undertake additional workforce reductions in the future. The failure to identify, attract, train, motivate and retain these employees could seriously harm our business and pros</w:t>
      </w:r>
      <w:r>
        <w:rPr>
          <w:rFonts w:ascii="Times New Roman" w:cs="Times New Roman" w:eastAsia="Times New Roman" w:hAnsi="Times New Roman"/>
          <w:sz w:val="18"/>
          <w:szCs w:val="18"/>
          <w:color w:val="000000"/>
        </w:rPr>
        <w:t>pects. In addition, our employee equity program is a key factor in our ability to attract and retain talent and continue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support the growth of the company. If </w:t>
      </w:r>
      <w:r>
        <w:rPr>
          <w:rFonts w:ascii="Times New Roman" w:cs="Times New Roman" w:eastAsia="Times New Roman" w:hAnsi="Times New Roman"/>
          <w:sz w:val="18"/>
          <w:szCs w:val="18"/>
          <w:color w:val="231F20"/>
        </w:rPr>
        <w:t>we are unable to grant equity awards, or if we are forced to reduce the value of equity awards to be received by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employees for any reason, 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employees were to separate their employment with us, such separation would likely increase the difficulty of managing our current operations and future growth and heighten the foregoing risks.</w:t>
      </w:r>
    </w:p>
    <w:p>
      <w:pPr>
        <w:spacing w:after="0" w:line="19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We also have limited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desired quality, price, engineering, design and production standards, as well as the production volumes, required to successfully market our vehicles. We have also experienced, and may continue to experience, internal and external logistics challenges with respect to our manufacturing and warehousing facilities, including disruption to manufacturing operations due to the consolidation of our logistics operations with our manufacturing operations at AMP-1 and AMP-2. Any failure to develop and implement such manufacturing processes and capabilities within our projected costs and timelines could impact our future growth and impair our ability to produce, market, service and sell or lease our vehicles successfully. In addition, our rapid growth, competitive real estate markets, and increasing rental rates, may hinder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spacing w:after="0" w:line="18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face risks associated with international operations, including unfavorable regulatory, political, tax and labor conditions, which could harm our business.</w:t>
      </w:r>
    </w:p>
    <w:p>
      <w:pPr>
        <w:spacing w:after="0" w:line="15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231F20"/>
        </w:rPr>
        <w:t>As we expand our international presence and operations, we will be increasingly subject to the legal, political, regulatory and social requirements and economic conditions in these jurisdictions. Additionally, as part of our growth strategy, we have been expanding and may continue to expand our sales, maintenance and repair services outside of the United States. We are also continuing the construction of AMP-2 in Saudi Arabia and may continue to further expand our manufacturing activities outside the United States. However, we have limited experience to date manufacturing our vehicles outside of the United States, and such expansion has and will continue to require us to make significant expenditures, including the hiring of local employees and establishing facilities and related systems and processes, in advance of generating any significant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8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conforming our vehicles to various international regulatory and homologation requirements where our vehicles are sold;</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localized supply chains and managing international supply chain and logistics costs, including the shipping and delivery of kits for the SKD facility;</w:t>
      </w:r>
    </w:p>
    <w:p>
      <w:pPr>
        <w:spacing w:after="0" w:line="53" w:lineRule="exact"/>
        <w:rPr>
          <w:rFonts w:ascii="Times New Roman" w:cs="Times New Roman" w:eastAsia="Times New Roman" w:hAnsi="Times New Roman"/>
          <w:sz w:val="18"/>
          <w:szCs w:val="18"/>
          <w:color w:val="231F20"/>
        </w:rPr>
      </w:pPr>
    </w:p>
    <w:p>
      <w:pPr>
        <w:ind w:left="660" w:right="50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sufficient charging points for our customers in those jurisdictions, via partnerships or, if necessary, via development of our own charging networks or accessing those of third parties;</w:t>
      </w:r>
    </w:p>
    <w:p>
      <w:pPr>
        <w:spacing w:after="0" w:line="53" w:lineRule="exact"/>
        <w:rPr>
          <w:rFonts w:ascii="Times New Roman" w:cs="Times New Roman" w:eastAsia="Times New Roman" w:hAnsi="Times New Roman"/>
          <w:sz w:val="18"/>
          <w:szCs w:val="18"/>
          <w:color w:val="231F20"/>
        </w:rPr>
      </w:pPr>
    </w:p>
    <w:p>
      <w:pPr>
        <w:ind w:left="660" w:right="26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staffing and managing foreign operations, especially in jurisdictions where no EV ecosystem exists and qualified personnel must be hired and relocated;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attracting customers in new jurisdictions;</w:t>
      </w:r>
    </w:p>
    <w:p>
      <w:pPr>
        <w:spacing w:after="0" w:line="117" w:lineRule="exact"/>
        <w:rPr>
          <w:rFonts w:ascii="Times New Roman" w:cs="Times New Roman" w:eastAsia="Times New Roman" w:hAnsi="Times New Roman"/>
          <w:sz w:val="18"/>
          <w:szCs w:val="18"/>
          <w:color w:val="231F20"/>
        </w:rPr>
      </w:pPr>
    </w:p>
    <w:p>
      <w:pPr>
        <w:jc w:val="both"/>
        <w:ind w:left="660" w:right="42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controlling costs and potential loss of funding, including as a result of delays in the construction or ramp-up of operations at AMP-2;</w:t>
      </w:r>
    </w:p>
    <w:p>
      <w:pPr>
        <w:sectPr>
          <w:pgSz w:w="11900" w:h="16838" w:orient="portrait"/>
          <w:cols w:equalWidth="0" w:num="1">
            <w:col w:w="11220"/>
          </w:cols>
          <w:pgMar w:left="320" w:top="985" w:right="35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69" w:name="page70"/>
    <w:bookmarkEnd w:id="69"/>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or delays caused by local jurisdictions in implementing infrastructure improvements for manufacturing facilities;</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53" w:lineRule="exact"/>
        <w:rPr>
          <w:rFonts w:ascii="Times New Roman" w:cs="Times New Roman" w:eastAsia="Times New Roman" w:hAnsi="Times New Roman"/>
          <w:sz w:val="18"/>
          <w:szCs w:val="18"/>
          <w:color w:val="231F20"/>
        </w:rPr>
      </w:pPr>
    </w:p>
    <w:p>
      <w:pPr>
        <w:ind w:left="660" w:right="300" w:hanging="328"/>
        <w:spacing w:after="0" w:line="282" w:lineRule="auto"/>
        <w:tabs>
          <w:tab w:leader="none" w:pos="65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inflation as well as fluctuations in foreign currency exchange rates and interest rates, including risks related to any forward currency contracts, interest rate swaps or other hedging activities we may undertake;</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currency fluctuations or localized inflationary pressure;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United States and foreign government trade restrictions, tariffs, price or exchange controls, and export controls;</w:t>
      </w:r>
    </w:p>
    <w:p>
      <w:pPr>
        <w:spacing w:after="0" w:line="117"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5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threat of a trade war could impede the transition to EVs, disrupt global supply chains, and delay the implementation of economic competitiveness policies;</w:t>
      </w:r>
    </w:p>
    <w:p>
      <w:pPr>
        <w:spacing w:after="0" w:line="53" w:lineRule="exact"/>
        <w:rPr>
          <w:rFonts w:ascii="Times New Roman" w:cs="Times New Roman" w:eastAsia="Times New Roman" w:hAnsi="Times New Roman"/>
          <w:sz w:val="18"/>
          <w:szCs w:val="18"/>
          <w:color w:val="231F20"/>
        </w:rPr>
      </w:pPr>
    </w:p>
    <w:p>
      <w:pPr>
        <w:ind w:left="660" w:right="120" w:hanging="328"/>
        <w:spacing w:after="0" w:line="282" w:lineRule="auto"/>
        <w:tabs>
          <w:tab w:leader="none" w:pos="65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laws, regulations and restrictions, including in the areas of supply chain, labor, sales, service, environment, social, governance and health and safety, and related compliance costs;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increasingly restrictive and complex foreign data privacy and cybersecurity laws, regulations and obligations;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diplomatic and trade relationships, including political risk and customer perceptions based on such changes and risks;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actions that may impede global green transition priorities or policies designed to reduce environmental sustainability efforts;</w:t>
      </w:r>
    </w:p>
    <w:p>
      <w:pPr>
        <w:spacing w:after="0" w:line="117" w:lineRule="exact"/>
        <w:rPr>
          <w:rFonts w:ascii="Times New Roman" w:cs="Times New Roman" w:eastAsia="Times New Roman" w:hAnsi="Times New Roman"/>
          <w:sz w:val="18"/>
          <w:szCs w:val="18"/>
          <w:color w:val="231F20"/>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political instability, natural disasters, pandemics, wars, military actions, global or regional conflicts or other geopolitical events (including the war in Ukraine and the conflicts in the Middle East, which affect global energy prices and disrupt supply chain both regionally and globally), or events of terrorism; and</w:t>
      </w:r>
    </w:p>
    <w:p>
      <w:pPr>
        <w:spacing w:after="0" w:line="6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strength of international economies.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If we fail to successfully address these risks, they could materially harm our business, prospects, results of operations and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The automotive industry has significant barriers to entry that we must overcome in order to manufacture and sell EVs at scale.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42424"/>
        </w:rPr>
        <w:t xml:space="preserve">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EVs,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EVs, regulations associated with the transport of batteries, the need to establish or provide access to sufficient charging locations and unproven high-volume customer demand for fully EVs. While we have developed and started producing our first electric sedan and SUV and have completed </w:t>
      </w:r>
      <w:r>
        <w:rPr>
          <w:rFonts w:ascii="Times New Roman" w:cs="Times New Roman" w:eastAsia="Times New Roman" w:hAnsi="Times New Roman"/>
          <w:sz w:val="18"/>
          <w:szCs w:val="18"/>
          <w:color w:val="000000"/>
        </w:rPr>
        <w:t xml:space="preserve">the first two phases of construction of AMP-1 and the SKD portion of AMP-2, we have not finished tooling all production lines for AMP-1, and further construction of AMP-1 and the second phase of AMP-2 is underway. If </w:t>
      </w:r>
      <w:r>
        <w:rPr>
          <w:rFonts w:ascii="Times New Roman" w:cs="Times New Roman" w:eastAsia="Times New Roman" w:hAnsi="Times New Roman"/>
          <w:sz w:val="18"/>
          <w:szCs w:val="18"/>
          <w:color w:val="242424"/>
        </w:rPr>
        <w:t>we are not able to overcome these barriers, our business, prospects,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42424"/>
        </w:rPr>
        <w:t>results of operations and financial condition will be negatively impacted, and it will harm our ability to grow our business.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242424"/>
        </w:rPr>
        <w:t>The automotive market is highly competitive, and we may not be successful in competing in this industry.</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42424"/>
        </w:rPr>
        <w:t>The global automotive market, particularly for electric and alternative fuel vehicles, is highly competitive, and we expect it will become even more so in the future. In recent years, the EV industry has grown, with the emergence of several companies that focus completely or partially on the EV market. In addition, traditional automotive manufacturers are also producing and selling electric and alternative fuel vehicles. We expect additional companies to enter this market within the next several years. EV manufacturers with which we compete include Tesla, an increasing number of U.S.-based and international entrants and traditional automotive manufacturers, many of which have begun, or announced plans to begin, selling their own EVs in the near-term. We also compete with established automobile manufacturers in the luxury vehicle segment, many of which have entered or have announced plans to enter the alternative fuel and EV market with either fully electric or plug-in hybrid versions of their vehicles. We compete for sales of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including the ability to significantly reduce prices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changing market conditions and new technologies and may be able to design, develop, market and sell their products more effectively than we do. For example, some of our competitors have announced vehicle price reductions, which may result in downward price pressure and reduced demand for our vehicles. However, we may not be able to adjust our pricing strategies effectively, and there can be no assurance that such adjustments will allow us to successfully compete against our competitors, which may have a material adverse effect on our brand, business, prospects, inventory levels, results of operations and financial conditions. In addition, increased competition has in the past and may continue to require us to increase marketing and incentive expenses, which may have a material adverse effect on our operating results and financial condition. We expect competition in our industry to significantly intensify in the future in light of increased demand for alternative fuel vehicles, global competitors, macroeconomic uncertainty,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18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Developments in EV or alternative fuel technology or improvements in the internal combustion engine may adversely affect the demand for our vehicles.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42424"/>
        </w:rPr>
        <w:t>We may be unable to keep up with changes in EV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EVs. Any failure by us to develop new or enhanced technologies or processes, or to react to changes in existing technologies, could materially delay our development and introduction of new and enhanced EVs, which could result in the loss of competitiveness of our vehicles, decreased revenue and a loss of market share to competitors. In addition, we expect to compete in part on the basis of our vehicles’ range, efficiency, charging speeds, performance and software, and improvements in the technology offered by competitors could reduce demand for our current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EV technology. Additionally, as new companies and larger, existing vehicle manufacturers continue to enter the EV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The unavailability, reduction or elimination of certain government and economic programs could have a material adverse effect on our business, prospects, financial condition and results of operations.</w:t>
      </w:r>
    </w:p>
    <w:p>
      <w:pPr>
        <w:spacing w:after="0" w:line="15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242424"/>
        </w:rPr>
        <w:t xml:space="preserve">We benefit from government and economic programs in the United States and abroad that encourage the development, manufacture or purchase of EVs, such as zero emission vehicle credits, production tax credits, greenhouse gas credits and similar regulatory credits, the loss of which could harm our ability to generate revenue from the sale of such credits to other manufacturers; the availability of tax credits and other incentives to consumers, without which the net cost to consumers of our vehicles could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Michigan and Arizona. We may also benefit from government loan programs. While such EV-related governmental programs and economic incentives have been available in the United States, Canada and the European Union (“EU”), there is no guarantee that they will be available in the future. Any reduction, elimination, limitation or selective application of tax and other governmental programs and economic incentives because of policy changes, fiscal tightening or other reasons may result in the diminished competitiveness of the EV industry generally or our EVs in particular, which would adversely affect our business, prospects, financial condition and results of operations. On July 4, 2025, OBBBA was enacted, which among other things, eliminates the $7,500 tax credit for purchasing a new EV and the $4,500 tax credit for purchasing a used EV effective September 30, 2025 and the tax credits available for charging stations effective June 30, 2026. In addition, OBBBA eliminated the penalties that automakers would pay if they failed to meet the Corporate Average Fuel Economy standards, effectively eliminating the financial incentive to comply with those standards. Separately, Congress has invoked the Congressional Review Act to revoke the federal waiver that previously authorized certain states to promulgate regulations establishing zero-emission vehicle credit programs. Additionally, the current U.S. presidential administration has issued executive orders that aim to revoke or weaken fuel efficiency and emissions regulations established by the prior administration. The administration has also issued a policy statement aimed at eliminating the “EV mandate,” which targets state-level emissions waivers and governmental subsidies. Most notably, the administration recently signed congressional resolutions under the Congressional Review Act to revoke the EPA waiver that had previously allowed California and certain other states to implement vehicle emissions standards more stringent than federal requirements, thereby blocking their plans to phase out the sale of gasoline-only vehicles by 2035. In response, California, joined by multiple states, promptly initiated litigation challenging the legal validity of these actions. The outcome of this legal challenge remains uncertain and is subject to ongoing judicial proceedings. </w:t>
      </w:r>
      <w:r>
        <w:rPr>
          <w:rFonts w:ascii="Times New Roman" w:cs="Times New Roman" w:eastAsia="Times New Roman" w:hAnsi="Times New Roman"/>
          <w:sz w:val="18"/>
          <w:szCs w:val="18"/>
          <w:i w:val="1"/>
          <w:iCs w:val="1"/>
          <w:color w:val="242424"/>
        </w:rPr>
        <w:t>See “— Failure to attract customers, failure to complete the purchase process</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i w:val="1"/>
          <w:iCs w:val="1"/>
          <w:color w:val="242424"/>
        </w:rPr>
        <w:t xml:space="preserve">with customers, and customer cancellation of orders may have a material adverse impact on our business, prospects, results of operations and financial condition.” </w:t>
      </w:r>
      <w:r>
        <w:rPr>
          <w:rFonts w:ascii="Times New Roman" w:cs="Times New Roman" w:eastAsia="Times New Roman" w:hAnsi="Times New Roman"/>
          <w:sz w:val="18"/>
          <w:szCs w:val="18"/>
          <w:color w:val="242424"/>
        </w:rPr>
        <w:t>These, and any similar legislative or executive actions in the future, may adversely affect demand for our vehicles as well as our business,</w:t>
      </w:r>
      <w:r>
        <w:rPr>
          <w:rFonts w:ascii="Times New Roman" w:cs="Times New Roman" w:eastAsia="Times New Roman" w:hAnsi="Times New Roman"/>
          <w:sz w:val="18"/>
          <w:szCs w:val="18"/>
          <w:i w:val="1"/>
          <w:iCs w:val="1"/>
          <w:color w:val="242424"/>
        </w:rPr>
        <w:t xml:space="preserve"> </w:t>
      </w:r>
      <w:r>
        <w:rPr>
          <w:rFonts w:ascii="Times New Roman" w:cs="Times New Roman" w:eastAsia="Times New Roman" w:hAnsi="Times New Roman"/>
          <w:sz w:val="18"/>
          <w:szCs w:val="18"/>
          <w:color w:val="242424"/>
        </w:rPr>
        <w:t>prospects, financial condition and results of operations.</w:t>
      </w:r>
    </w:p>
    <w:p>
      <w:pPr>
        <w:spacing w:after="0" w:line="200"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We may be unable to offer attractive leasing and financing options for our current and future vehicles, which would adversely affect consumer demand. In addition, offering leasing and financing options to customers could expose us to credit and residual value risk.</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42424"/>
        </w:rPr>
        <w:t xml:space="preserve">We offer leasing and financing of our vehicles to potential customers through third-party financing partners and intend to do the same in new markets, but we cannot provide any assurance that such third-party financing partners will continue, or would be able or willing, to provide such services on terms acceptable to us or our customers. Furthermore, because we have only sold a limited number of vehicles and only a limited secondary market for our vehicles exists, the future resale value of our vehicles is difficult to predict, and, if the actual resale value of our vehicles is lower than anticipated, it would make providing leasing terms that appeal to potential customers through such third-party financing partners more difficult. We believe that the ability to offer attractive leasing and financing options—whether due to the availability, reduction or elimination of tax incentives and certain governmental or economic programs, the availability of agreements with our third-party financing partners on terms acceptable to us or our customers, or other reasons—is particularly relevant to customers in the luxury vehicle segments in which we compete, and if we are unable to offer our customers an attractive option to finance the purchase of or lease the Lucid Air, the Lucid Gravity or planned future vehicles, such failure could substantially reduce the population of potential customers and decrease demand for our vehicles. See “— </w:t>
      </w:r>
      <w:r>
        <w:rPr>
          <w:rFonts w:ascii="Times New Roman" w:cs="Times New Roman" w:eastAsia="Times New Roman" w:hAnsi="Times New Roman"/>
          <w:sz w:val="18"/>
          <w:szCs w:val="18"/>
          <w:i w:val="1"/>
          <w:iCs w:val="1"/>
          <w:color w:val="242424"/>
        </w:rPr>
        <w:t>The unavailability, reduction or elimination of certain government and economic</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i w:val="1"/>
          <w:iCs w:val="1"/>
          <w:color w:val="242424"/>
        </w:rPr>
        <w:t>programs could have a material adverse effect on our business, prospects, financial condition and results of operations</w:t>
      </w:r>
      <w:r>
        <w:rPr>
          <w:rFonts w:ascii="Times New Roman" w:cs="Times New Roman" w:eastAsia="Times New Roman" w:hAnsi="Times New Roman"/>
          <w:sz w:val="18"/>
          <w:szCs w:val="18"/>
          <w:color w:val="242424"/>
        </w:rPr>
        <w:t>.”</w:t>
      </w:r>
    </w:p>
    <w:p>
      <w:pPr>
        <w:spacing w:after="0" w:line="19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42424"/>
        </w:rPr>
        <w:t>Furthermore, offering leasing and financing alternatives to customers could expose us to regulatory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whether due to inflation, global or regional conflicts or other geopolitical events, or public crises. If we are unable to provide leasing and financing arrangements that appeal to potential customers in a timely manner, or if the provision of such arrangements exposes us to excessive consumer credit risk or regulatory risk, our business, competitive position, results of operations and financial condition could be adversely affected.</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2" w:name="page73"/>
    <w:bookmarkEnd w:id="72"/>
    <w:p>
      <w:pPr>
        <w:ind w:right="40" w:firstLine="324"/>
        <w:spacing w:after="0" w:line="258" w:lineRule="auto"/>
        <w:rPr>
          <w:sz w:val="20"/>
          <w:szCs w:val="20"/>
          <w:color w:val="auto"/>
        </w:rPr>
      </w:pPr>
      <w:r>
        <w:rPr>
          <w:rFonts w:ascii="Times New Roman" w:cs="Times New Roman" w:eastAsia="Times New Roman" w:hAnsi="Times New Roman"/>
          <w:sz w:val="18"/>
          <w:szCs w:val="18"/>
          <w:color w:val="242424"/>
        </w:rPr>
        <w:t>In addition, we provide a residual value guarantee to our commercial banking partner in connection with our vehicle leasing program, under which we are contractually obligated to share a portion of the shortfall between the resale value realized by the commercial banking partner and a predetermined resale value. However, actual resale values are subject to fluctuations from various factors such as the condition of the leased vehicle, market price of new vehicles, and general economic conditions. If the resale values of leased vehicles pursuant to the vehicle leasing program are materially lower than our estimates, we may be required to cover some or all of such difference and our results of operations could be negatively impacted.</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42424"/>
        </w:rPr>
        <w:t>We may apply for federal, state and foreign grants, loans and tax incentives under government programs designed to stimulate the economy and support the production of alternative fuel and EVs and related technologies. We anticipate that in the future there may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guarantee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18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5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42424"/>
        </w:rPr>
        <w:t>We design our vehicles with proprietary ADAS hardware and software. The Lucid Air and Lucid Gravity are equipped with Level 2 (partial automation) ADAS functionality. Additionally, our vehicles are capable of integrating third-party ADAS hardware and software. For example, in July 2025, we entered into an integration agreement with Nuro, Inc., as provider of autonomous driving software, as part of our agreement with Uber, to enable Lucid Gravity Plus vehicles to operate at Level 4 autonomy. Over time, we plan to upgrade our vehicles with additional ADAS capabilities. 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the National Highway Traffic Safety Administration (“NHTSA”) that requires us to report any crashes in which certain ADAS features were active, and these crash reports will become publicly available. To the extent accidents associated with our ADAS or third-party technologies occur, we could be subject to significant liability, negative publicity, government scrutiny and further regulation. Any of the foregoing could materially and adversely affect our results of operations, financial condition and growth prospects.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42424"/>
        </w:rPr>
        <w:t>In addition, we face substantial competition in the development and deployment of ADAS technologies. Many of our competitors, including established automakers and technology companies, have devoted significant time and resources to developing self-driving technologies. If we are unable to develop or improve competitive Level 2 or more advanced ADAS technologies in-house or acquire access to such technologies via partnerships or investments in other companies or assets, we may be unable to equip our vehicles with competitive ADAS features, which could damage our brand, reduce consumer demand for our vehicles and could have a material adverse effect on our business, results of operations, prospects and financial condition.</w:t>
      </w:r>
    </w:p>
    <w:p>
      <w:pPr>
        <w:spacing w:after="0" w:line="181"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242424"/>
        </w:rPr>
        <w:t xml:space="preserve">ADAS technology is also subject to regulatory uncertainty, which exposes us to additional risks. See “— Risks Related to Litigation and Regulation </w:t>
      </w:r>
      <w:r>
        <w:rPr>
          <w:rFonts w:ascii="Times New Roman" w:cs="Times New Roman" w:eastAsia="Times New Roman" w:hAnsi="Times New Roman"/>
          <w:sz w:val="18"/>
          <w:szCs w:val="18"/>
          <w:i w:val="1"/>
          <w:iCs w:val="1"/>
          <w:color w:val="242424"/>
        </w:rPr>
        <w:t>—</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i w:val="1"/>
          <w:iCs w:val="1"/>
          <w:color w:val="242424"/>
        </w:rPr>
        <w:t>ADAS technology is subject to uncertain and evolving regulations.</w:t>
      </w:r>
      <w:r>
        <w:rPr>
          <w:rFonts w:ascii="Times New Roman" w:cs="Times New Roman" w:eastAsia="Times New Roman" w:hAnsi="Times New Roman"/>
          <w:sz w:val="18"/>
          <w:szCs w:val="18"/>
          <w:color w:val="242424"/>
        </w:rPr>
        <w:t>”</w:t>
      </w:r>
    </w:p>
    <w:p>
      <w:pPr>
        <w:spacing w:after="0" w:line="15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Uninsured or underinsured losses could result in payment of substantial damages, which would decrease our cash reserves and could harm our cash flow and financial condition.</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generally customary for a company of our size and operations, we may not maintain as much insurance coverage as other original equipment manufacturers, and in some cases, we may not maintain any at all. Additionally, the policies that we have in place may include significant deductibles, limitations or exclusions, and we cannot be certain that our insurance coverage will be sufficient to cover all or any future claims. A loss that is uninsured or exceeds existing policy limits may require us to pay unexpected and substantial amounts, which could adversely affect our financial condition and results of operations. Further, insurance coverage may not continue to be available to us or, if available, may be at a significantly higher cost based on insurance market conditions, changes in our risk profile or loss portfolio. This may require a change in our insurance purchasing philosophy and strategy which can result in the assumption of greater risks to offset insurance market fluctuations.</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73" w:name="page74"/>
    <w:bookmarkEnd w:id="73"/>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Extended periods of low gasoline or other petroleum-based fuel prices could adversely affect demand for our vehicles, which would adversely affect our business, prospects, results of operations and financial condition.</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42424"/>
        </w:rPr>
        <w:t>A portion of the current and expected demand for EVs results from concerns about volatility in the cost of gasoline and other petroleum-based fuel, the dependency of the United States on oil from unstable or hostile countries, government regulations and the availability, reduction or elimination of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EVs, including our vehicles, could be reduced, and our business and revenue may be harmed. For example, the current U.S. presidential administration has issued an executive order to declare a national energy emergency and facilitate the production and supply of domestic energy resources, including oil.</w:t>
      </w:r>
    </w:p>
    <w:p>
      <w:pPr>
        <w:spacing w:after="0" w:line="19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242424"/>
        </w:rPr>
        <w:t>Gasoline and other petroleum-based fuel prices have historically been extremely volatile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EVs, including our vehicles, may decrease, which would have an adverse effect on our business, prospects, financial condition and results of operations.</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242424"/>
        </w:rPr>
        <w:t>Changing and at times, conflicting, expectations from global regulations, our investors, customers and employees with respect to ESG matters may impose additional costs on us or expose us to new or additional risks.</w:t>
      </w:r>
    </w:p>
    <w:p>
      <w:pPr>
        <w:spacing w:after="0" w:line="15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42424"/>
        </w:rPr>
        <w:t>Attention from governmental organizations and our investors, customers and employees, on ESG issues and disclosure, as well as growing anti-ESG sentiment among certain stakeholders, may cause us to incur additional costs or expose us to additional risks. There can be no certainty that we will be able to meet varying or conflicting stakeholder expectations regarding ESG matters to our various stakeholders’ satisfaction. Negative public perception, adverse publicity or negative comments in social media about us could damage our reputation. Any harm to our reputation could impact our employees’ engagement and retention and the willingness of our customers and partners to do business with us.</w:t>
      </w:r>
    </w:p>
    <w:p>
      <w:pPr>
        <w:spacing w:after="0" w:line="183"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242424"/>
        </w:rPr>
        <w:t>Additionally, we may not be able to comply with increasing global regulations on ESG topics, such as human rights and sustainability reporting. We could also incur additional costs and require additional resources to monitor, report, and comply with ESG regulations in various jurisdictions. Actual or perceived shortcomings or dissatisfaction with our ESG practices and reporting may subject us to litigation and could negatively impact our business. In addition, a variety of organizations have developed ratings to measure the performance of companies on ESG topics, and the results of these assessments are widely publicized. Unfavorable or downgraded ratings of our company or our industries, as well as non-inclusion or removal of our stock on ESG-oriented investment funds or indexes, may lead to negative investor sentiment and the diversion of investment to other companies or industries, which could have a negative impact on our stock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Manufacturing and Supply Chain</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We have experienced and may in the future experience significant delays in the design, launch and manufacture of our vehicles, including the Lucid Air, the </w:t>
      </w:r>
      <w:r>
        <w:rPr>
          <w:rFonts w:ascii="Times New Roman" w:cs="Times New Roman" w:eastAsia="Times New Roman" w:hAnsi="Times New Roman"/>
          <w:sz w:val="18"/>
          <w:szCs w:val="18"/>
          <w:b w:val="1"/>
          <w:bCs w:val="1"/>
          <w:i w:val="1"/>
          <w:iCs w:val="1"/>
          <w:color w:val="000000"/>
        </w:rPr>
        <w:t>Lucid</w:t>
      </w:r>
      <w:r>
        <w:rPr>
          <w:rFonts w:ascii="Times New Roman" w:cs="Times New Roman" w:eastAsia="Times New Roman" w:hAnsi="Times New Roman"/>
          <w:sz w:val="18"/>
          <w:szCs w:val="18"/>
          <w:b w:val="1"/>
          <w:bCs w:val="1"/>
          <w:i w:val="1"/>
          <w:iCs w:val="1"/>
          <w:color w:val="231F20"/>
        </w:rPr>
        <w:t xml:space="preserve"> Gravity and our upcoming Midsize platform, which could harm our business and prospects.</w:t>
      </w:r>
    </w:p>
    <w:p>
      <w:pPr>
        <w:spacing w:after="0" w:line="159"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Our plan to scale our manufacturing capacity and increase sales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as well as in ramping up production, and we have experienced in the past, and may experience in the future, such delays with regard to our vehicles. For example, we have experienced delays in the engineering of certain of our vehicle systems, including as a result of design changes to components. Any future delays in the design, launch and manufacture of our vehicles and variants could materially damage our business, prospects, financial condition and results of operations.</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Midsize platform is still in the development and/or testing phase, and may be delayed or not proceed as planned. Additionally, prior to mass production of our EVs, they must be fully approved for sale in accordance with a range of jurisdiction-specific requirements, including but not limited to regulatory approvals in the various geographies where we intend to launch. Likewise, we have encountered and may continue to encounter delays with the design, construction, and regulatory or other approvals necessary to bring online our future expansions in Arizona and Saudi Arabia, or any other future manufacturing facilities.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Furthermore, we rely on third party suppliers for the development, manufacture, and supply of many key components and materials used in our vehicles, as well as for provisioning and servicing equipment at our manufacturing facilities. We have been affected by ongoing, industry-wide challenges in logistics and supply chains, such as increased supplier lead times and the limited availability of reliable third-party suppliers. These challenges have affected our ability, as well as the ability of our suppliers, to obtain parts, components and manufacturing equipment on a timely basis, and in some instances, have resulted in increased costs and delays in facilities construction and expansion as well as vehicle production ramp-up. We expect the risk of unexpected disruptions to continue for the foreseeable future. Any delays by our suppliers in delivering or developing necessary components may result in further setbacks to our production and delivery timelines.</w:t>
      </w:r>
    </w:p>
    <w:p>
      <w:pPr>
        <w:spacing w:after="0" w:line="18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231F20"/>
        </w:rPr>
        <w:t>Any significant delay or complication in the design of our vehicles, or in the launch, manufacture, and production ramp of our products, features and services, including those related to expanding our production capacity and supply chain, obtaining or maintaining necessary regulatory approvals, or managing such ramps cost-effectively, could materially damage our brand, business, prospects, financial condition and results of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 xml:space="preserve">The continued development, manufacturing and production ramp of our vehicles, including the Lucid Air, the </w:t>
      </w:r>
      <w:r>
        <w:rPr>
          <w:rFonts w:ascii="Times New Roman" w:cs="Times New Roman" w:eastAsia="Times New Roman" w:hAnsi="Times New Roman"/>
          <w:sz w:val="18"/>
          <w:szCs w:val="18"/>
          <w:color w:val="000000"/>
        </w:rPr>
        <w:t>Lucid</w:t>
      </w:r>
      <w:r>
        <w:rPr>
          <w:rFonts w:ascii="Times New Roman" w:cs="Times New Roman" w:eastAsia="Times New Roman" w:hAnsi="Times New Roman"/>
          <w:sz w:val="18"/>
          <w:szCs w:val="18"/>
          <w:color w:val="231F20"/>
        </w:rPr>
        <w:t xml:space="preserve"> Gravity and our upcoming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Midsize platform, are and will be subject to risks, including with respect to:</w:t>
      </w:r>
    </w:p>
    <w:p>
      <w:pPr>
        <w:spacing w:after="0" w:line="99" w:lineRule="exact"/>
        <w:rPr>
          <w:sz w:val="20"/>
          <w:szCs w:val="20"/>
          <w:color w:val="auto"/>
        </w:rPr>
      </w:pPr>
    </w:p>
    <w:p>
      <w:pPr>
        <w:ind w:left="660" w:right="540" w:hanging="328"/>
        <w:spacing w:after="0" w:line="282" w:lineRule="auto"/>
        <w:tabs>
          <w:tab w:leader="none" w:pos="65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ensure ongoing readiness of firmware features and functions to be integrated into the Lucid Air as planned and on the desired timeline;</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finalize release candidate specifications for our future vehicles as planned and on the desired timeline;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delays by us in delivering final component designs to our suppliers or any changes to such component designs;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or our suppliers’ ability to successfully tool manufacturing facilities as planned and on the desired timeline;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ensure a working and reliable supply chain and desired supplier part quality and quantity as planned and on the desired timeline;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accurately manufacture vehicles within specified design tolerances;</w:t>
      </w:r>
    </w:p>
    <w:p>
      <w:pPr>
        <w:spacing w:after="0" w:line="117" w:lineRule="exact"/>
        <w:rPr>
          <w:rFonts w:ascii="Times New Roman" w:cs="Times New Roman" w:eastAsia="Times New Roman" w:hAnsi="Times New Roman"/>
          <w:sz w:val="18"/>
          <w:szCs w:val="18"/>
          <w:color w:val="231F20"/>
        </w:rPr>
      </w:pPr>
    </w:p>
    <w:p>
      <w:pPr>
        <w:ind w:left="660" w:right="360" w:hanging="328"/>
        <w:spacing w:after="0" w:line="282" w:lineRule="auto"/>
        <w:tabs>
          <w:tab w:leader="none" w:pos="65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ability to establish, implement, </w:t>
      </w:r>
      <w:r>
        <w:rPr>
          <w:rFonts w:ascii="Times New Roman" w:cs="Times New Roman" w:eastAsia="Times New Roman" w:hAnsi="Times New Roman"/>
          <w:sz w:val="18"/>
          <w:szCs w:val="18"/>
          <w:color w:val="000000"/>
        </w:rPr>
        <w:t>refine and scale, as well as make significant investments in manufacturing, supply chain management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logistics functions, including the related information technology systems and software applications;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reduce and control the costs of key parts and materials;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significantly reduce freight costs, including in-bound freight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any transitions or changes in our production process, planned or unplanned;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product defects that cannot be remedied without adversely affecting the production;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neces</w:t>
      </w:r>
      <w:r>
        <w:rPr>
          <w:rFonts w:ascii="Times New Roman" w:cs="Times New Roman" w:eastAsia="Times New Roman" w:hAnsi="Times New Roman"/>
          <w:sz w:val="18"/>
          <w:szCs w:val="18"/>
          <w:color w:val="231F20"/>
        </w:rPr>
        <w:t>sary funding;</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negotiate and execute definitive agreements with various suppliers for hardware, software, or services necessary to engineer or manufacture our vehicles;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obtain required regulatory approvals and certifications;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comply with environmental, safety, and similar regulations and in a timely manner;</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secure necessary components, services, or licenses on acceptable terms and in a timely manner;</w:t>
      </w:r>
    </w:p>
    <w:p>
      <w:pPr>
        <w:spacing w:after="0" w:line="117" w:lineRule="exact"/>
        <w:rPr>
          <w:rFonts w:ascii="Times New Roman" w:cs="Times New Roman" w:eastAsia="Times New Roman" w:hAnsi="Times New Roman"/>
          <w:sz w:val="18"/>
          <w:szCs w:val="18"/>
          <w:color w:val="231F20"/>
        </w:rPr>
      </w:pPr>
    </w:p>
    <w:p>
      <w:pPr>
        <w:ind w:left="660" w:right="360" w:hanging="328"/>
        <w:spacing w:after="0" w:line="282" w:lineRule="auto"/>
        <w:tabs>
          <w:tab w:leader="none" w:pos="65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attract, recruit, hire, retain and train skilled employees including supply chain management, supplier quality, manufacturing and logistics personnel;</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design and implement effective and efficient quality control and inventory management processes;</w:t>
      </w:r>
    </w:p>
    <w:p>
      <w:pPr>
        <w:spacing w:after="0" w:line="117"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disruptions or other changes in our supply chain, including raw material supplies and availability, reliability and cost-effectiveness in domestic and international sourcing;</w:t>
      </w:r>
    </w:p>
    <w:p>
      <w:pPr>
        <w:spacing w:after="0" w:line="53" w:lineRule="exact"/>
        <w:rPr>
          <w:rFonts w:ascii="Times New Roman" w:cs="Times New Roman" w:eastAsia="Times New Roman" w:hAnsi="Times New Roman"/>
          <w:sz w:val="18"/>
          <w:szCs w:val="18"/>
          <w:color w:val="231F20"/>
        </w:rPr>
      </w:pPr>
    </w:p>
    <w:p>
      <w:pPr>
        <w:ind w:left="660" w:right="660" w:hanging="328"/>
        <w:spacing w:after="0" w:line="282" w:lineRule="auto"/>
        <w:tabs>
          <w:tab w:leader="none" w:pos="65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maintain arrangements on commercially reasonable terms with our suppliers, delivery and other partners, after sales service providers, and other operationally significant third parties;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delays, backlog in manufacturing and research and development of new mo</w:t>
      </w:r>
      <w:r>
        <w:rPr>
          <w:rFonts w:ascii="Times New Roman" w:cs="Times New Roman" w:eastAsia="Times New Roman" w:hAnsi="Times New Roman"/>
          <w:sz w:val="18"/>
          <w:szCs w:val="18"/>
          <w:color w:val="000000"/>
        </w:rPr>
        <w:t>dels, and cost overruns;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risks identified herein.</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EVs could be significantly delayed, which would materially adversely affect our business, prospects, financial condition and results of operations.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Risks Related to Financing and Strategic Transactions </w:t>
      </w:r>
      <w:r>
        <w:rPr>
          <w:rFonts w:ascii="Times New Roman" w:cs="Times New Roman" w:eastAsia="Times New Roman" w:hAnsi="Times New Roman"/>
          <w:sz w:val="18"/>
          <w:szCs w:val="18"/>
          <w:i w:val="1"/>
          <w:iCs w:val="1"/>
          <w:color w:val="auto"/>
        </w:rPr>
        <w:t>— We will require additional capital to support business growth, and this capital might not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available on commercially reasonable terms, or at all.”</w:t>
      </w:r>
    </w:p>
    <w:p>
      <w:pPr>
        <w:sectPr>
          <w:pgSz w:w="11900" w:h="16838" w:orient="portrait"/>
          <w:cols w:equalWidth="0" w:num="1">
            <w:col w:w="11180"/>
          </w:cols>
          <w:pgMar w:left="320" w:top="985" w:right="399" w:bottom="1440" w:gutter="0" w:footer="0" w:header="0"/>
        </w:sect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type w:val="continuous"/>
        </w:sectPr>
      </w:pPr>
    </w:p>
    <w:bookmarkStart w:id="75" w:name="page76"/>
    <w:bookmarkEnd w:id="75"/>
    <w:p>
      <w:pPr>
        <w:jc w:val="both"/>
        <w:ind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ability to continue production and our future growth depends upon our ability to </w:t>
      </w:r>
      <w:r>
        <w:rPr>
          <w:rFonts w:ascii="Times New Roman" w:cs="Times New Roman" w:eastAsia="Times New Roman" w:hAnsi="Times New Roman"/>
          <w:sz w:val="17"/>
          <w:szCs w:val="17"/>
          <w:b w:val="1"/>
          <w:bCs w:val="1"/>
          <w:i w:val="1"/>
          <w:iCs w:val="1"/>
          <w:color w:val="231F20"/>
        </w:rPr>
        <w:t>maintain relationships with our existing suppliers and source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i w:val="1"/>
          <w:iCs w:val="1"/>
          <w:color w:val="231F20"/>
        </w:rPr>
        <w:t>suppliers for our critical components, and to complete building out our supply chain, while effectively managing the risks due to such relationships.</w:t>
      </w:r>
    </w:p>
    <w:p>
      <w:pPr>
        <w:spacing w:after="0" w:line="13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Our success, including our ability to continue production of the Lucid Air and ramp up of the Lucid Gravity, will depend on our ability to enter into supplier agreements and maintain our relationships with hundreds of suppliers that are critical to the production of our vehicles. To date, we have not secured long-term supply agreements for all of our components, and for some components, our supply agreements do not guarantee sufficient quantities of components for our vehicle production ramp. We seek opportunities to secure long-term committed supply agreements for certain of these components. The supplier agreements we have or may enter into with key suppliers in the future may not be renewed or may contain provisions under which suppliers may refuse to supply.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and/or currency values. Substantial increases in the costs for such components, materials and equipment, whether due to supply chain or logistics issues, adverse economic conditions, changes in trade policies or agreements, the uncertainties surrounding domestic and foreign tariffs, export controls, inflation, or increased energy or natural gas costs, would increase our operating costs and could reduce our margins if we cannot offset these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We may also be at a disadvantage in negotiating supply agreements for the production of our vehicles as well as for the design and construction of our manufacturing facilities due to our limited operating history. In addition, given that in many cases we are an aggregator of automotive parts produced by third-party manufacturers, there is the possibility that supply agreements for the parts and components for our vehicles could be at costs that make it difficult for us to operate profitably.</w:t>
      </w:r>
    </w:p>
    <w:p>
      <w:pPr>
        <w:spacing w:after="0" w:line="17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18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We rely on hundreds of third-party suppliers for the provision and development of many key components and materials used in our vehicles. While we seek to obtain components from multiple sources whenever possible, many components used in our vehicles will be custom-designed and purchased by us from a single source. Our limited, and in many cases single-source, supply chain exposes us to delivery failure or component shortages for our production, including continued production of the Lucid Air and ramp up of the Lucid Gravity.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w:t>
      </w:r>
    </w:p>
    <w:p>
      <w:pPr>
        <w:spacing w:after="0" w:line="18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231F20"/>
        </w:rPr>
        <w:t>We have been affected by ongoing, industry-wide challenges in logistics and supply chains, such as increased supplier lead times and the limited availability of reliable third-party suppliers. We expect that these industry-wide trends may continue to affect the ability of us and our suppliers to obtain parts, components and manufacturing equipment, including for the expansion of AMP-1 and the construction of AMP-2, on a timely basis for the foreseeable future, and may result in increased costs. Changes in our supply chain or production needs in order to meet our desired quality targets, development timelines and production volumes as well as due to design changes and model updates have resulted in cost increases from our suppliers.</w:t>
      </w:r>
    </w:p>
    <w:p>
      <w:pPr>
        <w:spacing w:after="0" w:line="183"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Any significant increases in our production, such as production ramp of the Lucid Gravity, may require us to procure additional components in a short amount of time and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 Alternatively, if our production decreases significantly below our projections for any reason, we may not meet all of our purchase commitments with suppliers with whom we have non-cancelable long-term purchase commitments. In cases where we are unable to fully utilize our purchase commitments, we have in the past and may continue to face fees, penalties, increased prices, excess inventory or inventory write-offs, and there could be a material adverse effect on our results of operations.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In addition, we have experienced, and in the future could continue to experience, delays if our suppliers do not meet agreed-upon timelines and volumes, experience capacity constraints, or deliver components that do not meet our quality standards or other requirements. Any disruption in the supply of components, including battery cells, magnets and semiconductors,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situations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spacing w:after="0" w:line="19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231F20"/>
        </w:rPr>
        <w:t>Furthermore, as we scale our vehicle production,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If our production decreases significantly below our projections for any reason, we may incur loss due to inventory write-downs or assets impairment. In addition, we have not yet begun servicing vehicles at significant volumes. Accordingly, we have not thoroughly tested our ability to scale production and vehicle servicing and mitigate risks associated with these activities.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timely comply with applicable regulations,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Furthermore, unexpected changes in business conditions, materials pricing, labor issues, wars, global or regional conflicts or other geopolitical events, governmental changes, political uncertainty, trade policies and agreements, the uncertainties surrounding domestic and foreign tariffs, export controls, natural disasters, health epidemics, and other factors beyond our and our suppliers’ control could also affect these suppliers’ ability to deliver components to us on a timely basis. For example, some of the shipping routes in the Red Sea have been affected by the conflicts in the Middle East resulting in delays in delivery of components and an increase in shipping costs globally. Additionally, governmental and policy changes may continue to result in new or increased tariffs on imported components. Our ability to mitigate these cost increases may be limited by the lack of alternative suppliers from unaffected countries or domestic suppliers with production capabilities to meet our requirements. Such disruptions or increase in costs could have a material adverse impact on our business, including our ability to timely manufacture and distribute our products in a cost-effective manner and adversely affect our results of operations and financial condition.</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In addition, we have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we may be required to provide substantial financial support to ensure supply continuity, which could have an additional adverse effect on our liquidity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costs, changes of supply or shortage of materials, in particular for lithium-ion battery cells, could harm our business.</w:t>
      </w:r>
    </w:p>
    <w:p>
      <w:pPr>
        <w:spacing w:after="0" w:line="229"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7"/>
          <w:szCs w:val="17"/>
          <w:color w:val="231F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the expansion of AMP-1 and the construction of AMP-2, we have experienced increases in material and infrastructure equipment prices and cost of construction labor. In addition, we use various materials in our business, including aluminum, steel, magnets, lithium, nickel, copper, cobalt, neodymium, terbium, praseodymium and manganese, as well as lithium-ion battery cells and semiconductors from suppliers. The prices for these materials fluctuate, and their available supply may be unstable, depending on market conditions, trade policies, tariffs and export controls, inflationary pressure and global demand for these materials, including as a result of increased production of EVs, energy storage products by our competitors and the global supply chain crisis, and could adversely affect our business and results of operations. For instance, we are exposed to multiple risks relating to lithium-ion battery cells. These risks include:</w:t>
      </w:r>
    </w:p>
    <w:p>
      <w:pPr>
        <w:spacing w:after="0" w:line="65" w:lineRule="exact"/>
        <w:rPr>
          <w:sz w:val="20"/>
          <w:szCs w:val="20"/>
          <w:color w:val="auto"/>
        </w:rPr>
      </w:pPr>
    </w:p>
    <w:p>
      <w:pPr>
        <w:ind w:left="5540" w:right="2180" w:hanging="5208"/>
        <w:spacing w:after="0" w:line="563" w:lineRule="auto"/>
        <w:tabs>
          <w:tab w:leader="none" w:pos="657"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 change in the cost, or changes in the available supply, of materials, such as cobalt, used in lithium-ion battery cells; </w:t>
      </w:r>
      <w:r>
        <w:rPr>
          <w:rFonts w:ascii="Times New Roman" w:cs="Times New Roman" w:eastAsia="Times New Roman" w:hAnsi="Times New Roman"/>
          <w:sz w:val="18"/>
          <w:szCs w:val="18"/>
          <w:color w:val="000000"/>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7" w:name="page78"/>
    <w:bookmarkEnd w:id="77"/>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disruption in the supply of lithium-ion battery cells due to quality issues or recalls by manufacturers;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manage our supply and inventory of lithium-ion battery cells; and</w:t>
      </w:r>
    </w:p>
    <w:p>
      <w:pPr>
        <w:spacing w:after="0" w:line="117" w:lineRule="exact"/>
        <w:rPr>
          <w:rFonts w:ascii="Times New Roman" w:cs="Times New Roman" w:eastAsia="Times New Roman" w:hAnsi="Times New Roman"/>
          <w:sz w:val="18"/>
          <w:szCs w:val="18"/>
          <w:color w:val="231F20"/>
        </w:rPr>
      </w:pPr>
    </w:p>
    <w:p>
      <w:pPr>
        <w:ind w:left="660" w:right="920" w:hanging="328"/>
        <w:spacing w:after="0" w:line="282" w:lineRule="auto"/>
        <w:tabs>
          <w:tab w:leader="none" w:pos="655"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the value of any foreign currencies, in which lithium-ion battery cells and related raw material purchases are or may be denominated against the U.S. dollar.</w:t>
      </w:r>
    </w:p>
    <w:p>
      <w:pPr>
        <w:spacing w:after="0" w:line="162"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7"/>
          <w:szCs w:val="17"/>
          <w:color w:val="231F20"/>
        </w:rPr>
        <w:t xml:space="preserve">Our ability to manufacture our vehicles or any future energy storage systems will depend on the continued supply of battery cells for the battery packs used in our products. A growth in popularity of EVs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 We have limited flexibility in changing battery cell suppliers, and any disruption in the supply of battery cells from such suppliers could disrupt production of our vehicles until a different supplier is fully qualified. In addition, </w:t>
      </w:r>
      <w:r>
        <w:rPr>
          <w:rFonts w:ascii="Times New Roman" w:cs="Times New Roman" w:eastAsia="Times New Roman" w:hAnsi="Times New Roman"/>
          <w:sz w:val="17"/>
          <w:szCs w:val="17"/>
          <w:color w:val="000000"/>
        </w:rPr>
        <w:t>we have entered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into amended agreements with Panasonic Energy Co., Ltd. and certain of its affiliates for the supply of lithium-ion battery cells, pursuant to which we have made certain </w:t>
      </w:r>
      <w:r>
        <w:rPr>
          <w:rFonts w:ascii="Times New Roman" w:cs="Times New Roman" w:eastAsia="Times New Roman" w:hAnsi="Times New Roman"/>
          <w:sz w:val="17"/>
          <w:szCs w:val="17"/>
          <w:color w:val="231F20"/>
        </w:rPr>
        <w:t>non-can</w:t>
      </w:r>
      <w:r>
        <w:rPr>
          <w:rFonts w:ascii="Times New Roman" w:cs="Times New Roman" w:eastAsia="Times New Roman" w:hAnsi="Times New Roman"/>
          <w:sz w:val="17"/>
          <w:szCs w:val="17"/>
          <w:color w:val="000000"/>
        </w:rPr>
        <w:t xml:space="preserve">celable long-term purchase commitments. If our production decreases significantly below our projections for any reason, we may not meet all of our purchase commitments. In cases where we are unable to fully utilize our purchase commitments, we have in the past and may continue to face fees, penalties, increased prices, excess inventory or inventory write-offs, and there could be a </w:t>
      </w:r>
      <w:r>
        <w:rPr>
          <w:rFonts w:ascii="Times New Roman" w:cs="Times New Roman" w:eastAsia="Times New Roman" w:hAnsi="Times New Roman"/>
          <w:sz w:val="17"/>
          <w:szCs w:val="17"/>
          <w:color w:val="231F20"/>
        </w:rPr>
        <w:t>material adverse effect on our results of operations.</w:t>
      </w:r>
    </w:p>
    <w:p>
      <w:pPr>
        <w:spacing w:after="0" w:line="173"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231F20"/>
        </w:rPr>
        <w:t>Furthermore, we have experienced in the past and may experience another semiconductor supply shortage, and such shortage could in the future impact us or our suppliers, which could delay or reduce planned production levels of our current and future vehicles and have an adverse effect on our business, prospects and results of operations. Moreover, export controls, particularly those affecting components within our supply chain, such as China’s recent restrictions on rare-earth minerals, has posed, and could continue to pose, risks to our production and distribution capabilities. In addition, foreign currency fluctuations, tariffs, shortages in petroleum or natural gas and other economic or political conditions have contributed to and may continue to result in significant increases in freight charges and raw material costs. These risks could be further magnified by geographical developments, global or regional conflicts or other geopolitical events, including the war in Ukraine and the conflicts in the Middle East, which affects shipping routes both regionally and globally. Substantial increases in the prices for our raw materials or components would increase our operating costs and could reduce our margins. Any attempts to raise product prices in response to increased material costs could lead to reduced demand for our vehicles and materially and adversely affect our brand, image, business, results of operations, prospects and financial condition.</w:t>
      </w:r>
    </w:p>
    <w:p>
      <w:pPr>
        <w:spacing w:after="0" w:line="19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must develop complex software and technology systems, including in coordination with vendors and suppliers, in order to produce our EVs, and there can be no assurance such systems will be successfully developed.</w:t>
      </w:r>
    </w:p>
    <w:p>
      <w:pPr>
        <w:spacing w:after="0" w:line="15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231F20"/>
        </w:rPr>
        <w:t>Our vehicles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EVs and ensure it interoperates with other complex technology as designed and as expected.</w:t>
      </w:r>
    </w:p>
    <w:p>
      <w:pPr>
        <w:spacing w:after="0" w:line="18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231F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54"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delayed production and delivery of our vehicles;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delayed market acceptance of our vehicles;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customers or inability to attract new customers;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diversion of engineering or other resources for remedying the defect or error;</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damage to our brand or reputation;</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service and warranty costs;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legal action by customers or third parties, including product liability claims;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penalties imposed by regulatory authorities.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In addition, if we are unable to develop the software and technology systems necessary to operate our vehicles, it will harm our competitive position.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8" w:name="page79"/>
    <w:bookmarkEnd w:id="78"/>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successfully construct or tool our manufacturing facilities or if our manufacturing facilities become inoperable, we will be unable to produce our vehicles and our business will be harmed.</w:t>
      </w:r>
    </w:p>
    <w:p>
      <w:pPr>
        <w:spacing w:after="0" w:line="159"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231F20"/>
        </w:rPr>
        <w:t>We have completed the initial and second phases of construction at AMP-1 and the SKD portion of AMP-2, and further construction of AMP-1 and the second phase of AMP-2 is in progress. We also acquired select assets and assumed leases for certain facilities previously belonging to Nikola Corporation, including Nikola’s former Coolidge manufacturing facility. However, tooling these facilities for production of our vehicles and our future expansion plans are complicated and present significant challenges and may require us to take vehicle production offline. In addition, certain of our suppliers may be unable to complete tooling with respect to finalized components of our vehicles in the planned timeframe after we deliver final component specifications, which could adversely affect our ability to continue commercial production of the Lucid Air and ramp up production of the Lucid Gravity on the expected timing and at the quality levels we require. As with any large-scale capital project, these efforts could be subject to delays, cost overruns or other complications. In addition, we may encounter problems or disputes with our vendors for a variety of reasons, including for reasons beyond our control, and such disputes, with or without merit, could also cause significant delays and cost overruns. These risks could be increased because we are building our facilities from the ground up to support our EV production processes, which differ substantially from traditional automobile production processes for which expertise is more readily available. In connection with the commencement of commercial production at AMP-1 and SKD production at AMP-2, we have hired and trained and continue to hire, retain, and train a significant number of employees and integrate a yet-to-be-fully-developed supply chain. Any failure to continue commercial or SKD production on schedule would lead to additional costs and would delay our ability to generate meaningful revenues. In addition, it could prevent us from gaining the confidence of potential customers, spur cancellations of orders and open the door to increased competition. All of the foregoing could hinder our ability to successfully launch and grow our business and achieve a competitive position in the market.</w:t>
      </w:r>
    </w:p>
    <w:p>
      <w:pPr>
        <w:spacing w:after="0" w:line="182"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231F20"/>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our future vehicles, or adversely affect our ability to timely sell and deliver our EVs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Although we do not currently expect that we will be required to take vehicle production offline or reduce our planned manufacturing volumes, any such repairs or remediation could entail significant costs, and we may be unable to recover some or all of such costs from the applicable contractor(s).</w:t>
      </w:r>
    </w:p>
    <w:p>
      <w:pPr>
        <w:spacing w:after="0" w:line="1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The construction of our facilities and our operations are also subject to review and inspection by officials in the jurisdictions where our facilities are located, including without limitation, fire officials and building construction officials. We have received in the past, and could in the future receive, results from inspections by local officials at our facilities, both existing and currently under construction, citing failing marks. When such results have arisen, we actively engaged with the local authorities to address all of the specific issues identified by those officials as well as to devise means and methods that help ensure a safe and compliant work environment. Any future results will be addressed in a similar manner. Failure to address issues raised by local authorities may result in government-ordered temporary cessation of our construction and/or production operations, which could require us to take vehicle production offline or reduce our planned manufacturing volumes, all of which could have a material adverse effect on our business, results of operations, cash flows, financial condition or prospects.</w:t>
      </w:r>
    </w:p>
    <w:p>
      <w:pPr>
        <w:spacing w:after="0" w:line="18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complex machinery for our operations, and production involves a significant degree of risk and uncertainty in terms of operational performance, safety, security and costs.</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We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time-to-time and will depend on repairs and spare parts that may not be available when needed. Furthermore, AMP-1 and AMP-2 and the equipment we use to manufacture our vehicles will be costly to repair or replace and could require substantial lead-time to repair or replace and qualify for use.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p>
      <w:pPr>
        <w:ind w:right="40" w:firstLine="324"/>
        <w:spacing w:after="0" w:line="253" w:lineRule="auto"/>
        <w:rPr>
          <w:sz w:val="20"/>
          <w:szCs w:val="20"/>
          <w:color w:val="auto"/>
        </w:rPr>
      </w:pPr>
      <w:r>
        <w:rPr>
          <w:rFonts w:ascii="Times New Roman" w:cs="Times New Roman" w:eastAsia="Times New Roman" w:hAnsi="Times New Roman"/>
          <w:sz w:val="18"/>
          <w:szCs w:val="18"/>
          <w:color w:val="231F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or events, including but not limited to earthquakes, tornadoes, flooding, fire, power outages, sandstorms, environmental hazards and remediation, costs associated with decommissioning of equipment, labor disputes and strikes, lack of availability of qualified construction labor, difficulty or delays in obtaining governmental permits and licenses, damages or defects in electronic systems, industrial accidents, health epidemics, political changes or instability, wars, military actions, global or regional conflicts, or other geopolitical events,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this insurance may not be sufficient to cover all of our potential losses and may not continue to be available to us on acceptable terms, if at all, based on insurance market conditions or our evolving risk profile.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results of operations, cash flows, financial condition or prospects.</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limited experience in high volume manufacture of our vehicles.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231F20"/>
        </w:rPr>
        <w:t xml:space="preserve">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and ramp up production of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political changes or instability, wars, military actions, global or regional conflicts or other geopolitical events or force majeure events, or in time to meet our commercialization schedules, or to store and deliver parts in sufficient quantities to the manufacturing lines in a manner that enables us to maintain our production ramp curve and rates, satisfy the requirements of customers and potential customers or fully utilize our purchase commitments with suppliers. For example, as result of the conflicts in the Middle East, we have experienced an impact on our shipping routes in the Red Sea, which has resulted in shipping delays and increased shipping costs globally. Any failure to develop, implement and maintain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continue commercial production of the Lucid Air and ramp up production of the </w:t>
      </w:r>
      <w:r>
        <w:rPr>
          <w:rFonts w:ascii="Times New Roman" w:cs="Times New Roman" w:eastAsia="Times New Roman" w:hAnsi="Times New Roman"/>
          <w:sz w:val="18"/>
          <w:szCs w:val="18"/>
          <w:color w:val="000000"/>
        </w:rPr>
        <w:t>Lucid</w:t>
      </w:r>
      <w:r>
        <w:rPr>
          <w:rFonts w:ascii="Times New Roman" w:cs="Times New Roman" w:eastAsia="Times New Roman" w:hAnsi="Times New Roman"/>
          <w:sz w:val="18"/>
          <w:szCs w:val="18"/>
          <w:color w:val="231F20"/>
        </w:rPr>
        <w:t xml:space="preserve"> Gravity,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our vehicles fail to perform as expected, our ability to develop, market and sell or lease our products could be harmed.</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Our vehicles or the components installed therein have in the past and may in the future contain defects in design or manufacture, including components designed or manufactured by suppliers, that may cause them not to perform as expected or that may require repairs, recalls, or design changes, any of which would require significant financial and other resources to successfully navigate and resolve. Our vehicles use a substantial amount of software code to operate, and software products are inherently complex and may </w:t>
      </w:r>
      <w:r>
        <w:rPr>
          <w:rFonts w:ascii="Times New Roman" w:cs="Times New Roman" w:eastAsia="Times New Roman" w:hAnsi="Times New Roman"/>
          <w:sz w:val="18"/>
          <w:szCs w:val="18"/>
          <w:color w:val="000000"/>
        </w:rPr>
        <w:t>when first introduced</w:t>
      </w:r>
      <w:r>
        <w:rPr>
          <w:rFonts w:ascii="Times New Roman" w:cs="Times New Roman" w:eastAsia="Times New Roman" w:hAnsi="Times New Roman"/>
          <w:sz w:val="18"/>
          <w:szCs w:val="18"/>
          <w:color w:val="231F20"/>
        </w:rPr>
        <w:t xml:space="preserve"> contain defects and </w:t>
      </w:r>
      <w:r>
        <w:rPr>
          <w:rFonts w:ascii="Times New Roman" w:cs="Times New Roman" w:eastAsia="Times New Roman" w:hAnsi="Times New Roman"/>
          <w:sz w:val="18"/>
          <w:szCs w:val="18"/>
          <w:color w:val="000000"/>
        </w:rPr>
        <w:t>errors. If our vehicles contain defects in design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or manufacture that cause them not to perform as expected or that require repair, or if certain features of our vehicles take longer than expected to become available, are legally restricted or become subject to additional regulations, our ability to develop, market and sell our products and services could be adversely affected. In addition, our over-the-air software updates may fail to achieve its intended repair and performance goals, expose our customers’ vehicles to vulnerabilities, or have unintended consequences, and may require our customers to bring their vehicles to our service centers.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0" w:name="page81"/>
    <w:bookmarkEnd w:id="80"/>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Any defects, delays or legal restrictions on vehicle features, failed over-the-air software updates, or other failure of our vehicles to perform as expected, could harm our brand and reputation and result in delivery delays, product recalls, product liability claims, breach of warranty claims or significant warranty and other expenses, and could have a material adverse impact on our business, results of operations, prospects and financial condition. </w:t>
      </w:r>
      <w:r>
        <w:rPr>
          <w:rFonts w:ascii="Times New Roman" w:cs="Times New Roman" w:eastAsia="Times New Roman" w:hAnsi="Times New Roman"/>
          <w:sz w:val="18"/>
          <w:szCs w:val="18"/>
          <w:color w:val="000000"/>
        </w:rPr>
        <w:t xml:space="preserve">Any such defects or noncompliance with legal requirements could also result in safety recalls. See “— Risks Related to Litigation and Regulation — </w:t>
      </w:r>
      <w:r>
        <w:rPr>
          <w:rFonts w:ascii="Times New Roman" w:cs="Times New Roman" w:eastAsia="Times New Roman" w:hAnsi="Times New Roman"/>
          <w:sz w:val="18"/>
          <w:szCs w:val="18"/>
          <w:i w:val="1"/>
          <w:iCs w:val="1"/>
          <w:color w:val="000000"/>
        </w:rPr>
        <w:t>We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have in the past and may choose in the future, or we may be compelled, to undertake product recalls or take other actions, which could adversely affect our business, prospects, results of operations, reputation and financial condition.” </w:t>
      </w:r>
      <w:r>
        <w:rPr>
          <w:rFonts w:ascii="Times New Roman" w:cs="Times New Roman" w:eastAsia="Times New Roman" w:hAnsi="Times New Roman"/>
          <w:sz w:val="18"/>
          <w:szCs w:val="18"/>
          <w:color w:val="231F20"/>
        </w:rPr>
        <w:t>As a new entrant to the industry attempting to build customer relationships</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and earn trust, these effects could be significantly detrimental to us. Additionally, problems and defects experienced by other electric consumer vehicles could by association have a negative impact on perception and customer demand for our vehicles.</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 addition, even if our vehicles function as designed, we expect that the battery efficiency, and hence the range, of our EVs, like other EVs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We have limited experience servicing or repairing our vehicles and their integrated software. Servicing EVs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may partner with certain third parties to perform some of the service on our vehicles, and there can be no assurance that we will be able to enter into acceptable arrangements with any such third-party providers or develop and implement the necessary information technology infrastructure to support them. Further, although such servicing partners may have experience in servicing other EVs, they will initially have no experience in servicing our vehicles. We also have a limited network of locations to perform service and may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231F20"/>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spacing w:after="0" w:line="183" w:lineRule="exact"/>
        <w:rPr>
          <w:sz w:val="20"/>
          <w:szCs w:val="20"/>
          <w:color w:val="auto"/>
        </w:rPr>
      </w:pPr>
    </w:p>
    <w:p>
      <w:pPr>
        <w:jc w:val="both"/>
        <w:ind w:right="80" w:firstLine="324"/>
        <w:spacing w:after="0" w:line="255" w:lineRule="auto"/>
        <w:rPr>
          <w:sz w:val="20"/>
          <w:szCs w:val="20"/>
          <w:color w:val="auto"/>
        </w:rPr>
      </w:pPr>
      <w:r>
        <w:rPr>
          <w:rFonts w:ascii="Times New Roman" w:cs="Times New Roman" w:eastAsia="Times New Roman" w:hAnsi="Times New Roman"/>
          <w:sz w:val="18"/>
          <w:szCs w:val="18"/>
          <w:color w:val="231F20"/>
        </w:rPr>
        <w:t>Our customers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w:t>
      </w:r>
    </w:p>
    <w:p>
      <w:pPr>
        <w:spacing w:after="0" w:line="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231F20"/>
        </w:rPr>
        <w:t>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1" w:name="page82"/>
    <w:bookmarkEnd w:id="81"/>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5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231F20"/>
        </w:rPr>
        <w:t>We provide a new vehicle limited warranty on all new vehicles and a genuine spare parts and accessories limited warranty on Lucid genuine spare parts and accessories we sell. We maintain warranty reserves to cover part replacement and other vehicle repair needs, including any potential software upgrades or warranty claims. In addition, we expect to provide a manufacturer’s warranty on any future products we sell and may provide additional warranties on installation workmanship or performance guarantees. Warranty reserves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this could materially and adversely affect our business, prospects, financial condition and results of operations. We may become subject to significant and unexpected expenses as well as claims from our customers, including loss of revenue or damages. There can be no assurances that then-existing reserves will be sufficient to cover all claims. In addition, future laws or regulations may impose additional warranty obligations on us that go beyond our manufacturer’s warranty, which may expose us to materially higher warranty, parts replacement and repair expenses than we expect, and our reserves may be insufficient to cover such expenses.</w:t>
      </w:r>
    </w:p>
    <w:p>
      <w:pPr>
        <w:spacing w:after="0" w:line="188"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limited historical basis for making judgments about the demand for our vehicles or our ability to develop, manufacture, and deliver vehicles, or our profitability in the future. If we overestimate our requirements, our suppliers may have excess inventory, which has in the past and may continue to indirectly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or fail to establish the delivery processes and infrastructure to make deliveries, the delivery of vehicles to our customers could be delayed, which would harm our business, financial condition and results of operations.</w:t>
      </w:r>
    </w:p>
    <w:p>
      <w:pPr>
        <w:spacing w:after="0" w:line="21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facilities or operations could be adversely affected by events outside of our control, such as natural disasters, wars, military actions, global or regional conflicts or other geopolitical events, health epidemics or pandemics, or security incidents.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 xml:space="preserve">We and our suppliers may be impacted by weather events, natural disasters, wars, military actions, global or regional conflicts or other geopolitical events, health epidemics or pandemics, security incidents or other events outside of our control. For example, our corporate headquarters are located in seismically active regions in Northern California, and our manufacturing facilities in Arizona and Saudi Arabia are located in sandstorm-, flood- and/or tornado-prone areas. If major disasters such as earthquakes, wildfires, floods, tornadoes or other events occur, or our information technology systems or communication networks break down or operate improperly, our headquarters and manufacturing facilities may be seriously damaged, or we may have to stop or delay production and shipment of our products.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Times New Roman" w:cs="Times New Roman" w:eastAsia="Times New Roman" w:hAnsi="Times New Roman"/>
          <w:sz w:val="18"/>
          <w:szCs w:val="18"/>
          <w:i w:val="1"/>
          <w:iCs w:val="1"/>
          <w:color w:val="231F20"/>
        </w:rPr>
        <w:t>A failure to properly comply with foreign trade zone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laws and regulations could increase the cost of our duties and tariffs.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In addition, global or regional conflicts or other geopolitical events may increase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 xml:space="preserve">likelihood of supply chain interruptions and may impair our ability to compete in current or future markets, or otherwise subject us to potential liability. See “—Risks Related to Manufacturing and Supply Chain — </w:t>
      </w:r>
      <w:r>
        <w:rPr>
          <w:rFonts w:ascii="Times New Roman" w:cs="Times New Roman" w:eastAsia="Times New Roman" w:hAnsi="Times New Roman"/>
          <w:sz w:val="18"/>
          <w:szCs w:val="18"/>
          <w:i w:val="1"/>
          <w:iCs w:val="1"/>
          <w:color w:val="000000"/>
        </w:rPr>
        <w:t>if we fail to successfully tool our manufacturing facilities or if our manufacturing facilities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become inoperable, we will be unable to produce our vehicles and our business will be harmed.” </w:t>
      </w:r>
      <w:r>
        <w:rPr>
          <w:rFonts w:ascii="Times New Roman" w:cs="Times New Roman" w:eastAsia="Times New Roman" w:hAnsi="Times New Roman"/>
          <w:sz w:val="18"/>
          <w:szCs w:val="18"/>
          <w:color w:val="000000"/>
        </w:rPr>
        <w:t>and “— Risks Related to Litigation and Regulation —</w:t>
      </w:r>
      <w:r>
        <w:rPr>
          <w:rFonts w:ascii="Times New Roman" w:cs="Times New Roman" w:eastAsia="Times New Roman" w:hAnsi="Times New Roman"/>
          <w:sz w:val="18"/>
          <w:szCs w:val="18"/>
          <w:i w:val="1"/>
          <w:iCs w:val="1"/>
          <w:color w:val="000000"/>
        </w:rPr>
        <w:t xml:space="preserve"> Changes in U.S. trade policy, including the imposition of or uncertainties surrounding tariffs or revocation of normal trade relations and the resulting consequences, could adversely affect our business, prospects, results of operations and financial condition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We may incur significant expenses or delays</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relating to such events outside of our control, which could have a material adverse impact on our business, results of operations and financial condition.</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231F20"/>
        </w:rPr>
        <w:t>Our vehicles make use of lithium-ion battery cells, which have been observed to catch fire or vent smoke and flame.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battery packs within our vehicles make use of, and any future energy storage systems may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battery cells for automotive applications, disposal and recycling of lithium-ion battery cells, or any future incident involving lithium-ion battery cells, such as a vehicle or other fire, even if such incident does not involve our vehicles, could seriously harm our business and reputation.</w:t>
      </w:r>
    </w:p>
    <w:p>
      <w:pPr>
        <w:spacing w:after="0" w:line="19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In addition, as we expand our service network, increase our recycling practices and scale the manufacturing of our vehicles and any future energy storage products, we will need to store lithium-ion battery cells at our facilities and we have experienced,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EV or energy storage product may cause indirect adverse publicity for us and our products. Such adverse publicity could negatively affect our brand and harm our business, prospects,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Cybersecurity and Data Privacy</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231F20"/>
        </w:rPr>
        <w:t>Our products contain complex information technology systems. For example, our vehicles are designed with built-in data connectivity to accept and securely install periodic remote updates to improve their functionality.</w:t>
      </w:r>
    </w:p>
    <w:p>
      <w:pPr>
        <w:spacing w:after="0" w:line="16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In addition, we collect, store, transmit and otherwise process data from vehicles, customers, employees and other third parties as part of our business operations, some of which includes personal, or confidential or proprietary information. We also work with third-party service providers and vendors that collect, store and process such data and information on our behalf. We have taken certain measures designed to prevent unauthorized access to our information technology systems, networks and information (including personal data) and plan to continue to deploy additional measures as we grow. Our third-party service providers and vendors also take steps designed to protect the security and integrity of our and their information technology systems and networks and our and their customers’ information (including personal data). However, there can be no assurance that such systems, networks and measures will not be compromised, including as a result of intentional misconduct by employees, contractors, vendors, or other third parties as well as a result of software bugs, human error, or technical malfunctions.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3" w:name="page84"/>
    <w:bookmarkEnd w:id="83"/>
    <w:p>
      <w:pPr>
        <w:ind w:firstLine="324"/>
        <w:spacing w:after="0" w:line="252" w:lineRule="auto"/>
        <w:rPr>
          <w:sz w:val="20"/>
          <w:szCs w:val="20"/>
          <w:color w:val="auto"/>
        </w:rPr>
      </w:pPr>
      <w:r>
        <w:rPr>
          <w:rFonts w:ascii="Times New Roman" w:cs="Times New Roman" w:eastAsia="Times New Roman" w:hAnsi="Times New Roman"/>
          <w:sz w:val="18"/>
          <w:szCs w:val="18"/>
          <w:color w:val="231F20"/>
        </w:rPr>
        <w:t>Furthermore, cyber threat actors may in the future attempt to gain unauthorized access to, modify, alter and/or use our vehicles, products, systems and networks to (i) gain control of, (ii) change the functionality, user interface or performance characteristics of and/or (iii) gain access to data stored in or generated by, our vehicles, products, systems and networks. Advances in technology, such as artificial intelligence,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open-source software, which can create additional risks, including potential security vulnerabilities. We and our third-party service providers’ systems have in the past and may in the future be affected by security incidents. Our systems and networks are also vulnerable to damage or interruption from, among other things, software bugs, server malfunctions, software or hardware failure,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misuse, mistake, fraud, misconduct or other events that may harm our vehicles, products, systems and networks. Our data center and our third-party service providers’ or vendors’ data centers could be subject to break-ins, sabotage and intentional acts of vandalism causing potential disruptions. We implement comprehensive measures to prevent, mitigate and resolve identified exposures and vulnerabilities, and maintain layered security practices designed to prevent or reduce the likelihood of a cybersecurity incident. We may also be subject to certain laws and regulations, such as “right to repair” laws, including a recent ruling on the initiative in Massachusetts, that could require us to provide third-party access to certain vehicle and vehicle-connected systems. Some of our systems will not be fully redundant, and our disaster recovery planning cannot account for all eventualities. Any problems at our or our third-party service providers’ or vendors’ data centers 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spacing w:after="0" w:line="191"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These risks have been heightened in connection with ongoing global or regional conflicts and other geopolitical events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personal, confidential or proprietary information (including our proprietary software code), products, systems and networks, resulting in a data breach, or disruption, modification or destruction to our systems and networks. As a result, we may suffer monetary losses, business interruption, and long-lasting operational issues, damage to our reputation and brand or loss of our intellectual property (including trade secrets).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If we are unable to protect our personal, confidential or proprietary information (including our proprietary software code), products, systems and networks from unauthorized access, use, disclosure, disruption, modification, destruction or other breach, such threats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(including trade secrets). In addition, regardless of their veracity, reports of unauthorized access to our vehicles, products, systems and networks, as well as other factors that may result in the perception that our vehicles, products, systems and networks are vulnerable to being “hacked,” could negatively affect our brand.</w:t>
      </w:r>
    </w:p>
    <w:p>
      <w:pPr>
        <w:spacing w:after="0" w:line="192"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231F20"/>
        </w:rPr>
        <w:t>Furthermore, we are continuously expanding and improving our information technology systems. In particular, our volume production of our current and planned future vehicles will necessitate continued development, maintenance and improvement of our information technology and communication systems and networks in the United States and abroad, such as systems and networks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and financial, tax and regulatory compliance. Our ability to operate our business will depend on the availability and effectiveness of these systems and networks and could be impacted by system outages or similar events. The implementation, maintenance, segregation, and improvement of these systems and networks require significant management time, support and cost. Moreover, there are inherent risks associated with developing, improving and expanding our core systems and networks as well as implementing new systems and networks, including the disruption of our data management, procurement, manufacturing execution, finance, supply chain, inventory management, and sales and service processes. We cannot be certain that these systems and networks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and networks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4" w:name="page85"/>
    <w:bookmarkEnd w:id="84"/>
    <w:p>
      <w:pPr>
        <w:ind w:firstLine="324"/>
        <w:spacing w:after="0" w:line="253" w:lineRule="auto"/>
        <w:rPr>
          <w:sz w:val="20"/>
          <w:szCs w:val="20"/>
          <w:color w:val="auto"/>
        </w:rPr>
      </w:pPr>
      <w:r>
        <w:rPr>
          <w:rFonts w:ascii="Times New Roman" w:cs="Times New Roman" w:eastAsia="Times New Roman" w:hAnsi="Times New Roman"/>
          <w:sz w:val="18"/>
          <w:szCs w:val="18"/>
          <w:color w:val="231F20"/>
        </w:rPr>
        <w:t>In addition, our vehicles depend on the ability of software and hardware to store, retrieve, process and manage immense amounts of data. Our software and hardware, including any over-the-air or other updates, may contain, errors, bugs, design defects or other vulnerabilities, and our systems may be subject to technical limitations that may compromise our ability to meet our objectives. Some errors, bugs, design defects or other vulnerabilities may reside in third-party intellectual property or open-source software and/or be inherently difficult to detect and may only be discovered after code has been released for external or internal use. We attempt to remedy any issues we observe in our vehicles as effectively and rapidly as possible, including issuing patches for zero-day vulnerabilities and deploying over-the-air updates to resolve errors, bugs, design defects or other vulnerabilities in our vehicle software, but such efforts may not be timely, may hamper production or may not be to the satisfaction of our customers. Additionally, if we deploy software updates to address any issues but our over-the-air update procedures fail, our customers will need to work with our service personnel to install these updates, and their vehicle will remain vulnerable until installation of the updates. Any compromise of our personal, confidential or proprietary information (including our proprietary software code), products, systems or networks or inability to prevent or effectively remedy errors, bugs, design defects or other vulnerabilities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prospects, results of operations and financial condition.</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may not have adequate insurance coverage, if any, to cover losses associated with any of the foregoing. The costs of investing and remediating a large data breach, or the successful assertion of one or more large claims against us that exceeds our available insurance coverage, or results in changes to our insurance policies (including premium increases, imposition of large deductible, exclusions or co-insurance requirements), could have an adverse effect on our business. In addition, we cannot be certain that our existing insurance coverage will continue to be available on acceptable terms or at all or that our insurers will not deny coverage as to any future claim.</w:t>
      </w:r>
    </w:p>
    <w:p>
      <w:pPr>
        <w:spacing w:after="0" w:line="17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evolving laws, regulations, standards, policies, and contractual obligations related to data privacy and cybersecurity, and any actual or perceived failure to comply with such obligations could harm our reputation and brand, subject us to significant fines and liability, or otherwise adversely affect our business.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transaction-related information. Additionally, we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spacing w:after="0" w:line="18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Accordingly, we are subject to or affected by a number of federal, state, local and international laws and regulations, as well as contractual obligations and industry standards, that impose certain obligations and restrictions with respect to data privacy and cybersecurity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global data protection landscape is rapidly evolving, and implementation standards and enforcement practices are likely to remain uncertain for the foreseeable future. We may not be able to monitor and react to all developments in a timely manner. For example, at the international level, the EU adopted the General Data Protection Regulation (“GDPR”)</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which became effective in May 2018, as well as the European Data Act, the Artificial Intelligence Act, and the Cyber Resilience Act in 2024. Canada adopted and continued to amend the Personal Information Protection and Electronic Documents Act (“PIPEDA”) in addition to applicable provincial laws. The United Arab Emirates adopted the Data Protection Law (“DPL”), which became effective in January 2022. Saudi Arabia enacted the Personal Data Protection Law (“PDPL”) which came into effect in September 2023. Similarly, China’s Data Security Law (“DSL”) and Personal Information Protection Law (“PIPL”) have been effective since 2021. Additionally, following the withdrawal of the United Kingdom (“UK”) from the EU, we may also be subject to the UK General Data Protection Regulation (“UK GDPR”) (i.e., a version of the GDPR as implemented into UK law). Each of these regulations impose additional obligations on companies regarding the handling of personal data and provide certain individual privacy rights to persons whose data is collected. Compliance with existing, proposed and recently enacted laws and regulations (including implementation of the privacy and process enhancements called for under applicable laws and regulations) can be costly, and any failure to comply with these regulatory standards could subject us to legal and reputational risks.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5" w:name="page86"/>
    <w:bookmarkEnd w:id="85"/>
    <w:p>
      <w:pPr>
        <w:ind w:right="40" w:firstLine="324"/>
        <w:spacing w:after="0" w:line="268" w:lineRule="auto"/>
        <w:rPr>
          <w:sz w:val="20"/>
          <w:szCs w:val="20"/>
          <w:color w:val="auto"/>
        </w:rPr>
      </w:pPr>
      <w:r>
        <w:rPr>
          <w:rFonts w:ascii="Times New Roman" w:cs="Times New Roman" w:eastAsia="Times New Roman" w:hAnsi="Times New Roman"/>
          <w:sz w:val="17"/>
          <w:szCs w:val="17"/>
          <w:color w:val="231F20"/>
        </w:rPr>
        <w:t>For example, failure to comply with the GDPR and the UK GDPR can result in significant fines and other liability, including fines of up to EUR 20 million (or GBP 17.5 million under the UK GDPR) or four percent (4%) of global revenue, whichever is greater. European data protection authorities have already imposed fines for GDPR violations up to, in some cases, hundreds of millions of Euros. The cost of compliance, and the potential for fines and penalties for non-compliance, with the GDPR and the UK GDPR may have a significant adverse effect on our business and operations. While the UK GDPR currently imposes substantially the same obligations as the GDPR, the UK GDPR will not automatically incorporate changes to the GDPR going forward (which would need to be specifically incorporated by the UK government) and may deviate in a way that creates a risk of divergent parallel regimes and related uncertainty, along with the potential for increased compliance costs and risks for affected businesses. Legal developments in the European Economic Area (“EEA”), including rulings from the Court of Justice of the European Union and from various EU member state data protection authorities, have also created complexity and uncertainty regarding transfers of personal data from the EEA to the United States and other so-called third countries outside the EEA. Similar complexities and uncertainties also apply to transfers from the UK to third countries. While we have taken steps to mitigate the impact on us, the efficacy and longevity of these mechanisms remains uncertain. Additionally, we are monitoring our compliance obligations with a final rule adopted by the U.S. Department of Justice, which prohibits and restricts certain covered data transactions that result in the transfer or access to bulk U.S. sensitive personal data by countries of concern or covered persons, effective April 8, 2025, as well as a final rule adopted by the Bureau of Industry and Security that prohibits specific transactions involving the import or sale of connected vehicles and certain hardware and software with a sufficient nexus to China, applicable to vehicles from model year 2030. These regulations may impact our potential future business operations in China.</w:t>
      </w:r>
    </w:p>
    <w:p>
      <w:pPr>
        <w:spacing w:after="0" w:line="18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231F20"/>
        </w:rPr>
        <w:t>At the U.S.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with respect to data privacy and cybersecurity) (“FTC”) and the Gramm Leach Bliley Act (which regulates the confidentiality and security of customer information obtained by financial institutions, including non-banking financial institutions such as mortgage brokers, motor vehicle dealers, and payday lenders). Our financial services program, for example, will be subject to, among other applicable laws and regulations, the Safeguards Rule, as recently amended by the FTC (the “FTC Safeguards Rule”), which, among other things, requires non-banking financial institutions to design and implement safeguards to protect customer information, and the financial data collected as part of the financial services program consequently requires additional security and administrative controls. Additionally, there has been increasing regulatory scrutiny from the SEC with respect to adequately disclosing risks concerning cybersecurity and data privacy, which increases the risk of investigations into the cybersecurity practices, and related disclosures, of companies within its jurisdiction, which at a minimum can result in distraction of management and diversion of resources for targeted businesses. On July 26, 2023, the SEC adopted new cybersecurity disclosure rules (the “SEC Cybersecurity Disclosure Rules”) for public companies that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w:t>
      </w:r>
    </w:p>
    <w:p>
      <w:pPr>
        <w:spacing w:after="0" w:line="18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At the U.S. state level, we are subject to laws and regulations such as the California Consumer Privacy Act of 2018 (as amended by the California Privacy Rights Act of 2020, collectively, the “CCPA”). The CCPA establishes a privacy framework for covered businesses, including an expansive definition of personal information and data privacy rights for California residents, including expanded rights with respect to certain sensitive personal information. The CCPA includes a framework with potentially severe statutory damages for violations and a private right of action for certain data breaches. The CCPA requires covered businesses to provide California residents with certain privacy-related disclosures and rights related to their personal information. As we expand our operations, the CCPA may increase our compliance costs and potential liability. The California Privacy Rights Act also established a state agency, the California Privacy Protection Agency, vested with the authority to implement and enforce the CCPA. Some observers have noted that the CCPA marked the beginning of a trend toward more stringent privacy legislation in the United States, and a number of other states have enacted or are in the process of enacting, or considering similar laws. Complian</w:t>
      </w:r>
      <w:r>
        <w:rPr>
          <w:rFonts w:ascii="Times New Roman" w:cs="Times New Roman" w:eastAsia="Times New Roman" w:hAnsi="Times New Roman"/>
          <w:sz w:val="18"/>
          <w:szCs w:val="18"/>
          <w:color w:val="000000"/>
        </w:rPr>
        <w:t>ce with these state statutes, other similar state or federal laws that may be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enacted in the future, and other applicable data privacy and cybersecurity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w:t>
      </w:r>
    </w:p>
    <w:p>
      <w:pPr>
        <w:spacing w:after="0" w:line="19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applicable privacy notices or applicable data privacy laws, regulations, standards, policies, or contractual obligations could, even if we are not found liable, be expensive and time-consuming to defend and could result in adverse publicity that could harm our business.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6" w:name="page87"/>
    <w:bookmarkEnd w:id="86"/>
    <w:p>
      <w:pPr>
        <w:ind w:firstLine="324"/>
        <w:spacing w:after="0" w:line="253" w:lineRule="auto"/>
        <w:rPr>
          <w:sz w:val="20"/>
          <w:szCs w:val="20"/>
          <w:color w:val="auto"/>
        </w:rPr>
      </w:pPr>
      <w:r>
        <w:rPr>
          <w:rFonts w:ascii="Times New Roman" w:cs="Times New Roman" w:eastAsia="Times New Roman" w:hAnsi="Times New Roman"/>
          <w:sz w:val="18"/>
          <w:szCs w:val="18"/>
          <w:color w:val="231F20"/>
        </w:rPr>
        <w:t>Most jurisdictions have enacted laws requiring companies to notify individuals, regulatory authorities and other third parties of security breaches involving certain types of data. For example, laws in all 50 U.S. states generally require businesses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Furthermore, the SEC Cybersecurity Disclosure Rules require the disclosure of material cybersecurity incidents in a Form 8-K, generally within four business days of determining an incident is material. Additionally, upon discovery of an incident in which the unencrypted customer information of at least 500 consumers is acquired without authorization by the consumers to whom the information pertains, the FTC Safeguards Rule requires notifying the FTC as soon as possible, and no later than 30 days after discovery of such incident.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w:t>
      </w:r>
    </w:p>
    <w:p>
      <w:pPr>
        <w:spacing w:after="0" w:line="19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We are also impacted by regulations obligating us to share vehicle repair-related information, including location information, with third parties, including repair shops and repair tool hardware developers, under what are commonly called “right-to-repair” laws, including Massachusetts. Other state, federal, and foreign jurisdictions are exploring expanding right-to-repair obligations in this area as well. Furthermore, some entities within the U.S. federal government, including certain members of Congress and the NHTSA, have recently focused attention on automotive cybersecurity issues and may in the future propose or implement regulations specific to automotive cybersecurity. In addition, the United Nations Economic Commission for Europe (“UNECE”) has introduced regulations governing connected vehicle cybersecurity in the EU which are mandatory for all new vehicle types from July 2022 and all new vehicles produced from July 2024. Similar regulations are also in effect, or expected to come into effect, in certain other international jurisdictions. These and other regulations could adversely affect our business in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New products, services and business lines may face scrutiny from regulators as well. As our engagement with artificial intelligence tools and technologies increases, we may be impacted by emerging artificial intelligence rules, regulations, and frameworks globally, including the EU’s Artificial Intelligence Act. Other nascent data privacy and cybersecurity laws and regulations are still subject to a high degree of uncertainty as to their interpretation and application. If such laws and regulations are implemented, interpreted or applied in a manner inconsistent with our current or future practices or policies, or if we fail to comply with applicable laws or regulations, as well as contractual obligations, policies and industry standards, or to secure personal information, we could be subject to investigations, enforcement actions and other proceedings, which could result in substantial fines, damages, injunctions, orders to change our business practices, and other liability as well as damage to our reputation and credibility, which could have a negative impact on revenues and profits. Any of the foregoing could materially adversely affect our business, prospects,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Employees and Human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loss of key employees or an inability to attract, retain and motivate qualified personnel may impair our ability to expand our business.</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231F20"/>
        </w:rPr>
        <w:t>Our success is substantially dependent upon the continued service and performance of our senior management team and workforce. Our employees, including our senior management team, are generally at-will employees, and therefore may terminate employment with us at any time with no advance notice. We could lose some key employees, especially if we are unable to grant sufficient or competitive compensation, including equity awards and bonuses, or if the volatility of our stock price continues to increase.</w:t>
      </w:r>
    </w:p>
    <w:p>
      <w:pPr>
        <w:spacing w:after="0" w:line="18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future success also depends, in part, on our ability to continue to attract and retain highly skilled personnel. Competition for personnel is frequently intense, especially in the San Francisco Bay Area, where we have a substantial presence and require highly skilled personnel, including, in particular, software and automotive engineers, and Arizona, where we also have a substantial presence and need a large workforce skilled in repair, logistics, supply chain, and manufacturing. As with any company with finite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expertise or business experience, and such individuals may be subject to non-competition and other agreements that restrict their ability to work for us. This challenge may be amplified by our going transition to full-scale, high-volume commercial vehicle manufacturing, where—despite significant progress in a short time—we continue to face complexities due to our relatively limited experience compared to established industry players, heightened by geopolitical volatility and market disruptions. Any failure to attract and retain key employees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7" w:name="page88"/>
    <w:bookmarkEnd w:id="87"/>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addition, any restructuring plan may also be distracting to employees and management and may negatively impact our ability to continue to attract and retain highly skilled personnel. In 2024, we conducted a restructuring plan, which involved the reduction of our employee workforce. We cannot provide any assurances that we will not have to undertake additional workforce reductions in the future. Any such plan may adversely affect our business operations, reputation, or ability to serve customers. The replacement of any members of our senior management team or other key employees could involve significant time and costs and may significantly delay or prevent the achievement of our business objectives.</w:t>
      </w:r>
    </w:p>
    <w:p>
      <w:pPr>
        <w:spacing w:after="0" w:line="183" w:lineRule="exact"/>
        <w:rPr>
          <w:sz w:val="20"/>
          <w:szCs w:val="20"/>
          <w:color w:val="auto"/>
        </w:rPr>
      </w:pPr>
    </w:p>
    <w:p>
      <w:pPr>
        <w:jc w:val="both"/>
        <w:ind w:right="520" w:firstLine="324"/>
        <w:spacing w:after="0" w:line="289" w:lineRule="auto"/>
        <w:rPr>
          <w:sz w:val="20"/>
          <w:szCs w:val="20"/>
          <w:color w:val="auto"/>
        </w:rPr>
      </w:pPr>
      <w:r>
        <w:rPr>
          <w:rFonts w:ascii="Times New Roman" w:cs="Times New Roman" w:eastAsia="Times New Roman" w:hAnsi="Times New Roman"/>
          <w:sz w:val="17"/>
          <w:szCs w:val="17"/>
          <w:color w:val="auto"/>
        </w:rPr>
        <w:t>On February 21, 2025, our former Chief Executive Officer and Chief Technology Officer, Peter Rawlinson, resigned from his positions and as a member of our Board of Directors. Our Board of Directors appointed our Chief Operating Officer, Marc Winterhoff, to serve as Interim CEO until a qualified replacement is found. Mr. Rawlinson is available as Strategic Technical Advisor to the Chairman of the Board through February 21, 2027.</w:t>
      </w:r>
    </w:p>
    <w:p>
      <w:pPr>
        <w:spacing w:after="0" w:line="15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currently conducting a search for a new CEO. Although we intend to hire a qualified candidate for CEO, no assurance can be given that we will be able to attract and retain a suitable CEO. An extended period of delay in hiring such candidate could potentially have an adverse effect on our operations or financial condition. Furthermore, in the event we are unable to transition seamlessly from our Interim CEO to a new CEO, or if a new CEO should unexpectedly prove to be unsuitable for our Company, the resulting disruption could have an adverse effect on our operations or financial condition or impede our ability to execute our strategic plan.</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will need to hire, retain, and train a </w:t>
      </w:r>
      <w:r>
        <w:rPr>
          <w:rFonts w:ascii="Times New Roman" w:cs="Times New Roman" w:eastAsia="Times New Roman" w:hAnsi="Times New Roman"/>
          <w:sz w:val="18"/>
          <w:szCs w:val="18"/>
          <w:b w:val="1"/>
          <w:bCs w:val="1"/>
          <w:i w:val="1"/>
          <w:iCs w:val="1"/>
          <w:color w:val="231F20"/>
        </w:rPr>
        <w:t>significant number of employees for our business operations, and our business could be adversely affected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31F20"/>
        </w:rPr>
        <w:t>labor and union activities.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We will need to hire, retain, and train a significant number of employees to engage in full capacity commercial manufacturing operations and for us to scale commercial production and sales and service operations. There are various risks and challenges associated with hiring, retaining, training and managing a large workforce, such as establishing and maintaining efficient communication channels, procedures and rules of conduct, hiring an adequate number of experienced manufacturing, supply chain management and logistics managerial personnel and creating and maintaining an eff</w:t>
      </w:r>
      <w:r>
        <w:rPr>
          <w:rFonts w:ascii="Times New Roman" w:cs="Times New Roman" w:eastAsia="Times New Roman" w:hAnsi="Times New Roman"/>
          <w:sz w:val="18"/>
          <w:szCs w:val="18"/>
          <w:color w:val="000000"/>
        </w:rPr>
        <w:t>ective company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culture. Although the area surrounding our AMP-1 facility in Casa Grande, Arizona and the area surrounding our AMP-2 facility in KAEC are home to highly trained workforces with experience in engineering and manufacturing, these workforces do not have significant experience with EV manufacturing, and related processes such as inventory management, logistics and quality. Many jobs will require significant training and we may need to spend significant resources to ensure employees obtain and adhere to such training. Further, competition for employees in the Casa Grande, Arizona area has increased and may continue to increase in the future, which may impact the ability or cost to hire in the area; this same competition for talent may eventually intensify in KAEC as well. In addition, as we progress in constructing our AMP-2 facility in Saudi Arabia, we will need to hire, retain, and train a significantly larger number of employees in the local region to fully support the facility’s manufacturing operations. Any failure to comply with local labor laws and customs could have an adverse effect on our business or operations. If we are unsuccessful in hiring</w:t>
      </w:r>
      <w:r>
        <w:rPr>
          <w:rFonts w:ascii="Times New Roman" w:cs="Times New Roman" w:eastAsia="Times New Roman" w:hAnsi="Times New Roman"/>
          <w:sz w:val="18"/>
          <w:szCs w:val="18"/>
          <w:color w:val="231F20"/>
        </w:rPr>
        <w:t>, retaining and training a workforce in a timely and cost-effective manner, our business, financial condition and results of operations could be adversely affected.</w:t>
      </w:r>
    </w:p>
    <w:p>
      <w:pPr>
        <w:spacing w:after="0" w:line="18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231F20"/>
        </w:rPr>
        <w:t>Furthermore, although none of either our United States or international based employees are currently represented by a labor union that we are aware of at this time, it is common throughout the automobile industry generally for many employees at automobile companies to belong to a union, which can result in higher employee costs and increased risk of work stoppages. Some unions may attempt and have announced to attempt to organize non-union automakers in the U.S., including us. Moreover, regulations in some jurisdictions outside of the U.S. mandate employee participation in industrial collective bargaining agreements, work councils, or similar activities with certain consultation rights with respect to the relevant companies’ operations, or companies are required to apply collective bargaining agreements, implement works councils or similar bodies with certain consultation rights related to the activities of the companies involved. In the event our employees seek to join or form a labor union, we could be subject to risks as we engage in an attempt to address such organizing and/or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8" w:name="page89"/>
    <w:bookmarkEnd w:id="88"/>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Misconduct by our employees and independent contractors during and before their employment with us could expose us to potentially significant legal liabilities, reputational harm and/or other damages to our business.</w:t>
      </w:r>
    </w:p>
    <w:p>
      <w:pPr>
        <w:spacing w:after="0" w:line="15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guarantee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information, proprietary information, know-how or trade secrets, we and such employees could be subject to legal claims and liabilities and our reputation and business could be adversely affected as a result.</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In addition, while we have screening procedures during the recruitment process, we cannot guarantee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Litigation and Regulation</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U.S. trade policy, including the imposition of or uncertainties surrounding tariffs or revocation of normal trade relations and the resulting consequences, could adversely affect our business, prospects, results of operations and financial condition.</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U.S. government has adopted an evolving approach to trade policy and, in some cases, has attempted to renegotiate or terminate certain existing bilateral or multi-lateral trade agreements. The current U.S. presidential administration has issued executive orders to review U.S. trade policies, practices and agreements to address trade deficits and other economic security matters. It has also imposed, or proposed to impose, blanket import tariffs or tariffs on imports, in many cases significantly, including steel, aluminum, and certain vehicle parts and software, which have resulted in increased costs for imports and may cause shortages and delays in the supply of certain components, materials, tooling and equipment necessary to produce our vehicles. In response to these tariffs, a number of U.S. trading partners have imposed or threatened to impose retaliatory measures, including tariffs on U.S. products and enhanced export controls, which could increase the cost and complexity of exporting our vehicles to affected markets. For example, Canada has announced countermeasure tariffs on select U.S.-manufactured vehicles. Further, the current U.S. presidential administration has imposed tariffs on goods imported from China on top of existing tariffs, which has resulted in uncertainty regarding the future of international trade between the U.S. and China. In response, China has imposed retaliatory tariffs and implemented export restrictions on certain rare-earth minerals. Despite an agreement recently negotiated, U.S.-China trade relations remain volatile and uncertain, and there can be no assurance that further actions by the U.S., China or another country will not have an adverse impact on our business, operations and access to products manufactured in China or elsewhere outside the U.S.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exact scope of any such tariffs that may be ultimately implemented remains uncertain at this time. We cannot predict whether, or to what extent, international trade agreements may be altered, nor can we predict whether, or to what extent, duties, additional tariffs, export controls, or other trade restrictions will be modified or imposed by the United States or other countries. If we are unable to pass the costs of such tariffs on to our customer base or otherwise mitigate such costs, or if demand for our exported vehicles decreases due to the higher cost or preferences in foreign countries for domestically manufactured products, our results of operations could be materially adversely affected. Additionally, the threat of retaliatory tariffs and trade wars between the United States and foreign countries could further impede the transition to EVs, disrupt global supply chains, and delay the implementation of economic competitiveness policies. Further, while the administration has recently issued an executive order to reduce certain previously announced tariffs on automobiles and auto parts, there can be no assurance that there will not be further changes. Taken together, these uncertainties surrounding domestic and foreign tariffs and the resulting environment of retaliatory trade practices could increase costs and harm our ability to obtain necessary inputs or sell our vehicles at prices customers are willing to pay, which could have a material adverse effect on our business, prospects, results of operations and financial condition.</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December 2021, the United States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came into effect on June 21, 2022. While we are not presently aware of any direct impacts these restrictions will have on our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 </w:t>
      </w:r>
      <w:r>
        <w:rPr>
          <w:rFonts w:ascii="Times New Roman" w:cs="Times New Roman" w:eastAsia="Times New Roman" w:hAnsi="Times New Roman"/>
          <w:sz w:val="18"/>
          <w:szCs w:val="18"/>
          <w:color w:val="231F20"/>
        </w:rPr>
        <w:t>and could have an adverse effect on our business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operations</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In 2022, in response to actions taken by Russia against Ukraine, the United States and other countries worldwide implemented significant economic sanctions, embargoes, financial restrictions, trade controls and other governmental measures and restrictions against Russia, Belarus, and certain related entities and persons. Additionally, recent escalations in the Middle East, particularly between Israel and Iran, have introduced new uncertainties to trade relations and policies. The United States has enacted, or may enact in the future, federal regulations that significantly constrain trade relations with Russia, Belarus or other countries. Consequently, imports of certain products or merchandise originating from these jurisdictions may be subject to higher import duty rates. To the extent such products or merchandise are found in our cross-border supply chains and subject to higher duties, the suspension of normal trade relations with Russia, Belarus and other countries could increase our input costs, which could adversely impact our business and financial condition.</w:t>
      </w:r>
    </w:p>
    <w:p>
      <w:pPr>
        <w:spacing w:after="0" w:line="18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Although we are not aware of any company-related operations or activities in these jurisdictions, economic sanctions and other laws and regulations targeting these jurisdictions could disrupt our supply chains, impair our ability to compete in current or future markets, or otherwise subject us to potential liability. While we have implemented, or may implement in the future, certain procedures to facilitate compliance with applicable laws and regulations in connection with the sanctions and trade control programs around the globe related to Russia, Belarus or other countries,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have negative consequences for us, including reputational harm, government investigations, loss of export privileges, and penalties or fines. These economic sanctions and other restrictions continue to evolve, and the long-term potential impact on our operations and business remains unclear.</w:t>
      </w:r>
    </w:p>
    <w:p>
      <w:pPr>
        <w:spacing w:after="0" w:line="188"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231F20"/>
        </w:rPr>
        <w:t>We are subject to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3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At various jurisdictional levels, we are or will be subject to complex and evolving environmental, manufacturing, health and safety laws and regulations, including laws relating to the use, handling, storage, recycling, disposal and human exposure to lithium-ion batteries and hazardous materials and with respect to constructing, expanding and maintaining our facilities. The costs of compliance, including remediating contamination, if any, for our properties and any changes to our operations mandated by new or amended laws, may be significant. We may also face unexpected delays in obtaining permits and approvals required by such laws in connection with our facilities, which could affect our ability to continue our operations. Such costs and delays may adversely impact our business prospects and operations. Furthermore, any violations of these laws may result in substantial fines and penalties, remediation costs, third party damages, or a suspension or cessation of our operations.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90" w:name="page91"/>
    <w:bookmarkEnd w:id="90"/>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In addition, motor vehicles and associated service activities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the </w:t>
      </w:r>
      <w:r>
        <w:rPr>
          <w:rFonts w:ascii="Times New Roman" w:cs="Times New Roman" w:eastAsia="Times New Roman" w:hAnsi="Times New Roman"/>
          <w:sz w:val="18"/>
          <w:szCs w:val="18"/>
          <w:color w:val="000000"/>
        </w:rPr>
        <w:t>Lucid</w:t>
      </w:r>
      <w:r>
        <w:rPr>
          <w:rFonts w:ascii="Times New Roman" w:cs="Times New Roman" w:eastAsia="Times New Roman" w:hAnsi="Times New Roman"/>
          <w:sz w:val="18"/>
          <w:szCs w:val="18"/>
          <w:color w:val="231F20"/>
        </w:rPr>
        <w:t xml:space="preserve"> Gravity and any future vehicle programs will be subject to such regulation under international, federal, state and local laws and standards. These regulations include those promulgated by the U.S. Environmental Protection Agency, NHTSA, other federal agencies, various state agencies and boards; and compliance certification is required for each individual vehicle we manufacture for sale. These laws and standards are subject to change from time-to-time, and we could become subject to additional regulations in the future, which could increase the effort and expense of compliance. If compliance results in delays or substantial expenses, this could adversely affect our business. Laws and industrial standards for EVs continue to evolve, and we face risks associated with changes to these regulations, which could have an impact on the adoption of EVs. In addition, increased sensitivity by regulators to the needs of established automobile manufacturers with large employment bases, high fixed costs and business models based on the internal combustion engine could lead them to adopt regulations that could reduce the compliance costs of such established manufacturers or mitigate the effects of government efforts to promote EVs.</w:t>
      </w:r>
    </w:p>
    <w:p>
      <w:pPr>
        <w:spacing w:after="0" w:line="187"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231F20"/>
        </w:rPr>
        <w:t>We currently are, and expect to become, subject to laws and regulations applicable to the supply chain, manufacture, import, sale and service of automobiles in an increasing number of international jurisdictions. Applicable regulations in countries outside of the U.S., such as standards relating to vehicle safety, transportation of dangerous goods, fuel economy and emissions, battery recycling, among other things, are often materially different from requirements in the United States and also e</w:t>
      </w:r>
      <w:r>
        <w:rPr>
          <w:rFonts w:ascii="Times New Roman" w:cs="Times New Roman" w:eastAsia="Times New Roman" w:hAnsi="Times New Roman"/>
          <w:sz w:val="18"/>
          <w:szCs w:val="18"/>
          <w:color w:val="000000"/>
        </w:rPr>
        <w:t>volving. For example, the EU has enacted a battery regulation that affects Lucid vehicles and batteries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delivered in Europe with increasing requirements for the durability, marking and recycled content of the high-voltage batteries in our vehicles each year, among other requirements. Compliance with such regulations will require additional time and resources</w:t>
      </w:r>
      <w:r>
        <w:rPr>
          <w:rFonts w:ascii="Times New Roman" w:cs="Times New Roman" w:eastAsia="Times New Roman" w:hAnsi="Times New Roman"/>
          <w:sz w:val="18"/>
          <w:szCs w:val="18"/>
          <w:color w:val="231F20"/>
        </w:rPr>
        <w:t>. This process may include official review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verification of our batteries and related documentation prior to market entry.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face regulatory limitations on our ability to sell vehicles directly, which could materially and adversely affect our ability to sell our vehicles.</w:t>
      </w:r>
    </w:p>
    <w:p>
      <w:pPr>
        <w:spacing w:after="0" w:line="229" w:lineRule="exact"/>
        <w:rPr>
          <w:sz w:val="20"/>
          <w:szCs w:val="20"/>
          <w:color w:val="auto"/>
        </w:rPr>
      </w:pPr>
    </w:p>
    <w:p>
      <w:pPr>
        <w:ind w:right="60" w:firstLine="324"/>
        <w:spacing w:after="0" w:line="273" w:lineRule="auto"/>
        <w:rPr>
          <w:sz w:val="20"/>
          <w:szCs w:val="20"/>
          <w:color w:val="auto"/>
        </w:rPr>
      </w:pPr>
      <w:r>
        <w:rPr>
          <w:rFonts w:ascii="Times New Roman" w:cs="Times New Roman" w:eastAsia="Times New Roman" w:hAnsi="Times New Roman"/>
          <w:sz w:val="17"/>
          <w:szCs w:val="17"/>
          <w:color w:val="231F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Currently, we are licensed as a motor vehicle dealer in several states. In some states, we have also opened or expect to open Lucid studios to educate and inform customers about our vehicles, but those Lucid studios will not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17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We may face legal challenges to this distribution model. For example, in states where direct sales are not permitted, dealers and their lobbying organizations may complain to the government or regulatory agencies that we are acting in the capacity of a dealer without a license. Alternatively, we have and may continue to initiate legal action against such states that prohibit direct sales, which may be protracted and expensive, and the results are difficult to predict. See “— Risks Related to Litigation and Regulation — </w:t>
      </w:r>
      <w:r>
        <w:rPr>
          <w:rFonts w:ascii="Times New Roman" w:cs="Times New Roman" w:eastAsia="Times New Roman" w:hAnsi="Times New Roman"/>
          <w:sz w:val="18"/>
          <w:szCs w:val="18"/>
          <w:i w:val="1"/>
          <w:iCs w:val="1"/>
          <w:color w:val="231F20"/>
        </w:rPr>
        <w:t>We are subject to legal proceedings, regulatory disputes and governmental inquiries that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could cause us to incur significant expenses, divert our management’s attention, and adversely affect our business, results of operations, cash flows and financial condition</w:t>
      </w:r>
      <w:r>
        <w:rPr>
          <w:rFonts w:ascii="Times New Roman" w:cs="Times New Roman" w:eastAsia="Times New Roman" w:hAnsi="Times New Roman"/>
          <w:sz w:val="18"/>
          <w:szCs w:val="18"/>
          <w:color w:val="231F20"/>
        </w:rPr>
        <w:t>.” In some states, regulators may restrict or prohibit us from directly providing warranty repair service, or from contracting with third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state-to-state, our distribution model must be carefully established, and our sales and service processes must be continually monitored for compliance with the various state requirements, which change from time-to-time. Regulatory compliance and likely challenges to the distribution model may add to the cost of our business.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1" w:name="page92"/>
    <w:bookmarkEnd w:id="91"/>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in the past and may choose in the future, or we may be compelled, to undertake product recalls or take other actions, which could adversely affect our business, prospects, results of operations, reputation and financial condition.</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Product recalls may result in adverse publicity, damage our reputation and adversely affect our business, prospects, results of operations and financial condition. For example, we have conducted several vehicle recalls due to a number of potential issues in the past and we may in the future voluntarily or involuntarily initiate additional recalls if any of our EVs or components (including our batteries)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EVs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markets and our business, prospects, results of operations and financial condition.</w:t>
      </w:r>
    </w:p>
    <w:p>
      <w:pPr>
        <w:spacing w:after="0" w:line="18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From time-to-time, we may be subject to claims, lawsuits, government investigations and other proceedings involving product liability, consumer protection, competition and antitrust, intellectual property, data privacy, cybersecurity, securities, tax, labor and employment, health and safety, our direct distribution model, motor vehicle dealership licenses and state licensing laws, environmental claims, contractual and commercial disputes and other matters that could adversely affect our business, brand, reputation, results of operations, cash flows, financial condition, and the trading price of our common stock. These claims could be asserted against us by individuals, either acting individually or through class actions, by governmental entities in civil or criminal investigations and proceedings, or by other entities. For example, we are currently the subject of a class action filed against us and our former CEO, alleging violations of securities laws. We are also the subject of multiple shareholder derivative lawsuits alleging breaches of fiduciary duties and related claims against certain of our former and current directors. For details regarding these legal proceedings, refer to Note </w:t>
      </w:r>
      <w:r>
        <w:rPr>
          <w:rFonts w:ascii="Times New Roman" w:cs="Times New Roman" w:eastAsia="Times New Roman" w:hAnsi="Times New Roman"/>
          <w:sz w:val="18"/>
          <w:szCs w:val="18"/>
          <w:color w:val="000000"/>
        </w:rPr>
        <w:t>12</w:t>
      </w:r>
      <w:r>
        <w:rPr>
          <w:rFonts w:ascii="Times New Roman" w:cs="Times New Roman" w:eastAsia="Times New Roman" w:hAnsi="Times New Roman"/>
          <w:sz w:val="18"/>
          <w:szCs w:val="18"/>
          <w:color w:val="231F20"/>
        </w:rPr>
        <w:t xml:space="preserve"> “Commitments and Contingencies” to the condensed consolidated financial statements included elsewhere in this Quarterly Report for more information.</w:t>
      </w:r>
    </w:p>
    <w:p>
      <w:pPr>
        <w:spacing w:after="0" w:line="18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Litigation and regulatory proceedings may be protracted an</w:t>
      </w:r>
      <w:r>
        <w:rPr>
          <w:rFonts w:ascii="Times New Roman" w:cs="Times New Roman" w:eastAsia="Times New Roman" w:hAnsi="Times New Roman"/>
          <w:sz w:val="18"/>
          <w:szCs w:val="18"/>
          <w:color w:val="231F20"/>
        </w:rPr>
        <w:t>d expensive, and the results are difficult to predict. Additionally, our litigation and 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defense costs could be significant, even if we achieve favorable outcomes. Adverse outcomes with respect to litigation or any other legal proceedings may result in significant settlement costs or judgments, criminal and civil penalties and fines, or injunctive relief, including suspension or revocation of licenses to conduct business or other changes to our business practices, all of which could negatively affect our sales and revenue growth and adversely affect our business, prospects, results of operations, cash flows and financial condition. See Part II, Item 1 “Legal Proceedings.”</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product liability and warranty-related claims, which could harm our financial condition and liquidity if we are not able to successfully defend or insure against such claims.</w:t>
      </w:r>
    </w:p>
    <w:p>
      <w:pPr>
        <w:spacing w:after="0" w:line="15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231F20"/>
        </w:rPr>
        <w:t xml:space="preserve">We may become subject to product liability and warranty-related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w:t>
      </w:r>
      <w:r>
        <w:rPr>
          <w:rFonts w:ascii="Times New Roman" w:cs="Times New Roman" w:eastAsia="Times New Roman" w:hAnsi="Times New Roman"/>
          <w:sz w:val="18"/>
          <w:szCs w:val="18"/>
          <w:i w:val="1"/>
          <w:iCs w:val="1"/>
          <w:color w:val="231F20"/>
        </w:rPr>
        <w:t>ADAS</w:t>
      </w:r>
      <w:r>
        <w:rPr>
          <w:rFonts w:ascii="Times New Roman" w:cs="Times New Roman" w:eastAsia="Times New Roman" w:hAnsi="Times New Roman"/>
          <w:sz w:val="18"/>
          <w:szCs w:val="18"/>
          <w:color w:val="231F20"/>
        </w:rPr>
        <w:t xml:space="preserve"> features in our vehicles. See “— Risks Related to Litigation and Regulation — </w:t>
      </w:r>
      <w:r>
        <w:rPr>
          <w:rFonts w:ascii="Times New Roman" w:cs="Times New Roman" w:eastAsia="Times New Roman" w:hAnsi="Times New Roman"/>
          <w:sz w:val="18"/>
          <w:szCs w:val="18"/>
          <w:i w:val="1"/>
          <w:iCs w:val="1"/>
          <w:color w:val="231F20"/>
        </w:rPr>
        <w:t>ADAS technology is subject to uncertain and evolving regulations</w:t>
      </w:r>
      <w:r>
        <w:rPr>
          <w:rFonts w:ascii="Times New Roman" w:cs="Times New Roman" w:eastAsia="Times New Roman" w:hAnsi="Times New Roman"/>
          <w:sz w:val="18"/>
          <w:szCs w:val="18"/>
          <w:color w:val="231F20"/>
        </w:rPr>
        <w:t>.”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 Furthermore, if our products contain design defects, manufacturing defects, or other defects in materials or workmanship that cause them to not conform to applicable express or implied warranties, and/or we are unable to service or repair nonconforming vehicles within a reasonable period of time or number of repair attempts, we may be subject to breach of warranty, lemon law, and other consumer protection claims.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2" w:name="page93"/>
    <w:bookmarkEnd w:id="92"/>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A successful product liability or warranty-related claim against us could result in a substantial monetary loss. Our risks in this area are particularly pronounced in light of the limited field experience of our vehicles. Moreover, a product liability or warranty-related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and warranty-related claims, and insurance coverage may not continue to be available to us or, if available, may be at a significantly higher cost. Any lawsuit seeking significant monetary damages or other product liability or warranty-related claims may have a material adverse effect on our reputation, business and financial condition.</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exposed to delays, limitations and risks related to the environmental permits and other operating permits required to construct and operate our manufacturing facilities.</w:t>
      </w:r>
    </w:p>
    <w:p>
      <w:pPr>
        <w:spacing w:after="0" w:line="15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Construction and operation of an automobile manufacturing facility requires land use and environmental permits and other construction and operating permits from federal, state and local government entities. While we believe that we have the permits necessary to carry out and perform our current plans and operations at our Casa Grande, Arizona and Saudi Arabia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hazardous materials, construction and land use permits and certificates of occupancy necessary for the commercial operation of such expanded and additional facilities. Delays, denials or restrictions on any of the applications for or assignment of the permits to construct or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Times New Roman" w:cs="Times New Roman" w:eastAsia="Times New Roman" w:hAnsi="Times New Roman"/>
          <w:sz w:val="18"/>
          <w:szCs w:val="18"/>
          <w:i w:val="1"/>
          <w:iCs w:val="1"/>
          <w:color w:val="231F20"/>
        </w:rPr>
        <w:t>We have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experienced and may in the future experience significant delays in the design, manufacture, launch and financing of our vehicles, including the Lucid Air, the Lucid Gravity and our Midsize platform, which could harm our business and prospects.</w:t>
      </w:r>
      <w:r>
        <w:rPr>
          <w:rFonts w:ascii="Times New Roman" w:cs="Times New Roman" w:eastAsia="Times New Roman" w:hAnsi="Times New Roman"/>
          <w:sz w:val="18"/>
          <w:szCs w:val="18"/>
          <w:color w:val="231F20"/>
        </w:rPr>
        <w:t>”</w:t>
      </w:r>
    </w:p>
    <w:p>
      <w:pPr>
        <w:spacing w:after="0" w:line="190"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various environmental, health and safety laws and regulations that could impose substantial costs on us and cause delays in expanding our production facilities.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Our operations are subject to international, federal, state and local environmental laws and regulations relating to the use, handling, storage, disposal of and exposure to hazardous materials and batteries. Environmental, health and safety laws and regulations are complex and evolving. For example, regulations regarding battery storage, recycling, disposal and processing are relatively new and the current lack of consistent standards may increase our cost of compliance. Moreover, we may be affected by future amendments to such laws or other new environmental, health and safety laws and regulations which may require a change in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spacing w:after="0" w:line="192"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231F20"/>
        </w:rPr>
        <w:t>If contamination is discovered at properties we own or operate, properties we formerly owned or operated or properties to which we sent hazardous substances, we may be subject to liability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Our operations are also subject to international, federal, state, and local workplace safety laws and regulations, including, but not limited to, the Occupational Safety and Health Act and the rules promulgated by the Occupational Safety and Health Administration, which require compliance with various workplace safety requirements.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our vehicles, which could have a material adverse effect on our business, prospects and results of operations.</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231F20"/>
        </w:rPr>
        <w:t>ADAS technology is subject to uncertain and evolving regulations.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We expect to introduce certain ADAS technologies into our vehicles over time. ADAS technology is subject to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Currently, there are no federal U.S. regulations in effect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Both the U.S. and Europe have proposed new rules for ADAS technologies that are expected to come into effect in future years.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18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U.S. and foreign anti-corruption, anti-money laundering and anti-boycott laws and regulations. We can face criminal liability and other serious consequences for violations, which can harm our business.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as well as the antiboycott regulations of the U.S. Export Administration regulations.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Anti-money laundering laws and regulations of the U.S. and other countries may require additional due diligence of counterparties and for us to provide ownership and financial information to counterparties. The antiboycott regulations of the U.S. Export Administration require us to refuse to comply with the Arab League boycott of Israel and report any requests to do so.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governmental export and import controls and laws that could subject us to liability if we are not in compliance with such laws.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Our vehicles and the equipment we use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our existing and future international operations for the reassembly or manufacture of our vehicles may subject us to additional constraints under applicable export and import controls and laws.</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231F20"/>
        </w:rPr>
        <w:t>A failure to properly comply with foreign trade zone laws and regulations could increase the cost of our duties and tariffs.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Intellectual Property</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Our ability to compete effectively is dependent in part upon our ability to obtain, maintain, enforce, defend and protect our intellectual property and proprietary technology.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rights, as well as through patent, trademark, copyright and trade secret laws in the United States and other jurisdictions. Monitoring unauthorized use of our intellectual property is costly and challenging, and the steps we have taken or will take to prevent infringement, misappropriation and other violations may not be successful.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defend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9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231F20"/>
        </w:rPr>
        <w:t>The measures we take to obtain, maintain, protect, defend and enforce our intellectual property, including preventing unauthorized use by third parties, may not be effective for various reasons, including the following:</w:t>
      </w:r>
    </w:p>
    <w:p>
      <w:pPr>
        <w:spacing w:after="0" w:line="54"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trademark or patent applications we file may not result in the issuance of trademarks or patents;</w:t>
      </w:r>
    </w:p>
    <w:p>
      <w:pPr>
        <w:spacing w:after="0" w:line="117" w:lineRule="exact"/>
        <w:rPr>
          <w:rFonts w:ascii="Times New Roman" w:cs="Times New Roman" w:eastAsia="Times New Roman" w:hAnsi="Times New Roman"/>
          <w:sz w:val="18"/>
          <w:szCs w:val="18"/>
          <w:color w:val="231F20"/>
        </w:rPr>
      </w:pPr>
    </w:p>
    <w:p>
      <w:pPr>
        <w:ind w:left="660" w:right="24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not be the first inventor of the subject matter to which we have filed a particular patent application, and we may not be the first party to file such a patent application;</w:t>
      </w:r>
    </w:p>
    <w:p>
      <w:pPr>
        <w:spacing w:after="0" w:line="53"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claims under any of our issued patents may not be broad enough to (i) protect our inventions and proprietary technology nor (ii) prevent third parties from creating, developing, or implementing technologies that are similar to ours or offer similar performance;</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issued patents may be challenged or invalidated by our competitors or other third parties;</w:t>
      </w:r>
    </w:p>
    <w:p>
      <w:pPr>
        <w:spacing w:after="0" w:line="117" w:lineRule="exact"/>
        <w:rPr>
          <w:rFonts w:ascii="Times New Roman" w:cs="Times New Roman" w:eastAsia="Times New Roman" w:hAnsi="Times New Roman"/>
          <w:sz w:val="18"/>
          <w:szCs w:val="18"/>
          <w:color w:val="231F20"/>
        </w:rPr>
      </w:pPr>
    </w:p>
    <w:p>
      <w:pPr>
        <w:ind w:left="660" w:right="30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patents have a finite term, and competitors and other third parties may offer identical or similar products after the expiration of our patents that cover such products;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employees, contractors or business partners may breach their confidentiality, non-disclosure and non-use obligations;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competitors and other third parties may independently develop technologies that are the same or similar to ours;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intellectual property rights of others could also bar us from licensing and exploiting any patents that issue from our pending applications;</w:t>
      </w:r>
    </w:p>
    <w:p>
      <w:pPr>
        <w:spacing w:after="0" w:line="117"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associated with enforcing patents or other intellectual property rights, or confidentiality and invention assignment agreements may make enforcement impracticable;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competitors and other third parties may circumvent or otherwise design around our patents or other intellectual property.</w:t>
      </w:r>
    </w:p>
    <w:p>
      <w:pPr>
        <w:spacing w:after="0" w:line="22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ectPr>
          <w:pgSz w:w="11900" w:h="16838" w:orient="portrait"/>
          <w:cols w:equalWidth="0" w:num="1">
            <w:col w:w="11220"/>
          </w:cols>
          <w:pgMar w:left="320" w:top="981" w:right="359" w:bottom="1440" w:gutter="0" w:footer="0" w:header="0"/>
        </w:sect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95" w:name="page96"/>
    <w:bookmarkEnd w:id="95"/>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 For example, in June 2024, we reached an agreement with Gravity, Inc. to settle a claim before the USPTO that opposed and requested cancellation of our trademark application and registration for the use of “Gravity.”</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we have entered into these agreements with every such employee and contractor, that these agreements will not be breached or that third parties will not gain access to our trade secrets, know-how or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We have licensed and plan to further license patents and other intellectual property from third parties, including, but not limited to, suppliers and service providers, and we may face claims that our use of this in-licensed intellectual property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 The resolution of such disputes could narrow what we believe to be the scope of our rights to the relevant intellectual property or increase what we believe to be our financial or other obligations under the relevant agreement. If we are unable to renew our key license or other intellectual property-related agreements on acceptable terms, or our current and future licensors conclude that we have materially breached our obligations under our license agreements and terminate such license agreements, we may lose the legal right to use some of the intellectual property we employ to manufacture certain products or only be able to maintain such right at a substantially higher cost. In some circumstances, we may not have the right to control the maintenance, prosecution, preparation, filing, enforcement, defense or litigation of patents and patent applications that we license from third parties and are reliant on our licensors to do so. We cannot be certain that activities such as patent maintenance and prosecution by our licensors have been or will be conducted consistent with our best interests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spacing w:after="0" w:line="19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To prevent unauthorized use of our intellectual property, it may be necessary to prosecute actions for infringement, misappropriation or other violation of our intellectual property against third parties. Any such action may be time-consuming and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6" w:name="page97"/>
    <w:bookmarkEnd w:id="96"/>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sued by third parties for alleged infringement, misappropriation or other violation of their intellectual property, which could be time-consuming and costly and result in significant legal liability.</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There are considerable issued patents, pending patent applications, and other intellectual property development, ownership, and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time-to-time,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Patent and other types of intellectual property litigation can involve complex factual and legal questions, and their outcome is uncertain. Even if we believe such claims are without merit, a court of competent jurisdiction could hold that such third-party intellectual property is valid, enforceable and infringed, which could adversely affect our ability to commercialize our products or technologies. Accordingly, we may consider entering into license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88"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 substantial damages, including treble damages for willful infringement, or ongoing royalty payments;</w:t>
      </w:r>
    </w:p>
    <w:p>
      <w:pPr>
        <w:spacing w:after="0" w:line="117"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cease developing, selling, leasing, using or incorporating certain components into vehicles or offering goods or services that incorporate or use the asserted intellectual property;</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seek a license from the owner of the asserted intellectual property, which license may not be available on reasonable terms, or at all;</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comply with other unfavorable terms; or</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and maintain alternative branding for our products and services.</w:t>
      </w:r>
    </w:p>
    <w:p>
      <w:pPr>
        <w:spacing w:after="0" w:line="22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may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employees from our business operations. Such disputes, with or without merit, could also cause potential customers to refrain from purchasing our products or otherwise cause us reputational harm and negative publicity.</w:t>
      </w:r>
    </w:p>
    <w:p>
      <w:pPr>
        <w:spacing w:after="0" w:line="19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Furthermore, many of our employees were previously employed by other automotive companies or by suppliers to automotive companies, or related industries.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be enjoined from using certain technology, product, services, or knowledge or, we may lose valuable intellectual property or employees. A loss of key employees,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7" w:name="page98"/>
    <w:bookmarkEnd w:id="97"/>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Some of our products contain open-source software, which may pose particular risks to our proprietary software, products and services in a manner that could harm our business.</w:t>
      </w:r>
    </w:p>
    <w:p>
      <w:pPr>
        <w:spacing w:after="0" w:line="15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231F20"/>
        </w:rPr>
        <w:t>We use open-source software, available from third parties, in our products and anticipate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as well as our third-party software suppliers’ use of open-source software and compliance with open-source licenses and try to ensure that none is used in a manner that would require us to disclose our proprietary source code or that would otherwise breach the terms of an open-source license, such use could inadvertently occur or be claimed to have occurred. Additionally, we could face claims from third parties claiming ownership of, or demanding release of, the open-source software or derivative works that we developed using such software, which could include our proprietary source code, or otherwise seeking to enforce, or alleging non-compliance with the terms of the applicable open-source license. These claims could result in litigation and could require us to make our proprietary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19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Additionally, the use of certain open-source software can lead to greater risks than use of third-party commercial software, as open-source licensors generally do not provide warranties or controls on the origin of software or other contractual protections regarding infringement claims or the quality of the code, including with respect to security vulnerabilities. Moreover, some open-source projects have known security and other vulnerabilities and architectural instabilities, or are otherwise subject to security attacks due to their wide availability, and are provided on an “as-is” basis.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prospects,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Financing and Strategic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will require additional capital to support business growth, and this capital might not be available on commercially reasonable terms, or at all.</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We have funded our operations since inception primarily through equity and debt financings. For example, we issued the 2026 Notes, entered into a $1.0 billion ABL Credit Facility in June 2022, completed an “at-the-market” equity offering program for aggregate net proceeds of $594.3 million after deducting commissions and other issuance costs and consummated a private placement of common stock to Ayar for aggregate proceeds of $915.0 million in December 2022. In addition, we have, through our subsidiary, entered into the SIDF Loan Agreement with the SIDF for an aggregate principal amount of up to SAR 5.19 billion in February 2022, entered into a revolving credit facility agreement with GIB for an aggregate principal amount of SAR</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231F20"/>
        </w:rPr>
        <w:t>1.0 billion in April 2022, which was amended in March 2023 and renewed in February 2025 to increase the principal amount to SAR 1.9 billion, and also entered into the $750 million DDTL Credit Facility with Ayar in August 2024. In June 2023, we completed an underwritten public offering of common stock for aggregate net proceeds of $1.2 billion and consummated a private placement to Ayar for aggregate net proceeds of $1.8 billion, after deducting issuance costs. We also consummated private placements of Redeemable Convertible Preferred Stock to Ayar for aggregate net proceeds of $997.6 million after deducting issuance cost in March 2024 and aggregate net proceeds of $749.4 million after deducting issuance costs in August 2024. In addition, in October 2024, we completed an underwritten public offering of common stock for aggregate net proceeds of $718.4 million after deducting issuance costs and consummated a private placement to Ayar for aggregate net proceeds of approximately $1.0 billion after deducting issuance costs. In April 2025, we also issued $1.1 billion of the 2030 Notes for aggregate net proceeds of $1.08 billion after deducting debt issuance costs, of which $931.4 million was used to repurchase $1,052.5 million aggregate principal amount of the 2026 Notes. We anticipate that we will continue to need to raise additional funds through equity, equity-linked or debt financings. Our business is capital-intensive, and we expect the costs and expenses associated with our planned operations will continue to increase in the near term. We do not expect to achieve positive cash flow from operations for several years, if at all. In addition, we have and we expect to settle tax withholding obligations in connection with vesting of the restricted stock units granted to certain employees through “net settlement,” i.e., by remitting the Company’s cash to satisfy the tax withholding obligation and simultaneously withholding a number of the vested shares on each vesting date with a value equal to that remitted cash.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8" w:name="page99"/>
    <w:bookmarkEnd w:id="98"/>
    <w:p>
      <w:pPr>
        <w:ind w:right="180"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Our plan to continue the commercial production of our vehicles and grow our business is dependent upon the timely availability of funds and further investment in design, engineering, component procurement, testing, and the build-out of manufacturing capabilities. </w:t>
      </w:r>
      <w:r>
        <w:rPr>
          <w:rFonts w:ascii="Times New Roman" w:cs="Times New Roman" w:eastAsia="Times New Roman" w:hAnsi="Times New Roman"/>
          <w:sz w:val="18"/>
          <w:szCs w:val="18"/>
          <w:color w:val="000000"/>
        </w:rPr>
        <w:t>For example, we have entered into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amended agreements with Panasonic Energy Co., Ltd. and certain of its affiliates. As of June 30, 2025, pursuant to the terms of the amended agreements, we have remaining minimum purchase commitments of an aggregate of approximately $2.55 billion of lithium-ion battery cells using the current base prices, which could vary period-to-period primarily as a result of changes in raw material indexes. </w:t>
      </w:r>
      <w:r>
        <w:rPr>
          <w:rFonts w:ascii="Times New Roman" w:cs="Times New Roman" w:eastAsia="Times New Roman" w:hAnsi="Times New Roman"/>
          <w:sz w:val="18"/>
          <w:szCs w:val="18"/>
          <w:color w:val="231F20"/>
        </w:rPr>
        <w:t>In addition, the fact that we have a limited operating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history means that we have limited historical data on the demand for our vehicles. As a result, our future capital requirements are uncertain, and actual capital requirements may be greater than what we currently anticipate.</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If we raise additional funds through further issuances of equity or equity-linked securities, our stockholders could experience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inflation, government closures of banks and liquidity concerns at other financial institutions, interest rate changes, global or regional conflicts or other geopolitical events, or investor acceptance of our business model. These factors may </w:t>
      </w:r>
      <w:r>
        <w:rPr>
          <w:rFonts w:ascii="Times New Roman" w:cs="Times New Roman" w:eastAsia="Times New Roman" w:hAnsi="Times New Roman"/>
          <w:sz w:val="18"/>
          <w:szCs w:val="18"/>
          <w:color w:val="000000"/>
        </w:rPr>
        <w:t>make the timing,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the anticipated benefits of our agreements with Aston Martin, Uber and Nuro.</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June 2023, we entered into the Implementation Agreement with Aston Martin under which we and Aston Martin have established a long-term strategic technology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EV chassis, and supply powertrain and battery components to Aston Martin. See Note 16 “Related Party Transactions” to the condensed consolidated financial statements included elsewhere in this Quarterly Report for more information.</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July 2025, we entered into the VPA with Uber under which Uber and its designated fleet operators have agreed to purchase a minimum commitment of 20,000 Lucid Gravity Plus vehicles over a six-year period following the start of production, which is targeted to occur in late 2026. We will collaborate with Nuro, Inc., as the provider of autonomous driving software, to develop and deploy a fleet of autonomous vehicles to be used as robotaxis on the Uber platform. See Note 18 “Subsequent Events” to the condensed consolidated financial statements included elsewhere in this Quarterly Report for more information.</w:t>
      </w:r>
    </w:p>
    <w:p>
      <w:pPr>
        <w:spacing w:after="0" w:line="183"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may not be able to realize the anticipated benefits of the Strategic Technology Arrangement if we experience delays, fail to successfully integrate our powertrain and battery components with Aston Martin’s vehicles, or fail to enter into a long form supply agreement on terms acceptable to us, or if we experience delays or fail to deliver the components ordered by Aston Martin. Additionally, we may not be able to realize the anticipated benefits of the VPA if we fail to meet certain volume and other requirements and specifications with respect to the Lucid Gravity Plus vehicles, including continued production of the base Lucid Gravity vehicles, meeting certain quality thresholds, and timely fulfillment of orders for the Lucid Gravity Plus vehicles. In addition, we will depend on Nuro to meet its requirements in order to fulfill some of these conditions. Any such delay or failure for any reason, including for reasons beyond our control, may have an adverse effect on our brand and reputation, and our business, prospects, results of operations and financial condition.</w:t>
      </w:r>
    </w:p>
    <w:p>
      <w:pPr>
        <w:spacing w:after="0" w:line="188"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reflecting the Convertible Senior Notes on our consolidated balance sheet, accruing interest expense for the Convertible Senior Notes and reflecting the underlying shares of our common stock in our reported diluted earnings per share may adversely affect our reported earnings and financial condition.</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August 2020, the Financial Accounting Standards Board published an Accounting Standards Update, which we refer to as ASU 2020-06, which simplifies certain of the accounting standards that apply to convertible debt such as the Convertible Senior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w:t>
      </w:r>
    </w:p>
    <w:p>
      <w:pPr>
        <w:sectPr>
          <w:pgSz w:w="11900" w:h="16838" w:orient="portrait"/>
          <w:cols w:equalWidth="0" w:num="1">
            <w:col w:w="11220"/>
          </w:cols>
          <w:pgMar w:left="320" w:top="985" w:right="359"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99" w:name="page100"/>
    <w:bookmarkEnd w:id="99"/>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ASU 2020-06, we accounted for the issuance of the Convertible Senior Notes as a liability on our balance sheets, with the initial carrying amount equal to the principal amount of the Convertible Senior Notes, net of issuance costs. The issuance costs will be treated as a debt discount for accounting purposes, which will be amortized into interest expense over the term of the Convertible Senior Notes. As a result of this amortization, the interest expense that we expect to recognize for the Convertible Senior Notes for accounting purposes will be greater than the cash interest payments we will pay on the Convertible Senior Notes, which will result in a higher reported loss.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the shares underlying the Convertible Senior Notes will be reflected in our diluted earnings per share using the “if converted” method, in accordance with ASU 2020-06. Under that method, diluted earnings per share would generally be calculated assuming that all the Convertible Senior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w:t>
      </w:r>
    </w:p>
    <w:p>
      <w:pPr>
        <w:spacing w:after="0" w:line="18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Convertible Senior Notes is satisfied, then we may be required under applicable accounting standards to reclassify the liability carrying value of the Convertible Senior Notes as a current, rather than a long-term liability. This reclassification could be required even if no noteholders convert their Convertible Senior Notes and could materially reduce our reported working capital.</w:t>
      </w:r>
    </w:p>
    <w:p>
      <w:pPr>
        <w:spacing w:after="0" w:line="17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Servicing our current and future debt and potential payment obligations in certain circumstances under the terms of our Redeemable Convertible Preferred Stock may require a significant amount of cash, and we may not have sufficient cash flow from our business to pay our indebtedness or satisfy our payment obligations. Our payment obligations under such indebtedness and, if applicable, our Redeemable Convertible Preferred Stock may limit the funds available to us, and the terms of our debt agreements may restrict our flexibility in operating our business or otherwise adversely affect our results of operations.</w:t>
      </w:r>
    </w:p>
    <w:p>
      <w:pPr>
        <w:spacing w:after="0" w:line="18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We issued $2.0 billion principal amount of 2026 Notes in December 2021, issued </w:t>
      </w:r>
      <w:r>
        <w:rPr>
          <w:rFonts w:ascii="Times New Roman" w:cs="Times New Roman" w:eastAsia="Times New Roman" w:hAnsi="Times New Roman"/>
          <w:sz w:val="18"/>
          <w:szCs w:val="18"/>
          <w:color w:val="231F20"/>
        </w:rPr>
        <w:t>$1.1 billion</w:t>
      </w:r>
      <w:r>
        <w:rPr>
          <w:rFonts w:ascii="Times New Roman" w:cs="Times New Roman" w:eastAsia="Times New Roman" w:hAnsi="Times New Roman"/>
          <w:sz w:val="18"/>
          <w:szCs w:val="18"/>
          <w:color w:val="auto"/>
        </w:rPr>
        <w:t xml:space="preserve"> principal amount of 2030 Notes in April 2025, and have entered into several credit facilities since 2022. Concurrent with the 2030 Notes offering, we repurchased $1,052.5 million principal amount of the 2026 Notes, reducing its remaining principal amount to $960.0 million. See Note 6 “Debt” to the condensed consolidated financial statements included elsewhere in this Quarterly Report for further information on our outstanding debt obligations. Our ability to make scheduled payments of the principal of, to pay interest on or to refinance our indebtedness from time-to-time depends on our future performance, which is subject to economic, financial, competitive and other factors beyond our control. Our business may not generate cash flow from operations in the future sufficient to service our debt, our obligations under the Redeemable Convertible Preferred Stock and make necessary capital expenditures. If we are unable to generate such cash flow, we may be required to adopt one or more alternatives, such as selling assets, restructuring debt or preferred stock or obtaining additional debt financing or equity capital on terms that may be onerous or highly dilutive. Our ability to refinance any current or future indebtedness or preferred stock will depend on the capital markets and our financial condition at such time. Our obligations to the holders of our Redeemable Convertible Preferred Stock could also limit our ability to obtain additional financing, which could have an adverse effect on our financial condition. We may not be able to engage in any of these activities or engage in these activities on desirable terms, which could result in a default on our debt obligations. In addition, our existing debt agreements contain, and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97"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In addition, our indebtedness and our obligations under our Redeemable Convertible Preferred Stock, combined with our other existing and future financial obligations and contractual commitments, could have other important consequences. For example, it could:</w:t>
      </w:r>
    </w:p>
    <w:p>
      <w:pPr>
        <w:spacing w:after="0" w:line="54" w:lineRule="exact"/>
        <w:rPr>
          <w:sz w:val="20"/>
          <w:szCs w:val="20"/>
          <w:color w:val="auto"/>
        </w:rPr>
      </w:pPr>
    </w:p>
    <w:p>
      <w:pPr>
        <w:ind w:left="660" w:right="80" w:hanging="328"/>
        <w:spacing w:after="0" w:line="282" w:lineRule="auto"/>
        <w:tabs>
          <w:tab w:leader="none" w:pos="579"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make us more vulnerable to adverse changes in general U.S. and worldwide economic, industry and competitive conditions and adverse changes in government regulation;</w:t>
      </w:r>
    </w:p>
    <w:p>
      <w:pPr>
        <w:spacing w:after="0" w:line="53"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who have less debt or other obligations;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or raise additional amounts to fund acquisitions, for working capital and for other general corporate purposes;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acquisition of our company less attractive or more difficult.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0" w:name="page101"/>
    <w:bookmarkEnd w:id="100"/>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addition, under the SIDF Loan Agreement, the 2025 GIB Credit Facility, the ABL Credit Facility, and the DDTL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sale and leaseback transactions, consummate mergers and other fundamental changes, enter in to restrictive agreements or modify their organizational documents. Any debt financing secured by us in the future could also involve such covenants as well as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spacing w:after="0" w:line="18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Further, shares of our common stock are subordinate in right of payment to all of our current and future debt and Redeemable Convertible Preferred Stock. We cannot assure that there would be any remaining funds for any distribution to our stockholders after the payment of all of our debt or, in the case of our Redeemable Convertible Preferred Stock, payment of all of our obligations upon liquidation or, in certain limited circumstances where cash settlement is required, our obligations upon mandatory conversion, optional redemption or a fundamental change. See “—</w:t>
      </w:r>
      <w:r>
        <w:rPr>
          <w:rFonts w:ascii="Times New Roman" w:cs="Times New Roman" w:eastAsia="Times New Roman" w:hAnsi="Times New Roman"/>
          <w:sz w:val="18"/>
          <w:szCs w:val="18"/>
          <w:i w:val="1"/>
          <w:iCs w:val="1"/>
          <w:color w:val="auto"/>
        </w:rPr>
        <w:t>We may be unable to raise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funds necessary to pay the cash amounts due upon mandatory conversion, redeem our Redeemable Convertible Preferred Stock or repurchase the Redeemable Convertible Preferred Stock upon a fundamental change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60" w:firstLine="324"/>
        <w:spacing w:after="0" w:line="312" w:lineRule="auto"/>
        <w:rPr>
          <w:sz w:val="20"/>
          <w:szCs w:val="20"/>
          <w:color w:val="auto"/>
        </w:rPr>
      </w:pPr>
      <w:r>
        <w:rPr>
          <w:rFonts w:ascii="Times New Roman" w:cs="Times New Roman" w:eastAsia="Times New Roman" w:hAnsi="Times New Roman"/>
          <w:sz w:val="17"/>
          <w:szCs w:val="17"/>
          <w:color w:val="auto"/>
        </w:rPr>
        <w:t>Any of these factors could harm our business, results of operations and financial condition. In addition, if we incur additional indebtedness or issue additional Redeemable Convertible Preferred Stock, the risks related to our business and our ability to service or repay our indebtedness would increase.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may still incur substantially more debt.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and our subsidiaries have incurred and may need to incur substantial additional debt in the future, subject to the restrictions contained in our debt instruments, some of which may be secured debt. The ABL Credit Facility and Certificate of Designations impose certain restrictions on our ability to incur additional debt, but we are not restricted under the terms of the indentures governing our Convertible Senior Notes from incurring additional debt, securing existing or future debt, recapitalizing our debt or taking a number of other actions that are not limited by the terms of such indentures governing our Convertible Senior Notes that could have the effect of diminishing our ability to make payments on our Convertible Senior Notes when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Convertible Senior Notes, if triggered, may adversely affect our financial condition and operating results.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For the 2026 Notes, before the close of business on the business day immediately before September 15, 2026, noteholders will have the right to convert their 2026 Notes upon the occurrence of certain events, and they may elect to convert their 2026 Notes regardless of the occurrence of such events from and after September 15, 2026 until the close of business on the second scheduled trading day immediately before December 15, 2026. For the 2030 Notes, before the close of business on the business day immediately preceding January 1, 2030, noteholders will have the right to convert their 2030 Notes upon the occurrence of certain events, and they may elect to convert their 2030 Notes regardless of the occurrence of such events from and after January 1, 2030 until the close of business on the second scheduled trading day immediately before April 1, 2030. If holders of the Convertible Senior Notes elect to convert their 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Convertible Senior Notes as a current rather than long-term liability, which would result in a material reduction of our net working capital.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1" w:name="page102"/>
    <w:bookmarkEnd w:id="101"/>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to repurchase the Convertible Senior Notes for cash following a fundamental change, or to pay any cash amounts due upon conversion, and our other indebtedness may limit our ability to repurchase the Convertible Senior Notes or pay cash upon their conversion.</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Noteholders may, subject to a limited exception, require us to repurchase their Convertible Senior Notes following a fundamental change at a cash repurchase price generally equal to the principal amount of the Convertible Senior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Convertible Senior Notes or pay any cash amounts due upon conversion. In addition, applicable law, regulatory authorities and the agreements governing our other indebtedness, such as the covenants in the ABL Credit Facility and Certificate of Designations, may restrict our ability to repurchase the Convertible Senior Notes or pay any cash amounts due upon conversion. Our failure to repurchase the Convertible Senior Notes or pay any cash amounts due upon conversion when required will constitute a default under the indentures. A default under the indentures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Convertible Senior Notes.</w:t>
      </w:r>
    </w:p>
    <w:p>
      <w:pPr>
        <w:spacing w:after="0" w:line="190"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should any cash amounts become payable upon mandatory conversion or in connection with a fundamental change or optional redemption in relation to our Redeemable Convertible Preferred Stock.</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March 2024, we issued 100,000 shares of our Series A Redeemable Convertible Preferred Stock and in August 2024, we issued 75,000 shares of our Series B Redeemable Convertible Preferred Stock. The holders of our Redeemable Convertible Preferred Stock have the right to receive payment in cash upon a mandatory conversion or redemption at our option, or upon the occurrence of a fundamental change (as defined in the Certificate of Designations), if certain liquidity conditions are not satisfied. In general, we are entitled to exercise a mandatory conversion right regarding the Redeemable Convertible Preferred Stock to convert into shares of common stock after the third anniversary of the date of original issuance if the daily VWAP (as defined in the Certificate of Designations) has been at least 200% of the Conversion Price (as defined above) for at least twenty (20) trading days (whether or not consecutive) during any thirty (30) consecutive trading day period (including the last day of such period), and we are entitled to redeem all or any portion of the Redeemable Convertible Preferred Stock on or after the fifth anniversary of the date of original issuance at a redemption price specified in the Certificate of Designations.</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holders of our Redeemable Convertible Preferred Stock also have the right to receive certain Minimum Consideration upon a mandatory conversion, optional redemption, fundamental change or liquidation event. While we largely can control the occurrence of such events, if we are required to cash settle any of these obligations as a result of the liquidity conditions not being met, the amount of such cash settlement is subject to factors beyond our control and we cannot presently predict the amount of such cash settlement, which increases over time is not subject to any cap or limitation. A requirement to cash settle any obligations in relation to the Redeemable Convertible Preferred Stock may have a material adverse effect on our business, prospects, results of operations and financial condition. See “—</w:t>
      </w:r>
      <w:r>
        <w:rPr>
          <w:rFonts w:ascii="Times New Roman" w:cs="Times New Roman" w:eastAsia="Times New Roman" w:hAnsi="Times New Roman"/>
          <w:sz w:val="18"/>
          <w:szCs w:val="18"/>
          <w:i w:val="1"/>
          <w:iCs w:val="1"/>
          <w:color w:val="auto"/>
        </w:rPr>
        <w:t>The settlement of our obligations upon conversion, optional redemption or required repurchase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Redeemable Convertible Preferred Stock is expected to dilute the ownership of common stockholders and the number of shares of common stock issuable upon mandatory conversion, optional redemption or fundamental change is presently indeterminable</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2" w:name="page103"/>
    <w:bookmarkEnd w:id="102"/>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settlement of our obligations upon conversion, optional redemption or required repurchase of our Series A or Series B Redeemable Convertible Preferred Stock is expected to dilute the ownership of common stockholders and the number of shares of common stock issuable upon mandatory conversion, optional redemption or fundamental change is presently indeterminable.</w:t>
      </w:r>
    </w:p>
    <w:p>
      <w:pPr>
        <w:spacing w:after="0" w:line="175"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Series A Redeemable Convertible Preferred Stock and the Series B Redeemable Convertible Preferred Stock are convertible into our common stock at an initial conversion price of $3.5952 per share and $4.3799 per share, respectively. The Conversion Price is subject to customary anti-dilution adjustments, including in the event of any stock split, stock dividend, recapitalization or similar event. Dividends on the Redeemable Convertible Preferred Stock are payable at an initial rate of 9% per annum in the form of dividends compounding on a quarterly basis. Such compounded dividends are not subject to any cap or sunset provisions and can accrue into perpetuity. At issuance, the Series A Redeemable Convertible Preferred Stock was initially convertible into 278.15 million shares of common stock, representing approximately 12% of our then issued and outstanding common stock. Upon entry into the Series B Subscription Agreement, the Series B Redeemable Convertible Preferred Stock is expected to be initially convertible into 171.24 million shares of common stock, representing approximately 7% of our then issued and outstanding common stock. Holders of the Redeemable Convertible Preferred Stock may convert their shares (a) at any time that the closing price per share of our common stock on the trading day immediately preceding the date of the relevant notice of conversion is at least $5.50 (subject to certain adjustments), unless we otherwise consent to such conversion in our sole discretion, or (b) in all events during certain specified periods relating to a fundamental change or optional redemption by us. The number of shares of common stock issuable upon conversion (other than a mandatory conversion) in the future, subject to certain exceptions, is determined by dividing (i) the applicable Accrued Value (as defined in the Certificate of Designations) as of the conversion date by (ii) the applicable Conversion Price in effect as of such conversion date. As such, the number of shares of common stock issuable upon conversion may continue to increase in perpetuity as each of the compounded dividends increases the Accrued Value. Meeting these conversion obligations could impact our financial condition, liquidity, ability to obtain additional financing, or ability to allocate resources to addressing other aspects of our business including addressing the interests of the holders of our common stock. Except in the case of a mandatory conversion for which we elect (or are required) to satisfy our conversion obligation in cash (as further described under “—</w:t>
      </w:r>
      <w:r>
        <w:rPr>
          <w:rFonts w:ascii="Times New Roman" w:cs="Times New Roman" w:eastAsia="Times New Roman" w:hAnsi="Times New Roman"/>
          <w:sz w:val="18"/>
          <w:szCs w:val="18"/>
          <w:i w:val="1"/>
          <w:iCs w:val="1"/>
          <w:color w:val="auto"/>
        </w:rPr>
        <w:t>We may be unable to raise the funds necessary should any cash amounts become payable upon mandatory conversion or in connection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a fundamental change in relation to our Redeemable Convertible Preferred Stock, or to optionally redeem our Redeemable Convertible Preferred Stock</w:t>
      </w:r>
      <w:r>
        <w:rPr>
          <w:rFonts w:ascii="Times New Roman" w:cs="Times New Roman" w:eastAsia="Times New Roman" w:hAnsi="Times New Roman"/>
          <w:sz w:val="18"/>
          <w:szCs w:val="18"/>
          <w:color w:val="auto"/>
        </w:rPr>
        <w:t>”), any conversion of the Redeemable Convertible Preferred Stock will also increase the number of shares of our common stock available for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which could adversely affect prevailing market prices of our common stock.</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the holders of the Redeemable Convertible Preferred Stock may also be entitled to receive Minimum Consideration in certain situations in the case the Company exercises its rights in respect of a mandatory conversion or optional redemption or in the case of a fundamental change (as defined in the Certificate of Designations). Such Minimum Consideration is determined by multiplying the Accrued Value by the relevant percentage set forth in the Certificate of Designations based on the number of months that have elapsed since the initial issuance of the Redeemable Convertible Preferred Stock. In the event that the Minimum Consideration exceeds the Accrued Value, we would be required to pay or deliver, as the case may be, consideration having a value in excess of Accrued Value in order to redeem or refinance the Redeemable Convertible Preferred Stock. If an event occurs that requires us to deliver Minimum Consideration, the number of shares of common stock issuable to satisfy such obligation is presently indeterminable and, in particular if our stock price is substantially below the initial conversion price, meeting such common stock issuance obligation may result in significant dilution to the common stockholders which could have a material adverse effect on the market prices of our common stock and on our financial condition, liquidity, and ability to obtain additional financing. In addition, the holders of the Redeemable Convertible Preferred Stock may also be entitled to receive Minimum Consideration in the event of our liquidation, dissolution or winding up, which may reduce or eliminate the value of any remaining assets for distribution to common stockholders in such an event.</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holders of our Redeemable Convertible Preferred Stock are entitled to vote on an as-converted to common stock basis and have rights to approve certain actions, which reduces the relative voting power of the holders of our common stock.</w:t>
      </w:r>
    </w:p>
    <w:p>
      <w:pPr>
        <w:spacing w:after="0" w:line="159"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holders of our Redeemable Convertible Preferred Stock are entitled to vote, on an as-converted basis together with holders of our common stock, the number of votes (subject to a voting cap in accordance with Nasdaq listing rules) equal to the number of whole shares of common stock into which the shares of the Redeemable Convertible Preferred Stock held by such holder are convertible on the record date for determining stockholders entitled to vote on such matter, which reduces the relative voting power of our common stockholders.</w:t>
      </w:r>
    </w:p>
    <w:p>
      <w:pPr>
        <w:spacing w:after="0" w:line="18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addition, as long as at least 10% of the aggregate number of shares of the Series A and Series B Redeemable Convertible Preferred Stock originally issued remain outstanding, respectively, and subject to certain other conditions, holders of such Redeemable Convertible Preferred Stock are entitled to a separate class vote with respect to, among other things, amendments to our organizational documents that have an adverse effect on the respective Redeemable Convertible Preferred Stock, authorizations or issuances by us of capital stock that ranks senior or equal to the respective Redeemable Convertible Preferred Stock with respect to dividends or distributions on liquidation or the terms of which provide for cash dividends (other than the common stock), winding-up or dissolution, and decreases in the number of authorized shares of the Redeemable Convertible Preferred Stock.</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3" w:name="page104"/>
    <w:bookmarkEnd w:id="103"/>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these consent and voting rights of the Redeemable Convertible Preferred Stock, holders of the Redeemable Convertible Preferred Stock have significant power to influence the outcome over any matter submitted for the vote of the holders of our common stock and to influence certain matters affecting our governance and capitalization.</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Redeemable Convertible Preferred Stock has rights, preferences and privileges that are not held by, and are senior to the rights of, our common stockholders.</w:t>
      </w:r>
    </w:p>
    <w:p>
      <w:pPr>
        <w:spacing w:after="0" w:line="15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Redeemable Convertible Preferred Stock ranks senior to the common stock with respect to dividends and distributions of assets upon the Company’s liquidation, dissolution or winding up. In addition, the Redeemable Convertible Preferred Stock creates substantial obligations upon us in the case of a conversion, mandatory conversion, optional redemption, fundamental change or liquidation event that may have an adverse effect upon our financial condition and the interests of the holders of our common stock. The Redeemable Convertible Preferred Stock ranks senior to the common stock with respect to dividends substantially limits our ability to issue parity securities, junior securities or cash dividend securities, and may in some circumstances limit our ability to pay dividends on our common stock. Furthermore, the Certificate of Designations also provides that as long as Ayar owns at least 50% of the Redeemable Convertible Preferred Stock, we will comply with certain debt incurrence covenants in our ABL Credit Facility.</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Holders of the Redeemable Convertible Preferred Stock also have rights to a guaranteed Minimum Consideration in the event that the Company exercises its right to mandatory conversion or optional redemption of the Redeemable Convertible Preferred Stock, and in the event of a fundamental change or liquidation event. See “—</w:t>
      </w:r>
      <w:r>
        <w:rPr>
          <w:rFonts w:ascii="Times New Roman" w:cs="Times New Roman" w:eastAsia="Times New Roman" w:hAnsi="Times New Roman"/>
          <w:sz w:val="18"/>
          <w:szCs w:val="18"/>
          <w:i w:val="1"/>
          <w:iCs w:val="1"/>
          <w:color w:val="auto"/>
        </w:rPr>
        <w:t>The settlement of our obligations upon conversion, optional redemption or required repurchase of our 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Preferred Stock is expected to dilute the ownership of common stockholders and the number of shares of common stock issuable upon mandatory conversion, optional redemption or fundamental change is presently indeterminable</w:t>
      </w:r>
      <w:r>
        <w:rPr>
          <w:rFonts w:ascii="Times New Roman" w:cs="Times New Roman" w:eastAsia="Times New Roman" w:hAnsi="Times New Roman"/>
          <w:sz w:val="18"/>
          <w:szCs w:val="18"/>
          <w:color w:val="auto"/>
        </w:rPr>
        <w:t>.” In addition, holders of our Redeemable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have the right to receive payment in cash upon a mandatory conversion, optional redemption or a fundamental change if certain liquidity conditions are not satisfied. See “—</w:t>
      </w:r>
      <w:r>
        <w:rPr>
          <w:rFonts w:ascii="Times New Roman" w:cs="Times New Roman" w:eastAsia="Times New Roman" w:hAnsi="Times New Roman"/>
          <w:sz w:val="18"/>
          <w:szCs w:val="18"/>
          <w:i w:val="1"/>
          <w:iCs w:val="1"/>
          <w:color w:val="auto"/>
        </w:rPr>
        <w:t>Servicing our current and future debt and potential payment obligations in certain circumstances under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Redeemable Convertible Preferred Stock may require a significant amount of cash, and we may not have sufficient cash flow from our business to pay our indebtedness. Our payment obligations under such indebtedness and, if applicable, our Redeemable Convertible Preferred Stock may limit the funds available to us, and the terms of our debt agreements may restrict our flexibility in operating our business or otherwise adversely affect our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We may be unable to raise the funds necessary should any cash amounts become payable upon mandatory conversion or in connection with a fundamental change or optional redemption in relation to our Redeemable Convertible Preferred Stock</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draw down the full amounts available under the ABL Credit Facility, the SIDF Loan Agreement, the 2025 GIB Credit Facility or the DDTL Credit Facility.</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ABL Credit Facility has an initial aggregate principal commitment amount of up to $1.0 billion. However, availability of the committed amounts under the ABL Credit Facility is subject to the value of the eligible borrowing base and certain debt compliance covenants in the Certificate of Designations.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2025 GIB Credit Facility are only available for certain specific purposes and subject to conditions on drawdowns. The DDTL Credit Facility provides for a $750.0 million delayed draw term loan credit facility subject to drawdown conditions, including the requirement that there is no availability under the ABL Credit Facility. Any inability to draw down the full amounts committed under these facilities, should the need arise, may have an </w:t>
      </w:r>
      <w:r>
        <w:rPr>
          <w:rFonts w:ascii="Times New Roman" w:cs="Times New Roman" w:eastAsia="Times New Roman" w:hAnsi="Times New Roman"/>
          <w:sz w:val="18"/>
          <w:szCs w:val="18"/>
          <w:color w:val="231F20"/>
        </w:rPr>
        <w:t>adverse effect on our cash flows and liquidity.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identify adequate strategic relationship opportunities or form strategic relationships, in the future.</w:t>
      </w:r>
    </w:p>
    <w:p>
      <w:pPr>
        <w:spacing w:after="0" w:line="229"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7"/>
          <w:szCs w:val="17"/>
          <w:color w:val="231F20"/>
        </w:rPr>
        <w:t xml:space="preserve">Strategic business relationships have been and will continue to be an important factor in the growth and long-term success of our business. From time-to-time, we explore opportunities to enter into such relationships, including partnerships with original equipment manufacturers, service and charging providers, and technology innovators. However, there are no assurances that we will be able to identify or secure suitable business relationship opportunities in the future or that </w:t>
      </w:r>
      <w:r>
        <w:rPr>
          <w:rFonts w:ascii="Times New Roman" w:cs="Times New Roman" w:eastAsia="Times New Roman" w:hAnsi="Times New Roman"/>
          <w:sz w:val="17"/>
          <w:szCs w:val="17"/>
          <w:color w:val="000000"/>
        </w:rPr>
        <w:t>we will be able to maintain such relationships. In addition,</w:t>
      </w:r>
      <w:r>
        <w:rPr>
          <w:rFonts w:ascii="Times New Roman" w:cs="Times New Roman" w:eastAsia="Times New Roman" w:hAnsi="Times New Roman"/>
          <w:sz w:val="17"/>
          <w:szCs w:val="17"/>
          <w:color w:val="231F20"/>
        </w:rPr>
        <w:t xml:space="preserve"> our competitors may capitalize on such opportunities before we do and we may not be able to offer similar benefits to other companies with which we would like to establish and maintain strategic relationships, which could impair our ability to establish such relationships. For example, we have partnered with third-party EV charging providers to provide our customers with access to charging infrastructure, and we will rely on ongoing access to such infrastructure to provide our customers with charging solutions. If third-party EV charging providers terminate their partnerships or otherwise fail to deliver the anticipated benefits of their partnerships, our ability to provide a satisfactory customer experience will be harmed. In addition, although we have agreed to join Tesla’s Supercharger network, there may be delays in making changes to our vehicles or the network necessary for Lucid vehicles to charge at Tesla Superchargers.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spacing w:after="0" w:line="184" w:lineRule="exact"/>
        <w:rPr>
          <w:sz w:val="20"/>
          <w:szCs w:val="20"/>
          <w:color w:val="auto"/>
        </w:rPr>
      </w:pPr>
    </w:p>
    <w:p>
      <w:pPr>
        <w:ind w:right="220" w:firstLine="324"/>
        <w:spacing w:after="0" w:line="289" w:lineRule="auto"/>
        <w:rPr>
          <w:sz w:val="20"/>
          <w:szCs w:val="20"/>
          <w:color w:val="auto"/>
        </w:rPr>
      </w:pPr>
      <w:r>
        <w:rPr>
          <w:rFonts w:ascii="Times New Roman" w:cs="Times New Roman" w:eastAsia="Times New Roman" w:hAnsi="Times New Roman"/>
          <w:sz w:val="17"/>
          <w:szCs w:val="17"/>
          <w:color w:val="231F20"/>
        </w:rPr>
        <w:t>Moreover, identifying and executing on such opportunities could demand substantial management time and resources, and negotiating and financing relationships involves significant costs and uncertainties. If we are unable to successfully source and execute strategic relationship opportunities in the future, our overall growth could be impaired, and our business, prospects and results of operations could be materially adversely affected.</w:t>
      </w:r>
    </w:p>
    <w:p>
      <w:pPr>
        <w:spacing w:after="0" w:line="15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acquire other businesses, which could require significant management attention, disrupt our business, dilute stockholder value and adversely affect our results of operations.</w:t>
      </w:r>
    </w:p>
    <w:p>
      <w:pPr>
        <w:spacing w:after="0" w:line="159"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231F20"/>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Further, the integration of acquired businesses, assets or personnel typically requires significant time and resources, which could result in a diversion of resources from our existing business, which could have an adverse effect on our operations, and we may not be able to manage the integration process successfully. For instance, in April 2025, we acquired select facilities and assets in Arizona previously belonging to Nikola Corporation, including Nikola’s former Coolidge manufacturing facility and the Phoenix facility, and we offered employment to certain former Nikola employees in roles across our Arizona facilities.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5" w:name="page106"/>
    <w:bookmarkEnd w:id="105"/>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financial results may vary significantly from period-to-period due to fluctuations in our production levels, operating costs, product demand and other factors.</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231F20"/>
        </w:rPr>
        <w:t xml:space="preserve">Our period-to-period financial results may vary based on our production levels, operating costs and product demand, which we anticipate will fluctuate as we continue to design, develop and manufacture new vehicles (which could also reduce sales of our existing vehicles), increase production capacity and establish or expand design, research and development, production, sales and service facilities. Our revenues from period-to-period may fluctuate as we identify and investigate areas of demand, adjust volumes and add new incentives or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timely deliver finished vehicles to customers. Lower production and sales volumes and an inability to fully utilize our purchase commitments with suppliers may result in increased costs and excess inventory as well as potential inventory write-offs. See “—Risks Related to Manufacturing and Supply Chain — </w:t>
      </w:r>
      <w:r>
        <w:rPr>
          <w:rFonts w:ascii="Times New Roman" w:cs="Times New Roman" w:eastAsia="Times New Roman" w:hAnsi="Times New Roman"/>
          <w:sz w:val="18"/>
          <w:szCs w:val="18"/>
          <w:i w:val="1"/>
          <w:iCs w:val="1"/>
          <w:color w:val="231F20"/>
        </w:rPr>
        <w:t>if we fail to successfully tool our manufacturing facilities or if our manufacturing facilities become inoperable, we will be unable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produce our vehicles and our business will be harmed.</w:t>
      </w:r>
      <w:r>
        <w:rPr>
          <w:rFonts w:ascii="Times New Roman" w:cs="Times New Roman" w:eastAsia="Times New Roman" w:hAnsi="Times New Roman"/>
          <w:sz w:val="18"/>
          <w:szCs w:val="18"/>
          <w:color w:val="231F20"/>
        </w:rPr>
        <w:t>” In addition, automotive manufacturers typically experience significant seasonality, with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comparatively low sales in the first quarter and comparatively high sales in the fourth quarter, and we expect to experience similar seasonality as we scale commercial production and sale of our current and future vehicles. Our period-to-period results of operations may also fluctuate because of other factors including labor availability and costs for hourly and management personnel; profitability of our vehicles in all of our markets, including price adjustments and/or incentives; changes in interest rates; impairment of long-lived assets; macroeconomic conditions, including changes in trade policies and imposition or proposed imposition of tariffs; negative publicity relating to our vehicles; changes in consumer preferences and competitive conditions; investment in expansion to new markets; or increase in our sales, service and marketing activities. See “— Risks Related to Litigation and Regulation — </w:t>
      </w:r>
      <w:r>
        <w:rPr>
          <w:rFonts w:ascii="Times New Roman" w:cs="Times New Roman" w:eastAsia="Times New Roman" w:hAnsi="Times New Roman"/>
          <w:sz w:val="18"/>
          <w:szCs w:val="18"/>
          <w:i w:val="1"/>
          <w:iCs w:val="1"/>
          <w:color w:val="231F20"/>
        </w:rPr>
        <w:t>Changes in U.S.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trade policy, including the imposition of or uncertainties surrounding tariffs or revocation of normal trade relations and the resulting consequences, could adversely affect our business, prospects, results of operations and financial condition.</w:t>
      </w:r>
      <w:r>
        <w:rPr>
          <w:rFonts w:ascii="Times New Roman" w:cs="Times New Roman" w:eastAsia="Times New Roman" w:hAnsi="Times New Roman"/>
          <w:sz w:val="18"/>
          <w:szCs w:val="18"/>
          <w:color w:val="231F20"/>
        </w:rPr>
        <w:t>” As a result of these factors, we believe that quarter-to-quarter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comparisons of our financial results, especially in the short-term, may have limited utility as an indicator of future performance. Significant variation in our quarterly performance could significantly and adversely affect the trading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use net operating loss carryforwards and certain other tax attributes may be limited.</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We have accumulated U.S. federal and state net operating loss (“NOL”) carryforwards and research and deve</w:t>
      </w:r>
      <w:r>
        <w:rPr>
          <w:rFonts w:ascii="Times New Roman" w:cs="Times New Roman" w:eastAsia="Times New Roman" w:hAnsi="Times New Roman"/>
          <w:sz w:val="18"/>
          <w:szCs w:val="18"/>
          <w:color w:val="000000"/>
        </w:rPr>
        <w:t>lopment credits which may be available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to offset and reduce future taxable income. While our U.S. federal NOL carryforwards arising in taxable years beginning after December 31, 2017, will not be subject to expiration, some of our U.S. federal and state NOL carryforwards from taxable years prior to 2018 will begin to expire in 2028. As of June 30, 2025, we also had U.S. federal research and development credit carryforwards which will begin to expire in 2036 and state research and development credit carryforwards with no expiration. As of June 30, 2025, we had foreign net operating loss carryforwards, the majority of which will begin to expire in 2043. As of June 30, 2025, we maintain a full valuation allowance for our U.S. and the majority of our non-U.S. net deferred tax assets.</w:t>
      </w:r>
    </w:p>
    <w:p>
      <w:pPr>
        <w:spacing w:after="0" w:line="18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U.S. federal and state NOL carryforwards and certain tax credits may be subject to significant limitations under Section 382 and Section 383 of the U.S. tax code, respectively, and similar provisions of state law. Un</w:t>
      </w:r>
      <w:r>
        <w:rPr>
          <w:rFonts w:ascii="Times New Roman" w:cs="Times New Roman" w:eastAsia="Times New Roman" w:hAnsi="Times New Roman"/>
          <w:sz w:val="18"/>
          <w:szCs w:val="18"/>
          <w:color w:val="231F20"/>
        </w:rPr>
        <w:t>der those sections of the U.S. tax code, if a corporation undergoes an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change,” the corporation’s ability to use its pre-change NOL carryforwards and other pre-change attributes, such as research tax credits, to offset its post-change income or tax may be limited.</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In general, an “ownership change” will occur if there is a cumulative change in our ownership by “5-percent shareholders” that exceeds 50 percentage poin</w:t>
      </w:r>
      <w:r>
        <w:rPr>
          <w:rFonts w:ascii="Times New Roman" w:cs="Times New Roman" w:eastAsia="Times New Roman" w:hAnsi="Times New Roman"/>
          <w:sz w:val="18"/>
          <w:szCs w:val="18"/>
          <w:color w:val="000000"/>
        </w:rPr>
        <w:t>ts over a rolling three-year period. Similar rules may apply under state tax laws. We have completed a formal Section 382 study of our equity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transactions through December 31, 2020. The study determined that we experienced an “ownership change” in 2016, and we will not be able to utilize $12 million of our U.S. federal NOL and $3 million of U.S. federal research and development tax credit carryforwards. Similar provisions of state law may also apply to limit our use of accumulated state tax attributes from the same period.</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not yet completed an analysis of whether the business combination between the Company and Legacy Lucid also caused an “ownership change.” In addition, future changes in our stock ownership may be outside of our control. If we undergo an ownership change, we may be prevented from fully uti</w:t>
      </w:r>
      <w:r>
        <w:rPr>
          <w:rFonts w:ascii="Times New Roman" w:cs="Times New Roman" w:eastAsia="Times New Roman" w:hAnsi="Times New Roman"/>
          <w:sz w:val="18"/>
          <w:szCs w:val="18"/>
          <w:color w:val="231F20"/>
        </w:rPr>
        <w:t>lizing the NOL carryforwards and tax credits existing at the time of the ownership change prior to their expiration. Future regulatory changes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also limit our ability to utilize NOL carryforwards and tax credits. To the extent we are not able to offset future taxable income with our NOL carryforwards and tax credits, our net income and cash flows may be adversely affected.</w:t>
      </w:r>
    </w:p>
    <w:p>
      <w:pPr>
        <w:spacing w:after="0" w:line="18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231F20"/>
        </w:rPr>
        <w:t>It is possible that we will not generate taxable income in time to use any of our NOL carryforwards and research and development credits before their expiration.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6" w:name="page107"/>
    <w:bookmarkEnd w:id="106"/>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Unanticipated tax laws or any change in the application of existing tax laws to us or our customers or any change to our corporate structure may adversely impact our profitability and business.</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231F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For example, the Tax Cuts and Jobs Act of 2017 introduced a Base Erosion and Anti-Abuse Tax which imposes a minimum tax on adjusted income of corporations with average applicable gross receipt of at least $500 million for prior three tax years and that make certain payments to related foreign persons. In addition, the Organization for Economic Cooperation and Development has issued model rules in connection with the Base Erosion and Profit Shifting integrated framework that determine multi-jurisdictional taxing rights and the rate of tax applicable to certain types of income.</w:t>
      </w:r>
    </w:p>
    <w:p>
      <w:pPr>
        <w:spacing w:after="0" w:line="187"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231F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cash flows and financial results in the current or future reporting periods.</w:t>
      </w:r>
    </w:p>
    <w:p>
      <w:pPr>
        <w:spacing w:after="0" w:line="176"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231F20"/>
        </w:rPr>
        <w:t>We may change our corporate structure, our business operations or certain agreements that we have entered into relating to taxes in a particular jurisdiction. These changes may materially and adversely impact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warrants are accounted for as liabilities and the changes in value of our warrants could have a material effect on our financial results.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pacing w:after="0" w:line="190"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231F20"/>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Public Company Requirements</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requirements of being a public company may strain our resources and distract our management, which could make it difficult to manage our business.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time-to-time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These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sectPr>
          <w:pgSz w:w="11900" w:h="16838" w:orient="portrait"/>
          <w:cols w:equalWidth="0" w:num="1">
            <w:col w:w="11240"/>
          </w:cols>
          <w:pgMar w:left="320" w:top="981" w:right="3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07" w:name="page108"/>
    <w:bookmarkEnd w:id="107"/>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Times New Roman" w:cs="Times New Roman" w:eastAsia="Times New Roman" w:hAnsi="Times New Roman"/>
          <w:sz w:val="18"/>
          <w:szCs w:val="18"/>
          <w:color w:val="000000"/>
        </w:rPr>
        <w:t>In addition, changing laws, regulations, and standards related to corporate governance and public disclosure are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To implement, maintain and improve the effectiveness of our disclosure controls and procedures, we will need to commit significant resources, hire additional staff and provide additional management oversight. </w:t>
      </w:r>
      <w:r>
        <w:rPr>
          <w:rFonts w:ascii="Times New Roman" w:cs="Times New Roman" w:eastAsia="Times New Roman" w:hAnsi="Times New Roman"/>
          <w:sz w:val="18"/>
          <w:szCs w:val="18"/>
          <w:color w:val="000000"/>
        </w:rPr>
        <w:t>To comply with the requirements of being a public company, we have undertaken,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expect to continue to further undertake in the future, various actions, such as hiring additional accounting staff and implementing new internal controls and procedures </w:t>
      </w:r>
      <w:r>
        <w:rPr>
          <w:rFonts w:ascii="Times New Roman" w:cs="Times New Roman" w:eastAsia="Times New Roman" w:hAnsi="Times New Roman"/>
          <w:sz w:val="18"/>
          <w:szCs w:val="18"/>
          <w:color w:val="231F20"/>
        </w:rPr>
        <w:t>for the purpose of addressing the standards and requirements applicable to public companies. Sustaining our growth also will require us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185"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7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the SEC’s internal control over financial reporting requirements. Internal control over financial reporting is complex and may be revised over time to adapt to changes in our business, or changes in applicable accounting rules.</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are required to report any control deficiencies that constitute a “material weakness” in our internal control over financial reporting. We cannot guarantee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spacing w:after="0" w:line="1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required to take write-downs or write-offs, restructuring and impairment or other charges that could have a significant negative effect on our financial condition, results of operations and stock price, which could cause our stockholders to lose some or all of their investment.</w:t>
      </w:r>
    </w:p>
    <w:p>
      <w:pPr>
        <w:spacing w:after="0" w:line="15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We may be required to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231F20"/>
        </w:rPr>
        <w:t>Risks Related to Our Common Stock</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price of our common stock has been, and may continue to be, volatile, and this volatility may negatively impact the trading price of our common stock and the Convertible Senior Notes.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stockholders’ investment in our securities and our securities may trade at prices significantly below the price stockholders paid for them. In such circumstances, the trading price of our securities may not recover and may experience a further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Factors affecting the trading price of our securities may include:</w:t>
      </w:r>
    </w:p>
    <w:p>
      <w:pPr>
        <w:spacing w:after="0" w:line="117"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conditions in the broader stock market in general, or in our industry in particular;</w:t>
      </w:r>
    </w:p>
    <w:p>
      <w:pPr>
        <w:spacing w:after="0" w:line="117" w:lineRule="exact"/>
        <w:rPr>
          <w:rFonts w:ascii="Times New Roman" w:cs="Times New Roman" w:eastAsia="Times New Roman" w:hAnsi="Times New Roman"/>
          <w:sz w:val="18"/>
          <w:szCs w:val="18"/>
          <w:color w:val="231F20"/>
        </w:rPr>
      </w:pPr>
    </w:p>
    <w:p>
      <w:pPr>
        <w:ind w:left="660" w:right="640" w:hanging="328"/>
        <w:spacing w:after="0" w:line="282" w:lineRule="auto"/>
        <w:tabs>
          <w:tab w:leader="none" w:pos="655"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fluctuations in our quarterly financial or operating results or the quarterly financial or operating results of companies perceived to be similar to ours;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market’s expectations about our operating results;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public’s reaction to financial projections and any other guidance or metrics that we may publicly disclose from time-to-time;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speculation in the press or investment community;</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developments in our business, competitors’ businesses or the competitive landscape generally;</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operating results failing to meet the expectation of securities analysts or investors in a particular period;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the achievement of objectives under our business plan and the timing and amount of costs we incur in connection therewith;</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financial estimates and recommendations by securities analysts concerning us or the market in general;</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operating and stock price performance of other companies that investors deem comparable to ours;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laws and regulations affecting our business;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commencement of, or involvement in, litigation or investigations involving us;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231F20"/>
        </w:rPr>
      </w:pPr>
    </w:p>
    <w:p>
      <w:pPr>
        <w:ind w:left="660" w:right="40" w:hanging="328"/>
        <w:spacing w:after="0" w:line="282" w:lineRule="auto"/>
        <w:tabs>
          <w:tab w:leader="none" w:pos="655"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volume of our common stock available for public sale, including as a result of conversion of our Convertible Senior Notes or our </w:t>
      </w:r>
      <w:r>
        <w:rPr>
          <w:rFonts w:ascii="Times New Roman" w:cs="Times New Roman" w:eastAsia="Times New Roman" w:hAnsi="Times New Roman"/>
          <w:sz w:val="18"/>
          <w:szCs w:val="18"/>
          <w:color w:val="000000"/>
        </w:rPr>
        <w:t>Redeemable</w:t>
      </w:r>
      <w:r>
        <w:rPr>
          <w:rFonts w:ascii="Times New Roman" w:cs="Times New Roman" w:eastAsia="Times New Roman" w:hAnsi="Times New Roman"/>
          <w:sz w:val="18"/>
          <w:szCs w:val="18"/>
          <w:color w:val="231F20"/>
        </w:rPr>
        <w:t xml:space="preserve"> Convertible Preferred Stock;</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any major change in our Board </w:t>
      </w:r>
      <w:r>
        <w:rPr>
          <w:rFonts w:ascii="Times New Roman" w:cs="Times New Roman" w:eastAsia="Times New Roman" w:hAnsi="Times New Roman"/>
          <w:sz w:val="18"/>
          <w:szCs w:val="18"/>
          <w:color w:val="000000"/>
        </w:rPr>
        <w:t>or management;</w:t>
      </w:r>
    </w:p>
    <w:p>
      <w:pPr>
        <w:spacing w:after="0" w:line="117" w:lineRule="exact"/>
        <w:rPr>
          <w:rFonts w:ascii="Times New Roman" w:cs="Times New Roman" w:eastAsia="Times New Roman" w:hAnsi="Times New Roman"/>
          <w:sz w:val="18"/>
          <w:szCs w:val="18"/>
          <w:color w:val="231F20"/>
        </w:rPr>
      </w:pPr>
    </w:p>
    <w:p>
      <w:pPr>
        <w:ind w:left="660" w:right="3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by our directors,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uncertainties in trade policies, the imposition or proposed imposition of tariffs, threat of trade war, recessions, interest rates, inflation, government closures of banks and liquidity concerns at financial institutions, changes in diplomatic and trade relationships, fluctuations in foreign currency exchange rates, acts of war or terrorism, and natural disasters;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listed in this section “Risk Factors.”</w:t>
      </w:r>
    </w:p>
    <w:p>
      <w:pPr>
        <w:spacing w:after="0" w:line="225"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 xml:space="preserve">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w:t>
      </w:r>
      <w:r>
        <w:rPr>
          <w:rFonts w:ascii="Times New Roman" w:cs="Times New Roman" w:eastAsia="Times New Roman" w:hAnsi="Times New Roman"/>
          <w:sz w:val="17"/>
          <w:szCs w:val="17"/>
          <w:color w:val="231F20"/>
        </w:rPr>
        <w:t>Convertible Senior</w:t>
      </w:r>
      <w:r>
        <w:rPr>
          <w:rFonts w:ascii="Times New Roman" w:cs="Times New Roman" w:eastAsia="Times New Roman" w:hAnsi="Times New Roman"/>
          <w:sz w:val="17"/>
          <w:szCs w:val="17"/>
          <w:color w:val="auto"/>
        </w:rPr>
        <w:t xml:space="preserve"> Notes regardless of our business, prospects, financial conditions or results of operations. Broad market and industry factors, including global or regional conflicts and other geopolitical events, natural disasters, and any other global pa</w:t>
      </w:r>
      <w:r>
        <w:rPr>
          <w:rFonts w:ascii="Times New Roman" w:cs="Times New Roman" w:eastAsia="Times New Roman" w:hAnsi="Times New Roman"/>
          <w:sz w:val="17"/>
          <w:szCs w:val="17"/>
          <w:color w:val="231F20"/>
        </w:rPr>
        <w:t>ndemics, as well as general economic,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political and market conditions such as recessions, inflation, </w:t>
      </w:r>
      <w:r>
        <w:rPr>
          <w:rFonts w:ascii="Times New Roman" w:cs="Times New Roman" w:eastAsia="Times New Roman" w:hAnsi="Times New Roman"/>
          <w:sz w:val="17"/>
          <w:szCs w:val="17"/>
          <w:color w:val="000000"/>
        </w:rPr>
        <w:t>government closures of banks and liquidity concerns at financial institutions,</w:t>
      </w:r>
      <w:r>
        <w:rPr>
          <w:rFonts w:ascii="Times New Roman" w:cs="Times New Roman" w:eastAsia="Times New Roman" w:hAnsi="Times New Roman"/>
          <w:sz w:val="17"/>
          <w:szCs w:val="17"/>
          <w:color w:val="231F20"/>
        </w:rPr>
        <w:t xml:space="preserve"> 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sectPr>
          <w:pgSz w:w="11900" w:h="16838" w:orient="portrait"/>
          <w:cols w:equalWidth="0" w:num="1">
            <w:col w:w="11180"/>
          </w:cols>
          <w:pgMar w:left="320" w:top="981" w:right="399" w:bottom="1440" w:gutter="0" w:footer="0" w:header="0"/>
        </w:sectPr>
      </w:pP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type w:val="continuous"/>
        </w:sectPr>
      </w:pPr>
    </w:p>
    <w:bookmarkStart w:id="109" w:name="page110"/>
    <w:bookmarkEnd w:id="109"/>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Furthermore, the stock markets in general, and the markets for technology and EV stocks in particular, have experienced extreme volatility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Convertible Senior Notes may impact the market price of our common stock, in particular during any redemption conversion period in connection with a redemption of the Convertible Senior Notes or any observation period for a conversion of the Convertible Senior Notes.</w:t>
      </w:r>
    </w:p>
    <w:p>
      <w:pPr>
        <w:spacing w:after="0" w:line="192"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231F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issuance of additional shares of our common stock or other equity or equity-linked securities, or sales of a significant portion of our common stock, could depress the market price of our common stock.</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Future issuan</w:t>
      </w:r>
      <w:r>
        <w:rPr>
          <w:rFonts w:ascii="Times New Roman" w:cs="Times New Roman" w:eastAsia="Times New Roman" w:hAnsi="Times New Roman"/>
          <w:sz w:val="18"/>
          <w:szCs w:val="18"/>
          <w:color w:val="000000"/>
        </w:rPr>
        <w:t>ces of shares of our common stock, or of securities convertible into or exercisable for our common stock, could depress the market price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 our common stock and result in significant dilution for holders of our common stock. The exercise of our outstanding warrants and options, the vesting and settlement of our restricted stock units and/or the conversion of our Convertible Senior Notes or of our Redeemable Convertible Preferred Stock would result in additional dilution to holders of our common stock. Similarly, the redemption or repurchase of our Redeemable Convertible Preferred Stock may result in additional dilution to holders of our common stock if, under the terms of our Redeemable Convertible Preferred Stock, we are then permitted, and elect, to satisfy our obligations in respect thereof by delivery of our common stock. In addition, we have agreed to issue shares of common stock under a subscription agreement to SMB Holding Corporation, a subsidiary of Uber, which will take place upon satisfaction of the customary closing conditions set forth therein.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spacing w:after="0" w:line="194"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market price of shares of our common </w:t>
      </w:r>
      <w:r>
        <w:rPr>
          <w:rFonts w:ascii="Times New Roman" w:cs="Times New Roman" w:eastAsia="Times New Roman" w:hAnsi="Times New Roman"/>
          <w:sz w:val="18"/>
          <w:szCs w:val="18"/>
          <w:color w:val="231F20"/>
        </w:rPr>
        <w:t>stock could decline as a result of substantial sales of common stock, particularly by our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stockholders, a large number of shares of common stock becoming available for sale or the perception in the market that holders of a large number of shares intend to sell their shares.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 addition, pursuant to the Investor Rights Agreement, Ayar, and certain other parties thereto are entitled to, among other things, certain registration rights, including demand, piggy-back and shelf registration rights with respect to its shares of common stock (including shares of common stock underlying the Redeemable Convertible Preferred Stock held by Ayar) and Ayar’s shares of the Redeemable Convertible Preferred Stock. If either pursuant to any registration statement filed pursuant to the Investor Rights Agreement or through another avenue, one or more of these stockholders were to sell a substantial portion of the securities they hold, including any common stock issued upon conversion, redemption or repurchase of our Redeemable Convertible Preferred Stock, it could cause the trading price of our common stock to decline. Furthermore, given Ayar’s substantial concentration in ownership of our common stock and the Redeemable Convertible Preferred Stock, if Ayar were to elect to sell in the open market or in private placement transactions, it could have the effect of increasing the volatility in our stock price or putting significant downward pressure on the price of our common stock.</w:t>
      </w:r>
    </w:p>
    <w:p>
      <w:pPr>
        <w:spacing w:after="0" w:line="18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Pursuant to the Series A Subscription Agreement and the Series B Subscription Agreement, Ayar has agreed to restrictions on the sale or transfer of shares of Redeemable Convertible Preferred Stock or any shares of common stock issued pursuant to the terms thereof held by it for a period of twelve months following the closing of the transaction. However, following the expiration of the lock-up period, Ayar will not be restricted from selling applicable securities, other than by applicable securities laws.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10" w:name="page111"/>
    <w:bookmarkEnd w:id="110"/>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w:t>
      </w:r>
      <w:r>
        <w:rPr>
          <w:rFonts w:ascii="Times New Roman" w:cs="Times New Roman" w:eastAsia="Times New Roman" w:hAnsi="Times New Roman"/>
          <w:sz w:val="18"/>
          <w:szCs w:val="18"/>
          <w:b w:val="1"/>
          <w:bCs w:val="1"/>
          <w:i w:val="1"/>
          <w:iCs w:val="1"/>
          <w:color w:val="231F20"/>
        </w:rPr>
        <w:t>n the meaning of the applicable Nasdaq rules and, as a result, qualify for exemptions from certain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31F20"/>
        </w:rPr>
        <w:t>governance requirements. Our stockholders will not have the same protections afforded to stockholders of companies that are not controlled companies.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As of June 30, 2025, the PIF, both directly and indirectly through A</w:t>
      </w:r>
      <w:r>
        <w:rPr>
          <w:rFonts w:ascii="Times New Roman" w:cs="Times New Roman" w:eastAsia="Times New Roman" w:hAnsi="Times New Roman"/>
          <w:sz w:val="18"/>
          <w:szCs w:val="18"/>
          <w:color w:val="000000"/>
        </w:rPr>
        <w:t>yar, held over 50% of t</w:t>
      </w:r>
      <w:r>
        <w:rPr>
          <w:rFonts w:ascii="Times New Roman" w:cs="Times New Roman" w:eastAsia="Times New Roman" w:hAnsi="Times New Roman"/>
          <w:sz w:val="18"/>
          <w:szCs w:val="18"/>
          <w:color w:val="231F20"/>
        </w:rPr>
        <w:t>he voting power for the election of our directors</w:t>
      </w:r>
      <w:r>
        <w:rPr>
          <w:rFonts w:ascii="Times New Roman" w:cs="Times New Roman" w:eastAsia="Times New Roman" w:hAnsi="Times New Roman"/>
          <w:sz w:val="18"/>
          <w:szCs w:val="18"/>
          <w:color w:val="000000"/>
        </w:rPr>
        <w:t>. As a result,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we are a “controlled company” within the meaning of the Nasdaq rules, and as a result, we qualify for exemptions from ce</w:t>
      </w:r>
      <w:r>
        <w:rPr>
          <w:rFonts w:ascii="Times New Roman" w:cs="Times New Roman" w:eastAsia="Times New Roman" w:hAnsi="Times New Roman"/>
          <w:sz w:val="18"/>
          <w:szCs w:val="18"/>
          <w:color w:val="231F20"/>
        </w:rPr>
        <w:t>rtain corporate governance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requirements. Under these rules, a company of which more than 50% of the voting power for the election of directors is held by an individual, group or another </w:t>
      </w:r>
      <w:r>
        <w:rPr>
          <w:rFonts w:ascii="Times New Roman" w:cs="Times New Roman" w:eastAsia="Times New Roman" w:hAnsi="Times New Roman"/>
          <w:sz w:val="18"/>
          <w:szCs w:val="18"/>
          <w:color w:val="000000"/>
        </w:rPr>
        <w:t>company is a “controlled company” and may elect not to comply with certain corporate governance requirements, including the requirements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eight directors to our Board.</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for so long as Ayar holds the Redeemable Convertible Preferred Stock and as result of the consent and voting rights of the Redeemable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Further, Ayar is entitled to receive additional shares of our common stock under the prepaid forward transaction entered into with the Forward Counterparty in connection with the pricing of the 2030 Notes. This concentration of ownership and voting power allows Ayar to exercise control over certain decisions, in particular with regards 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w:t>
      </w:r>
    </w:p>
    <w:p>
      <w:pPr>
        <w:spacing w:after="0" w:line="19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interests of Ayar may differ from the interests of our other stockholders and, as such, Ayar’s voting power and influence over us may decrease the relative interests of our other stockholders or of the Company. Such concentration of voting power could also have the effect of delaying, </w:t>
      </w:r>
      <w:r>
        <w:rPr>
          <w:rFonts w:ascii="Times New Roman" w:cs="Times New Roman" w:eastAsia="Times New Roman" w:hAnsi="Times New Roman"/>
          <w:sz w:val="18"/>
          <w:szCs w:val="18"/>
          <w:color w:val="231F20"/>
        </w:rPr>
        <w:t>deterring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Convertible Senior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PIF and Ayar beneficially own a significant equity interest in us and may take actions that conflict with other stockholders’ interests.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The interests of the PIF and Ayar may not align with our interests and the interests of our other stockholders or securityholders. The PIF and Ayar are each in the business of making investments in companies and may acquire and hold interests in businesses that compete directly or indirectly with us. The PIF and Ayar and their respective affiliates, may also pursue acquisition opportunities that may be c</w:t>
      </w:r>
      <w:r>
        <w:rPr>
          <w:rFonts w:ascii="Times New Roman" w:cs="Times New Roman" w:eastAsia="Times New Roman" w:hAnsi="Times New Roman"/>
          <w:sz w:val="18"/>
          <w:szCs w:val="18"/>
          <w:color w:val="000000"/>
        </w:rPr>
        <w:t>omplementary to our business and, as a result, those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acquisition opportunities may not be available to us.</w:t>
      </w:r>
    </w:p>
    <w:p>
      <w:pPr>
        <w:spacing w:after="0" w:line="176" w:lineRule="exact"/>
        <w:rPr>
          <w:sz w:val="20"/>
          <w:szCs w:val="20"/>
          <w:color w:val="auto"/>
        </w:rPr>
      </w:pPr>
    </w:p>
    <w:p>
      <w:pPr>
        <w:jc w:val="both"/>
        <w:ind w:right="9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3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for the foreseeable future.</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We have never declared or paid cash dividends on our capital stock, and we do not anticipate paying any cash dividends in the foreseeable future. In addition, the ABL Credit Facility, the DDTL Credit Facility and our </w:t>
      </w:r>
      <w:r>
        <w:rPr>
          <w:rFonts w:ascii="Times New Roman" w:cs="Times New Roman" w:eastAsia="Times New Roman" w:hAnsi="Times New Roman"/>
          <w:sz w:val="18"/>
          <w:szCs w:val="18"/>
          <w:color w:val="000000"/>
        </w:rPr>
        <w:t>Redeemable</w:t>
      </w:r>
      <w:r>
        <w:rPr>
          <w:rFonts w:ascii="Times New Roman" w:cs="Times New Roman" w:eastAsia="Times New Roman" w:hAnsi="Times New Roman"/>
          <w:sz w:val="18"/>
          <w:szCs w:val="18"/>
          <w:color w:val="231F20"/>
        </w:rPr>
        <w:t xml:space="preserve"> Convertible Preferred Stock limits our and certain of our subsidiaries’ ability to pay cash dividends. We currently intend to retain our future earnings, if any, for the foreseeable future, to fund the development and growth of our business.</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Any future determination to pay cash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our stockholders’ only source of gain on an investment in our common stock.</w:t>
      </w:r>
    </w:p>
    <w:p>
      <w:pPr>
        <w:sectPr>
          <w:pgSz w:w="11900" w:h="16838" w:orient="portrait"/>
          <w:cols w:equalWidth="0" w:num="1">
            <w:col w:w="11240"/>
          </w:cols>
          <w:pgMar w:left="320" w:top="981"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an active and liquid public market for our securities will be sustained.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a liquid trading market for our common stock is not sustained:</w:t>
      </w:r>
    </w:p>
    <w:p>
      <w:pPr>
        <w:spacing w:after="0" w:line="117"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common stock may not be able to liquidate their investment in shares of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common stock may not be able to resell their shares of our common stock at favorable prices, or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shares of our common stock may experience significant price volatility;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less efficiency in carrying out purchase and sale orders with respect to our common stock.</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Our stockholders may be unable to sell their securities unless a market can be established or sustained.</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w:t>
      </w:r>
      <w:r>
        <w:rPr>
          <w:rFonts w:ascii="Times New Roman" w:cs="Times New Roman" w:eastAsia="Times New Roman" w:hAnsi="Times New Roman"/>
          <w:sz w:val="18"/>
          <w:szCs w:val="18"/>
          <w:b w:val="1"/>
          <w:bCs w:val="1"/>
          <w:i w:val="1"/>
          <w:iCs w:val="1"/>
          <w:color w:val="231F20"/>
        </w:rPr>
        <w:t>or disputes with us or with our directors, officers or employees and may discourage stockholders from bringing such claims.</w:t>
      </w:r>
    </w:p>
    <w:p>
      <w:pPr>
        <w:spacing w:after="0" w:line="175"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231F20"/>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spacing w:after="0" w:line="68"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derivative action or proceeding brought on our behalf;</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of breach of a fiduciary duty owed by any of our directors, officers or employees to us or our stockholders;</w:t>
      </w:r>
    </w:p>
    <w:p>
      <w:pPr>
        <w:spacing w:after="0" w:line="117"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55"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or any of our directors or officers or other employees arising pursuant to any provision of the DGCL or our certificate of incorporation or bylaws (as either may be amended, restated, modified, supplemented or waived from time-to-time); or</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or any of our directors or officers or other employees governed by the internal affairs doctrine.</w:t>
      </w:r>
    </w:p>
    <w:p>
      <w:pPr>
        <w:spacing w:after="0" w:line="22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231F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92"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Some provisions of Delaware law, our current certificate of incorporation and our current bylaws, our Certificate of Designations and the indentures for the Convertible Senior Notes may deter third parties from acquiring us and diminish the value of our common stock, the Convertible Senior Notes and the </w:t>
      </w:r>
      <w:r>
        <w:rPr>
          <w:rFonts w:ascii="Times New Roman" w:cs="Times New Roman" w:eastAsia="Times New Roman" w:hAnsi="Times New Roman"/>
          <w:sz w:val="18"/>
          <w:szCs w:val="18"/>
          <w:b w:val="1"/>
          <w:bCs w:val="1"/>
          <w:i w:val="1"/>
          <w:iCs w:val="1"/>
          <w:color w:val="000000"/>
        </w:rPr>
        <w:t>Redeemable</w:t>
      </w:r>
      <w:r>
        <w:rPr>
          <w:rFonts w:ascii="Times New Roman" w:cs="Times New Roman" w:eastAsia="Times New Roman" w:hAnsi="Times New Roman"/>
          <w:sz w:val="18"/>
          <w:szCs w:val="18"/>
          <w:b w:val="1"/>
          <w:bCs w:val="1"/>
          <w:i w:val="1"/>
          <w:iCs w:val="1"/>
          <w:color w:val="231F20"/>
        </w:rPr>
        <w:t xml:space="preserve"> Convertible Preferred Stock.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current certificate of incorporation and our current bylaws provide for, among other things:</w:t>
      </w:r>
    </w:p>
    <w:p>
      <w:pPr>
        <w:spacing w:after="0" w:line="117" w:lineRule="exact"/>
        <w:rPr>
          <w:sz w:val="20"/>
          <w:szCs w:val="20"/>
          <w:color w:val="auto"/>
        </w:rPr>
      </w:pPr>
    </w:p>
    <w:p>
      <w:pPr>
        <w:ind w:left="660" w:right="560" w:hanging="328"/>
        <w:spacing w:after="0" w:line="282" w:lineRule="auto"/>
        <w:tabs>
          <w:tab w:leader="none" w:pos="655"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53" w:lineRule="exact"/>
        <w:rPr>
          <w:rFonts w:ascii="Times New Roman" w:cs="Times New Roman" w:eastAsia="Times New Roman" w:hAnsi="Times New Roman"/>
          <w:sz w:val="18"/>
          <w:szCs w:val="18"/>
          <w:color w:val="231F20"/>
        </w:rPr>
      </w:pPr>
    </w:p>
    <w:p>
      <w:pPr>
        <w:ind w:left="660" w:right="200" w:hanging="328"/>
        <w:spacing w:after="0" w:line="282" w:lineRule="auto"/>
        <w:tabs>
          <w:tab w:leader="none" w:pos="655"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Investor Rights Agreement, advance notice for nominations of directors by stockholders and for stockholders to include matters to be considered at stockholder meetings;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2" w:name="page113"/>
    <w:bookmarkEnd w:id="112"/>
    <w:p>
      <w:pPr>
        <w:ind w:left="660" w:hanging="328"/>
        <w:spacing w:after="0"/>
        <w:tabs>
          <w:tab w:leader="none" w:pos="66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limitations on convening special stockholder meetings.</w:t>
      </w:r>
    </w:p>
    <w:p>
      <w:pPr>
        <w:spacing w:after="0" w:line="22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68" w:lineRule="exact"/>
        <w:rPr>
          <w:sz w:val="20"/>
          <w:szCs w:val="20"/>
          <w:color w:val="auto"/>
        </w:rPr>
      </w:pPr>
    </w:p>
    <w:p>
      <w:pPr>
        <w:ind w:left="660" w:right="220" w:hanging="328"/>
        <w:spacing w:after="0" w:line="282" w:lineRule="auto"/>
        <w:tabs>
          <w:tab w:leader="none" w:pos="655"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prior to such time, the Board approved either the business combination or the transaction that resulted in the stockholder becoming an interested stockholder;</w:t>
      </w:r>
    </w:p>
    <w:p>
      <w:pPr>
        <w:spacing w:after="0" w:line="53" w:lineRule="exact"/>
        <w:rPr>
          <w:rFonts w:ascii="Times New Roman" w:cs="Times New Roman" w:eastAsia="Times New Roman" w:hAnsi="Times New Roman"/>
          <w:sz w:val="18"/>
          <w:szCs w:val="18"/>
          <w:color w:val="231F20"/>
        </w:rPr>
      </w:pPr>
    </w:p>
    <w:p>
      <w:pPr>
        <w:ind w:left="660" w:right="340" w:hanging="328"/>
        <w:spacing w:after="0" w:line="282" w:lineRule="auto"/>
        <w:tabs>
          <w:tab w:leader="none" w:pos="655"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53" w:lineRule="exact"/>
        <w:rPr>
          <w:rFonts w:ascii="Times New Roman" w:cs="Times New Roman" w:eastAsia="Times New Roman" w:hAnsi="Times New Roman"/>
          <w:sz w:val="18"/>
          <w:szCs w:val="18"/>
          <w:color w:val="231F20"/>
        </w:rPr>
      </w:pPr>
    </w:p>
    <w:p>
      <w:pPr>
        <w:ind w:left="660" w:right="20" w:hanging="328"/>
        <w:spacing w:after="0" w:line="282" w:lineRule="auto"/>
        <w:tabs>
          <w:tab w:leader="none" w:pos="655"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183"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addition, certain terms of our Redeemable Convertible Preferred Stock and the </w:t>
      </w:r>
      <w:r>
        <w:rPr>
          <w:rFonts w:ascii="Times New Roman" w:cs="Times New Roman" w:eastAsia="Times New Roman" w:hAnsi="Times New Roman"/>
          <w:sz w:val="18"/>
          <w:szCs w:val="18"/>
          <w:color w:val="231F20"/>
        </w:rPr>
        <w:t>Convertible Senior</w:t>
      </w:r>
      <w:r>
        <w:rPr>
          <w:rFonts w:ascii="Times New Roman" w:cs="Times New Roman" w:eastAsia="Times New Roman" w:hAnsi="Times New Roman"/>
          <w:sz w:val="18"/>
          <w:szCs w:val="18"/>
          <w:color w:val="auto"/>
        </w:rPr>
        <w:t xml:space="preserve"> Notes may make it more difficult for an entity to acquire us. As the current holder of our Convertible Preferred Stock, Ayar has certain repurchase, conversion and consent rights, including the right, at the option of Ayar, to require us to repurchase for cash or, if under the terms of our Redeemable Convertible Preferred Stock we are then permitted, and we so elect, shares of our common stock (or other securities to be received by a holder of common stock in such fundamental change) in connection with a fundamental change, based on the applicable Minimum Consideration. See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Risks Related to Financing and Strategic Transactions—</w:t>
      </w:r>
      <w:r>
        <w:rPr>
          <w:rFonts w:ascii="Times New Roman" w:cs="Times New Roman" w:eastAsia="Times New Roman" w:hAnsi="Times New Roman"/>
          <w:sz w:val="18"/>
          <w:szCs w:val="18"/>
          <w:i w:val="1"/>
          <w:iCs w:val="1"/>
          <w:color w:val="auto"/>
        </w:rPr>
        <w:t>Our 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Preferred Stock has rights, preferences and privileges that are not held by, and are senior to the rights of, our common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Similarly, the indentures governing the </w:t>
      </w:r>
      <w:r>
        <w:rPr>
          <w:rFonts w:ascii="Times New Roman" w:cs="Times New Roman" w:eastAsia="Times New Roman" w:hAnsi="Times New Roman"/>
          <w:sz w:val="18"/>
          <w:szCs w:val="18"/>
          <w:color w:val="231F20"/>
        </w:rPr>
        <w:t>Convertible Senior</w:t>
      </w:r>
      <w:r>
        <w:rPr>
          <w:rFonts w:ascii="Times New Roman" w:cs="Times New Roman" w:eastAsia="Times New Roman" w:hAnsi="Times New Roman"/>
          <w:sz w:val="18"/>
          <w:szCs w:val="18"/>
          <w:color w:val="auto"/>
        </w:rPr>
        <w:t xml:space="preserve"> Notes generally requires us, at the option of the holders, to repurchase the </w:t>
      </w:r>
      <w:r>
        <w:rPr>
          <w:rFonts w:ascii="Times New Roman" w:cs="Times New Roman" w:eastAsia="Times New Roman" w:hAnsi="Times New Roman"/>
          <w:sz w:val="18"/>
          <w:szCs w:val="18"/>
          <w:color w:val="231F20"/>
        </w:rPr>
        <w:t>Convertible Senior</w:t>
      </w:r>
      <w:r>
        <w:rPr>
          <w:rFonts w:ascii="Times New Roman" w:cs="Times New Roman" w:eastAsia="Times New Roman" w:hAnsi="Times New Roman"/>
          <w:sz w:val="18"/>
          <w:szCs w:val="18"/>
          <w:color w:val="auto"/>
        </w:rPr>
        <w:t xml:space="preserve"> Notes for cash upon the occurrence of a fundamental change and, in certain circumstances, to increase the conversion rate for a holder that converts its </w:t>
      </w:r>
      <w:r>
        <w:rPr>
          <w:rFonts w:ascii="Times New Roman" w:cs="Times New Roman" w:eastAsia="Times New Roman" w:hAnsi="Times New Roman"/>
          <w:sz w:val="18"/>
          <w:szCs w:val="18"/>
          <w:color w:val="231F20"/>
        </w:rPr>
        <w:t xml:space="preserve">Convertible Senior </w:t>
      </w:r>
      <w:r>
        <w:rPr>
          <w:rFonts w:ascii="Times New Roman" w:cs="Times New Roman" w:eastAsia="Times New Roman" w:hAnsi="Times New Roman"/>
          <w:sz w:val="18"/>
          <w:szCs w:val="18"/>
          <w:color w:val="000000"/>
        </w:rPr>
        <w:t>Notes in connection with a make-whole fundamental change, as defined in the indentures for the</w:t>
      </w:r>
      <w:r>
        <w:rPr>
          <w:rFonts w:ascii="Times New Roman" w:cs="Times New Roman" w:eastAsia="Times New Roman" w:hAnsi="Times New Roman"/>
          <w:sz w:val="18"/>
          <w:szCs w:val="18"/>
          <w:color w:val="231F20"/>
        </w:rPr>
        <w:t xml:space="preserve"> Convertible Senior </w:t>
      </w:r>
      <w:r>
        <w:rPr>
          <w:rFonts w:ascii="Times New Roman" w:cs="Times New Roman" w:eastAsia="Times New Roman" w:hAnsi="Times New Roman"/>
          <w:sz w:val="18"/>
          <w:szCs w:val="18"/>
          <w:color w:val="000000"/>
        </w:rPr>
        <w:t>Notes. These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provisions may make it more costly for a potential acquirer to engage in a business combination transaction with us.</w:t>
      </w:r>
    </w:p>
    <w:p>
      <w:pPr>
        <w:spacing w:after="0" w:line="19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These provisions in our current certificate of incorporation, our current bylaws, our Certificate of Designations and the indentures for the </w:t>
      </w:r>
      <w:r>
        <w:rPr>
          <w:rFonts w:ascii="Times New Roman" w:cs="Times New Roman" w:eastAsia="Times New Roman" w:hAnsi="Times New Roman"/>
          <w:sz w:val="18"/>
          <w:szCs w:val="18"/>
          <w:color w:val="231F20"/>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Senior </w:t>
      </w:r>
      <w:r>
        <w:rPr>
          <w:rFonts w:ascii="Times New Roman" w:cs="Times New Roman" w:eastAsia="Times New Roman" w:hAnsi="Times New Roman"/>
          <w:sz w:val="18"/>
          <w:szCs w:val="18"/>
          <w:color w:val="000000"/>
        </w:rPr>
        <w:t>Notes as well as D</w:t>
      </w:r>
      <w:r>
        <w:rPr>
          <w:rFonts w:ascii="Times New Roman" w:cs="Times New Roman" w:eastAsia="Times New Roman" w:hAnsi="Times New Roman"/>
          <w:sz w:val="18"/>
          <w:szCs w:val="18"/>
          <w:color w:val="231F20"/>
        </w:rPr>
        <w:t xml:space="preserve">elaware law could increase the cost and difficulty of acquiring us or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value of the Convertible Senior Notes or the </w:t>
      </w:r>
      <w:r>
        <w:rPr>
          <w:rFonts w:ascii="Times New Roman" w:cs="Times New Roman" w:eastAsia="Times New Roman" w:hAnsi="Times New Roman"/>
          <w:sz w:val="18"/>
          <w:szCs w:val="18"/>
          <w:color w:val="000000"/>
        </w:rPr>
        <w:t>Redeemable</w:t>
      </w:r>
      <w:r>
        <w:rPr>
          <w:rFonts w:ascii="Times New Roman" w:cs="Times New Roman" w:eastAsia="Times New Roman" w:hAnsi="Times New Roman"/>
          <w:sz w:val="18"/>
          <w:szCs w:val="18"/>
          <w:color w:val="231F20"/>
        </w:rPr>
        <w:t xml:space="preserve"> Convertible Preferred Stock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the Convertible Senior Notes or the </w:t>
      </w:r>
      <w:r>
        <w:rPr>
          <w:rFonts w:ascii="Times New Roman" w:cs="Times New Roman" w:eastAsia="Times New Roman" w:hAnsi="Times New Roman"/>
          <w:sz w:val="18"/>
          <w:szCs w:val="18"/>
          <w:color w:val="000000"/>
        </w:rPr>
        <w:t>Redeemable</w:t>
      </w:r>
      <w:r>
        <w:rPr>
          <w:rFonts w:ascii="Times New Roman" w:cs="Times New Roman" w:eastAsia="Times New Roman" w:hAnsi="Times New Roman"/>
          <w:sz w:val="18"/>
          <w:szCs w:val="18"/>
          <w:color w:val="231F20"/>
        </w:rPr>
        <w:t xml:space="preserve"> Convertible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none of the Company’s directors or officers adopted, modified or terminated a Rule 10b5-1 trading arrangement or a non-Rule 10b5-1 trading arrangement, as such terms are defined under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exhibits listed on the Exhibit Index to this Form 10-Q are filed herewith or incorporated by reference herein: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3" w:name="page114"/>
    <w:bookmarkEnd w:id="113"/>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32"/>
          </w:cols>
          <w:pgMar w:left="328" w:top="981"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34" w:lineRule="exact"/>
        <w:rPr>
          <w:sz w:val="20"/>
          <w:szCs w:val="20"/>
          <w:color w:val="auto"/>
        </w:rPr>
      </w:pPr>
    </w:p>
    <w:p>
      <w:pPr>
        <w:ind w:left="972" w:hanging="631"/>
        <w:spacing w:after="0" w:line="245" w:lineRule="auto"/>
        <w:tabs>
          <w:tab w:leader="none" w:pos="952"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w:t>
      </w:r>
      <w:r>
        <w:rPr>
          <w:sz w:val="20"/>
          <w:szCs w:val="20"/>
          <w:color w:val="auto"/>
        </w:rPr>
        <w:tab/>
      </w:r>
      <w:hyperlink r:id="rId139">
        <w:r>
          <w:rPr>
            <w:rFonts w:ascii="Times New Roman" w:cs="Times New Roman" w:eastAsia="Times New Roman" w:hAnsi="Times New Roman"/>
            <w:sz w:val="16"/>
            <w:szCs w:val="16"/>
            <w:u w:val="single" w:color="auto"/>
            <w:color w:val="0000FF"/>
          </w:rPr>
          <w:t>Indenture, dated as of April 8, 2025, between Lucid Group, Inc. and U.S. Bank Trust</w:t>
        </w:r>
      </w:hyperlink>
      <w:r>
        <w:rPr>
          <w:rFonts w:ascii="Times New Roman" w:cs="Times New Roman" w:eastAsia="Times New Roman" w:hAnsi="Times New Roman"/>
          <w:sz w:val="16"/>
          <w:szCs w:val="16"/>
          <w:u w:val="single" w:color="auto"/>
          <w:color w:val="0000FF"/>
        </w:rPr>
        <w:t xml:space="preserve"> </w:t>
      </w:r>
      <w:hyperlink r:id="rId139">
        <w:r>
          <w:rPr>
            <w:rFonts w:ascii="Times New Roman" w:cs="Times New Roman" w:eastAsia="Times New Roman" w:hAnsi="Times New Roman"/>
            <w:sz w:val="16"/>
            <w:szCs w:val="16"/>
            <w:u w:val="single" w:color="auto"/>
            <w:color w:val="0000FF"/>
          </w:rPr>
          <w:t>Company, National Association,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5486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8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Form</w:t>
            </w:r>
          </w:p>
        </w:tc>
        <w:tc>
          <w:tcPr>
            <w:tcW w:w="98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File</w:t>
            </w:r>
          </w:p>
        </w:tc>
        <w:tc>
          <w:tcPr>
            <w:tcW w:w="118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Filing</w:t>
            </w:r>
          </w:p>
        </w:tc>
        <w:tc>
          <w:tcPr>
            <w:tcW w:w="84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84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Filed</w:t>
            </w:r>
          </w:p>
        </w:tc>
      </w:tr>
      <w:tr>
        <w:trPr>
          <w:trHeight w:val="195"/>
        </w:trPr>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r>
      <w:tr>
        <w:trPr>
          <w:trHeight w:val="209"/>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001-39408</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8, 2025</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40" w:type="dxa"/>
            <w:vAlign w:val="bottom"/>
          </w:tcPr>
          <w:p>
            <w:pPr>
              <w:spacing w:after="0"/>
              <w:rPr>
                <w:sz w:val="18"/>
                <w:szCs w:val="18"/>
                <w:color w:val="auto"/>
              </w:rPr>
            </w:pPr>
          </w:p>
        </w:tc>
      </w:tr>
    </w:tbl>
    <w:p>
      <w:pPr>
        <w:spacing w:after="0" w:line="199" w:lineRule="exact"/>
        <w:rPr>
          <w:sz w:val="20"/>
          <w:szCs w:val="20"/>
          <w:color w:val="auto"/>
        </w:rPr>
      </w:pPr>
    </w:p>
    <w:p>
      <w:pPr>
        <w:sectPr>
          <w:pgSz w:w="11900" w:h="16838" w:orient="portrait"/>
          <w:cols w:equalWidth="0" w:num="2">
            <w:col w:w="6452" w:space="360"/>
            <w:col w:w="4420"/>
          </w:cols>
          <w:pgMar w:left="328" w:top="981" w:right="339" w:bottom="1440" w:gutter="0" w:footer="0" w:header="0"/>
          <w:type w:val="continuous"/>
        </w:sectPr>
      </w:pPr>
    </w:p>
    <w:tbl>
      <w:tblPr>
        <w:tblLayout w:type="fixed"/>
        <w:tblInd w:w="132" w:type="dxa"/>
        <w:tblCellMar>
          <w:top w:w="0" w:type="dxa"/>
          <w:left w:w="0" w:type="dxa"/>
          <w:bottom w:w="0" w:type="dxa"/>
          <w:right w:w="0" w:type="dxa"/>
        </w:tblCellMar>
      </w:tblPr>
      <w:tr>
        <w:trPr>
          <w:trHeight w:val="184"/>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4.2</w:t>
            </w:r>
          </w:p>
        </w:tc>
        <w:tc>
          <w:tcPr>
            <w:tcW w:w="5900" w:type="dxa"/>
            <w:vAlign w:val="bottom"/>
            <w:gridSpan w:val="17"/>
          </w:tcPr>
          <w:p>
            <w:pPr>
              <w:spacing w:after="0"/>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Form of certificate representing the 5.00% Convertible Senior Notes due 2030 (included</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001-39408</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8, 2025</w:t>
            </w:r>
          </w:p>
        </w:tc>
        <w:tc>
          <w:tcPr>
            <w:tcW w:w="134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w w:val="99"/>
              </w:rPr>
              <w:t>4.2</w:t>
            </w:r>
          </w:p>
        </w:tc>
      </w:tr>
      <w:tr>
        <w:trPr>
          <w:trHeight w:val="142"/>
        </w:trPr>
        <w:tc>
          <w:tcPr>
            <w:tcW w:w="840" w:type="dxa"/>
            <w:vAlign w:val="bottom"/>
          </w:tcPr>
          <w:p>
            <w:pPr>
              <w:spacing w:after="0"/>
              <w:rPr>
                <w:sz w:val="12"/>
                <w:szCs w:val="12"/>
                <w:color w:val="auto"/>
              </w:rPr>
            </w:pPr>
          </w:p>
        </w:tc>
        <w:tc>
          <w:tcPr>
            <w:tcW w:w="572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as Exhibit A to Exhibit 4.1)</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w:t>
            </w:r>
          </w:p>
        </w:tc>
        <w:tc>
          <w:tcPr>
            <w:tcW w:w="5900" w:type="dxa"/>
            <w:vAlign w:val="bottom"/>
            <w:gridSpan w:val="17"/>
          </w:tcPr>
          <w:p>
            <w:pPr>
              <w:spacing w:after="0"/>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Lucid Group, Inc. Amended and Restated 2021 Stock Incentive Plan (including the Lucid</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DEF</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001-39408</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24, 2025</w:t>
            </w:r>
          </w:p>
        </w:tc>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Annex A</w:t>
            </w:r>
          </w:p>
        </w:tc>
      </w:tr>
      <w:tr>
        <w:trPr>
          <w:trHeight w:val="142"/>
        </w:trPr>
        <w:tc>
          <w:tcPr>
            <w:tcW w:w="840" w:type="dxa"/>
            <w:vAlign w:val="bottom"/>
          </w:tcPr>
          <w:p>
            <w:pPr>
              <w:spacing w:after="0"/>
              <w:rPr>
                <w:sz w:val="12"/>
                <w:szCs w:val="12"/>
                <w:color w:val="auto"/>
              </w:rPr>
            </w:pPr>
          </w:p>
        </w:tc>
        <w:tc>
          <w:tcPr>
            <w:tcW w:w="580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Group, Inc. Amended and Restated 2021 Employee Stock Purchase Plan, attached</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14A</w:t>
            </w: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5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141">
              <w:r>
                <w:rPr>
                  <w:rFonts w:ascii="Times New Roman" w:cs="Times New Roman" w:eastAsia="Times New Roman" w:hAnsi="Times New Roman"/>
                  <w:sz w:val="16"/>
                  <w:szCs w:val="16"/>
                  <w:color w:val="0000FF"/>
                  <w:w w:val="96"/>
                </w:rPr>
                <w:t>thereto)</w:t>
              </w:r>
            </w:hyperlink>
          </w:p>
        </w:tc>
        <w:tc>
          <w:tcPr>
            <w:tcW w:w="4820" w:type="dxa"/>
            <w:vAlign w:val="bottom"/>
            <w:tcBorders>
              <w:top w:val="single" w:sz="8" w:color="0000FF"/>
            </w:tcBorders>
            <w:gridSpan w:val="7"/>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5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10.2</w:t>
            </w:r>
          </w:p>
        </w:tc>
        <w:tc>
          <w:tcPr>
            <w:tcW w:w="228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Form of Capped Call Confirmation</w:t>
              </w:r>
            </w:hyperlink>
          </w:p>
        </w:tc>
        <w:tc>
          <w:tcPr>
            <w:tcW w:w="3620" w:type="dxa"/>
            <w:vAlign w:val="bottom"/>
            <w:gridSpan w:val="13"/>
          </w:tcPr>
          <w:p>
            <w:pPr>
              <w:spacing w:after="0"/>
              <w:rPr>
                <w:sz w:val="21"/>
                <w:szCs w:val="2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001-39408</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8, 2025</w:t>
            </w:r>
          </w:p>
        </w:tc>
        <w:tc>
          <w:tcPr>
            <w:tcW w:w="1340" w:type="dxa"/>
            <w:vAlign w:val="bottom"/>
          </w:tcPr>
          <w:p>
            <w:pPr>
              <w:jc w:val="center"/>
              <w:ind w:right="399"/>
              <w:spacing w:after="0"/>
              <w:rPr>
                <w:sz w:val="20"/>
                <w:szCs w:val="20"/>
                <w:color w:val="auto"/>
              </w:rPr>
            </w:pPr>
            <w:r>
              <w:rPr>
                <w:rFonts w:ascii="Times New Roman" w:cs="Times New Roman" w:eastAsia="Times New Roman" w:hAnsi="Times New Roman"/>
                <w:sz w:val="16"/>
                <w:szCs w:val="16"/>
                <w:color w:val="auto"/>
              </w:rPr>
              <w:t>10.1</w:t>
            </w:r>
          </w:p>
        </w:tc>
      </w:tr>
      <w:tr>
        <w:trPr>
          <w:trHeight w:val="25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10.3</w:t>
            </w:r>
          </w:p>
        </w:tc>
        <w:tc>
          <w:tcPr>
            <w:tcW w:w="5900" w:type="dxa"/>
            <w:vAlign w:val="bottom"/>
            <w:gridSpan w:val="17"/>
          </w:tcPr>
          <w:p>
            <w:pPr>
              <w:spacing w:after="0"/>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Vehicle Production Agreement, dated July 16, 2025, by and between Lucid Group, Inc.</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001-39408</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17, 2025</w:t>
            </w:r>
          </w:p>
        </w:tc>
        <w:tc>
          <w:tcPr>
            <w:tcW w:w="1340" w:type="dxa"/>
            <w:vAlign w:val="bottom"/>
          </w:tcPr>
          <w:p>
            <w:pPr>
              <w:jc w:val="center"/>
              <w:ind w:right="399"/>
              <w:spacing w:after="0"/>
              <w:rPr>
                <w:sz w:val="20"/>
                <w:szCs w:val="20"/>
                <w:color w:val="auto"/>
              </w:rPr>
            </w:pPr>
            <w:r>
              <w:rPr>
                <w:rFonts w:ascii="Times New Roman" w:cs="Times New Roman" w:eastAsia="Times New Roman" w:hAnsi="Times New Roman"/>
                <w:sz w:val="16"/>
                <w:szCs w:val="16"/>
                <w:color w:val="auto"/>
              </w:rPr>
              <w:t>10.1</w:t>
            </w:r>
          </w:p>
        </w:tc>
      </w:tr>
      <w:tr>
        <w:trPr>
          <w:trHeight w:val="142"/>
        </w:trPr>
        <w:tc>
          <w:tcPr>
            <w:tcW w:w="840" w:type="dxa"/>
            <w:vAlign w:val="bottom"/>
          </w:tcPr>
          <w:p>
            <w:pPr>
              <w:spacing w:after="0"/>
              <w:rPr>
                <w:sz w:val="12"/>
                <w:szCs w:val="12"/>
                <w:color w:val="auto"/>
              </w:rPr>
            </w:pPr>
          </w:p>
        </w:tc>
        <w:tc>
          <w:tcPr>
            <w:tcW w:w="182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9"/>
              </w:rPr>
            </w:pPr>
            <w:hyperlink r:id="rId143">
              <w:r>
                <w:rPr>
                  <w:rFonts w:ascii="Times New Roman" w:cs="Times New Roman" w:eastAsia="Times New Roman" w:hAnsi="Times New Roman"/>
                  <w:sz w:val="16"/>
                  <w:szCs w:val="16"/>
                  <w:color w:val="0000FF"/>
                  <w:w w:val="99"/>
                </w:rPr>
                <w:t>and Uber Technologies, Inc.</w:t>
              </w:r>
            </w:hyperlink>
          </w:p>
        </w:tc>
        <w:tc>
          <w:tcPr>
            <w:tcW w:w="382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5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10.4</w:t>
            </w:r>
          </w:p>
        </w:tc>
        <w:tc>
          <w:tcPr>
            <w:tcW w:w="5900" w:type="dxa"/>
            <w:vAlign w:val="bottom"/>
            <w:gridSpan w:val="17"/>
          </w:tcPr>
          <w:p>
            <w:pPr>
              <w:spacing w:after="0"/>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Subscription Agreement, dated July 16, 2025, by and between Lucid Group, Inc. and</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001-39408</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17, 2025</w:t>
            </w:r>
          </w:p>
        </w:tc>
        <w:tc>
          <w:tcPr>
            <w:tcW w:w="1340" w:type="dxa"/>
            <w:vAlign w:val="bottom"/>
          </w:tcPr>
          <w:p>
            <w:pPr>
              <w:jc w:val="center"/>
              <w:ind w:right="399"/>
              <w:spacing w:after="0"/>
              <w:rPr>
                <w:sz w:val="20"/>
                <w:szCs w:val="20"/>
                <w:color w:val="auto"/>
              </w:rPr>
            </w:pPr>
            <w:r>
              <w:rPr>
                <w:rFonts w:ascii="Times New Roman" w:cs="Times New Roman" w:eastAsia="Times New Roman" w:hAnsi="Times New Roman"/>
                <w:sz w:val="16"/>
                <w:szCs w:val="16"/>
                <w:color w:val="auto"/>
              </w:rPr>
              <w:t>10.2</w:t>
            </w:r>
          </w:p>
        </w:tc>
      </w:tr>
      <w:tr>
        <w:trPr>
          <w:trHeight w:val="142"/>
        </w:trPr>
        <w:tc>
          <w:tcPr>
            <w:tcW w:w="840" w:type="dxa"/>
            <w:vAlign w:val="bottom"/>
          </w:tcPr>
          <w:p>
            <w:pPr>
              <w:spacing w:after="0"/>
              <w:rPr>
                <w:sz w:val="12"/>
                <w:szCs w:val="12"/>
                <w:color w:val="auto"/>
              </w:rPr>
            </w:pPr>
          </w:p>
        </w:tc>
        <w:tc>
          <w:tcPr>
            <w:tcW w:w="550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SMB Holding Corporation.</w:t>
              </w:r>
            </w:hyperlink>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31.1</w:t>
            </w:r>
          </w:p>
        </w:tc>
        <w:tc>
          <w:tcPr>
            <w:tcW w:w="590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Required Under Rule 13a-14(a) and 15d-</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86"/>
              </w:rPr>
              <w:t>X</w:t>
            </w:r>
          </w:p>
        </w:tc>
      </w:tr>
      <w:tr>
        <w:trPr>
          <w:trHeight w:val="142"/>
        </w:trPr>
        <w:tc>
          <w:tcPr>
            <w:tcW w:w="840" w:type="dxa"/>
            <w:vAlign w:val="bottom"/>
          </w:tcPr>
          <w:p>
            <w:pPr>
              <w:spacing w:after="0"/>
              <w:rPr>
                <w:sz w:val="12"/>
                <w:szCs w:val="12"/>
                <w:color w:val="auto"/>
              </w:rPr>
            </w:pPr>
          </w:p>
        </w:tc>
        <w:tc>
          <w:tcPr>
            <w:tcW w:w="552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14(a) of the Securities Exchange Act of 1934, as amended</w:t>
            </w: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31.2</w:t>
            </w:r>
          </w:p>
        </w:tc>
        <w:tc>
          <w:tcPr>
            <w:tcW w:w="590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Required Under Rule 13a-14(a) and 15d-14(a)</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86"/>
              </w:rPr>
              <w:t>X</w:t>
            </w:r>
          </w:p>
        </w:tc>
      </w:tr>
      <w:tr>
        <w:trPr>
          <w:trHeight w:val="142"/>
        </w:trPr>
        <w:tc>
          <w:tcPr>
            <w:tcW w:w="84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of the Securities Exchange Act of 1934, as amended</w:t>
            </w:r>
          </w:p>
        </w:tc>
        <w:tc>
          <w:tcPr>
            <w:tcW w:w="2440" w:type="dxa"/>
            <w:vAlign w:val="bottom"/>
            <w:tcBorders>
              <w:top w:val="single" w:sz="8" w:color="0000FF"/>
            </w:tcBorders>
            <w:gridSpan w:val="11"/>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5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32.1</w:t>
            </w:r>
          </w:p>
        </w:tc>
        <w:tc>
          <w:tcPr>
            <w:tcW w:w="590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86"/>
              </w:rPr>
              <w:t>X</w:t>
            </w:r>
          </w:p>
        </w:tc>
      </w:tr>
      <w:tr>
        <w:trPr>
          <w:trHeight w:val="142"/>
        </w:trPr>
        <w:tc>
          <w:tcPr>
            <w:tcW w:w="840" w:type="dxa"/>
            <w:vAlign w:val="bottom"/>
          </w:tcPr>
          <w:p>
            <w:pPr>
              <w:spacing w:after="0"/>
              <w:rPr>
                <w:sz w:val="12"/>
                <w:szCs w:val="12"/>
                <w:color w:val="auto"/>
              </w:rPr>
            </w:pPr>
          </w:p>
        </w:tc>
        <w:tc>
          <w:tcPr>
            <w:tcW w:w="5680" w:type="dxa"/>
            <w:vAlign w:val="bottom"/>
            <w:tcBorders>
              <w:top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906 of the Sarbanes-Oxley Act of 2002</w:t>
            </w:r>
          </w:p>
        </w:tc>
        <w:tc>
          <w:tcPr>
            <w:tcW w:w="220" w:type="dxa"/>
            <w:vAlign w:val="bottom"/>
            <w:gridSpan w:val="4"/>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32.2</w:t>
            </w:r>
          </w:p>
        </w:tc>
        <w:tc>
          <w:tcPr>
            <w:tcW w:w="590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86"/>
              </w:rPr>
              <w:t>X</w:t>
            </w:r>
          </w:p>
        </w:tc>
      </w:tr>
      <w:tr>
        <w:trPr>
          <w:trHeight w:val="142"/>
        </w:trPr>
        <w:tc>
          <w:tcPr>
            <w:tcW w:w="840" w:type="dxa"/>
            <w:vAlign w:val="bottom"/>
          </w:tcPr>
          <w:p>
            <w:pPr>
              <w:spacing w:after="0"/>
              <w:rPr>
                <w:sz w:val="12"/>
                <w:szCs w:val="12"/>
                <w:color w:val="auto"/>
              </w:rPr>
            </w:pPr>
          </w:p>
        </w:tc>
        <w:tc>
          <w:tcPr>
            <w:tcW w:w="5660" w:type="dxa"/>
            <w:vAlign w:val="bottom"/>
            <w:tcBorders>
              <w:top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906 of the Sarbanes-Oxley Act of 2002</w:t>
            </w:r>
          </w:p>
        </w:tc>
        <w:tc>
          <w:tcPr>
            <w:tcW w:w="240" w:type="dxa"/>
            <w:vAlign w:val="bottom"/>
            <w:gridSpan w:val="5"/>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6"/>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101.INS</w:t>
            </w:r>
          </w:p>
        </w:tc>
        <w:tc>
          <w:tcPr>
            <w:tcW w:w="59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 appear in the</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86"/>
              </w:rPr>
              <w:t>X</w:t>
            </w:r>
          </w:p>
        </w:tc>
      </w:tr>
      <w:tr>
        <w:trPr>
          <w:trHeight w:val="162"/>
        </w:trPr>
        <w:tc>
          <w:tcPr>
            <w:tcW w:w="840" w:type="dxa"/>
            <w:vAlign w:val="bottom"/>
          </w:tcPr>
          <w:p>
            <w:pPr>
              <w:spacing w:after="0"/>
              <w:rPr>
                <w:sz w:val="14"/>
                <w:szCs w:val="14"/>
                <w:color w:val="auto"/>
              </w:rPr>
            </w:pPr>
          </w:p>
        </w:tc>
        <w:tc>
          <w:tcPr>
            <w:tcW w:w="5900" w:type="dxa"/>
            <w:vAlign w:val="bottom"/>
            <w:gridSpan w:val="17"/>
          </w:tcPr>
          <w:p>
            <w:pPr>
              <w:spacing w:after="0" w:line="162" w:lineRule="exact"/>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 XBRL</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0"/>
        </w:trPr>
        <w:tc>
          <w:tcPr>
            <w:tcW w:w="840" w:type="dxa"/>
            <w:vAlign w:val="bottom"/>
          </w:tcPr>
          <w:p>
            <w:pPr>
              <w:spacing w:after="0"/>
              <w:rPr>
                <w:sz w:val="18"/>
                <w:szCs w:val="18"/>
                <w:color w:val="auto"/>
              </w:rPr>
            </w:pPr>
          </w:p>
        </w:tc>
        <w:tc>
          <w:tcPr>
            <w:tcW w:w="59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document)</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101.SCH</w:t>
            </w:r>
          </w:p>
        </w:tc>
        <w:tc>
          <w:tcPr>
            <w:tcW w:w="59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Schema Linkbase Document</w:t>
            </w: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86"/>
              </w:rPr>
              <w:t>X</w:t>
            </w:r>
          </w:p>
        </w:tc>
      </w:tr>
      <w:tr>
        <w:trPr>
          <w:trHeight w:val="27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101.CAL</w:t>
            </w:r>
          </w:p>
        </w:tc>
        <w:tc>
          <w:tcPr>
            <w:tcW w:w="59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Calculation Linkbase Document</w:t>
            </w: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86"/>
              </w:rPr>
              <w:t>X</w:t>
            </w:r>
          </w:p>
        </w:tc>
      </w:tr>
      <w:tr>
        <w:trPr>
          <w:trHeight w:val="27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101.DEF</w:t>
            </w:r>
          </w:p>
        </w:tc>
        <w:tc>
          <w:tcPr>
            <w:tcW w:w="59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Definition Linkbase Document</w:t>
            </w: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86"/>
              </w:rPr>
              <w:t>X</w:t>
            </w:r>
          </w:p>
        </w:tc>
      </w:tr>
      <w:tr>
        <w:trPr>
          <w:trHeight w:val="27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101.LAB</w:t>
            </w:r>
          </w:p>
        </w:tc>
        <w:tc>
          <w:tcPr>
            <w:tcW w:w="59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Labels Linkbase Document</w:t>
            </w: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86"/>
              </w:rPr>
              <w:t>X</w:t>
            </w:r>
          </w:p>
        </w:tc>
      </w:tr>
      <w:tr>
        <w:trPr>
          <w:trHeight w:val="270"/>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101.PRE</w:t>
            </w:r>
          </w:p>
        </w:tc>
        <w:tc>
          <w:tcPr>
            <w:tcW w:w="59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Presentation Linkbase Document</w:t>
            </w: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86"/>
              </w:rPr>
              <w:t>X</w:t>
            </w:r>
          </w:p>
        </w:tc>
      </w:tr>
      <w:tr>
        <w:trPr>
          <w:trHeight w:val="222"/>
        </w:trPr>
        <w:tc>
          <w:tcPr>
            <w:tcW w:w="8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104</w:t>
            </w:r>
          </w:p>
        </w:tc>
        <w:tc>
          <w:tcPr>
            <w:tcW w:w="59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4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86"/>
              </w:rPr>
              <w:t>X</w:t>
            </w:r>
          </w:p>
        </w:tc>
      </w:tr>
      <w:tr>
        <w:trPr>
          <w:trHeight w:val="210"/>
        </w:trPr>
        <w:tc>
          <w:tcPr>
            <w:tcW w:w="8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298" w:lineRule="exact"/>
        <w:rPr>
          <w:sz w:val="20"/>
          <w:szCs w:val="20"/>
          <w:color w:val="auto"/>
        </w:rPr>
      </w:pPr>
    </w:p>
    <w:p>
      <w:pPr>
        <w:ind w:left="272" w:hanging="272"/>
        <w:spacing w:after="0"/>
        <w:tabs>
          <w:tab w:leader="none" w:pos="27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5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81" w:right="339" w:bottom="1440" w:gutter="0" w:footer="0" w:header="0"/>
          <w:type w:val="continuous"/>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712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LUCID GROUP, INC.</w:t>
            </w:r>
          </w:p>
        </w:tc>
      </w:tr>
      <w:tr>
        <w:trPr>
          <w:trHeight w:val="48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712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Taoufiq Boussaid</w:t>
            </w:r>
          </w:p>
        </w:tc>
      </w:tr>
      <w:tr>
        <w:trPr>
          <w:trHeight w:val="218"/>
        </w:trPr>
        <w:tc>
          <w:tcPr>
            <w:tcW w:w="30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Taoufiq Boussaid</w:t>
            </w:r>
          </w:p>
        </w:tc>
      </w:tr>
      <w:tr>
        <w:trPr>
          <w:trHeight w:val="234"/>
        </w:trPr>
        <w:tc>
          <w:tcPr>
            <w:tcW w:w="30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54"/>
        </w:trPr>
        <w:tc>
          <w:tcPr>
            <w:tcW w:w="3080" w:type="dxa"/>
            <w:vAlign w:val="bottom"/>
          </w:tcPr>
          <w:p>
            <w:pPr>
              <w:spacing w:after="0"/>
              <w:rPr>
                <w:sz w:val="24"/>
                <w:szCs w:val="24"/>
                <w:color w:val="auto"/>
              </w:rPr>
            </w:pPr>
          </w:p>
        </w:tc>
        <w:tc>
          <w:tcPr>
            <w:tcW w:w="7120" w:type="dxa"/>
            <w:vAlign w:val="bottom"/>
            <w:gridSpan w:val="2"/>
          </w:tcPr>
          <w:p>
            <w:pPr>
              <w:jc w:val="right"/>
              <w:ind w:right="4370"/>
              <w:spacing w:after="0"/>
              <w:rPr>
                <w:sz w:val="20"/>
                <w:szCs w:val="20"/>
                <w:color w:val="auto"/>
              </w:rPr>
            </w:pPr>
            <w:r>
              <w:rPr>
                <w:rFonts w:ascii="Times New Roman" w:cs="Times New Roman" w:eastAsia="Times New Roman" w:hAnsi="Times New Roman"/>
                <w:sz w:val="18"/>
                <w:szCs w:val="18"/>
                <w:color w:val="auto"/>
              </w:rPr>
              <w:t>115</w:t>
            </w:r>
          </w:p>
        </w:tc>
      </w:tr>
    </w:tbl>
    <w:p>
      <w:pPr>
        <w:sectPr>
          <w:pgSz w:w="11900" w:h="16838" w:orient="portrait"/>
          <w:cols w:equalWidth="0" w:num="1">
            <w:col w:w="11220"/>
          </w:cols>
          <w:pgMar w:left="320" w:top="981" w:right="35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Winterhoff, certify that:</w:t>
      </w:r>
    </w:p>
    <w:p>
      <w:pPr>
        <w:spacing w:after="0" w:line="117"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Lucid Group,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Winterhoff</w:t>
            </w:r>
          </w:p>
        </w:tc>
      </w:tr>
      <w:tr>
        <w:trPr>
          <w:trHeight w:val="218"/>
        </w:trPr>
        <w:tc>
          <w:tcPr>
            <w:tcW w:w="5960" w:type="dxa"/>
            <w:vAlign w:val="bottom"/>
          </w:tcPr>
          <w:p>
            <w:pPr>
              <w:spacing w:after="0"/>
              <w:rPr>
                <w:sz w:val="18"/>
                <w:szCs w:val="18"/>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 Winterhoff</w:t>
            </w:r>
          </w:p>
        </w:tc>
      </w:tr>
      <w:tr>
        <w:trPr>
          <w:trHeight w:val="229"/>
        </w:trPr>
        <w:tc>
          <w:tcPr>
            <w:tcW w:w="596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4"/>
        </w:trPr>
        <w:tc>
          <w:tcPr>
            <w:tcW w:w="596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35"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Taoufiq Boussaid, certify that:</w:t>
      </w:r>
    </w:p>
    <w:p>
      <w:pPr>
        <w:spacing w:after="0" w:line="117"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Lucid Group,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Taoufiq Boussaid</w:t>
            </w:r>
          </w:p>
        </w:tc>
      </w:tr>
      <w:tr>
        <w:trPr>
          <w:trHeight w:val="218"/>
        </w:trPr>
        <w:tc>
          <w:tcPr>
            <w:tcW w:w="59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Taoufiq Boussaid</w:t>
            </w:r>
          </w:p>
        </w:tc>
      </w:tr>
      <w:tr>
        <w:trPr>
          <w:trHeight w:val="229"/>
        </w:trPr>
        <w:tc>
          <w:tcPr>
            <w:tcW w:w="596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96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035"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 (FURNISHED HEREWITH)</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 Marc Winterhoff, Interim Chief Executive Officer of Lucid Group, Inc. (the “Company”), certify, as of the date hereof and solely for purposes of and pursuant to 18 U.S.C. Section 1350 as adopted pursuant to Section 906 of the Sarbanes-Oxley Act of 2002, that, to my knowledge:</w:t>
      </w:r>
    </w:p>
    <w:p>
      <w:pPr>
        <w:spacing w:after="0" w:line="54" w:lineRule="exact"/>
        <w:rPr>
          <w:sz w:val="20"/>
          <w:szCs w:val="20"/>
          <w:color w:val="auto"/>
        </w:rPr>
      </w:pPr>
    </w:p>
    <w:p>
      <w:pPr>
        <w:ind w:left="820" w:hanging="326"/>
        <w:spacing w:after="0" w:line="282" w:lineRule="auto"/>
        <w:tabs>
          <w:tab w:leader="none" w:pos="8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June 30, 2025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Winterhoff</w:t>
            </w:r>
          </w:p>
        </w:tc>
      </w:tr>
      <w:tr>
        <w:trPr>
          <w:trHeight w:val="218"/>
        </w:trPr>
        <w:tc>
          <w:tcPr>
            <w:tcW w:w="5960" w:type="dxa"/>
            <w:vAlign w:val="bottom"/>
          </w:tcPr>
          <w:p>
            <w:pPr>
              <w:spacing w:after="0"/>
              <w:rPr>
                <w:sz w:val="18"/>
                <w:szCs w:val="18"/>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 Winterhoff</w:t>
            </w:r>
          </w:p>
        </w:tc>
      </w:tr>
      <w:tr>
        <w:trPr>
          <w:trHeight w:val="229"/>
        </w:trPr>
        <w:tc>
          <w:tcPr>
            <w:tcW w:w="596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4"/>
        </w:trPr>
        <w:tc>
          <w:tcPr>
            <w:tcW w:w="596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35"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 (FURNISHED HEREWITH)</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 Taoufiq Boussaid, Chief Financial Officer of Lucid Group, Inc. (the “Company”), certify, as of the date hereof and solely for purposes of and pursuant to 18 U.S.C. Section 1350 as adopted pursuant to Section 906 of the Sarbanes-Oxley Act of 2002, that, to my knowledge:</w:t>
      </w:r>
    </w:p>
    <w:p>
      <w:pPr>
        <w:spacing w:after="0" w:line="54" w:lineRule="exact"/>
        <w:rPr>
          <w:sz w:val="20"/>
          <w:szCs w:val="20"/>
          <w:color w:val="auto"/>
        </w:rPr>
      </w:pPr>
    </w:p>
    <w:p>
      <w:pPr>
        <w:ind w:left="820" w:hanging="326"/>
        <w:spacing w:after="0" w:line="282" w:lineRule="auto"/>
        <w:tabs>
          <w:tab w:leader="none" w:pos="8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June 30, 2025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Taoufiq Boussaid</w:t>
            </w:r>
          </w:p>
        </w:tc>
      </w:tr>
      <w:tr>
        <w:trPr>
          <w:trHeight w:val="218"/>
        </w:trPr>
        <w:tc>
          <w:tcPr>
            <w:tcW w:w="59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Taoufiq Boussaid</w:t>
            </w:r>
          </w:p>
        </w:tc>
      </w:tr>
      <w:tr>
        <w:trPr>
          <w:trHeight w:val="229"/>
        </w:trPr>
        <w:tc>
          <w:tcPr>
            <w:tcW w:w="596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96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lowerRoman"/>
      <w:start w:val="2"/>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0" Type="http://schemas.openxmlformats.org/officeDocument/2006/relationships/image" Target="media/image132.png"/><Relationship Id="rId145" Type="http://schemas.openxmlformats.org/officeDocument/2006/relationships/image" Target="media/image133.png"/><Relationship Id="rId139" Type="http://schemas.openxmlformats.org/officeDocument/2006/relationships/hyperlink" Target="https://www.sec.gov/Archives/edgar/data/1811210/000110465925033017/tm2511638d2_ex4-1.htm" TargetMode="External"/><Relationship Id="rId141" Type="http://schemas.openxmlformats.org/officeDocument/2006/relationships/hyperlink" Target="https://www.sec.gov/ix?doc=/Archives/edgar/data/0001811210/000110465925038701/tm2431387-2_def14a.htm#tANA" TargetMode="External"/><Relationship Id="rId142" Type="http://schemas.openxmlformats.org/officeDocument/2006/relationships/hyperlink" Target="https://www.sec.gov/Archives/edgar/data/1811210/000110465925033017/tm2511638d2_ex10-1.htm" TargetMode="External"/><Relationship Id="rId143" Type="http://schemas.openxmlformats.org/officeDocument/2006/relationships/hyperlink" Target="https://www.sec.gov/Archives/edgar/data/1811210/000110465925068552/tm2520956d2_ex10-1.htm" TargetMode="External"/><Relationship Id="rId144" Type="http://schemas.openxmlformats.org/officeDocument/2006/relationships/hyperlink" Target="https://www.sec.gov/Archives/edgar/data/1811210/000110465925068552/tm2520956d2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2025-08-05T15:24:04Z</dcterms:created>
  <dcterms:modified xsi:type="dcterms:W3CDTF">2025-08-05T15:24:04Z</dcterms:modified>
</cp:coreProperties>
</file>