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4"/>
          <w:szCs w:val="24"/>
          <w:color w:val="auto"/>
        </w:rPr>
      </w:pPr>
    </w:p>
    <w:p>
      <w:pPr>
        <w:spacing w:after="0" w:line="24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or Amendment of a Material Definitive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14, 2021, Lucid Group, Inc. (the “Company” or “Lucid”) issued $1,750,000,000 principal amount of its 1.25% Convertible Senior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were issued pursuant to, and are governed by,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December 14, 2021, between the Company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the purchase agreement between the Company and the initial purchasers of the Notes, the Company granted the initial purchasers an option, for settlement within a period of 13 days from, and including, December 14, 2021 to purchase up to an additional $262,500,000 principal amount of Notes.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will be the Company’s senior, unsecured obligations and will be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Notes will accrue interest at a rate of 1.25% per annum, payable semi-annually in arrears on June 15 and December 15 of each year, beginning on June 15, 2022. The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Notes will be redeemable, in whole or in part (subject to certain limitations described below), at the Company’s option at any time, and from time to time, on or after December 20, 2024 and on or before the 31st scheduled trading day immediately before the maturity date, at a cash redemption price equal to the principal amount of the Notes to be redeemed, plus accrued and unpaid interest, if any, to, but excluding, the redemption date, but only if certain liquidity conditions are satisfied and the last reported sale price per share of the Company’s common stock exceeds 130% of the conversion price on</w:t>
      </w:r>
    </w:p>
    <w:p>
      <w:pPr>
        <w:spacing w:after="0" w:line="1" w:lineRule="exact"/>
        <w:rPr>
          <w:sz w:val="20"/>
          <w:szCs w:val="20"/>
          <w:color w:val="auto"/>
        </w:rPr>
      </w:pPr>
    </w:p>
    <w:p>
      <w:pPr>
        <w:jc w:val="both"/>
        <w:ind w:firstLine="8"/>
        <w:spacing w:after="0" w:line="270" w:lineRule="auto"/>
        <w:tabs>
          <w:tab w:leader="none" w:pos="290"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However, the Company may not redeem less than all of the outstanding Notes unless at least $150.0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during the related redemption conversion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subsidiaries with respect to indebtedness for borrowed money of at least $100,000,000; and (vi) certain events of bankruptcy, insolvency and reorganization involving the Company or any of its significant subsidiaries.</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270 days at a specified rate per annum not exceeding 0.50% on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auto"/>
        </w:rPr>
        <w:t>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Off-Balance Sheet Arrangement.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in Item 1.01 above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disclosure set forth in Item 1.01 above is incorporated by reference into this Item 3.02. The Notes were issued to the initial purchasers in reliance upon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 transactions not involving any public offering. The Notes were initially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Assuming the initial purchasers fully exercise their option to purchase additional Notes, initially, a maximum of 55,106,677 shares of the Company’s common stock may be issued upon conversion of the Notes, based on the initial maximum conversion rate of 27.3822 shares of common stock per $1,000 principal amount of Notes, which is subject to customary anti-dilution adjustment provisions.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Shareholder Director Nominations.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13, 2021, the Board of Directors of the Company established June 9, 2022 as the date of the Company’s 2022 stockholder annual meeting (the “Annual Meeting”). Due to the fact that the Company’s stockholder meeting in 2021 was held on July 23, 2021, the Company is providing the due date for submissions of any qualified stockholder proposals.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Rule 14a-8(e) under the Securities Exchange Act of 1934, as amended (the “Exchange Act”), and the Company’s amended and restated bylaws (the “Bylaws”), the deadline for receipt of stockholder proposals for inclusion in the Company’s proxy statement for the Annual Meeting pursuant to Rule 14a-8 will be no later than December 31, 2021. Stockholder proposals must be received by December 31, 2021 at the Company's principal executive offices at 7373 Gateway Blvd., Newark, California, 94560, attention General Counsel and Corporate Secretary, and comply with all of the applicable requirements set forth in the rules and regulations of the Securities and Exchange Commission, including Rule 14a-8 under the Exchange Act and the Bylaws.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9, 2021, the Company issued a press release relating to the pricing of its offering of the Notes to qualified institutional buyers pursuant to Rule 144A under the Securities Act. A copy of the press release is attached as Exhibit 99.1 to this Current Report on Form 8-K and is incorporated by reference into this Item 8.01.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this Current Report on Form 8-K nor the press release constitutes an offer to sell, or the solicitation of an offer to buy, the Notes or the shares of the Company’s common stock, if any, issuable upon conversion of the Notes.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gridSpan w:val="5"/>
          </w:tcPr>
          <w:p>
            <w:pPr>
              <w:spacing w:after="0"/>
              <w:rPr>
                <w:sz w:val="20"/>
                <w:szCs w:val="20"/>
                <w:color w:val="auto"/>
              </w:rPr>
            </w:pPr>
            <w:r>
              <w:rPr>
                <w:rFonts w:ascii="Arial" w:cs="Arial" w:eastAsia="Arial" w:hAnsi="Arial"/>
                <w:sz w:val="18"/>
                <w:szCs w:val="18"/>
                <w:color w:val="auto"/>
              </w:rPr>
              <w:t>(d)</w:t>
            </w:r>
          </w:p>
        </w:tc>
        <w:tc>
          <w:tcPr>
            <w:tcW w:w="1120" w:type="dxa"/>
            <w:vAlign w:val="bottom"/>
          </w:tcPr>
          <w:p>
            <w:pPr>
              <w:ind w:left="60"/>
              <w:spacing w:after="0"/>
              <w:rPr>
                <w:sz w:val="20"/>
                <w:szCs w:val="20"/>
                <w:color w:val="auto"/>
              </w:rPr>
            </w:pPr>
            <w:r>
              <w:rPr>
                <w:rFonts w:ascii="Arial" w:cs="Arial" w:eastAsia="Arial" w:hAnsi="Arial"/>
                <w:sz w:val="18"/>
                <w:szCs w:val="18"/>
                <w:color w:val="auto"/>
              </w:rPr>
              <w:t>Exhibits.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Exhibit Number</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385"/>
        </w:trPr>
        <w:tc>
          <w:tcPr>
            <w:tcW w:w="320" w:type="dxa"/>
            <w:vAlign w:val="bottom"/>
            <w:gridSpan w:val="3"/>
          </w:tcPr>
          <w:p>
            <w:pPr>
              <w:ind w:left="100"/>
              <w:spacing w:after="0"/>
              <w:rPr>
                <w:rFonts w:ascii="Arial" w:cs="Arial" w:eastAsia="Arial" w:hAnsi="Arial"/>
                <w:sz w:val="18"/>
                <w:szCs w:val="18"/>
                <w:color w:val="0000EE"/>
                <w:w w:val="71"/>
              </w:rPr>
            </w:pPr>
            <w:hyperlink w:anchor="page5">
              <w:r>
                <w:rPr>
                  <w:rFonts w:ascii="Arial" w:cs="Arial" w:eastAsia="Arial" w:hAnsi="Arial"/>
                  <w:sz w:val="18"/>
                  <w:szCs w:val="18"/>
                  <w:color w:val="0000EE"/>
                  <w:w w:val="71"/>
                </w:rPr>
                <w:t>4.</w:t>
              </w:r>
              <w:r>
                <w:rPr>
                  <w:rFonts w:ascii="Arial" w:cs="Arial" w:eastAsia="Arial" w:hAnsi="Arial"/>
                  <w:sz w:val="18"/>
                  <w:szCs w:val="18"/>
                  <w:u w:val="single" w:color="auto"/>
                  <w:color w:val="0000EE"/>
                  <w:w w:val="71"/>
                </w:rPr>
                <w:t>1</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Indenture, dated as of December 14, 2021, between Lucid Group, Inc. and U.S. Bank National Association, as trustee.</w:t>
              </w:r>
            </w:hyperlink>
          </w:p>
        </w:tc>
        <w:tc>
          <w:tcPr>
            <w:tcW w:w="100" w:type="dxa"/>
            <w:vAlign w:val="bottom"/>
          </w:tcPr>
          <w:p>
            <w:pPr>
              <w:spacing w:after="0"/>
              <w:rPr>
                <w:sz w:val="24"/>
                <w:szCs w:val="24"/>
                <w:color w:val="auto"/>
              </w:rPr>
            </w:pPr>
          </w:p>
        </w:tc>
      </w:tr>
      <w:tr>
        <w:trPr>
          <w:trHeight w:val="20"/>
        </w:trPr>
        <w:tc>
          <w:tcPr>
            <w:tcW w:w="1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 w:type="dxa"/>
            <w:vAlign w:val="bottom"/>
            <w:gridSpan w:val="3"/>
          </w:tcPr>
          <w:p>
            <w:pPr>
              <w:ind w:left="100"/>
              <w:spacing w:after="0" w:line="196" w:lineRule="exact"/>
              <w:rPr>
                <w:rFonts w:ascii="Arial" w:cs="Arial" w:eastAsia="Arial" w:hAnsi="Arial"/>
                <w:sz w:val="18"/>
                <w:szCs w:val="18"/>
                <w:color w:val="0000EE"/>
                <w:w w:val="71"/>
              </w:rPr>
            </w:pPr>
            <w:hyperlink w:anchor="page5">
              <w:r>
                <w:rPr>
                  <w:rFonts w:ascii="Arial" w:cs="Arial" w:eastAsia="Arial" w:hAnsi="Arial"/>
                  <w:sz w:val="18"/>
                  <w:szCs w:val="18"/>
                  <w:color w:val="0000EE"/>
                  <w:w w:val="71"/>
                </w:rPr>
                <w:t>4.</w:t>
              </w:r>
              <w:r>
                <w:rPr>
                  <w:rFonts w:ascii="Arial" w:cs="Arial" w:eastAsia="Arial" w:hAnsi="Arial"/>
                  <w:sz w:val="18"/>
                  <w:szCs w:val="18"/>
                  <w:u w:val="single" w:color="auto"/>
                  <w:color w:val="0000EE"/>
                  <w:w w:val="71"/>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Form of certificate representing the 1.25% Convertible Senior Notes due 2026 (included as Exhibit A to Exhibit 4.1).</w:t>
              </w:r>
            </w:hyperlink>
          </w:p>
        </w:tc>
        <w:tc>
          <w:tcPr>
            <w:tcW w:w="100" w:type="dxa"/>
            <w:vAlign w:val="bottom"/>
          </w:tcPr>
          <w:p>
            <w:pPr>
              <w:spacing w:after="0"/>
              <w:rPr>
                <w:sz w:val="17"/>
                <w:szCs w:val="17"/>
                <w:color w:val="auto"/>
              </w:rPr>
            </w:pPr>
          </w:p>
        </w:tc>
      </w:tr>
      <w:tr>
        <w:trPr>
          <w:trHeight w:val="20"/>
        </w:trPr>
        <w:tc>
          <w:tcPr>
            <w:tcW w:w="1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0" w:type="dxa"/>
            <w:vAlign w:val="bottom"/>
            <w:gridSpan w:val="5"/>
          </w:tcPr>
          <w:p>
            <w:pPr>
              <w:ind w:left="10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Press Release, dated December 9, 2021.</w:t>
              </w:r>
            </w:hyperlink>
          </w:p>
        </w:tc>
        <w:tc>
          <w:tcPr>
            <w:tcW w:w="100" w:type="dxa"/>
            <w:vAlign w:val="bottom"/>
          </w:tcPr>
          <w:p>
            <w:pPr>
              <w:spacing w:after="0"/>
              <w:rPr>
                <w:sz w:val="17"/>
                <w:szCs w:val="17"/>
                <w:color w:val="auto"/>
              </w:rPr>
            </w:pPr>
          </w:p>
        </w:tc>
      </w:tr>
      <w:tr>
        <w:trPr>
          <w:trHeight w:val="20"/>
        </w:trPr>
        <w:tc>
          <w:tcPr>
            <w:tcW w:w="12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20" w:type="dxa"/>
            <w:vAlign w:val="bottom"/>
            <w:gridSpan w:val="4"/>
          </w:tcPr>
          <w:p>
            <w:pPr>
              <w:ind w:left="100"/>
              <w:spacing w:after="0"/>
              <w:rPr>
                <w:sz w:val="20"/>
                <w:szCs w:val="20"/>
                <w:color w:val="auto"/>
              </w:rPr>
            </w:pPr>
            <w:r>
              <w:rPr>
                <w:rFonts w:ascii="Arial" w:cs="Arial" w:eastAsia="Arial" w:hAnsi="Arial"/>
                <w:sz w:val="18"/>
                <w:szCs w:val="18"/>
                <w:color w:val="auto"/>
                <w:w w:val="99"/>
              </w:rPr>
              <w:t>104</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 w:type="dxa"/>
            <w:vAlign w:val="bottom"/>
          </w:tcPr>
          <w:p>
            <w:pPr>
              <w:spacing w:after="0"/>
              <w:rPr>
                <w:sz w:val="20"/>
                <w:szCs w:val="20"/>
                <w:color w:val="auto"/>
              </w:rPr>
            </w:pPr>
          </w:p>
        </w:tc>
      </w:tr>
      <w:tr>
        <w:trPr>
          <w:trHeight w:val="675"/>
        </w:trPr>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1.25% Convertible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3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372"/>
        </w:trPr>
        <w:tc>
          <w:tcPr>
            <w:tcW w:w="9380" w:type="dxa"/>
            <w:vAlign w:val="bottom"/>
          </w:tcPr>
          <w:p>
            <w:pPr>
              <w:spacing w:after="0"/>
              <w:rPr>
                <w:sz w:val="20"/>
                <w:szCs w:val="20"/>
                <w:color w:val="auto"/>
              </w:rPr>
            </w:pPr>
            <w:r>
              <w:rPr>
                <w:rFonts w:ascii="Arial" w:cs="Arial" w:eastAsia="Arial" w:hAnsi="Arial"/>
                <w:sz w:val="18"/>
                <w:szCs w:val="18"/>
                <w:color w:val="auto"/>
              </w:rPr>
              <w:t>Article 1 Definitions; Rules of Construction</w:t>
            </w:r>
          </w:p>
        </w:tc>
        <w:tc>
          <w:tcPr>
            <w:tcW w:w="15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1.01. Definitions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1.02. Other Definitions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1.03. Rules of Construction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2 The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2.01. Form, Dating and Denominations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2.02. Execution, Authentication and Delivery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2.03. Initial Notes and Additional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2.04. Method of Payment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2.05. Accrual of Interest; Defaulted Amounts; When Payment Date is Not a Business Day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2.06. Registrar, Paying Agent and Conversion Agent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2.07. Paying Agent and Conversion Agent to Hold Property in Trust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2.08. Holder Lists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2.09. Legends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2.10. Transfers and Exchanges; Certain Transfer Restrictions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2.11. Exchange and Cancellation of Notes to Be Converted, Redeemed or Repurchased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2.12. Replacement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2.13. Registered Holders; Certain Rights with Respect to Global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2.14. Cancellation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2.15. Notes Held by the Company or its Affiliates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2.16. Temporary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2.17. Outstanding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2.18. Repurchases by the Company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2.19. CUSIP and ISIN Numbers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3 Covenants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3.01. Payment on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3.02. Exchange Act Reports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3.03. Rule 144A Information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3.04. Additional Interest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3.05. Compliance and Default Certificates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3.06. Stay, Extension and Usury Laws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3.07. Restriction on Acquisition of Notes by the Company and its Affiliates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4 Repurchase and Redemption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4.01. No Sinking Fund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4.02. Right of Holders to Require the Company to Repurchase Notes upon a Fundamental Change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4.03. Right of the Company to Redeem the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740" w:type="dxa"/>
            <w:vAlign w:val="bottom"/>
          </w:tcPr>
          <w:p>
            <w:pPr>
              <w:spacing w:after="0"/>
              <w:rPr>
                <w:sz w:val="20"/>
                <w:szCs w:val="20"/>
                <w:color w:val="auto"/>
              </w:rPr>
            </w:pPr>
            <w:r>
              <w:rPr>
                <w:rFonts w:ascii="Arial" w:cs="Arial" w:eastAsia="Arial" w:hAnsi="Arial"/>
                <w:sz w:val="18"/>
                <w:szCs w:val="18"/>
                <w:color w:val="auto"/>
              </w:rPr>
              <w:t>Article 5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5.01. Right to Convert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5.02. Conversion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5.03. Settlement upon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5.04. Reserve and Status of Common Stock Issued upon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5.05. Adjustments to the Conversion Rate</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5.06. Voluntary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5.07. Adjustments to the Conversion Rate in Connection with a Make-Whole Fundamental Change</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5.08. Exchange in Lieu of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5.09. Effect of Common Stock Change Event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6 Successors</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6.01. When the Company May Merge, Etc.</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6.02. Successor Entity Substituted</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6.03. Exclusion for Asset Transfers with Wholly Owned Subsidiaries</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7 Defaults and 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7.01. Events of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7.02. Acceleration</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7.03. Sole Remedy for a Failure to Report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7.04. Other 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7.05. Waiver of Past Defaults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7.06. Control by Majority</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7.07. Limitation on Suits</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w w:val="94"/>
              </w:rPr>
              <w:t>Section 7.08. Absolute Right of Holders to Institute Suit for the Enforcement of the Right to Receive Payment and Conversion Consideration</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7.09. Collection Suit by Trustee</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7.10. Trustee May File Proofs of Claim</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7.11. Priorities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7.12. Undertaking for Costs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8 Amendments, Supplements and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8.01. Without the Consent of 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8.02. With the Consent of 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8.03. Notice of Amendments, Supplements and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8.04. Revocation, Effect and Solicitation of Consents; Special Record Dates; Etc.</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8.05. Notations and Exchanges</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8.06. Trustee to Execute Supplemental Indentures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9 Satisfaction and Discharge</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9.01. Termination of Company’s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9.02. Repayment to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9.03. Reinstatement</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Article 10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7"/>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10.01. Duties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10.02. Rights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10.03. Individual Rights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10.04. Trustee’s Disclaimer</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10.05. Notice of Defaults</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10.06. Compensation and Indemnity</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10.07. Replacement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10.08. Successor Trustee by Merger, Etc.</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10.09. Eligibility; Disqualification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51"/>
        </w:trPr>
        <w:tc>
          <w:tcPr>
            <w:tcW w:w="91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37"/>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11.01. Notices</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11.02. Delivery of Officer’s Certificate and Opinion of Counsel as to Conditions Precedent</w:t>
            </w:r>
          </w:p>
        </w:tc>
        <w:tc>
          <w:tcPr>
            <w:tcW w:w="2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11.03. Statements Required in Officer’s Certificate and Opinion of Counsel</w:t>
            </w:r>
          </w:p>
        </w:tc>
        <w:tc>
          <w:tcPr>
            <w:tcW w:w="2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11.04. Rules by the Trustee, the Registrar, the Paying Agent and the Conversion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11.05. No Personal Liability of Directors, Officers, Employees and Stockholders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11.06. Governing Law; Waiver of Jury Trial</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11.07. Submission to Jurisdiction</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11.08. No Adverse Interpretation of Other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11.09. Successors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11.10. Force Majeure</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11.11. U.S.A. PATRIOT Act</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11.12. Calculations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11.13. Severability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11.14. 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11.15. Table of Contents, Headings, Etc.</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11.16. Withholding Taxes</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91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1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9120" w:type="dxa"/>
            <w:vAlign w:val="bottom"/>
            <w:gridSpan w:val="2"/>
          </w:tcPr>
          <w:p>
            <w:pPr>
              <w:spacing w:after="0"/>
              <w:rPr>
                <w:sz w:val="20"/>
                <w:szCs w:val="20"/>
                <w:color w:val="auto"/>
              </w:rPr>
            </w:pPr>
            <w:r>
              <w:rPr>
                <w:rFonts w:ascii="Arial" w:cs="Arial" w:eastAsia="Arial" w:hAnsi="Arial"/>
                <w:sz w:val="18"/>
                <w:szCs w:val="18"/>
                <w:color w:val="auto"/>
              </w:rPr>
              <w:t>Exhibit A: Form of Note</w:t>
            </w:r>
          </w:p>
        </w:tc>
        <w:tc>
          <w:tcPr>
            <w:tcW w:w="21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97"/>
        </w:trPr>
        <w:tc>
          <w:tcPr>
            <w:tcW w:w="9120" w:type="dxa"/>
            <w:vAlign w:val="bottom"/>
            <w:gridSpan w:val="2"/>
          </w:tcPr>
          <w:p>
            <w:pPr>
              <w:spacing w:after="0"/>
              <w:rPr>
                <w:sz w:val="20"/>
                <w:szCs w:val="20"/>
                <w:color w:val="auto"/>
              </w:rPr>
            </w:pPr>
            <w:r>
              <w:rPr>
                <w:rFonts w:ascii="Arial" w:cs="Arial" w:eastAsia="Arial" w:hAnsi="Arial"/>
                <w:sz w:val="18"/>
                <w:szCs w:val="18"/>
                <w:color w:val="auto"/>
              </w:rPr>
              <w:t>Exhibit B-1: Form of Restricted Note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B1-1</w:t>
            </w:r>
          </w:p>
        </w:tc>
      </w:tr>
      <w:tr>
        <w:trPr>
          <w:trHeight w:val="283"/>
        </w:trPr>
        <w:tc>
          <w:tcPr>
            <w:tcW w:w="9120" w:type="dxa"/>
            <w:vAlign w:val="bottom"/>
            <w:gridSpan w:val="2"/>
          </w:tcPr>
          <w:p>
            <w:pPr>
              <w:spacing w:after="0"/>
              <w:rPr>
                <w:sz w:val="20"/>
                <w:szCs w:val="20"/>
                <w:color w:val="auto"/>
              </w:rPr>
            </w:pPr>
            <w:r>
              <w:rPr>
                <w:rFonts w:ascii="Arial" w:cs="Arial" w:eastAsia="Arial" w:hAnsi="Arial"/>
                <w:sz w:val="18"/>
                <w:szCs w:val="18"/>
                <w:color w:val="auto"/>
              </w:rPr>
              <w:t>Exhibit B-2: Form of Global Note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B2-1</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Exhibit B-3: Form of Non-Affiliate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B3-1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jc w:val="both"/>
        <w:ind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December 14, 2021, between Lucid Group,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and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to this Indenture (as defined below) agrees as follows for the benefit of the other party and for the equal and ratable benefit of the Holders (as defined below) of the Company’s 1.25% Convertible Senior Notes due 2026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66" w:lineRule="exact"/>
        <w:rPr>
          <w:sz w:val="20"/>
          <w:szCs w:val="20"/>
          <w:color w:val="auto"/>
        </w:rPr>
      </w:pPr>
    </w:p>
    <w:p>
      <w:pPr>
        <w:ind w:left="3220"/>
        <w:spacing w:after="0"/>
        <w:tabs>
          <w:tab w:leader="none" w:pos="43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 RULES OF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Denomination</w:t>
      </w:r>
      <w:r>
        <w:rPr>
          <w:rFonts w:ascii="Arial" w:cs="Arial" w:eastAsia="Arial" w:hAnsi="Arial"/>
          <w:sz w:val="18"/>
          <w:szCs w:val="18"/>
          <w:color w:val="auto"/>
        </w:rPr>
        <w:t>” means, with respect to a Note, a principal amount thereof equal to $1,000 or any integral multiple of $1,000 in excess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xml:space="preserve">” means the Person who is required to obtain bids for the Trading Price in accordance with </w:t>
      </w:r>
      <w:r>
        <w:rPr>
          <w:rFonts w:ascii="Arial" w:cs="Arial" w:eastAsia="Arial" w:hAnsi="Arial"/>
          <w:sz w:val="18"/>
          <w:szCs w:val="18"/>
          <w:b w:val="1"/>
          <w:bCs w:val="1"/>
          <w:color w:val="auto"/>
        </w:rPr>
        <w:t>Section 5.01(C)(i)(2)</w:t>
      </w:r>
      <w:r>
        <w:rPr>
          <w:rFonts w:ascii="Arial" w:cs="Arial" w:eastAsia="Arial" w:hAnsi="Arial"/>
          <w:sz w:val="18"/>
          <w:szCs w:val="18"/>
          <w:color w:val="auto"/>
        </w:rPr>
        <w:t xml:space="preserve"> and the definition of “Trading Price.” The initial Bid Solicitation Agent on the Issue Date will be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appoint any other Person (including any of the Company’s Subsidiaries) to be the Bid Solicitation Agent at any time after the Issue Date without prior notice to the 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the Federal Reserve Bank of New York is authorized or required by law or executive order to close or be closed.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Class A common stock, $0.0001 par value per share, of the Company, subject to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the Person named as such in the first paragraph of this Indenture and, subject to </w:t>
      </w:r>
      <w:r>
        <w:rPr>
          <w:rFonts w:ascii="Arial" w:cs="Arial" w:eastAsia="Arial" w:hAnsi="Arial"/>
          <w:sz w:val="18"/>
          <w:szCs w:val="18"/>
          <w:b w:val="1"/>
          <w:bCs w:val="1"/>
          <w:color w:val="auto"/>
        </w:rPr>
        <w:t>Article 6</w:t>
      </w:r>
      <w:r>
        <w:rPr>
          <w:rFonts w:ascii="Arial" w:cs="Arial" w:eastAsia="Arial" w:hAnsi="Arial"/>
          <w:sz w:val="18"/>
          <w:szCs w:val="18"/>
          <w:color w:val="auto"/>
        </w:rPr>
        <w:t>, its successors and assigns.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request or order signed on behalf of the Company by one (1) of its Officers and delivered to the Trustee.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means, with respect to a Note, the first Business Day on which the requirements set forth in </w:t>
      </w:r>
      <w:r>
        <w:rPr>
          <w:rFonts w:ascii="Arial" w:cs="Arial" w:eastAsia="Arial" w:hAnsi="Arial"/>
          <w:sz w:val="18"/>
          <w:szCs w:val="18"/>
          <w:b w:val="1"/>
          <w:bCs w:val="1"/>
          <w:color w:val="auto"/>
        </w:rPr>
        <w:t>Section 5.02(A)</w:t>
      </w:r>
      <w:r>
        <w:rPr>
          <w:rFonts w:ascii="Arial" w:cs="Arial" w:eastAsia="Arial" w:hAnsi="Arial"/>
          <w:sz w:val="18"/>
          <w:szCs w:val="18"/>
          <w:color w:val="auto"/>
        </w:rPr>
        <w:t xml:space="preserve"> to convert such Note are satisfied, subject to </w:t>
      </w:r>
      <w:r>
        <w:rPr>
          <w:rFonts w:ascii="Arial" w:cs="Arial" w:eastAsia="Arial" w:hAnsi="Arial"/>
          <w:sz w:val="18"/>
          <w:szCs w:val="18"/>
          <w:b w:val="1"/>
          <w:bCs w:val="1"/>
          <w:color w:val="auto"/>
        </w:rPr>
        <w:t>Section 5.03(C)</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an amount equal to (A) one thousand dollars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Conversion Rate in effect at such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xml:space="preserve">” initially means 18.2548 shares of Common Stock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Conversion Rate is subject to adjustment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w:t>
      </w:r>
      <w:r>
        <w:rPr>
          <w:rFonts w:ascii="Arial" w:cs="Arial" w:eastAsia="Arial" w:hAnsi="Arial"/>
          <w:sz w:val="18"/>
          <w:szCs w:val="18"/>
          <w:color w:val="auto"/>
        </w:rPr>
        <w:t>” means any share of Common Stock issued or issuable upon conversion of any Note.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Cash Amount</w:t>
      </w:r>
      <w:r>
        <w:rPr>
          <w:rFonts w:ascii="Arial" w:cs="Arial" w:eastAsia="Arial" w:hAnsi="Arial"/>
          <w:sz w:val="18"/>
          <w:szCs w:val="18"/>
          <w:color w:val="auto"/>
        </w:rPr>
        <w:t>” means, with respect to any VWAP Trading Day, the lesser of (A) the applicable Daily Maximum Cash Amount; and (B) the Daily Conversion Value for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with respect to any VWAP Trading Day, one-thirtieth (1/30th) of the product of (A) the Conversion Rate on such VWAP Trading Day; and (B) the Daily VWAP per share of Common Stock on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Maximum Cash Amount</w:t>
      </w:r>
      <w:r>
        <w:rPr>
          <w:rFonts w:ascii="Arial" w:cs="Arial" w:eastAsia="Arial" w:hAnsi="Arial"/>
          <w:sz w:val="18"/>
          <w:szCs w:val="18"/>
          <w:color w:val="auto"/>
        </w:rPr>
        <w:t>” means, with respect to the conversion of any Note, the quotient obtained by dividing (A) the Specified Dollar Amount applicable to such conversion by (B) thirty (30).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Share Amount</w:t>
      </w:r>
      <w:r>
        <w:rPr>
          <w:rFonts w:ascii="Arial" w:cs="Arial" w:eastAsia="Arial" w:hAnsi="Arial"/>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any VWAP Trading Day, the per share volume-weighted average price of the Common Stock as displayed under the heading “Bloomberg VWAP” on Bloomberg page “LCID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Settlement Method</w:t>
      </w:r>
      <w:r>
        <w:rPr>
          <w:rFonts w:ascii="Arial" w:cs="Arial" w:eastAsia="Arial" w:hAnsi="Arial"/>
          <w:sz w:val="18"/>
          <w:szCs w:val="18"/>
          <w:color w:val="auto"/>
        </w:rPr>
        <w:t xml:space="preserve">” means Physical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the Company may, from time to time, change the Default Settlement Method by (x) sending notice of the new Default Settlement Method to the Holders, the Trustee and the Conversion Agent and (y) by disclosing the new Default Settlement Method on its website or in a Current Report on Form 8-K (or any successor form) that is filed with, or furnished to, the SEC; and (B) the Default Settlement Method will be subject to </w:t>
      </w:r>
      <w:r>
        <w:rPr>
          <w:rFonts w:ascii="Arial" w:cs="Arial" w:eastAsia="Arial" w:hAnsi="Arial"/>
          <w:sz w:val="18"/>
          <w:szCs w:val="18"/>
          <w:b w:val="1"/>
          <w:bCs w:val="1"/>
          <w:color w:val="auto"/>
        </w:rPr>
        <w:t>Section 5.03(A)(ii)</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Participant</w:t>
      </w:r>
      <w:r>
        <w:rPr>
          <w:rFonts w:ascii="Arial" w:cs="Arial" w:eastAsia="Arial" w:hAnsi="Arial"/>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Procedures</w:t>
      </w:r>
      <w:r>
        <w:rPr>
          <w:rFonts w:ascii="Arial" w:cs="Arial" w:eastAsia="Arial" w:hAnsi="Arial"/>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Fundamental Change</w:t>
      </w:r>
      <w:r>
        <w:rPr>
          <w:rFonts w:ascii="Arial" w:cs="Arial" w:eastAsia="Arial" w:hAnsi="Arial"/>
          <w:sz w:val="18"/>
          <w:szCs w:val="18"/>
          <w:color w:val="auto"/>
        </w:rPr>
        <w:t xml:space="preserve">” means any Fundamental Change with respect to which, in accordance with </w:t>
      </w:r>
      <w:r>
        <w:rPr>
          <w:rFonts w:ascii="Arial" w:cs="Arial" w:eastAsia="Arial" w:hAnsi="Arial"/>
          <w:sz w:val="18"/>
          <w:szCs w:val="18"/>
          <w:b w:val="1"/>
          <w:bCs w:val="1"/>
          <w:color w:val="auto"/>
        </w:rPr>
        <w:t>Section 4.02(I)</w:t>
      </w:r>
      <w:r>
        <w:rPr>
          <w:rFonts w:ascii="Arial" w:cs="Arial" w:eastAsia="Arial" w:hAnsi="Arial"/>
          <w:sz w:val="18"/>
          <w:szCs w:val="18"/>
          <w:color w:val="auto"/>
        </w:rPr>
        <w:t>, the Company does not offer to repurchase any Notes.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Freely Tradable</w:t>
      </w:r>
      <w:r>
        <w:rPr>
          <w:rFonts w:ascii="Arial" w:cs="Arial" w:eastAsia="Arial" w:hAnsi="Arial"/>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jc w:val="both"/>
        <w:ind w:firstLine="656"/>
        <w:spacing w:after="0" w:line="259" w:lineRule="auto"/>
        <w:tabs>
          <w:tab w:leader="none" w:pos="1248"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(w) Company,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Company’s then-outstanding Common Stock;</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206"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w:t>
      </w:r>
    </w:p>
    <w:p>
      <w:pPr>
        <w:jc w:val="both"/>
        <w:ind w:firstLine="8"/>
        <w:spacing w:after="0" w:line="251" w:lineRule="auto"/>
        <w:tabs>
          <w:tab w:leader="none" w:pos="27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Arial" w:cs="Arial" w:eastAsia="Arial" w:hAnsi="Arial"/>
          <w:sz w:val="18"/>
          <w:szCs w:val="18"/>
          <w:b w:val="1"/>
          <w:bCs w:val="1"/>
          <w:color w:val="auto"/>
        </w:rPr>
        <w:t>clause (B)</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220" w:hanging="564"/>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stockholders approve any plan or proposal for the liquidation or dissolution of the Company; or</w:t>
      </w:r>
    </w:p>
    <w:p>
      <w:pPr>
        <w:spacing w:after="0" w:line="225" w:lineRule="exact"/>
        <w:rPr>
          <w:rFonts w:ascii="Arial" w:cs="Arial" w:eastAsia="Arial" w:hAnsi="Arial"/>
          <w:sz w:val="18"/>
          <w:szCs w:val="18"/>
          <w:color w:val="auto"/>
        </w:rPr>
      </w:pPr>
    </w:p>
    <w:p>
      <w:pPr>
        <w:ind w:firstLine="656"/>
        <w:spacing w:after="0" w:line="277" w:lineRule="auto"/>
        <w:tabs>
          <w:tab w:leader="none" w:pos="125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Common Stock ceases to be listed on any of The New York Stock Exchange, The Nasdaq Global Select Market, The Nasdaq Capital Market or The Nasdaq Global Market (or any of their respective successors);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will not constitute a Fundamental Change if at least ninety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shall instead be references to such other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1" w:lineRule="auto"/>
        <w:rPr>
          <w:sz w:val="20"/>
          <w:szCs w:val="20"/>
          <w:color w:val="auto"/>
        </w:rPr>
      </w:pPr>
      <w:r>
        <w:rPr>
          <w:rFonts w:ascii="Arial" w:cs="Arial" w:eastAsia="Arial" w:hAnsi="Arial"/>
          <w:sz w:val="18"/>
          <w:szCs w:val="18"/>
          <w:color w:val="auto"/>
        </w:rPr>
        <w:t xml:space="preserve">For the purposes of this definition, (x) any transaction or event described in both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and in </w:t>
      </w:r>
      <w:r>
        <w:rPr>
          <w:rFonts w:ascii="Arial" w:cs="Arial" w:eastAsia="Arial" w:hAnsi="Arial"/>
          <w:sz w:val="18"/>
          <w:szCs w:val="18"/>
          <w:b w:val="1"/>
          <w:bCs w:val="1"/>
          <w:color w:val="auto"/>
        </w:rPr>
        <w:t>clause (B)(i)</w:t>
      </w:r>
      <w:r>
        <w:rPr>
          <w:rFonts w:ascii="Arial" w:cs="Arial" w:eastAsia="Arial" w:hAnsi="Arial"/>
          <w:sz w:val="18"/>
          <w:szCs w:val="18"/>
          <w:color w:val="auto"/>
        </w:rPr>
        <w:t xml:space="preserve"> or </w:t>
      </w:r>
      <w:r>
        <w:rPr>
          <w:rFonts w:ascii="Arial" w:cs="Arial" w:eastAsia="Arial" w:hAnsi="Arial"/>
          <w:sz w:val="18"/>
          <w:szCs w:val="18"/>
          <w:b w:val="1"/>
          <w:bCs w:val="1"/>
          <w:color w:val="auto"/>
        </w:rPr>
        <w:t>(ii)</w:t>
      </w:r>
      <w:r>
        <w:rPr>
          <w:rFonts w:ascii="Arial" w:cs="Arial" w:eastAsia="Arial" w:hAnsi="Arial"/>
          <w:sz w:val="18"/>
          <w:szCs w:val="18"/>
          <w:color w:val="auto"/>
        </w:rPr>
        <w:t xml:space="preserve"> above (without regard to the proviso in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will be deemed to occur solely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above (subject to such proviso); and (y) whether a Person is a “</w:t>
      </w:r>
      <w:r>
        <w:rPr>
          <w:rFonts w:ascii="Arial" w:cs="Arial" w:eastAsia="Arial" w:hAnsi="Arial"/>
          <w:sz w:val="18"/>
          <w:szCs w:val="18"/>
          <w:b w:val="1"/>
          <w:bCs w:val="1"/>
          <w:color w:val="auto"/>
        </w:rPr>
        <w:t>beneficial</w:t>
      </w:r>
      <w:r>
        <w:rPr>
          <w:rFonts w:ascii="Arial" w:cs="Arial" w:eastAsia="Arial" w:hAnsi="Arial"/>
          <w:sz w:val="18"/>
          <w:szCs w:val="18"/>
          <w:color w:val="auto"/>
        </w:rPr>
        <w:t xml:space="preserve"> </w:t>
      </w:r>
      <w:r>
        <w:rPr>
          <w:rFonts w:ascii="Arial" w:cs="Arial" w:eastAsia="Arial" w:hAnsi="Arial"/>
          <w:sz w:val="18"/>
          <w:szCs w:val="18"/>
          <w:b w:val="1"/>
          <w:bCs w:val="1"/>
          <w:color w:val="auto"/>
        </w:rPr>
        <w:t>owner</w:t>
      </w:r>
      <w:r>
        <w:rPr>
          <w:rFonts w:ascii="Arial" w:cs="Arial" w:eastAsia="Arial" w:hAnsi="Arial"/>
          <w:sz w:val="18"/>
          <w:szCs w:val="18"/>
          <w:color w:val="auto"/>
        </w:rPr>
        <w:t>,” whether shares are “</w:t>
      </w:r>
      <w:r>
        <w:rPr>
          <w:rFonts w:ascii="Arial" w:cs="Arial" w:eastAsia="Arial" w:hAnsi="Arial"/>
          <w:sz w:val="18"/>
          <w:szCs w:val="18"/>
          <w:b w:val="1"/>
          <w:bCs w:val="1"/>
          <w:color w:val="auto"/>
        </w:rPr>
        <w:t>beneficially owned</w:t>
      </w:r>
      <w:r>
        <w:rPr>
          <w:rFonts w:ascii="Arial" w:cs="Arial" w:eastAsia="Arial" w:hAnsi="Arial"/>
          <w:sz w:val="18"/>
          <w:szCs w:val="18"/>
          <w:color w:val="auto"/>
        </w:rPr>
        <w:t>,” and percentage beneficial ownership, will be determined in accordance with Rule 13d-3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xml:space="preserve">” means a notice (including a notice substantially in the form of the “Fundamental Change Repurchase Notice”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containing the information, or otherwise complying with the requirements, set forth in </w:t>
      </w:r>
      <w:r>
        <w:rPr>
          <w:rFonts w:ascii="Arial" w:cs="Arial" w:eastAsia="Arial" w:hAnsi="Arial"/>
          <w:sz w:val="18"/>
          <w:szCs w:val="18"/>
          <w:b w:val="1"/>
          <w:bCs w:val="1"/>
          <w:color w:val="auto"/>
        </w:rPr>
        <w:t>Section 4.02(F)(i)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4.02(F)(ii)</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any Note upon its Repurchase Upon Fundamental Change, calculated pursuant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xml:space="preserve">” means a Note that is represented by a certificate substantially in 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registered in the name of the Depositary or its nominee, duly executed by the Company and authenticated by the Trustee, and deposited with the Trustee, as custodian for the Depositary.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the Initial Purchasers set forth in Schedule A to the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with respect to a Note, each June 15 and December 15 of each year, commencing on June 15, 2022 (or commencing on such other date specified in the certificate representing such Note). For the avoidance of doubt, the Maturity Date is an Interest Payment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December 14, 2021.</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Original Issue Date</w:t>
      </w:r>
      <w:r>
        <w:rPr>
          <w:rFonts w:ascii="Arial" w:cs="Arial" w:eastAsia="Arial" w:hAnsi="Arial"/>
          <w:sz w:val="16"/>
          <w:szCs w:val="16"/>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Arial" w:cs="Arial" w:eastAsia="Arial" w:hAnsi="Arial"/>
          <w:sz w:val="16"/>
          <w:szCs w:val="16"/>
          <w:b w:val="1"/>
          <w:bCs w:val="1"/>
          <w:color w:val="auto"/>
        </w:rPr>
        <w:t>Section 2.03(B)</w:t>
      </w:r>
      <w:r>
        <w:rPr>
          <w:rFonts w:ascii="Arial" w:cs="Arial" w:eastAsia="Arial" w:hAnsi="Arial"/>
          <w:sz w:val="16"/>
          <w:szCs w:val="16"/>
          <w:color w:val="auto"/>
        </w:rPr>
        <w:t>, and any Notes issued in exchange therefor or in substitution thereof, either (i) the later of (x) the date such Notes are originally issued and</w:t>
      </w:r>
    </w:p>
    <w:p>
      <w:pPr>
        <w:spacing w:after="0" w:line="2" w:lineRule="exact"/>
        <w:rPr>
          <w:sz w:val="20"/>
          <w:szCs w:val="20"/>
          <w:color w:val="auto"/>
        </w:rPr>
      </w:pPr>
    </w:p>
    <w:p>
      <w:pPr>
        <w:jc w:val="both"/>
        <w:ind w:firstLine="8"/>
        <w:spacing w:after="0" w:line="255" w:lineRule="auto"/>
        <w:tabs>
          <w:tab w:leader="none" w:pos="2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hanging="106"/>
        <w:spacing w:after="0"/>
        <w:tabs>
          <w:tab w:leader="none" w:pos="5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Liquidity Conditions</w:t>
      </w:r>
      <w:r>
        <w:rPr>
          <w:rFonts w:ascii="Arial" w:cs="Arial" w:eastAsia="Arial" w:hAnsi="Arial"/>
          <w:sz w:val="17"/>
          <w:szCs w:val="17"/>
          <w:color w:val="auto"/>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(including, for the avoidance of doubt, the requirement for current Form 10 information) set forth in Rule 144(c) and (i)(2) under the Securities Act; and (B) the shares of Common Stock, if any, issued or issuable upon conversion of the Notes are Freely Tradable;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Liquidity Conditions will also be deemed to be satisfied with respect to such Redemption if, in accordance with </w:t>
      </w:r>
      <w:r>
        <w:rPr>
          <w:rFonts w:ascii="Arial" w:cs="Arial" w:eastAsia="Arial" w:hAnsi="Arial"/>
          <w:sz w:val="17"/>
          <w:szCs w:val="17"/>
          <w:b w:val="1"/>
          <w:bCs w:val="1"/>
          <w:color w:val="auto"/>
        </w:rPr>
        <w:t>Section 5.03(A)(i)(3)</w:t>
      </w:r>
      <w:r>
        <w:rPr>
          <w:rFonts w:ascii="Arial" w:cs="Arial" w:eastAsia="Arial" w:hAnsi="Arial"/>
          <w:sz w:val="17"/>
          <w:szCs w:val="17"/>
          <w:color w:val="auto"/>
        </w:rPr>
        <w:t>, the Company has elected to settle all conversions of Notes with a Conversion Date that occurs during the related Redemption Conversion Period by Cash Settlement.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 a Fundamental Change (determined after giving effect to the proviso immediately after </w:t>
      </w:r>
      <w:r>
        <w:rPr>
          <w:rFonts w:ascii="Arial" w:cs="Arial" w:eastAsia="Arial" w:hAnsi="Arial"/>
          <w:sz w:val="16"/>
          <w:szCs w:val="16"/>
          <w:b w:val="1"/>
          <w:bCs w:val="1"/>
          <w:color w:val="auto"/>
        </w:rPr>
        <w:t>clause</w:t>
      </w:r>
    </w:p>
    <w:p>
      <w:pPr>
        <w:spacing w:after="0" w:line="50" w:lineRule="exact"/>
        <w:rPr>
          <w:sz w:val="20"/>
          <w:szCs w:val="20"/>
          <w:color w:val="auto"/>
        </w:rPr>
      </w:pPr>
    </w:p>
    <w:p>
      <w:pPr>
        <w:jc w:val="both"/>
        <w:ind w:firstLine="8"/>
        <w:spacing w:after="0" w:line="253"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of the definition thereof, but without regard to the proviso to </w:t>
      </w:r>
      <w:r>
        <w:rPr>
          <w:rFonts w:ascii="Arial" w:cs="Arial" w:eastAsia="Arial" w:hAnsi="Arial"/>
          <w:sz w:val="18"/>
          <w:szCs w:val="18"/>
          <w:b w:val="1"/>
          <w:bCs w:val="1"/>
          <w:color w:val="auto"/>
        </w:rPr>
        <w:t>clause (B)(ii)</w:t>
      </w:r>
      <w:r>
        <w:rPr>
          <w:rFonts w:ascii="Arial" w:cs="Arial" w:eastAsia="Arial" w:hAnsi="Arial"/>
          <w:sz w:val="18"/>
          <w:szCs w:val="18"/>
          <w:color w:val="auto"/>
        </w:rPr>
        <w:t xml:space="preserve"> of such definition); or (B) the sending of a Redemption Notice pursuant to </w:t>
      </w:r>
      <w:r>
        <w:rPr>
          <w:rFonts w:ascii="Arial" w:cs="Arial" w:eastAsia="Arial" w:hAnsi="Arial"/>
          <w:sz w:val="18"/>
          <w:szCs w:val="18"/>
          <w:b w:val="1"/>
          <w:bCs w:val="1"/>
          <w:color w:val="auto"/>
        </w:rPr>
        <w:t>Section 4.03(G)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w:t>
      </w:r>
      <w:r>
        <w:rPr>
          <w:rFonts w:ascii="Arial" w:cs="Arial" w:eastAsia="Arial" w:hAnsi="Arial"/>
          <w:sz w:val="18"/>
          <w:szCs w:val="18"/>
          <w:b w:val="1"/>
          <w:bCs w:val="1"/>
          <w:color w:val="auto"/>
        </w:rPr>
        <w:t xml:space="preserve"> Section 4.03(J)</w:t>
      </w:r>
      <w:r>
        <w:rPr>
          <w:rFonts w:ascii="Arial" w:cs="Arial" w:eastAsia="Arial" w:hAnsi="Arial"/>
          <w:sz w:val="18"/>
          <w:szCs w:val="18"/>
          <w:color w:val="auto"/>
        </w:rPr>
        <w:t>, the sending of a Redemption Notice will constitute a Make-Whole Fundamental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 only with respect to the Notes called (or deemed called pursuant to </w:t>
      </w:r>
      <w:r>
        <w:rPr>
          <w:rFonts w:ascii="Arial" w:cs="Arial" w:eastAsia="Arial" w:hAnsi="Arial"/>
          <w:sz w:val="18"/>
          <w:szCs w:val="18"/>
          <w:b w:val="1"/>
          <w:bCs w:val="1"/>
          <w:color w:val="auto"/>
        </w:rPr>
        <w:t>Section 4.03(J)</w:t>
      </w:r>
      <w:r>
        <w:rPr>
          <w:rFonts w:ascii="Arial" w:cs="Arial" w:eastAsia="Arial" w:hAnsi="Arial"/>
          <w:sz w:val="18"/>
          <w:szCs w:val="18"/>
          <w:color w:val="auto"/>
        </w:rPr>
        <w:t>) for Redemption pursuant to such Redemption Notice and not with respect to any other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Conversion Period</w:t>
      </w:r>
      <w:r>
        <w:rPr>
          <w:rFonts w:ascii="Arial" w:cs="Arial" w:eastAsia="Arial" w:hAnsi="Arial"/>
          <w:sz w:val="18"/>
          <w:szCs w:val="18"/>
          <w:color w:val="auto"/>
        </w:rPr>
        <w:t>” has the following meaning:</w:t>
      </w:r>
    </w:p>
    <w:p>
      <w:pPr>
        <w:spacing w:after="0" w:line="229" w:lineRule="exact"/>
        <w:rPr>
          <w:sz w:val="20"/>
          <w:szCs w:val="20"/>
          <w:color w:val="auto"/>
        </w:rPr>
      </w:pPr>
    </w:p>
    <w:p>
      <w:pPr>
        <w:jc w:val="both"/>
        <w:ind w:firstLine="656"/>
        <w:spacing w:after="0" w:line="279"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case of a Make-Whole Fundamental Change pursuant to clause (A)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case of a Make-Whole Fundamental Change pursuant to clause (B) of the definition thereof, the related Redemption Conversion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80" w:hanging="106"/>
        <w:spacing w:after="0"/>
        <w:tabs>
          <w:tab w:leader="none" w:pos="5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Conversion Date for the conversion of a Note that is called (or deemed,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4.03(J)</w:t>
      </w:r>
      <w:r>
        <w:rPr>
          <w:rFonts w:ascii="Arial" w:cs="Arial" w:eastAsia="Arial" w:hAnsi="Arial"/>
          <w:sz w:val="17"/>
          <w:szCs w:val="17"/>
          <w:color w:val="auto"/>
        </w:rPr>
        <w:t>, to be called)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occurs during the Make-Whole Fundamental Change Conversion Period for both a Make-Whole Fundamental Change occurring pursuant to </w:t>
      </w:r>
      <w:r>
        <w:rPr>
          <w:rFonts w:ascii="Arial" w:cs="Arial" w:eastAsia="Arial" w:hAnsi="Arial"/>
          <w:sz w:val="17"/>
          <w:szCs w:val="17"/>
          <w:b w:val="1"/>
          <w:bCs w:val="1"/>
          <w:color w:val="auto"/>
        </w:rPr>
        <w:t xml:space="preserve">clause (A) </w:t>
      </w:r>
      <w:r>
        <w:rPr>
          <w:rFonts w:ascii="Arial" w:cs="Arial" w:eastAsia="Arial" w:hAnsi="Arial"/>
          <w:sz w:val="17"/>
          <w:szCs w:val="17"/>
          <w:color w:val="auto"/>
        </w:rPr>
        <w:t>of the definition of “Make-Whole Fundamental Change” and a Make-Whole Fundamental Change resulting from such Redemption pursuant to</w:t>
      </w:r>
      <w:r>
        <w:rPr>
          <w:rFonts w:ascii="Arial" w:cs="Arial" w:eastAsia="Arial" w:hAnsi="Arial"/>
          <w:sz w:val="17"/>
          <w:szCs w:val="17"/>
          <w:b w:val="1"/>
          <w:bCs w:val="1"/>
          <w:color w:val="auto"/>
        </w:rPr>
        <w:t xml:space="preserve"> clause (B) </w:t>
      </w:r>
      <w:r>
        <w:rPr>
          <w:rFonts w:ascii="Arial" w:cs="Arial" w:eastAsia="Arial" w:hAnsi="Arial"/>
          <w:sz w:val="17"/>
          <w:szCs w:val="17"/>
          <w:color w:val="auto"/>
        </w:rPr>
        <w:t>of such definition, then, notwithstanding anything to the contrary in</w:t>
      </w:r>
      <w:r>
        <w:rPr>
          <w:rFonts w:ascii="Arial" w:cs="Arial" w:eastAsia="Arial" w:hAnsi="Arial"/>
          <w:sz w:val="17"/>
          <w:szCs w:val="17"/>
          <w:b w:val="1"/>
          <w:bCs w:val="1"/>
          <w:color w:val="auto"/>
        </w:rPr>
        <w:t xml:space="preserve"> Section 5.07</w:t>
      </w:r>
      <w:r>
        <w:rPr>
          <w:rFonts w:ascii="Arial" w:cs="Arial" w:eastAsia="Arial" w:hAnsi="Arial"/>
          <w:sz w:val="17"/>
          <w:szCs w:val="17"/>
          <w:color w:val="auto"/>
        </w:rPr>
        <w:t>, solely for purposes of such conversion, (x) such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Effective Date</w:t>
      </w:r>
      <w:r>
        <w:rPr>
          <w:rFonts w:ascii="Arial" w:cs="Arial" w:eastAsia="Arial" w:hAnsi="Arial"/>
          <w:sz w:val="18"/>
          <w:szCs w:val="18"/>
          <w:color w:val="auto"/>
        </w:rPr>
        <w:t xml:space="preserve">” means (A) with respect to a Make-Whole Fundamental Change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the definition thereof, the date on which such Make-Whole Fundamental Change occurs or becomes effective; and (B) with respect to a Make-Whole Fundamental Change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of the definition thereof, the applicable Redemption Notice Date.</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15,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Non-Affiliate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1.25% Convertible Senior Notes due 2026 issued by the Company pursuant to this Indenture.</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xml:space="preserve">” means, with respect to any Note to be converted, (A) subject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below, if the Conversion Date for such Note occurs before September 15, 2026, the thirty (30) consecutive VWAP Trading Days beginning on, and including, the second (2nd) VWAP Trading Day immediately after such Conversion Date; (B) if such Conversion Date occurs during a Redemption Conversion Period, the thirty (30) consecutive VWAP Trading Days beginning on, and including, the thirty-first (31st) Scheduled Trading Day immediately before the related Redemption Date; and (C) subject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above, if such Conversion Date occurs on or after September 15, 2026, the thirty (30) consecutive VWAP Trading Days beginning on, and including, the thirty-first (31st) Scheduled Trading Day immediately before the Maturity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that is signed on behalf of the Company by one (1) of its Officers and that meets the requirements of </w:t>
      </w:r>
      <w:r>
        <w:rPr>
          <w:rFonts w:ascii="Arial" w:cs="Arial" w:eastAsia="Arial" w:hAnsi="Arial"/>
          <w:sz w:val="18"/>
          <w:szCs w:val="18"/>
          <w:b w:val="1"/>
          <w:bCs w:val="1"/>
          <w:color w:val="auto"/>
        </w:rPr>
        <w:t>Section 11.03</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xml:space="preserve">” means an opinion, from legal counsel (including an employee of, or counsel to, the Company or any of its Subsidiaries) reasonably acceptable to the Trustee, that meets the requirements of </w:t>
      </w:r>
      <w:r>
        <w:rPr>
          <w:rFonts w:ascii="Arial" w:cs="Arial" w:eastAsia="Arial" w:hAnsi="Arial"/>
          <w:sz w:val="16"/>
          <w:szCs w:val="16"/>
          <w:b w:val="1"/>
          <w:bCs w:val="1"/>
          <w:color w:val="auto"/>
        </w:rPr>
        <w:t>Section 11.03</w:t>
      </w:r>
      <w:r>
        <w:rPr>
          <w:rFonts w:ascii="Arial" w:cs="Arial" w:eastAsia="Arial" w:hAnsi="Arial"/>
          <w:sz w:val="16"/>
          <w:szCs w:val="16"/>
          <w:color w:val="auto"/>
        </w:rPr>
        <w:t>, subject to customary qualifications and exclusions.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Party</w:t>
      </w:r>
      <w:r>
        <w:rPr>
          <w:rFonts w:ascii="Arial" w:cs="Arial" w:eastAsia="Arial" w:hAnsi="Arial"/>
          <w:sz w:val="17"/>
          <w:szCs w:val="17"/>
          <w:color w:val="auto"/>
        </w:rPr>
        <w:t xml:space="preserve">” means Ayar Third Investment Company, the Public Investment Fund or any of their respective Affiliates. If any such Permitted Party is a natural person, “Permitted Party” shall include: (i) a “Permitted Trust” (as defined in this </w:t>
      </w:r>
      <w:r>
        <w:rPr>
          <w:rFonts w:ascii="Arial" w:cs="Arial" w:eastAsia="Arial" w:hAnsi="Arial"/>
          <w:sz w:val="17"/>
          <w:szCs w:val="17"/>
          <w:b w:val="1"/>
          <w:bCs w:val="1"/>
          <w:color w:val="auto"/>
        </w:rPr>
        <w:t>Section 1.01</w:t>
      </w:r>
      <w:r>
        <w:rPr>
          <w:rFonts w:ascii="Arial" w:cs="Arial" w:eastAsia="Arial" w:hAnsi="Arial"/>
          <w:sz w:val="17"/>
          <w:szCs w:val="17"/>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Trust</w:t>
      </w:r>
      <w:r>
        <w:rPr>
          <w:rFonts w:ascii="Arial" w:cs="Arial" w:eastAsia="Arial" w:hAnsi="Arial"/>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w:t>
      </w:r>
      <w:r>
        <w:rPr>
          <w:rFonts w:ascii="Arial" w:cs="Arial" w:eastAsia="Arial" w:hAnsi="Arial"/>
          <w:sz w:val="18"/>
          <w:szCs w:val="18"/>
          <w:color w:val="auto"/>
        </w:rPr>
        <w:t xml:space="preserve">” means a Note (other than a Global Note) that is represented by a certificate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registered in the name of the Holder of such Note and duly executed by the Company and authenticated by the Trustee.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that certain Purchase Agreement, dated December 9, 2021, between the Company and BofA Securities, Inc. and Citigroup Global Markets Inc., as representatives of the several Initial Purchasers.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4.03</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Conversion Period</w:t>
      </w:r>
      <w:r>
        <w:rPr>
          <w:rFonts w:ascii="Arial" w:cs="Arial" w:eastAsia="Arial" w:hAnsi="Arial"/>
          <w:sz w:val="17"/>
          <w:szCs w:val="17"/>
          <w:color w:val="auto"/>
        </w:rPr>
        <w:t>” means, with respect to any Redemption, the period from, and including, the related Redemption Notice Date until the Close of Business on the second (2nd) Scheduled Trading Day immediately before the related Redemption Date (or, if the Company fails to pay the Redemption Price due on such Redemption Date in full, until such time as the Company pays such Redemption Price in full).</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xml:space="preserve">” means the date fixed, pursuant to </w:t>
      </w:r>
      <w:r>
        <w:rPr>
          <w:rFonts w:ascii="Arial" w:cs="Arial" w:eastAsia="Arial" w:hAnsi="Arial"/>
          <w:sz w:val="18"/>
          <w:szCs w:val="18"/>
          <w:b w:val="1"/>
          <w:bCs w:val="1"/>
          <w:color w:val="auto"/>
        </w:rPr>
        <w:t>Section 4.03(E)</w:t>
      </w:r>
      <w:r>
        <w:rPr>
          <w:rFonts w:ascii="Arial" w:cs="Arial" w:eastAsia="Arial" w:hAnsi="Arial"/>
          <w:sz w:val="18"/>
          <w:szCs w:val="18"/>
          <w:color w:val="auto"/>
        </w:rPr>
        <w:t>, for the settlement of the repurchase of any Notes by the Company pursuant to a Redemption.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xml:space="preserve">” means, with respect to a Redemption, the date on which the Company sends the Redemption Notice for such Redemption pursuant to </w:t>
      </w:r>
      <w:r>
        <w:rPr>
          <w:rFonts w:ascii="Arial" w:cs="Arial" w:eastAsia="Arial" w:hAnsi="Arial"/>
          <w:sz w:val="18"/>
          <w:szCs w:val="18"/>
          <w:b w:val="1"/>
          <w:bCs w:val="1"/>
          <w:color w:val="auto"/>
        </w:rPr>
        <w:t>Section 4.03(G)</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the cash price payable by the Company to redeem any Note upon its Redemption, calculated pursuant to </w:t>
      </w:r>
      <w:r>
        <w:rPr>
          <w:rFonts w:ascii="Arial" w:cs="Arial" w:eastAsia="Arial" w:hAnsi="Arial"/>
          <w:sz w:val="16"/>
          <w:szCs w:val="16"/>
          <w:b w:val="1"/>
          <w:bCs w:val="1"/>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4.03(F)</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Regular Record Date</w:t>
      </w:r>
      <w:r>
        <w:rPr>
          <w:rFonts w:ascii="Arial" w:cs="Arial" w:eastAsia="Arial" w:hAnsi="Arial"/>
          <w:sz w:val="17"/>
          <w:szCs w:val="17"/>
          <w:color w:val="auto"/>
        </w:rPr>
        <w:t>” has the following meaning with respect to an Interest Payment Date: (A) if such Interest Payment Date occurs on June 15, the immediately preceding June 1; and (B) if such Interest Payment Date occurs on December 15, the immediately preceding December 1.</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(A) any officer within the corporate trust department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in each case, who will have direct responsibility for the administration of this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Legend</w:t>
      </w:r>
      <w:r>
        <w:rPr>
          <w:rFonts w:ascii="Arial" w:cs="Arial" w:eastAsia="Arial" w:hAnsi="Arial"/>
          <w:sz w:val="16"/>
          <w:szCs w:val="16"/>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w:t>
      </w:r>
      <w:r>
        <w:rPr>
          <w:rFonts w:ascii="Arial" w:cs="Arial" w:eastAsia="Arial" w:hAnsi="Arial"/>
          <w:sz w:val="17"/>
          <w:szCs w:val="17"/>
          <w:color w:val="auto"/>
        </w:rPr>
        <w:t>” means Rule 144 under the Securities Act (or any successor rule thereto), as the same may be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144A</w:t>
      </w:r>
      <w:r>
        <w:rPr>
          <w:rFonts w:ascii="Arial" w:cs="Arial" w:eastAsia="Arial" w:hAnsi="Arial"/>
          <w:sz w:val="17"/>
          <w:szCs w:val="17"/>
          <w:color w:val="auto"/>
        </w:rPr>
        <w:t>” means Rule 144A under the Securities Act (or any successor rule thereto), as the same may be amended from time to time.</w:t>
      </w:r>
    </w:p>
    <w:p>
      <w:pPr>
        <w:spacing w:after="0" w:line="23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Scheduled Trading Day</w:t>
      </w:r>
      <w:r>
        <w:rPr>
          <w:rFonts w:ascii="Arial" w:cs="Arial" w:eastAsia="Arial" w:hAnsi="Arial"/>
          <w:sz w:val="16"/>
          <w:szCs w:val="16"/>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Cash Settlement, Physical Settlement or Combination Settlement.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Shoe Option</w:t>
      </w:r>
      <w:r>
        <w:rPr>
          <w:rFonts w:ascii="Arial" w:cs="Arial" w:eastAsia="Arial" w:hAnsi="Arial"/>
          <w:sz w:val="18"/>
          <w:szCs w:val="18"/>
          <w:color w:val="auto"/>
        </w:rPr>
        <w:t>” means the Initial Purchasers’ option to purchase up to two hundred sixty-two million five hundred thousand dollars ($262,500,000) aggregate principal amount of additional Notes as provided for in the Purchase Agreement.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xml:space="preserve">” means, with respect to any Person, any Subsidiary of such Person that constitutes a “significant subsidiary” (as defined in Rule 1-02(w) of Regulation S-X under the Exchange Act)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 Subsidiary that meets the criteria of clause (1)(iii) of the definition thereof, but not clause (1)(i) or (1)(ii) thereof, such Subsidiary will not be deemed to be a Significant Subsidiary of such Person unless the Subsidiary’s income or loss from continuing operations before income taxes (after intercompany eliminations) for the most recently completed fiscal year prior to the date of such determination exceeds ten million dollars ($10,000,000) (with such amount calculated pursuant to such rule). For purposes of this definition, Rule 1-02(w) of Regulation S-X refers to such rule as in effect on the Issue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7.03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Dollar Amount</w:t>
      </w:r>
      <w:r>
        <w:rPr>
          <w:rFonts w:ascii="Arial" w:cs="Arial" w:eastAsia="Arial" w:hAnsi="Arial"/>
          <w:sz w:val="17"/>
          <w:szCs w:val="17"/>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Arial" w:cs="Arial" w:eastAsia="Arial" w:hAnsi="Arial"/>
          <w:sz w:val="18"/>
          <w:szCs w:val="18"/>
          <w:b w:val="1"/>
          <w:bCs w:val="1"/>
          <w:color w:val="auto"/>
        </w:rPr>
        <w:t xml:space="preserve">clause (B) </w:t>
      </w:r>
      <w:r>
        <w:rPr>
          <w:rFonts w:ascii="Arial" w:cs="Arial" w:eastAsia="Arial" w:hAnsi="Arial"/>
          <w:sz w:val="18"/>
          <w:szCs w:val="18"/>
          <w:color w:val="auto"/>
        </w:rPr>
        <w:t>of the definition of “Fundamental Change,” then the Stock Price is the amount of cash paid per share of Common Stock in such Make-Whole</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Trading Day means the average of the secondary market bid quotations, expressed as a cash amount per $1,000 principal amount of Notes, obtained by the Bid Solicitation Agent for two million dollars ($2,000,000)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two million dollars ($2,000,000)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Transfer-Restricted Security</w:t>
      </w:r>
      <w:r>
        <w:rPr>
          <w:rFonts w:ascii="Arial" w:cs="Arial" w:eastAsia="Arial" w:hAnsi="Arial"/>
          <w:sz w:val="16"/>
          <w:szCs w:val="16"/>
          <w:color w:val="auto"/>
        </w:rPr>
        <w:t xml:space="preserve">” means any Security that constitutes a “restricted security” (as defined in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Security will cease to be a Transfer-Restricted Security upon the earliest to occur of the following events:</w:t>
      </w:r>
    </w:p>
    <w:p>
      <w:pPr>
        <w:spacing w:after="0" w:line="211" w:lineRule="exact"/>
        <w:rPr>
          <w:sz w:val="20"/>
          <w:szCs w:val="20"/>
          <w:color w:val="auto"/>
        </w:rPr>
      </w:pPr>
    </w:p>
    <w:p>
      <w:pPr>
        <w:jc w:val="both"/>
        <w:ind w:firstLine="656"/>
        <w:spacing w:after="0" w:line="263"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or an Affiliate of the Company or a Person that was an Affiliate of the Company in the three months immediately preceding) pursuant to a registration statement that was effective under the Securities Act at the time of such sale or transfer;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or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is under no obligation to determine whether any Security is a Transfer-Restricted Security and may conclusively rely on an Officer’s Certificate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such in the first paragraph of this Indenture until a successor replaces it in accordance with the provisions of this Indenture and, thereafter, means such successor.</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Arial" w:cs="Arial" w:eastAsia="Arial" w:hAnsi="Arial"/>
                <w:sz w:val="18"/>
                <w:szCs w:val="18"/>
                <w:b w:val="1"/>
                <w:bCs w:val="1"/>
                <w:color w:val="auto"/>
              </w:rPr>
              <w:t>Section 1.02.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Defined in</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Term</w:t>
            </w: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Section</w:t>
            </w:r>
          </w:p>
        </w:tc>
      </w:tr>
      <w:tr>
        <w:trPr>
          <w:trHeight w:val="191"/>
        </w:trPr>
        <w:tc>
          <w:tcPr>
            <w:tcW w:w="9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5.07(A)</w:t>
            </w:r>
          </w:p>
        </w:tc>
        <w:tc>
          <w:tcPr>
            <w:tcW w:w="20" w:type="dxa"/>
            <w:vAlign w:val="bottom"/>
          </w:tcPr>
          <w:p>
            <w:pPr>
              <w:spacing w:after="0"/>
              <w:rPr>
                <w:sz w:val="16"/>
                <w:szCs w:val="16"/>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Time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4.02(E)</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5.01(C)(i)(2)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Redemption Limitation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4.03(C)</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4.03(G)</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 Unit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Event of Default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11.07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5.05(A)(iii)(2)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 Valuation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5.05(A)(iii)(2)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Interest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Person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Tender/Exchange Offer Valuation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34"/>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5.01(C)(i)(2)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R</w:t>
      </w:r>
      <w:r>
        <w:rPr>
          <w:rFonts w:ascii="Arial" w:cs="Arial" w:eastAsia="Arial" w:hAnsi="Arial"/>
          <w:sz w:val="12"/>
          <w:szCs w:val="12"/>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Indenture:</w:t>
      </w:r>
    </w:p>
    <w:p>
      <w:pPr>
        <w:spacing w:after="0" w:line="225" w:lineRule="exact"/>
        <w:rPr>
          <w:sz w:val="20"/>
          <w:szCs w:val="20"/>
          <w:color w:val="auto"/>
        </w:rPr>
      </w:pPr>
    </w:p>
    <w:p>
      <w:pPr>
        <w:ind w:left="1500" w:hanging="84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expresses a command;</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of a set of numerical values refers to the arithmetic average of such numerical values;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56"/>
        <w:spacing w:after="0" w:line="263" w:lineRule="auto"/>
        <w:tabs>
          <w:tab w:leader="none" w:pos="16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83" w:lineRule="exact"/>
        <w:rPr>
          <w:rFonts w:ascii="Arial" w:cs="Arial" w:eastAsia="Arial" w:hAnsi="Arial"/>
          <w:sz w:val="18"/>
          <w:szCs w:val="18"/>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unless the context requires otherwise;</w:t>
      </w:r>
    </w:p>
    <w:p>
      <w:pPr>
        <w:spacing w:after="0" w:line="225" w:lineRule="exact"/>
        <w:rPr>
          <w:rFonts w:ascii="Arial" w:cs="Arial" w:eastAsia="Arial" w:hAnsi="Arial"/>
          <w:sz w:val="18"/>
          <w:szCs w:val="18"/>
          <w:color w:val="auto"/>
        </w:rPr>
      </w:pPr>
    </w:p>
    <w:p>
      <w:pPr>
        <w:ind w:right="20" w:firstLine="656"/>
        <w:spacing w:after="0" w:line="277" w:lineRule="auto"/>
        <w:tabs>
          <w:tab w:leader="none" w:pos="16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currency mean the lawful currency of the United States of America, unless the context requires otherwise;</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exhibits, schedules and other attachments to this Indenture are deemed to form part of this Indenture; and</w:t>
      </w:r>
    </w:p>
    <w:p>
      <w:pPr>
        <w:spacing w:after="0" w:line="221" w:lineRule="exact"/>
        <w:rPr>
          <w:rFonts w:ascii="Arial" w:cs="Arial" w:eastAsia="Arial" w:hAnsi="Arial"/>
          <w:sz w:val="18"/>
          <w:szCs w:val="18"/>
          <w:color w:val="auto"/>
        </w:rPr>
      </w:pPr>
    </w:p>
    <w:p>
      <w:pPr>
        <w:ind w:left="1820" w:hanging="1164"/>
        <w:spacing w:after="0"/>
        <w:tabs>
          <w:tab w:leader="none" w:pos="1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interest</w:t>
      </w:r>
      <w:r>
        <w:rPr>
          <w:rFonts w:ascii="Arial" w:cs="Arial" w:eastAsia="Arial" w:hAnsi="Arial"/>
          <w:sz w:val="16"/>
          <w:szCs w:val="16"/>
          <w:color w:val="auto"/>
        </w:rPr>
        <w:t>,” when used with respect to a Note, includes any Additional Interest and Special Interest, unless the context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requires otherwise.</w:t>
      </w:r>
    </w:p>
    <w:p>
      <w:pPr>
        <w:spacing w:after="0" w:line="207" w:lineRule="exact"/>
        <w:rPr>
          <w:sz w:val="20"/>
          <w:szCs w:val="20"/>
          <w:color w:val="auto"/>
        </w:rPr>
      </w:pPr>
    </w:p>
    <w:p>
      <w:pPr>
        <w:ind w:left="4520"/>
        <w:spacing w:after="0"/>
        <w:tabs>
          <w:tab w:leader="none" w:pos="56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8"/>
          <w:szCs w:val="18"/>
          <w:b w:val="1"/>
          <w:bCs w:val="1"/>
          <w:color w:val="auto"/>
        </w:rPr>
        <w:t>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2.01.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D</w:t>
      </w:r>
      <w:r>
        <w:rPr>
          <w:rFonts w:ascii="Arial" w:cs="Arial" w:eastAsia="Arial" w:hAnsi="Arial"/>
          <w:sz w:val="12"/>
          <w:szCs w:val="12"/>
          <w:b w:val="1"/>
          <w:bCs w:val="1"/>
          <w:color w:val="auto"/>
        </w:rPr>
        <w:t>ATING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ENOMINATIONS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Notes and the Trustee’s certificate of authentication will be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Notes will bear the legends required by </w:t>
      </w:r>
      <w:r>
        <w:rPr>
          <w:rFonts w:ascii="Arial" w:cs="Arial" w:eastAsia="Arial" w:hAnsi="Arial"/>
          <w:sz w:val="18"/>
          <w:szCs w:val="18"/>
          <w:b w:val="1"/>
          <w:bCs w:val="1"/>
          <w:color w:val="auto"/>
        </w:rPr>
        <w:t>Section 2.09</w:t>
      </w:r>
      <w:r>
        <w:rPr>
          <w:rFonts w:ascii="Arial" w:cs="Arial" w:eastAsia="Arial" w:hAnsi="Arial"/>
          <w:sz w:val="18"/>
          <w:szCs w:val="18"/>
          <w:color w:val="auto"/>
        </w:rPr>
        <w:t xml:space="preserve"> and may bear notations, legends or endorsements required by law, stock exchange rule or usage or the Depositary. Each Note will be dated as of the date of its authentication.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Arial" w:cs="Arial" w:eastAsia="Arial" w:hAnsi="Arial"/>
          <w:sz w:val="18"/>
          <w:szCs w:val="18"/>
          <w:b w:val="1"/>
          <w:bCs w:val="1"/>
          <w:color w:val="auto"/>
        </w:rPr>
        <w:t>Section 2.10</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certificate representing a Note will bear a unique registration number that is not affixed to any other certificate representing another outstanding Note.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that any provision of any Note conflicts with the provisions of this Indenture, the provisions of this Indenture will control for purposes of this Indenture and such Note.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Section 2.02. 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 A</w:t>
      </w:r>
      <w:r>
        <w:rPr>
          <w:rFonts w:ascii="Arial" w:cs="Arial" w:eastAsia="Arial" w:hAnsi="Arial"/>
          <w:sz w:val="12"/>
          <w:szCs w:val="12"/>
          <w:b w:val="1"/>
          <w:bCs w:val="1"/>
          <w:color w:val="auto"/>
        </w:rPr>
        <w:t>UTHENTICATION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ELIVERY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61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Due Execution by the Company</w:t>
      </w:r>
      <w:r>
        <w:rPr>
          <w:rFonts w:ascii="Arial" w:cs="Arial" w:eastAsia="Arial" w:hAnsi="Arial"/>
          <w:sz w:val="18"/>
          <w:szCs w:val="18"/>
          <w:color w:val="auto"/>
        </w:rPr>
        <w:t>. At least one (1) duly authorized Officer will sign the Notes on behalf of the Company by manual,</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or other electronic signature. A Note’s validity will not be affected by the failure of any Officer whose signature is on any Note to hold, at the time such Note is authenticated, the same or any other office at the Company.</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Authentication by the Trustee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342" w:lineRule="auto"/>
        <w:tabs>
          <w:tab w:leader="none" w:pos="2296"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23" w:lineRule="exact"/>
        <w:rPr>
          <w:rFonts w:ascii="Arial" w:cs="Arial" w:eastAsia="Arial" w:hAnsi="Arial"/>
          <w:sz w:val="16"/>
          <w:szCs w:val="16"/>
          <w:color w:val="auto"/>
        </w:rPr>
      </w:pPr>
    </w:p>
    <w:p>
      <w:pPr>
        <w:jc w:val="both"/>
        <w:ind w:left="660" w:firstLine="644"/>
        <w:spacing w:after="0" w:line="255" w:lineRule="auto"/>
        <w:tabs>
          <w:tab w:leader="none" w:pos="2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Arial" w:cs="Arial" w:eastAsia="Arial" w:hAnsi="Arial"/>
          <w:sz w:val="18"/>
          <w:szCs w:val="18"/>
          <w:b w:val="1"/>
          <w:bCs w:val="1"/>
          <w:color w:val="auto"/>
        </w:rPr>
        <w:t>Section 2.02(A)</w:t>
      </w:r>
      <w:r>
        <w:rPr>
          <w:rFonts w:ascii="Arial" w:cs="Arial" w:eastAsia="Arial" w:hAnsi="Arial"/>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92" w:lineRule="exact"/>
        <w:rPr>
          <w:rFonts w:ascii="Arial" w:cs="Arial" w:eastAsia="Arial" w:hAnsi="Arial"/>
          <w:sz w:val="18"/>
          <w:szCs w:val="18"/>
          <w:color w:val="auto"/>
        </w:rPr>
      </w:pPr>
    </w:p>
    <w:p>
      <w:pPr>
        <w:jc w:val="both"/>
        <w:ind w:left="660" w:firstLine="644"/>
        <w:spacing w:after="0" w:line="257" w:lineRule="auto"/>
        <w:tabs>
          <w:tab w:leader="none" w:pos="24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I</w:t>
      </w:r>
      <w:r>
        <w:rPr>
          <w:rFonts w:ascii="Arial" w:cs="Arial" w:eastAsia="Arial" w:hAnsi="Arial"/>
          <w:sz w:val="12"/>
          <w:szCs w:val="12"/>
          <w:b w:val="1"/>
          <w:bCs w:val="1"/>
          <w:color w:val="auto"/>
        </w:rPr>
        <w:t>NITIAL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5" w:lineRule="auto"/>
        <w:tabs>
          <w:tab w:leader="none" w:pos="172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Initial Notes</w:t>
      </w:r>
      <w:r>
        <w:rPr>
          <w:rFonts w:ascii="Arial" w:cs="Arial" w:eastAsia="Arial" w:hAnsi="Arial"/>
          <w:sz w:val="17"/>
          <w:szCs w:val="17"/>
          <w:color w:val="auto"/>
        </w:rPr>
        <w:t>. On the Issue Date, there will be originally issued one billion seven hundred fifty million dollars ($1,750,000,000)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aggregate principal amount of Notes, subject to the provisions of this Indenture (including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If the Initial Purchasers exercise the Shoe Option, then there will be originally issued up to an additional two hundred sixty-two million five hundred thousand dollars ($262,500,000) principal amount of Notes pursuant to such exercise, subject to the provisions of this Indenture (including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Notes issued pursuant to this </w:t>
      </w:r>
      <w:r>
        <w:rPr>
          <w:rFonts w:ascii="Arial" w:cs="Arial" w:eastAsia="Arial" w:hAnsi="Arial"/>
          <w:sz w:val="17"/>
          <w:szCs w:val="17"/>
          <w:b w:val="1"/>
          <w:bCs w:val="1"/>
          <w:color w:val="auto"/>
        </w:rPr>
        <w:t>Section 2.03(A)</w:t>
      </w:r>
      <w:r>
        <w:rPr>
          <w:rFonts w:ascii="Arial" w:cs="Arial" w:eastAsia="Arial" w:hAnsi="Arial"/>
          <w:sz w:val="17"/>
          <w:szCs w:val="17"/>
          <w:color w:val="auto"/>
        </w:rPr>
        <w:t>, and any Notes issued in exchange therefor or in substitution thereof, are referred to in this Indenture as the “</w:t>
      </w:r>
      <w:r>
        <w:rPr>
          <w:rFonts w:ascii="Arial" w:cs="Arial" w:eastAsia="Arial" w:hAnsi="Arial"/>
          <w:sz w:val="17"/>
          <w:szCs w:val="17"/>
          <w:b w:val="1"/>
          <w:bCs w:val="1"/>
          <w:color w:val="auto"/>
        </w:rPr>
        <w:t>Initial Notes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273" w:lineRule="auto"/>
        <w:tabs>
          <w:tab w:leader="none" w:pos="1544"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Additional Notes</w:t>
      </w:r>
      <w:r>
        <w:rPr>
          <w:rFonts w:ascii="Arial" w:cs="Arial" w:eastAsia="Arial" w:hAnsi="Arial"/>
          <w:sz w:val="17"/>
          <w:szCs w:val="17"/>
          <w:color w:val="auto"/>
        </w:rPr>
        <w:t>. Without the consent of any Holder, the Company may, subject to the provisions of this Indenture (including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2.02</w:t>
      </w:r>
      <w:r>
        <w:rPr>
          <w:rFonts w:ascii="Arial" w:cs="Arial" w:eastAsia="Arial" w:hAnsi="Arial"/>
          <w:sz w:val="17"/>
          <w:szCs w:val="17"/>
          <w:color w:val="auto"/>
        </w:rPr>
        <w:t>), originally issue additional Notes with the same terms as the Initial Notes (except, to the extent applicable, with respect to the date as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begins to accrue on such additional Notes, the first Interest Payment Date of such additional Notes, the Last Original Issue Date of such additional Notes and transfer restrictions applicable to such additional Notes), which additional Notes will, subject to the foregoing, be considered to be part of the same series of, and rank equally and ratably with all other, Notes issued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additional Notes are not fungible with other Notes issued under this Indenture for U.S. federal income tax or U.S. federal securities law purposes, then such additional Notes will be identified by one or more separate CUSIP numbers or by no CUSIP number.</w:t>
      </w:r>
    </w:p>
    <w:p>
      <w:pPr>
        <w:spacing w:after="0" w:line="391" w:lineRule="exact"/>
        <w:rPr>
          <w:rFonts w:ascii="Arial" w:cs="Arial" w:eastAsia="Arial" w:hAnsi="Arial"/>
          <w:sz w:val="17"/>
          <w:szCs w:val="17"/>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Section 2.04. M</w:t>
      </w:r>
      <w:r>
        <w:rPr>
          <w:rFonts w:ascii="Arial" w:cs="Arial" w:eastAsia="Arial" w:hAnsi="Arial"/>
          <w:sz w:val="12"/>
          <w:szCs w:val="12"/>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9" w:lineRule="auto"/>
        <w:tabs>
          <w:tab w:leader="none" w:pos="163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The Company will pay, or cause the Paying Agent to pay, the principal (whether due upon maturity on the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The Company will pay, or cause the Paying Agent to pay, the principal (whether due upon maturity on the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2.05. A</w:t>
      </w:r>
      <w:r>
        <w:rPr>
          <w:rFonts w:ascii="Arial" w:cs="Arial" w:eastAsia="Arial" w:hAnsi="Arial"/>
          <w:sz w:val="12"/>
          <w:szCs w:val="12"/>
          <w:b w:val="1"/>
          <w:bCs w:val="1"/>
          <w:color w:val="auto"/>
        </w:rPr>
        <w:t>CCRUAL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 D</w:t>
      </w:r>
      <w:r>
        <w:rPr>
          <w:rFonts w:ascii="Arial" w:cs="Arial" w:eastAsia="Arial" w:hAnsi="Arial"/>
          <w:sz w:val="12"/>
          <w:szCs w:val="12"/>
          <w:b w:val="1"/>
          <w:bCs w:val="1"/>
          <w:color w:val="auto"/>
        </w:rPr>
        <w:t>EFAULTED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MOUNTS</w:t>
      </w:r>
      <w:r>
        <w:rPr>
          <w:rFonts w:ascii="Arial" w:cs="Arial" w:eastAsia="Arial" w:hAnsi="Arial"/>
          <w:sz w:val="18"/>
          <w:szCs w:val="18"/>
          <w:b w:val="1"/>
          <w:bCs w:val="1"/>
          <w:color w:val="auto"/>
        </w:rPr>
        <w:t>; W</w:t>
      </w:r>
      <w:r>
        <w:rPr>
          <w:rFonts w:ascii="Arial" w:cs="Arial" w:eastAsia="Arial" w:hAnsi="Arial"/>
          <w:sz w:val="12"/>
          <w:szCs w:val="12"/>
          <w:b w:val="1"/>
          <w:bCs w:val="1"/>
          <w:color w:val="auto"/>
        </w:rPr>
        <w:t>HEN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 A</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61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Accrual of Interest</w:t>
      </w:r>
      <w:r>
        <w:rPr>
          <w:rFonts w:ascii="Arial" w:cs="Arial" w:eastAsia="Arial" w:hAnsi="Arial"/>
          <w:sz w:val="18"/>
          <w:szCs w:val="18"/>
          <w:color w:val="auto"/>
        </w:rPr>
        <w:t>. Each Note will accrue interest at a rate per annum equal to 1.25% (the “</w:t>
      </w:r>
      <w:r>
        <w:rPr>
          <w:rFonts w:ascii="Arial" w:cs="Arial" w:eastAsia="Arial" w:hAnsi="Arial"/>
          <w:sz w:val="18"/>
          <w:szCs w:val="18"/>
          <w:b w:val="1"/>
          <w:bCs w:val="1"/>
          <w:color w:val="auto"/>
        </w:rPr>
        <w:t>Stated Interest</w:t>
      </w:r>
      <w:r>
        <w:rPr>
          <w:rFonts w:ascii="Arial" w:cs="Arial" w:eastAsia="Arial" w:hAnsi="Arial"/>
          <w:sz w:val="18"/>
          <w:szCs w:val="18"/>
          <w:color w:val="auto"/>
        </w:rPr>
        <w:t>”), plus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and Special Interest that may accrue pursuant to </w:t>
      </w:r>
      <w:r>
        <w:rPr>
          <w:rFonts w:ascii="Arial" w:cs="Arial" w:eastAsia="Arial" w:hAnsi="Arial"/>
          <w:sz w:val="18"/>
          <w:szCs w:val="18"/>
          <w:b w:val="1"/>
          <w:bCs w:val="1"/>
          <w:color w:val="auto"/>
        </w:rPr>
        <w:t>Sections 3.04</w:t>
      </w:r>
      <w:r>
        <w:rPr>
          <w:rFonts w:ascii="Arial" w:cs="Arial" w:eastAsia="Arial" w:hAnsi="Arial"/>
          <w:sz w:val="18"/>
          <w:szCs w:val="18"/>
          <w:color w:val="auto"/>
        </w:rPr>
        <w:t xml:space="preserve"> and </w:t>
      </w:r>
      <w:r>
        <w:rPr>
          <w:rFonts w:ascii="Arial" w:cs="Arial" w:eastAsia="Arial" w:hAnsi="Arial"/>
          <w:sz w:val="18"/>
          <w:szCs w:val="18"/>
          <w:b w:val="1"/>
          <w:bCs w:val="1"/>
          <w:color w:val="auto"/>
        </w:rPr>
        <w:t>7.03</w:t>
      </w:r>
      <w:r>
        <w:rPr>
          <w:rFonts w:ascii="Arial" w:cs="Arial" w:eastAsia="Arial" w:hAnsi="Arial"/>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Arial" w:cs="Arial" w:eastAsia="Arial" w:hAnsi="Arial"/>
          <w:sz w:val="18"/>
          <w:szCs w:val="18"/>
          <w:b w:val="1"/>
          <w:bCs w:val="1"/>
          <w:color w:val="auto"/>
        </w:rPr>
        <w:t>Sections 4.02(D)</w:t>
      </w:r>
      <w:r>
        <w:rPr>
          <w:rFonts w:ascii="Arial" w:cs="Arial" w:eastAsia="Arial" w:hAnsi="Arial"/>
          <w:sz w:val="18"/>
          <w:szCs w:val="18"/>
          <w:color w:val="auto"/>
        </w:rPr>
        <w:t xml:space="preserve">, </w:t>
      </w:r>
      <w:r>
        <w:rPr>
          <w:rFonts w:ascii="Arial" w:cs="Arial" w:eastAsia="Arial" w:hAnsi="Arial"/>
          <w:sz w:val="18"/>
          <w:szCs w:val="18"/>
          <w:b w:val="1"/>
          <w:bCs w:val="1"/>
          <w:color w:val="auto"/>
        </w:rPr>
        <w:t>4.03(F)</w:t>
      </w:r>
      <w:r>
        <w:rPr>
          <w:rFonts w:ascii="Arial" w:cs="Arial" w:eastAsia="Arial" w:hAnsi="Arial"/>
          <w:sz w:val="18"/>
          <w:szCs w:val="18"/>
          <w:color w:val="auto"/>
        </w:rPr>
        <w:t xml:space="preserve"> and </w:t>
      </w:r>
      <w:r>
        <w:rPr>
          <w:rFonts w:ascii="Arial" w:cs="Arial" w:eastAsia="Arial" w:hAnsi="Arial"/>
          <w:sz w:val="18"/>
          <w:szCs w:val="18"/>
          <w:b w:val="1"/>
          <w:bCs w:val="1"/>
          <w:color w:val="auto"/>
        </w:rPr>
        <w:t>5.02(D)</w:t>
      </w:r>
      <w:r>
        <w:rPr>
          <w:rFonts w:ascii="Arial" w:cs="Arial" w:eastAsia="Arial" w:hAnsi="Arial"/>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71" w:lineRule="auto"/>
        <w:tabs>
          <w:tab w:leader="none" w:pos="163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Defaulted Amounts</w:t>
      </w:r>
      <w:r>
        <w:rPr>
          <w:rFonts w:ascii="Arial" w:cs="Arial" w:eastAsia="Arial" w:hAnsi="Arial"/>
          <w:sz w:val="17"/>
          <w:szCs w:val="17"/>
          <w:color w:val="auto"/>
        </w:rPr>
        <w:t>. If the Company fails to pay any amount (a “</w:t>
      </w:r>
      <w:r>
        <w:rPr>
          <w:rFonts w:ascii="Arial" w:cs="Arial" w:eastAsia="Arial" w:hAnsi="Arial"/>
          <w:sz w:val="17"/>
          <w:szCs w:val="17"/>
          <w:b w:val="1"/>
          <w:bCs w:val="1"/>
          <w:color w:val="auto"/>
        </w:rPr>
        <w:t>Defaulted Amount</w:t>
      </w:r>
      <w:r>
        <w:rPr>
          <w:rFonts w:ascii="Arial" w:cs="Arial" w:eastAsia="Arial" w:hAnsi="Arial"/>
          <w:sz w:val="17"/>
          <w:szCs w:val="17"/>
          <w:color w:val="auto"/>
        </w:rPr>
        <w:t>”) payable on a Note on or before the due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Arial" w:cs="Arial" w:eastAsia="Arial" w:hAnsi="Arial"/>
          <w:sz w:val="17"/>
          <w:szCs w:val="17"/>
          <w:b w:val="1"/>
          <w:bCs w:val="1"/>
          <w:color w:val="auto"/>
        </w:rPr>
        <w:t>Default Interest</w:t>
      </w:r>
      <w:r>
        <w:rPr>
          <w:rFonts w:ascii="Arial" w:cs="Arial" w:eastAsia="Arial" w:hAnsi="Arial"/>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55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Delay of Payment when Payment Date is Not a Business Day</w:t>
      </w:r>
      <w:r>
        <w:rPr>
          <w:rFonts w:ascii="Arial" w:cs="Arial" w:eastAsia="Arial" w:hAnsi="Arial"/>
          <w:sz w:val="18"/>
          <w:szCs w:val="18"/>
          <w:color w:val="auto"/>
        </w:rPr>
        <w:t>. If the due date for a payment on a Note as provided in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2.06. R</w:t>
      </w:r>
      <w:r>
        <w:rPr>
          <w:rFonts w:ascii="Arial" w:cs="Arial" w:eastAsia="Arial" w:hAnsi="Arial"/>
          <w:sz w:val="12"/>
          <w:szCs w:val="12"/>
          <w:b w:val="1"/>
          <w:bCs w:val="1"/>
          <w:color w:val="auto"/>
        </w:rPr>
        <w:t>EGISTRAR</w:t>
      </w:r>
      <w:r>
        <w:rPr>
          <w:rFonts w:ascii="Arial" w:cs="Arial" w:eastAsia="Arial" w:hAnsi="Arial"/>
          <w:sz w:val="18"/>
          <w:szCs w:val="18"/>
          <w:b w:val="1"/>
          <w:bCs w:val="1"/>
          <w:color w:val="auto"/>
        </w:rPr>
        <w:t>,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4" w:lineRule="auto"/>
        <w:tabs>
          <w:tab w:leader="none" w:pos="165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maintain (i) an office or agency in the continental United States where Notes may be presented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(ii) an office or agency in the continental United States where Notes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and (iii) an office or agency in the continental United States where Notes may be presented for conversion (the “</w:t>
      </w:r>
      <w:r>
        <w:rPr>
          <w:rFonts w:ascii="Arial" w:cs="Arial" w:eastAsia="Arial" w:hAnsi="Arial"/>
          <w:sz w:val="18"/>
          <w:szCs w:val="18"/>
          <w:b w:val="1"/>
          <w:bCs w:val="1"/>
          <w:color w:val="auto"/>
        </w:rPr>
        <w:t>Conversion Agent</w:t>
      </w:r>
      <w:r>
        <w:rPr>
          <w:rFonts w:ascii="Arial" w:cs="Arial" w:eastAsia="Arial" w:hAnsi="Arial"/>
          <w:sz w:val="18"/>
          <w:szCs w:val="18"/>
          <w:color w:val="auto"/>
        </w:rPr>
        <w:t>”). If the Company fails to maintain a Registrar, Paying Agent or Conversion Agent, then the Trustee will act as such and will be entitled to receive compensation therefor in accordance with this Indenture and any other agreement between the Trustee and the Company. For the avoidance of doubt, the Company or any of its Subsidiaries may act as Registrar, Paying Agent or Conversion Agent without prior notice to Holders. Any notice to be given to the Paying Agent or the Conversion Agent under this Indenture shall be deemed delivered to such agent if the Trustee is acting as such agent and such notice has been provided to the Trustee.</w:t>
      </w:r>
    </w:p>
    <w:p>
      <w:pPr>
        <w:spacing w:after="0" w:line="187" w:lineRule="exact"/>
        <w:rPr>
          <w:rFonts w:ascii="Arial" w:cs="Arial" w:eastAsia="Arial" w:hAnsi="Arial"/>
          <w:sz w:val="18"/>
          <w:szCs w:val="18"/>
          <w:color w:val="auto"/>
        </w:rPr>
      </w:pPr>
    </w:p>
    <w:p>
      <w:pPr>
        <w:jc w:val="both"/>
        <w:ind w:firstLine="656"/>
        <w:spacing w:after="0" w:line="281" w:lineRule="auto"/>
        <w:tabs>
          <w:tab w:leader="none" w:pos="159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Duties of the Registrar</w:t>
      </w:r>
      <w:r>
        <w:rPr>
          <w:rFonts w:ascii="Arial" w:cs="Arial" w:eastAsia="Arial" w:hAnsi="Arial"/>
          <w:sz w:val="17"/>
          <w:szCs w:val="17"/>
          <w:color w:val="auto"/>
        </w:rPr>
        <w:t>. The Registrar will keep a record (the “</w:t>
      </w:r>
      <w:r>
        <w:rPr>
          <w:rFonts w:ascii="Arial" w:cs="Arial" w:eastAsia="Arial" w:hAnsi="Arial"/>
          <w:sz w:val="17"/>
          <w:szCs w:val="17"/>
          <w:b w:val="1"/>
          <w:bCs w:val="1"/>
          <w:color w:val="auto"/>
        </w:rPr>
        <w:t>Register</w:t>
      </w:r>
      <w:r>
        <w:rPr>
          <w:rFonts w:ascii="Arial" w:cs="Arial" w:eastAsia="Arial" w:hAnsi="Arial"/>
          <w:sz w:val="17"/>
          <w:szCs w:val="17"/>
          <w:color w:val="auto"/>
        </w:rPr>
        <w:t>”) of the names and addresses of the Holders, the Notes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384" w:lineRule="exact"/>
        <w:rPr>
          <w:rFonts w:ascii="Arial" w:cs="Arial" w:eastAsia="Arial" w:hAnsi="Arial"/>
          <w:sz w:val="17"/>
          <w:szCs w:val="17"/>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93" w:lineRule="auto"/>
        <w:tabs>
          <w:tab w:leader="none" w:pos="1531"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Co-Agents; Company’s Right to Appoint Successor Registrars, Paying Agents and Conversion Agents</w:t>
      </w:r>
      <w:r>
        <w:rPr>
          <w:rFonts w:ascii="Arial" w:cs="Arial" w:eastAsia="Arial" w:hAnsi="Arial"/>
          <w:sz w:val="16"/>
          <w:szCs w:val="16"/>
          <w:color w:val="auto"/>
        </w:rPr>
        <w:t>. The Company may appoint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more co-Registrars, co-Paying Agents and co-Conversion Agents, each of whom will be deemed to be a Registrar, Paying Agent or Conversion Agent, as applicable, under this Indenture. Subject to </w:t>
      </w:r>
      <w:r>
        <w:rPr>
          <w:rFonts w:ascii="Arial" w:cs="Arial" w:eastAsia="Arial" w:hAnsi="Arial"/>
          <w:sz w:val="16"/>
          <w:szCs w:val="16"/>
          <w:b w:val="1"/>
          <w:bCs w:val="1"/>
          <w:color w:val="auto"/>
        </w:rPr>
        <w:t>Section 2.06(A)</w:t>
      </w:r>
      <w:r>
        <w:rPr>
          <w:rFonts w:ascii="Arial" w:cs="Arial" w:eastAsia="Arial" w:hAnsi="Arial"/>
          <w:sz w:val="16"/>
          <w:szCs w:val="16"/>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64" w:lineRule="exact"/>
        <w:rPr>
          <w:rFonts w:ascii="Arial" w:cs="Arial" w:eastAsia="Arial" w:hAnsi="Arial"/>
          <w:sz w:val="16"/>
          <w:szCs w:val="16"/>
          <w:color w:val="auto"/>
        </w:rPr>
      </w:pPr>
    </w:p>
    <w:p>
      <w:pPr>
        <w:ind w:firstLine="656"/>
        <w:spacing w:after="0" w:line="277"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Initial Appointments</w:t>
      </w:r>
      <w:r>
        <w:rPr>
          <w:rFonts w:ascii="Arial" w:cs="Arial" w:eastAsia="Arial" w:hAnsi="Arial"/>
          <w:sz w:val="18"/>
          <w:szCs w:val="18"/>
          <w:color w:val="auto"/>
        </w:rPr>
        <w:t>. The Company appoints the Trustee as (and the Trustee’s office in the continental United States as the location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Paying Agent, the initial Registrar and the initial Conversion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2.07.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TO</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 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Arial" w:cs="Arial" w:eastAsia="Arial" w:hAnsi="Arial"/>
          <w:sz w:val="16"/>
          <w:szCs w:val="16"/>
          <w:b w:val="1"/>
          <w:bCs w:val="1"/>
          <w:color w:val="auto"/>
        </w:rPr>
        <w:t>clause (viii)</w:t>
      </w:r>
      <w:r>
        <w:rPr>
          <w:rFonts w:ascii="Arial" w:cs="Arial" w:eastAsia="Arial" w:hAnsi="Arial"/>
          <w:sz w:val="16"/>
          <w:szCs w:val="16"/>
          <w:color w:val="auto"/>
        </w:rPr>
        <w:t xml:space="preserve"> or </w:t>
      </w:r>
      <w:r>
        <w:rPr>
          <w:rFonts w:ascii="Arial" w:cs="Arial" w:eastAsia="Arial" w:hAnsi="Arial"/>
          <w:sz w:val="16"/>
          <w:szCs w:val="16"/>
          <w:b w:val="1"/>
          <w:bCs w:val="1"/>
          <w:color w:val="auto"/>
        </w:rPr>
        <w:t>(ix)</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7.01(A)</w:t>
      </w:r>
      <w:r>
        <w:rPr>
          <w:rFonts w:ascii="Arial" w:cs="Arial" w:eastAsia="Arial" w:hAnsi="Arial"/>
          <w:sz w:val="16"/>
          <w:szCs w:val="16"/>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2.08. H</w:t>
      </w:r>
      <w:r>
        <w:rPr>
          <w:rFonts w:ascii="Arial" w:cs="Arial" w:eastAsia="Arial" w:hAnsi="Arial"/>
          <w:sz w:val="12"/>
          <w:szCs w:val="12"/>
          <w:b w:val="1"/>
          <w:bCs w:val="1"/>
          <w:color w:val="auto"/>
        </w:rPr>
        <w:t>OLDER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Section 2.09. L</w:t>
      </w:r>
      <w:r>
        <w:rPr>
          <w:rFonts w:ascii="Arial" w:cs="Arial" w:eastAsia="Arial" w:hAnsi="Arial"/>
          <w:sz w:val="12"/>
          <w:szCs w:val="12"/>
          <w:b w:val="1"/>
          <w:bCs w:val="1"/>
          <w:color w:val="auto"/>
        </w:rPr>
        <w:t>EGENDS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153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the Global Note Legend (or any similar legend, not inconsistent with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the Depositary for such Global Note).</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Non-Affiliate Legend</w:t>
      </w:r>
      <w:r>
        <w:rPr>
          <w:rFonts w:ascii="Arial" w:cs="Arial" w:eastAsia="Arial" w:hAnsi="Arial"/>
          <w:sz w:val="18"/>
          <w:szCs w:val="18"/>
          <w:color w:val="auto"/>
        </w:rPr>
        <w:t>. Each Note will bear the Non-Affiliate Legend.</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Restricted Note Legend</w:t>
      </w:r>
      <w:r>
        <w:rPr>
          <w:rFonts w:ascii="Arial" w:cs="Arial" w:eastAsia="Arial" w:hAnsi="Arial"/>
          <w:sz w:val="18"/>
          <w:szCs w:val="18"/>
          <w:color w:val="auto"/>
        </w:rPr>
        <w:t>. Subject to the other provisions of this Indenture,</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Note that is a Transfer-Restricted Security will bear the Restricted Note Legend; and</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21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if a Note is issued in exchange for, in substitution of, or to effect a partial conversion of, another Note (such other Note being referred to as the “old Note” for purposes of this </w:t>
      </w:r>
      <w:r>
        <w:rPr>
          <w:rFonts w:ascii="Arial" w:cs="Arial" w:eastAsia="Arial" w:hAnsi="Arial"/>
          <w:sz w:val="18"/>
          <w:szCs w:val="18"/>
          <w:b w:val="1"/>
          <w:bCs w:val="1"/>
          <w:color w:val="auto"/>
        </w:rPr>
        <w:t>Section 2.09(C)(ii)</w:t>
      </w:r>
      <w:r>
        <w:rPr>
          <w:rFonts w:ascii="Arial" w:cs="Arial" w:eastAsia="Arial" w:hAnsi="Arial"/>
          <w:sz w:val="18"/>
          <w:szCs w:val="18"/>
          <w:color w:val="auto"/>
        </w:rPr>
        <w:t xml:space="preserve">), including pursuant to Section </w:t>
      </w:r>
      <w:r>
        <w:rPr>
          <w:rFonts w:ascii="Arial" w:cs="Arial" w:eastAsia="Arial" w:hAnsi="Arial"/>
          <w:sz w:val="18"/>
          <w:szCs w:val="18"/>
          <w:b w:val="1"/>
          <w:bCs w:val="1"/>
          <w:color w:val="auto"/>
        </w:rPr>
        <w:t>2.10(B)</w:t>
      </w:r>
      <w:r>
        <w:rPr>
          <w:rFonts w:ascii="Arial" w:cs="Arial" w:eastAsia="Arial" w:hAnsi="Arial"/>
          <w:sz w:val="18"/>
          <w:szCs w:val="18"/>
          <w:color w:val="auto"/>
        </w:rPr>
        <w:t xml:space="preserve">, </w:t>
      </w:r>
      <w:r>
        <w:rPr>
          <w:rFonts w:ascii="Arial" w:cs="Arial" w:eastAsia="Arial" w:hAnsi="Arial"/>
          <w:sz w:val="18"/>
          <w:szCs w:val="18"/>
          <w:b w:val="1"/>
          <w:bCs w:val="1"/>
          <w:color w:val="auto"/>
        </w:rPr>
        <w:t>2.10(C)</w:t>
      </w:r>
      <w:r>
        <w:rPr>
          <w:rFonts w:ascii="Arial" w:cs="Arial" w:eastAsia="Arial" w:hAnsi="Arial"/>
          <w:sz w:val="18"/>
          <w:szCs w:val="18"/>
          <w:color w:val="auto"/>
        </w:rPr>
        <w:t xml:space="preserve">, </w:t>
      </w:r>
      <w:r>
        <w:rPr>
          <w:rFonts w:ascii="Arial" w:cs="Arial" w:eastAsia="Arial" w:hAnsi="Arial"/>
          <w:sz w:val="18"/>
          <w:szCs w:val="18"/>
          <w:b w:val="1"/>
          <w:bCs w:val="1"/>
          <w:color w:val="auto"/>
        </w:rPr>
        <w:t>2.11</w:t>
      </w:r>
      <w:r>
        <w:rPr>
          <w:rFonts w:ascii="Arial" w:cs="Arial" w:eastAsia="Arial" w:hAnsi="Arial"/>
          <w:sz w:val="18"/>
          <w:szCs w:val="18"/>
          <w:color w:val="auto"/>
        </w:rPr>
        <w:t xml:space="preserve"> or </w:t>
      </w:r>
      <w:r>
        <w:rPr>
          <w:rFonts w:ascii="Arial" w:cs="Arial" w:eastAsia="Arial" w:hAnsi="Arial"/>
          <w:sz w:val="18"/>
          <w:szCs w:val="18"/>
          <w:b w:val="1"/>
          <w:bCs w:val="1"/>
          <w:color w:val="auto"/>
        </w:rPr>
        <w:t>2.12</w:t>
      </w:r>
      <w:r>
        <w:rPr>
          <w:rFonts w:ascii="Arial" w:cs="Arial" w:eastAsia="Arial" w:hAnsi="Arial"/>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92" w:lineRule="exact"/>
        <w:rPr>
          <w:rFonts w:ascii="Arial" w:cs="Arial" w:eastAsia="Arial" w:hAnsi="Arial"/>
          <w:sz w:val="18"/>
          <w:szCs w:val="18"/>
          <w:color w:val="auto"/>
        </w:rPr>
      </w:pPr>
    </w:p>
    <w:p>
      <w:pPr>
        <w:ind w:firstLine="656"/>
        <w:spacing w:after="0" w:line="277" w:lineRule="auto"/>
        <w:tabs>
          <w:tab w:leader="none" w:pos="1482"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Other Legends</w:t>
      </w:r>
      <w:r>
        <w:rPr>
          <w:rFonts w:ascii="Arial" w:cs="Arial" w:eastAsia="Arial" w:hAnsi="Arial"/>
          <w:sz w:val="18"/>
          <w:szCs w:val="18"/>
          <w:color w:val="auto"/>
        </w:rPr>
        <w:t>. A Note may bear any other legend or text, not inconsistent with this Indenture, as may be required by applicable law or</w:t>
      </w:r>
      <w:r>
        <w:rPr>
          <w:rFonts w:ascii="Arial" w:cs="Arial" w:eastAsia="Arial" w:hAnsi="Arial"/>
          <w:sz w:val="18"/>
          <w:szCs w:val="18"/>
          <w:i w:val="1"/>
          <w:iCs w:val="1"/>
          <w:color w:val="auto"/>
        </w:rPr>
        <w:t xml:space="preserve"> </w:t>
      </w:r>
      <w:r>
        <w:rPr>
          <w:rFonts w:ascii="Arial" w:cs="Arial" w:eastAsia="Arial" w:hAnsi="Arial"/>
          <w:sz w:val="18"/>
          <w:szCs w:val="18"/>
          <w:color w:val="auto"/>
        </w:rPr>
        <w:t>by any securities exchange or automated quotation system on which such Note is traded or quoted.</w:t>
      </w:r>
    </w:p>
    <w:p>
      <w:pPr>
        <w:spacing w:after="0" w:line="166" w:lineRule="exact"/>
        <w:rPr>
          <w:rFonts w:ascii="Arial" w:cs="Arial" w:eastAsia="Arial" w:hAnsi="Arial"/>
          <w:sz w:val="18"/>
          <w:szCs w:val="18"/>
          <w:color w:val="auto"/>
        </w:rPr>
      </w:pPr>
    </w:p>
    <w:p>
      <w:pPr>
        <w:ind w:firstLine="656"/>
        <w:spacing w:after="0" w:line="282" w:lineRule="auto"/>
        <w:tabs>
          <w:tab w:leader="none" w:pos="153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Acknowledgment and Agreement by the Holders</w:t>
      </w:r>
      <w:r>
        <w:rPr>
          <w:rFonts w:ascii="Arial" w:cs="Arial" w:eastAsia="Arial" w:hAnsi="Arial"/>
          <w:sz w:val="18"/>
          <w:szCs w:val="18"/>
          <w:color w:val="auto"/>
        </w:rPr>
        <w:t>. A Holder’s acceptance of any Note bearing any legend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2.09</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such Holder’s acknowledgment of, and agreement to comply with, the restrictions set forth in such legend.</w:t>
      </w:r>
    </w:p>
    <w:p>
      <w:pPr>
        <w:spacing w:after="0" w:line="165" w:lineRule="exact"/>
        <w:rPr>
          <w:rFonts w:ascii="Arial" w:cs="Arial" w:eastAsia="Arial" w:hAnsi="Arial"/>
          <w:sz w:val="18"/>
          <w:szCs w:val="18"/>
          <w:color w:val="auto"/>
        </w:rPr>
      </w:pPr>
    </w:p>
    <w:p>
      <w:pPr>
        <w:ind w:left="1500" w:hanging="84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Restricted Stock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3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Conversion Share need not bear the Restricted Stock Legend if the Company determines, in its reasonable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Conversion Share need not bear the Restricted Stock Legend.</w:t>
      </w:r>
    </w:p>
    <w:p>
      <w:pPr>
        <w:spacing w:after="0" w:line="182" w:lineRule="exact"/>
        <w:rPr>
          <w:rFonts w:ascii="Arial" w:cs="Arial" w:eastAsia="Arial" w:hAnsi="Arial"/>
          <w:sz w:val="18"/>
          <w:szCs w:val="18"/>
          <w:color w:val="auto"/>
        </w:rPr>
      </w:pPr>
    </w:p>
    <w:p>
      <w:pPr>
        <w:jc w:val="both"/>
        <w:ind w:left="660" w:firstLine="644"/>
        <w:spacing w:after="0" w:line="261" w:lineRule="auto"/>
        <w:tabs>
          <w:tab w:leader="none" w:pos="2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2.09(F)</w:t>
      </w:r>
      <w:r>
        <w:rPr>
          <w:rFonts w:ascii="Arial" w:cs="Arial" w:eastAsia="Arial" w:hAnsi="Arial"/>
          <w:sz w:val="18"/>
          <w:szCs w:val="18"/>
          <w:color w:val="auto"/>
        </w:rPr>
        <w:t xml:space="preserve">, a Conversion Share need not bear a Restricted Stock Legend if such Conversion Share is issued in an uncertificated form that does not permit affixing legends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Section 2.10. T</w:t>
      </w:r>
      <w:r>
        <w:rPr>
          <w:rFonts w:ascii="Arial" w:cs="Arial" w:eastAsia="Arial" w:hAnsi="Arial"/>
          <w:sz w:val="12"/>
          <w:szCs w:val="12"/>
          <w:b w:val="1"/>
          <w:bCs w:val="1"/>
          <w:color w:val="auto"/>
        </w:rPr>
        <w:t>RANSFERS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Provisions Applicable to All Transfers and Exchanges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firstLine="644"/>
        <w:spacing w:after="0" w:line="282" w:lineRule="auto"/>
        <w:tabs>
          <w:tab w:leader="none" w:pos="251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2.10</w:t>
      </w:r>
      <w:r>
        <w:rPr>
          <w:rFonts w:ascii="Arial" w:cs="Arial" w:eastAsia="Arial" w:hAnsi="Arial"/>
          <w:sz w:val="18"/>
          <w:szCs w:val="18"/>
          <w:color w:val="auto"/>
        </w:rPr>
        <w:t>, Physical Notes and beneficial interests in Global Notes may be transferred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from time to time and the Registrar will record each such transfer or exchange in the Register.</w:t>
      </w:r>
    </w:p>
    <w:p>
      <w:pPr>
        <w:spacing w:after="0" w:line="165" w:lineRule="exact"/>
        <w:rPr>
          <w:rFonts w:ascii="Arial" w:cs="Arial" w:eastAsia="Arial" w:hAnsi="Arial"/>
          <w:sz w:val="18"/>
          <w:szCs w:val="18"/>
          <w:color w:val="auto"/>
        </w:rPr>
      </w:pPr>
    </w:p>
    <w:p>
      <w:pPr>
        <w:jc w:val="both"/>
        <w:ind w:left="660" w:firstLine="644"/>
        <w:spacing w:after="0" w:line="259" w:lineRule="auto"/>
        <w:tabs>
          <w:tab w:leader="none" w:pos="2184"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Transferred and Exchanged Notes Remain Valid Obligations of the Company</w:t>
      </w:r>
      <w:r>
        <w:rPr>
          <w:rFonts w:ascii="Arial" w:cs="Arial" w:eastAsia="Arial" w:hAnsi="Arial"/>
          <w:sz w:val="18"/>
          <w:szCs w:val="18"/>
          <w:color w:val="auto"/>
        </w:rPr>
        <w:t>. Each Note issued upon transfer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other Note (such other Note being referred to as the “old Note” for purposes of this </w:t>
      </w:r>
      <w:r>
        <w:rPr>
          <w:rFonts w:ascii="Arial" w:cs="Arial" w:eastAsia="Arial" w:hAnsi="Arial"/>
          <w:sz w:val="18"/>
          <w:szCs w:val="18"/>
          <w:b w:val="1"/>
          <w:bCs w:val="1"/>
          <w:color w:val="auto"/>
        </w:rPr>
        <w:t>Section 2.10(A)(ii)</w:t>
      </w:r>
      <w:r>
        <w:rPr>
          <w:rFonts w:ascii="Arial" w:cs="Arial" w:eastAsia="Arial" w:hAnsi="Arial"/>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2212"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No Services Charge; Transfer Taxes</w:t>
      </w:r>
      <w:r>
        <w:rPr>
          <w:rFonts w:ascii="Arial" w:cs="Arial" w:eastAsia="Arial" w:hAnsi="Arial"/>
          <w:sz w:val="17"/>
          <w:szCs w:val="17"/>
          <w:color w:val="auto"/>
        </w:rPr>
        <w:t>. The Company, the Trustee and the Note Agents will not impose any service charge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Arial" w:cs="Arial" w:eastAsia="Arial" w:hAnsi="Arial"/>
          <w:sz w:val="17"/>
          <w:szCs w:val="17"/>
          <w:b w:val="1"/>
          <w:bCs w:val="1"/>
          <w:color w:val="auto"/>
        </w:rPr>
        <w:t>Section 2.11</w:t>
      </w:r>
      <w:r>
        <w:rPr>
          <w:rFonts w:ascii="Arial" w:cs="Arial" w:eastAsia="Arial" w:hAnsi="Arial"/>
          <w:sz w:val="17"/>
          <w:szCs w:val="17"/>
          <w:color w:val="auto"/>
        </w:rPr>
        <w:t xml:space="preserve">, </w:t>
      </w:r>
      <w:r>
        <w:rPr>
          <w:rFonts w:ascii="Arial" w:cs="Arial" w:eastAsia="Arial" w:hAnsi="Arial"/>
          <w:sz w:val="17"/>
          <w:szCs w:val="17"/>
          <w:b w:val="1"/>
          <w:bCs w:val="1"/>
          <w:color w:val="auto"/>
        </w:rPr>
        <w:t>2.16</w:t>
      </w:r>
      <w:r>
        <w:rPr>
          <w:rFonts w:ascii="Arial" w:cs="Arial" w:eastAsia="Arial" w:hAnsi="Arial"/>
          <w:sz w:val="17"/>
          <w:szCs w:val="17"/>
          <w:color w:val="auto"/>
        </w:rPr>
        <w:t xml:space="preserve"> or </w:t>
      </w:r>
      <w:r>
        <w:rPr>
          <w:rFonts w:ascii="Arial" w:cs="Arial" w:eastAsia="Arial" w:hAnsi="Arial"/>
          <w:sz w:val="17"/>
          <w:szCs w:val="17"/>
          <w:b w:val="1"/>
          <w:bCs w:val="1"/>
          <w:color w:val="auto"/>
        </w:rPr>
        <w:t>8.05</w:t>
      </w:r>
      <w:r>
        <w:rPr>
          <w:rFonts w:ascii="Arial" w:cs="Arial" w:eastAsia="Arial" w:hAnsi="Arial"/>
          <w:sz w:val="17"/>
          <w:szCs w:val="17"/>
          <w:color w:val="auto"/>
        </w:rPr>
        <w:t xml:space="preserve"> not involving any transfer.</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2233"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Transfers and Exchanges Must Be in Authorized Denominations</w:t>
      </w:r>
      <w:r>
        <w:rPr>
          <w:rFonts w:ascii="Arial" w:cs="Arial" w:eastAsia="Arial" w:hAnsi="Arial"/>
          <w:sz w:val="18"/>
          <w:szCs w:val="18"/>
          <w:color w:val="auto"/>
        </w:rPr>
        <w:t>. Notwithstanding anything to the contrary in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Notes, a Note may not be transferred or exchanged in part unless the portion to be so transferred or exchanged is in an Authorized Denomination.</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219"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have no obligation or duty to monitor, determine or inquire as to compliance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86" w:lineRule="exact"/>
        <w:rPr>
          <w:rFonts w:ascii="Arial" w:cs="Arial" w:eastAsia="Arial" w:hAnsi="Arial"/>
          <w:sz w:val="18"/>
          <w:szCs w:val="18"/>
          <w:color w:val="auto"/>
        </w:rPr>
      </w:pPr>
    </w:p>
    <w:p>
      <w:pPr>
        <w:ind w:left="2360" w:hanging="1056"/>
        <w:spacing w:after="0"/>
        <w:tabs>
          <w:tab w:leader="none" w:pos="23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Legends</w:t>
      </w:r>
      <w:r>
        <w:rPr>
          <w:rFonts w:ascii="Arial" w:cs="Arial" w:eastAsia="Arial" w:hAnsi="Arial"/>
          <w:sz w:val="16"/>
          <w:szCs w:val="16"/>
          <w:color w:val="auto"/>
        </w:rPr>
        <w:t>. Each Note issued upon transfer of, or in exchange for, another Note will bear each legend, if any, required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2081"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Settlement of Transfers and Exchanges</w:t>
      </w:r>
      <w:r>
        <w:rPr>
          <w:rFonts w:ascii="Arial" w:cs="Arial" w:eastAsia="Arial" w:hAnsi="Arial"/>
          <w:sz w:val="18"/>
          <w:szCs w:val="18"/>
          <w:color w:val="auto"/>
        </w:rPr>
        <w:t>. Upon satisfaction of the requirements of this Indenture to effect a transfer or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Note, the Company will cause such transfer or exchange to be effected as soon as reasonably practicable but in no event later than the second (2nd) Business Day after the date of such satisfaction.</w:t>
      </w:r>
    </w:p>
    <w:p>
      <w:pPr>
        <w:spacing w:after="0" w:line="179" w:lineRule="exact"/>
        <w:rPr>
          <w:rFonts w:ascii="Arial" w:cs="Arial" w:eastAsia="Arial" w:hAnsi="Arial"/>
          <w:sz w:val="18"/>
          <w:szCs w:val="18"/>
          <w:color w:val="auto"/>
        </w:rPr>
      </w:pPr>
    </w:p>
    <w:p>
      <w:pPr>
        <w:jc w:val="both"/>
        <w:ind w:left="660" w:firstLine="644"/>
        <w:spacing w:after="0" w:line="303" w:lineRule="auto"/>
        <w:tabs>
          <w:tab w:leader="none" w:pos="2257"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Interpretation</w:t>
      </w:r>
      <w:r>
        <w:rPr>
          <w:rFonts w:ascii="Arial" w:cs="Arial" w:eastAsia="Arial" w:hAnsi="Arial"/>
          <w:sz w:val="16"/>
          <w:szCs w:val="16"/>
          <w:color w:val="auto"/>
        </w:rPr>
        <w:t>. For the avoidance of doubt, and subject to the terms of this Indenture, as used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2.10</w:t>
      </w:r>
      <w:r>
        <w:rPr>
          <w:rFonts w:ascii="Arial" w:cs="Arial" w:eastAsia="Arial" w:hAnsi="Arial"/>
          <w:sz w:val="16"/>
          <w:szCs w:val="16"/>
          <w:color w:val="auto"/>
        </w:rPr>
        <w:t>, an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54" w:lineRule="exact"/>
        <w:rPr>
          <w:rFonts w:ascii="Arial" w:cs="Arial" w:eastAsia="Arial" w:hAnsi="Arial"/>
          <w:sz w:val="16"/>
          <w:szCs w:val="16"/>
          <w:color w:val="auto"/>
        </w:rPr>
      </w:pPr>
    </w:p>
    <w:p>
      <w:pPr>
        <w:ind w:left="2140" w:hanging="836"/>
        <w:spacing w:after="0"/>
        <w:tabs>
          <w:tab w:leader="none" w:pos="2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Neither the Trustee nor any Note Agent will have any responsibility for any action taken or not taken by the Depositary.</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540" w:hanging="111"/>
        <w:spacing w:after="0"/>
        <w:tabs>
          <w:tab w:leader="none" w:pos="55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864" w:hanging="864"/>
        <w:spacing w:after="0"/>
        <w:tabs>
          <w:tab w:leader="none" w:pos="86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Transfers and Exchanges of Global Notes.</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174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Certain Restrictions</w:t>
      </w:r>
      <w:r>
        <w:rPr>
          <w:rFonts w:ascii="Arial" w:cs="Arial" w:eastAsia="Arial" w:hAnsi="Arial"/>
          <w:sz w:val="18"/>
          <w:szCs w:val="18"/>
          <w:color w:val="auto"/>
        </w:rPr>
        <w:t>. Subject to the immediately following sentence, no Global Note may be transferred or exchanged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Global Note will be exchanged, pursuant to customary procedures, for one or more Physical Notes if:</w:t>
      </w:r>
    </w:p>
    <w:p>
      <w:pPr>
        <w:spacing w:after="0" w:line="187" w:lineRule="exact"/>
        <w:rPr>
          <w:rFonts w:ascii="Arial" w:cs="Arial" w:eastAsia="Arial" w:hAnsi="Arial"/>
          <w:sz w:val="18"/>
          <w:szCs w:val="18"/>
          <w:color w:val="auto"/>
        </w:rPr>
      </w:pPr>
    </w:p>
    <w:p>
      <w:pPr>
        <w:jc w:val="both"/>
        <w:ind w:left="644" w:firstLine="652"/>
        <w:spacing w:after="0" w:line="311" w:lineRule="auto"/>
        <w:tabs>
          <w:tab w:leader="none" w:pos="2338" w:val="left"/>
        </w:tabs>
        <w:numPr>
          <w:ilvl w:val="2"/>
          <w:numId w:val="20"/>
        </w:numPr>
        <w:rPr>
          <w:rFonts w:ascii="Arial" w:cs="Arial" w:eastAsia="Arial" w:hAnsi="Arial"/>
          <w:sz w:val="16"/>
          <w:szCs w:val="16"/>
          <w:color w:val="auto"/>
        </w:rPr>
      </w:pPr>
      <w:r>
        <w:rPr>
          <w:rFonts w:ascii="Arial" w:cs="Arial" w:eastAsia="Arial" w:hAnsi="Arial"/>
          <w:sz w:val="16"/>
          <w:szCs w:val="16"/>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48" w:lineRule="exact"/>
        <w:rPr>
          <w:rFonts w:ascii="Arial" w:cs="Arial" w:eastAsia="Arial" w:hAnsi="Arial"/>
          <w:sz w:val="16"/>
          <w:szCs w:val="16"/>
          <w:color w:val="auto"/>
        </w:rPr>
      </w:pPr>
    </w:p>
    <w:p>
      <w:pPr>
        <w:jc w:val="both"/>
        <w:ind w:left="644" w:firstLine="652"/>
        <w:spacing w:after="0" w:line="263" w:lineRule="auto"/>
        <w:tabs>
          <w:tab w:leader="none" w:pos="2311"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83" w:lineRule="exact"/>
        <w:rPr>
          <w:rFonts w:ascii="Arial" w:cs="Arial" w:eastAsia="Arial" w:hAnsi="Arial"/>
          <w:sz w:val="18"/>
          <w:szCs w:val="18"/>
          <w:color w:val="auto"/>
        </w:rPr>
      </w:pPr>
    </w:p>
    <w:p>
      <w:pPr>
        <w:ind w:left="644" w:firstLine="652"/>
        <w:spacing w:after="0" w:line="277" w:lineRule="auto"/>
        <w:tabs>
          <w:tab w:leader="none" w:pos="2271"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in its sole discretion, permits the exchange of any beneficial interest in such Global Note for one or more Physical Notes at the request of the owner of such beneficial interest.</w:t>
      </w:r>
    </w:p>
    <w:p>
      <w:pPr>
        <w:spacing w:after="0" w:line="170" w:lineRule="exact"/>
        <w:rPr>
          <w:rFonts w:ascii="Arial" w:cs="Arial" w:eastAsia="Arial" w:hAnsi="Arial"/>
          <w:sz w:val="18"/>
          <w:szCs w:val="18"/>
          <w:color w:val="auto"/>
        </w:rPr>
      </w:pPr>
    </w:p>
    <w:p>
      <w:pPr>
        <w:ind w:left="4" w:firstLine="644"/>
        <w:spacing w:after="0" w:line="277" w:lineRule="auto"/>
        <w:tabs>
          <w:tab w:leader="none" w:pos="1528"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Effecting Transfers and Exchanges</w:t>
      </w:r>
      <w:r>
        <w:rPr>
          <w:rFonts w:ascii="Arial" w:cs="Arial" w:eastAsia="Arial" w:hAnsi="Arial"/>
          <w:sz w:val="18"/>
          <w:szCs w:val="18"/>
          <w:color w:val="auto"/>
        </w:rPr>
        <w:t>. Upon satisfaction of the requirements of this Indenture to effect a transfer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Global Note (or any portion thereof):</w:t>
      </w:r>
    </w:p>
    <w:p>
      <w:pPr>
        <w:spacing w:after="0" w:line="170" w:lineRule="exact"/>
        <w:rPr>
          <w:rFonts w:ascii="Arial" w:cs="Arial" w:eastAsia="Arial" w:hAnsi="Arial"/>
          <w:sz w:val="18"/>
          <w:szCs w:val="18"/>
          <w:color w:val="auto"/>
        </w:rPr>
      </w:pPr>
    </w:p>
    <w:p>
      <w:pPr>
        <w:jc w:val="both"/>
        <w:ind w:left="644" w:firstLine="652"/>
        <w:spacing w:after="0" w:line="275" w:lineRule="auto"/>
        <w:tabs>
          <w:tab w:leader="none" w:pos="2419" w:val="left"/>
        </w:tabs>
        <w:numPr>
          <w:ilvl w:val="2"/>
          <w:numId w:val="20"/>
        </w:numPr>
        <w:rPr>
          <w:rFonts w:ascii="Arial" w:cs="Arial" w:eastAsia="Arial" w:hAnsi="Arial"/>
          <w:sz w:val="18"/>
          <w:szCs w:val="18"/>
          <w:color w:val="auto"/>
        </w:rPr>
      </w:pPr>
      <w:r>
        <w:rPr>
          <w:rFonts w:ascii="Arial" w:cs="Arial" w:eastAsia="Arial" w:hAnsi="Arial"/>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644" w:firstLine="652"/>
        <w:spacing w:after="0" w:line="263" w:lineRule="auto"/>
        <w:tabs>
          <w:tab w:leader="none" w:pos="2298" w:val="left"/>
        </w:tabs>
        <w:numPr>
          <w:ilvl w:val="2"/>
          <w:numId w:val="20"/>
        </w:numPr>
        <w:rPr>
          <w:rFonts w:ascii="Arial" w:cs="Arial" w:eastAsia="Arial" w:hAnsi="Arial"/>
          <w:sz w:val="18"/>
          <w:szCs w:val="18"/>
          <w:color w:val="auto"/>
        </w:rPr>
      </w:pPr>
      <w:r>
        <w:rPr>
          <w:rFonts w:ascii="Arial" w:cs="Arial" w:eastAsia="Arial" w:hAnsi="Arial"/>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399" w:lineRule="exact"/>
        <w:rPr>
          <w:rFonts w:ascii="Arial" w:cs="Arial" w:eastAsia="Arial" w:hAnsi="Arial"/>
          <w:sz w:val="18"/>
          <w:szCs w:val="18"/>
          <w:color w:val="auto"/>
        </w:rPr>
      </w:pPr>
    </w:p>
    <w:p>
      <w:pPr>
        <w:ind w:left="4884" w:hanging="111"/>
        <w:spacing w:after="0"/>
        <w:tabs>
          <w:tab w:leader="none" w:pos="4884" w:val="left"/>
        </w:tabs>
        <w:numPr>
          <w:ilvl w:val="3"/>
          <w:numId w:val="20"/>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 w:name="page30"/>
    <w:bookmarkEnd w:id="29"/>
    <w:p>
      <w:pPr>
        <w:ind w:left="2324" w:hanging="1028"/>
        <w:spacing w:after="0"/>
        <w:tabs>
          <w:tab w:leader="none" w:pos="2324"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required to effect such transfer or exchange, then the Company will issue, execute and deliver, and the Trustee</w:t>
      </w:r>
    </w:p>
    <w:p>
      <w:pPr>
        <w:spacing w:after="0" w:line="68" w:lineRule="exact"/>
        <w:rPr>
          <w:rFonts w:ascii="Arial" w:cs="Arial" w:eastAsia="Arial" w:hAnsi="Arial"/>
          <w:sz w:val="16"/>
          <w:szCs w:val="16"/>
          <w:color w:val="auto"/>
        </w:rPr>
      </w:pPr>
    </w:p>
    <w:p>
      <w:pPr>
        <w:ind w:left="644" w:right="2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 new Global Note bearing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 and</w:t>
      </w:r>
    </w:p>
    <w:p>
      <w:pPr>
        <w:spacing w:after="0" w:line="153" w:lineRule="exact"/>
        <w:rPr>
          <w:rFonts w:ascii="Arial" w:cs="Arial" w:eastAsia="Arial" w:hAnsi="Arial"/>
          <w:sz w:val="16"/>
          <w:szCs w:val="16"/>
          <w:color w:val="auto"/>
        </w:rPr>
      </w:pPr>
    </w:p>
    <w:p>
      <w:pPr>
        <w:jc w:val="both"/>
        <w:ind w:left="644" w:firstLine="652"/>
        <w:spacing w:after="0" w:line="305" w:lineRule="auto"/>
        <w:tabs>
          <w:tab w:leader="none" w:pos="2244"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such Global Note (or such portion thereof), or any beneficial interest therein, is to be exchanged for one or more Physical Notes, then the Company will issue, execute and deliver, and the Trustee will authenticate, in each case in accordance with</w:t>
      </w:r>
    </w:p>
    <w:p>
      <w:pPr>
        <w:jc w:val="both"/>
        <w:ind w:left="644"/>
        <w:spacing w:after="0" w:line="322" w:lineRule="auto"/>
        <w:rPr>
          <w:rFonts w:ascii="Arial" w:cs="Arial" w:eastAsia="Arial" w:hAnsi="Arial"/>
          <w:sz w:val="16"/>
          <w:szCs w:val="16"/>
          <w:color w:val="auto"/>
        </w:rPr>
      </w:pPr>
      <w:r>
        <w:rPr>
          <w:rFonts w:ascii="Arial" w:cs="Arial" w:eastAsia="Arial" w:hAnsi="Arial"/>
          <w:sz w:val="17"/>
          <w:szCs w:val="17"/>
          <w:b w:val="1"/>
          <w:bCs w:val="1"/>
          <w:color w:val="auto"/>
        </w:rPr>
        <w:t>Section 2.02</w:t>
      </w:r>
      <w:r>
        <w:rPr>
          <w:rFonts w:ascii="Arial" w:cs="Arial" w:eastAsia="Arial" w:hAnsi="Arial"/>
          <w:sz w:val="17"/>
          <w:szCs w:val="17"/>
          <w:color w:val="auto"/>
        </w:rPr>
        <w:t>, one or more Physical Notes that (x) are in Authorized Denominations and have an aggregate principal amount equal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48" w:lineRule="exact"/>
        <w:rPr>
          <w:rFonts w:ascii="Arial" w:cs="Arial" w:eastAsia="Arial" w:hAnsi="Arial"/>
          <w:sz w:val="16"/>
          <w:szCs w:val="16"/>
          <w:color w:val="auto"/>
        </w:rPr>
      </w:pPr>
    </w:p>
    <w:p>
      <w:pPr>
        <w:ind w:left="4" w:firstLine="644"/>
        <w:spacing w:after="0" w:line="277" w:lineRule="auto"/>
        <w:tabs>
          <w:tab w:leader="none" w:pos="146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Compliance with Depositary Procedures</w:t>
      </w:r>
      <w:r>
        <w:rPr>
          <w:rFonts w:ascii="Arial" w:cs="Arial" w:eastAsia="Arial" w:hAnsi="Arial"/>
          <w:sz w:val="18"/>
          <w:szCs w:val="18"/>
          <w:color w:val="auto"/>
        </w:rPr>
        <w:t>. Each transfer or exchange of a beneficial interest in any Global Note will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Depositary Procedures.</w:t>
      </w:r>
    </w:p>
    <w:p>
      <w:pPr>
        <w:spacing w:after="0" w:line="170" w:lineRule="exact"/>
        <w:rPr>
          <w:rFonts w:ascii="Arial" w:cs="Arial" w:eastAsia="Arial" w:hAnsi="Arial"/>
          <w:sz w:val="18"/>
          <w:szCs w:val="18"/>
          <w:color w:val="auto"/>
        </w:rPr>
      </w:pPr>
    </w:p>
    <w:p>
      <w:pPr>
        <w:ind w:left="864" w:hanging="864"/>
        <w:spacing w:after="0"/>
        <w:tabs>
          <w:tab w:leader="none" w:pos="86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Transfers and Exchanges of Physical Notes.</w:t>
      </w:r>
    </w:p>
    <w:p>
      <w:pPr>
        <w:spacing w:after="0" w:line="221" w:lineRule="exact"/>
        <w:rPr>
          <w:rFonts w:ascii="Arial" w:cs="Arial" w:eastAsia="Arial" w:hAnsi="Arial"/>
          <w:sz w:val="18"/>
          <w:szCs w:val="18"/>
          <w:color w:val="auto"/>
        </w:rPr>
      </w:pPr>
    </w:p>
    <w:p>
      <w:pPr>
        <w:jc w:val="both"/>
        <w:ind w:left="4" w:firstLine="644"/>
        <w:spacing w:after="0" w:line="294" w:lineRule="auto"/>
        <w:tabs>
          <w:tab w:leader="none" w:pos="165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Requirements for Transfers and Exchanges</w:t>
      </w:r>
      <w:r>
        <w:rPr>
          <w:rFonts w:ascii="Arial" w:cs="Arial" w:eastAsia="Arial" w:hAnsi="Arial"/>
          <w:sz w:val="16"/>
          <w:szCs w:val="16"/>
          <w:color w:val="auto"/>
        </w:rPr>
        <w:t>. Subject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2.10</w:t>
      </w:r>
      <w:r>
        <w:rPr>
          <w:rFonts w:ascii="Arial" w:cs="Arial" w:eastAsia="Arial" w:hAnsi="Arial"/>
          <w:sz w:val="16"/>
          <w:szCs w:val="16"/>
          <w:color w:val="auto"/>
        </w:rPr>
        <w:t>, a Holder of a Physical Note may (x) transfer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effect any such transfer or exchange, such Holder must:</w:t>
      </w:r>
    </w:p>
    <w:p>
      <w:pPr>
        <w:spacing w:after="0" w:line="163" w:lineRule="exact"/>
        <w:rPr>
          <w:rFonts w:ascii="Arial" w:cs="Arial" w:eastAsia="Arial" w:hAnsi="Arial"/>
          <w:sz w:val="16"/>
          <w:szCs w:val="16"/>
          <w:color w:val="auto"/>
        </w:rPr>
      </w:pPr>
    </w:p>
    <w:p>
      <w:pPr>
        <w:ind w:left="644" w:firstLine="652"/>
        <w:spacing w:after="0" w:line="277" w:lineRule="auto"/>
        <w:tabs>
          <w:tab w:leader="none" w:pos="2365" w:val="left"/>
        </w:tabs>
        <w:numPr>
          <w:ilvl w:val="2"/>
          <w:numId w:val="23"/>
        </w:numPr>
        <w:rPr>
          <w:rFonts w:ascii="Arial" w:cs="Arial" w:eastAsia="Arial" w:hAnsi="Arial"/>
          <w:sz w:val="18"/>
          <w:szCs w:val="18"/>
          <w:color w:val="auto"/>
        </w:rPr>
      </w:pPr>
      <w:r>
        <w:rPr>
          <w:rFonts w:ascii="Arial" w:cs="Arial" w:eastAsia="Arial" w:hAnsi="Arial"/>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206" w:lineRule="exact"/>
        <w:rPr>
          <w:rFonts w:ascii="Arial" w:cs="Arial" w:eastAsia="Arial" w:hAnsi="Arial"/>
          <w:sz w:val="18"/>
          <w:szCs w:val="18"/>
          <w:color w:val="auto"/>
        </w:rPr>
      </w:pPr>
    </w:p>
    <w:p>
      <w:pPr>
        <w:ind w:left="2184" w:hanging="888"/>
        <w:spacing w:after="0"/>
        <w:tabs>
          <w:tab w:leader="none" w:pos="2184"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deliver such certificates, documentation or evidence as may be required pursuant to </w:t>
      </w:r>
      <w:r>
        <w:rPr>
          <w:rFonts w:ascii="Arial" w:cs="Arial" w:eastAsia="Arial" w:hAnsi="Arial"/>
          <w:sz w:val="18"/>
          <w:szCs w:val="18"/>
          <w:b w:val="1"/>
          <w:bCs w:val="1"/>
          <w:color w:val="auto"/>
        </w:rPr>
        <w:t>Section 2.10(D)</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4" w:firstLine="644"/>
        <w:spacing w:after="0" w:line="263" w:lineRule="auto"/>
        <w:tabs>
          <w:tab w:leader="none" w:pos="1501"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Effecting Transfers and Exchanges</w:t>
      </w:r>
      <w:r>
        <w:rPr>
          <w:rFonts w:ascii="Arial" w:cs="Arial" w:eastAsia="Arial" w:hAnsi="Arial"/>
          <w:sz w:val="18"/>
          <w:szCs w:val="18"/>
          <w:color w:val="auto"/>
        </w:rPr>
        <w:t>. Upon the satisfaction of the requirements of this Indenture to effect a transfer or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any Physical Note (such Physical Note being referred to as the “old Physical Note” for purposes of this </w:t>
      </w:r>
      <w:r>
        <w:rPr>
          <w:rFonts w:ascii="Arial" w:cs="Arial" w:eastAsia="Arial" w:hAnsi="Arial"/>
          <w:sz w:val="18"/>
          <w:szCs w:val="18"/>
          <w:b w:val="1"/>
          <w:bCs w:val="1"/>
          <w:color w:val="auto"/>
        </w:rPr>
        <w:t>Section 2.10(C)(ii)</w:t>
      </w:r>
      <w:r>
        <w:rPr>
          <w:rFonts w:ascii="Arial" w:cs="Arial" w:eastAsia="Arial" w:hAnsi="Arial"/>
          <w:sz w:val="18"/>
          <w:szCs w:val="18"/>
          <w:color w:val="auto"/>
        </w:rPr>
        <w:t>) of a Holder (or any portion of such old Physical Note in an Authorized Denomination):</w:t>
      </w:r>
    </w:p>
    <w:p>
      <w:pPr>
        <w:spacing w:after="0" w:line="220" w:lineRule="exact"/>
        <w:rPr>
          <w:rFonts w:ascii="Arial" w:cs="Arial" w:eastAsia="Arial" w:hAnsi="Arial"/>
          <w:sz w:val="18"/>
          <w:szCs w:val="18"/>
          <w:color w:val="auto"/>
        </w:rPr>
      </w:pPr>
    </w:p>
    <w:p>
      <w:pPr>
        <w:ind w:left="2184" w:hanging="888"/>
        <w:spacing w:after="0"/>
        <w:tabs>
          <w:tab w:leader="none" w:pos="2184"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such old Physical Note will be promptly cancelled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2184" w:hanging="888"/>
        <w:spacing w:after="0"/>
        <w:tabs>
          <w:tab w:leader="none" w:pos="2184" w:val="left"/>
        </w:tabs>
        <w:numPr>
          <w:ilvl w:val="2"/>
          <w:numId w:val="23"/>
        </w:numPr>
        <w:rPr>
          <w:rFonts w:ascii="Arial" w:cs="Arial" w:eastAsia="Arial" w:hAnsi="Arial"/>
          <w:sz w:val="16"/>
          <w:szCs w:val="16"/>
          <w:color w:val="auto"/>
        </w:rPr>
      </w:pPr>
      <w:r>
        <w:rPr>
          <w:rFonts w:ascii="Arial" w:cs="Arial" w:eastAsia="Arial" w:hAnsi="Arial"/>
          <w:sz w:val="16"/>
          <w:szCs w:val="16"/>
          <w:color w:val="auto"/>
        </w:rPr>
        <w:t>if such old Physical Note is to be so transferred or exchanged only in part, then the Company will issue, execute and</w:t>
      </w:r>
    </w:p>
    <w:p>
      <w:pPr>
        <w:spacing w:after="0" w:line="68" w:lineRule="exact"/>
        <w:rPr>
          <w:rFonts w:ascii="Arial" w:cs="Arial" w:eastAsia="Arial" w:hAnsi="Arial"/>
          <w:sz w:val="16"/>
          <w:szCs w:val="16"/>
          <w:color w:val="auto"/>
        </w:rPr>
      </w:pPr>
    </w:p>
    <w:p>
      <w:pPr>
        <w:jc w:val="both"/>
        <w:ind w:left="644"/>
        <w:spacing w:after="0" w:line="349" w:lineRule="auto"/>
        <w:rPr>
          <w:rFonts w:ascii="Arial" w:cs="Arial" w:eastAsia="Arial" w:hAnsi="Arial"/>
          <w:sz w:val="16"/>
          <w:szCs w:val="16"/>
          <w:color w:val="auto"/>
        </w:rPr>
      </w:pPr>
      <w:r>
        <w:rPr>
          <w:rFonts w:ascii="Arial" w:cs="Arial" w:eastAsia="Arial" w:hAnsi="Arial"/>
          <w:sz w:val="16"/>
          <w:szCs w:val="16"/>
          <w:color w:val="auto"/>
        </w:rPr>
        <w:t xml:space="preserve">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348" w:lineRule="exact"/>
        <w:rPr>
          <w:rFonts w:ascii="Arial" w:cs="Arial" w:eastAsia="Arial" w:hAnsi="Arial"/>
          <w:sz w:val="16"/>
          <w:szCs w:val="16"/>
          <w:color w:val="auto"/>
        </w:rPr>
      </w:pPr>
    </w:p>
    <w:p>
      <w:pPr>
        <w:ind w:left="4884" w:hanging="111"/>
        <w:spacing w:after="0"/>
        <w:tabs>
          <w:tab w:leader="none" w:pos="4884" w:val="left"/>
        </w:tabs>
        <w:numPr>
          <w:ilvl w:val="3"/>
          <w:numId w:val="23"/>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0" w:name="page31"/>
    <w:bookmarkEnd w:id="30"/>
    <w:p>
      <w:pPr>
        <w:ind w:left="1720" w:hanging="888"/>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transfer:</w:t>
      </w:r>
    </w:p>
    <w:p>
      <w:pPr>
        <w:spacing w:after="0" w:line="225" w:lineRule="exact"/>
        <w:rPr>
          <w:rFonts w:ascii="Arial" w:cs="Arial" w:eastAsia="Arial" w:hAnsi="Arial"/>
          <w:sz w:val="18"/>
          <w:szCs w:val="18"/>
          <w:color w:val="auto"/>
        </w:rPr>
      </w:pPr>
    </w:p>
    <w:p>
      <w:pPr>
        <w:jc w:val="both"/>
        <w:ind w:left="840" w:firstLine="640"/>
        <w:spacing w:after="0" w:line="287" w:lineRule="auto"/>
        <w:tabs>
          <w:tab w:leader="none" w:pos="24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transfer cannot be so effected by notation on one or more existing Global Notes (whether because no Global Notes bearing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Global Notes that (x) are in Authorized Denominations and have an aggregate principal amount equal to the principal amount to be so transferred; and (y)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and</w:t>
      </w:r>
    </w:p>
    <w:p>
      <w:pPr>
        <w:spacing w:after="0" w:line="171" w:lineRule="exact"/>
        <w:rPr>
          <w:rFonts w:ascii="Arial" w:cs="Arial" w:eastAsia="Arial" w:hAnsi="Arial"/>
          <w:sz w:val="16"/>
          <w:szCs w:val="16"/>
          <w:color w:val="auto"/>
        </w:rPr>
      </w:pPr>
    </w:p>
    <w:p>
      <w:pPr>
        <w:jc w:val="both"/>
        <w:ind w:left="840" w:firstLine="640"/>
        <w:spacing w:after="0" w:line="275" w:lineRule="auto"/>
        <w:tabs>
          <w:tab w:leader="none" w:pos="2656"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 and</w:t>
      </w:r>
    </w:p>
    <w:p>
      <w:pPr>
        <w:spacing w:after="0" w:line="176" w:lineRule="exact"/>
        <w:rPr>
          <w:rFonts w:ascii="Arial" w:cs="Arial" w:eastAsia="Arial" w:hAnsi="Arial"/>
          <w:sz w:val="17"/>
          <w:szCs w:val="17"/>
          <w:color w:val="auto"/>
        </w:rPr>
      </w:pPr>
    </w:p>
    <w:p>
      <w:pPr>
        <w:ind w:left="1800" w:hanging="968"/>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case of an exchange, the Company will issue, execute and deliver, and the Trustee will authenticate, in each</w:t>
      </w:r>
    </w:p>
    <w:p>
      <w:pPr>
        <w:spacing w:after="0" w:line="68" w:lineRule="exact"/>
        <w:rPr>
          <w:rFonts w:ascii="Arial" w:cs="Arial" w:eastAsia="Arial" w:hAnsi="Arial"/>
          <w:sz w:val="16"/>
          <w:szCs w:val="16"/>
          <w:color w:val="auto"/>
        </w:rPr>
      </w:pPr>
    </w:p>
    <w:p>
      <w:pPr>
        <w:jc w:val="both"/>
        <w:ind w:left="18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383" w:lineRule="exact"/>
        <w:rPr>
          <w:rFonts w:ascii="Arial" w:cs="Arial" w:eastAsia="Arial" w:hAnsi="Arial"/>
          <w:sz w:val="16"/>
          <w:szCs w:val="16"/>
          <w:color w:val="auto"/>
        </w:rPr>
      </w:pPr>
    </w:p>
    <w:p>
      <w:pPr>
        <w:ind w:left="4420" w:hanging="111"/>
        <w:spacing w:after="0"/>
        <w:tabs>
          <w:tab w:leader="none" w:pos="44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ind w:firstLine="656"/>
        <w:spacing w:after="0" w:line="277"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Requirement to Deliver Documentation and Other Evidence</w:t>
      </w:r>
      <w:r>
        <w:rPr>
          <w:rFonts w:ascii="Arial" w:cs="Arial" w:eastAsia="Arial" w:hAnsi="Arial"/>
          <w:sz w:val="18"/>
          <w:szCs w:val="18"/>
          <w:color w:val="auto"/>
        </w:rPr>
        <w:t>. If a Holder of any Note that is identified by a “restricted” CUSIP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bears a Restricted Note Legend or is a Transfer-Restricted Security requests to:</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cause such Note to be identified by an “unrestricted” CUSIP number;</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remove such Restricted Note Legend; or</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register the transfer of such Note to the name of another Person,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without limiting </w:t>
      </w:r>
      <w:r>
        <w:rPr>
          <w:rFonts w:ascii="Arial" w:cs="Arial" w:eastAsia="Arial" w:hAnsi="Arial"/>
          <w:sz w:val="17"/>
          <w:szCs w:val="17"/>
          <w:b w:val="1"/>
          <w:bCs w:val="1"/>
          <w:color w:val="auto"/>
        </w:rPr>
        <w:t>Section 2.10(E)</w:t>
      </w:r>
      <w:r>
        <w:rPr>
          <w:rFonts w:ascii="Arial" w:cs="Arial" w:eastAsia="Arial" w:hAnsi="Arial"/>
          <w:sz w:val="17"/>
          <w:szCs w:val="17"/>
          <w:color w:val="auto"/>
        </w:rPr>
        <w:t xml:space="preserve">, no such certificates, documentation or evidence (other than a written request in the form contemplated by </w:t>
      </w:r>
      <w:r>
        <w:rPr>
          <w:rFonts w:ascii="Arial" w:cs="Arial" w:eastAsia="Arial" w:hAnsi="Arial"/>
          <w:sz w:val="17"/>
          <w:szCs w:val="17"/>
          <w:b w:val="1"/>
          <w:bCs w:val="1"/>
          <w:color w:val="auto"/>
        </w:rPr>
        <w:t>Section 2.10(E)</w:t>
      </w:r>
      <w:r>
        <w:rPr>
          <w:rFonts w:ascii="Arial" w:cs="Arial" w:eastAsia="Arial" w:hAnsi="Arial"/>
          <w:sz w:val="17"/>
          <w:szCs w:val="17"/>
          <w:color w:val="auto"/>
        </w:rPr>
        <w:t>) need be so delivered on or and after the date that is six (6) months after the Last Original Issue Date of such Note if the requirements of Rule 144(c) and (i) are then satisfied with respect to the Company (and neither the Trustee nor the Registrar will have any responsibility or liability for determining whether such requirements have been satisfied).</w:t>
      </w:r>
    </w:p>
    <w:p>
      <w:pPr>
        <w:spacing w:after="0" w:line="177" w:lineRule="exact"/>
        <w:rPr>
          <w:sz w:val="20"/>
          <w:szCs w:val="20"/>
          <w:color w:val="auto"/>
        </w:rPr>
      </w:pPr>
    </w:p>
    <w:p>
      <w:pPr>
        <w:jc w:val="both"/>
        <w:ind w:firstLine="656"/>
        <w:spacing w:after="0" w:line="272" w:lineRule="auto"/>
        <w:tabs>
          <w:tab w:leader="none" w:pos="165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Certain De-Legending Procedures</w:t>
      </w:r>
      <w:r>
        <w:rPr>
          <w:rFonts w:ascii="Arial" w:cs="Arial" w:eastAsia="Arial" w:hAnsi="Arial"/>
          <w:sz w:val="17"/>
          <w:szCs w:val="17"/>
          <w:color w:val="auto"/>
        </w:rPr>
        <w:t>. If a Holder of any Note or share of Common Stock issued upon conversion of any Note, or an</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a beneficial interest in any Global Note, or in a global certificate representing any share of Common Stock issued upon conversion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the same to occur within two (2) Trading Days of such request.</w:t>
      </w:r>
    </w:p>
    <w:p>
      <w:pPr>
        <w:spacing w:after="0" w:line="177" w:lineRule="exact"/>
        <w:rPr>
          <w:rFonts w:ascii="Arial" w:cs="Arial" w:eastAsia="Arial" w:hAnsi="Arial"/>
          <w:sz w:val="17"/>
          <w:szCs w:val="17"/>
          <w:color w:val="auto"/>
        </w:rPr>
      </w:pPr>
    </w:p>
    <w:p>
      <w:pPr>
        <w:jc w:val="both"/>
        <w:ind w:firstLine="656"/>
        <w:spacing w:after="0" w:line="254" w:lineRule="auto"/>
        <w:tabs>
          <w:tab w:leader="none" w:pos="160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Transfers of Notes Subject to Redemption, Repurchase or Conversion</w:t>
      </w:r>
      <w:r>
        <w:rPr>
          <w:rFonts w:ascii="Arial" w:cs="Arial" w:eastAsia="Arial" w:hAnsi="Arial"/>
          <w:sz w:val="18"/>
          <w:szCs w:val="18"/>
          <w:color w:val="auto"/>
        </w:rPr>
        <w:t>. Notwithstanding anything to the contrary in this Indenture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Arial" w:cs="Arial" w:eastAsia="Arial" w:hAnsi="Arial"/>
          <w:sz w:val="18"/>
          <w:szCs w:val="18"/>
          <w:b w:val="1"/>
          <w:bCs w:val="1"/>
          <w:color w:val="auto"/>
        </w:rPr>
        <w:t>Section 4.02(F)</w:t>
      </w:r>
      <w:r>
        <w:rPr>
          <w:rFonts w:ascii="Arial" w:cs="Arial" w:eastAsia="Arial" w:hAnsi="Arial"/>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Section 2.11. E</w:t>
      </w:r>
      <w:r>
        <w:rPr>
          <w:rFonts w:ascii="Arial" w:cs="Arial" w:eastAsia="Arial" w:hAnsi="Arial"/>
          <w:sz w:val="12"/>
          <w:szCs w:val="12"/>
          <w:b w:val="1"/>
          <w:bCs w:val="1"/>
          <w:color w:val="auto"/>
        </w:rPr>
        <w:t>XCHANGE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ANCELLATION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TO</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ONVERTED</w:t>
      </w:r>
      <w:r>
        <w:rPr>
          <w:rFonts w:ascii="Arial" w:cs="Arial" w:eastAsia="Arial" w:hAnsi="Arial"/>
          <w:sz w:val="18"/>
          <w:szCs w:val="18"/>
          <w:b w:val="1"/>
          <w:bCs w:val="1"/>
          <w:color w:val="auto"/>
        </w:rPr>
        <w:t>, R</w:t>
      </w:r>
      <w:r>
        <w:rPr>
          <w:rFonts w:ascii="Arial" w:cs="Arial" w:eastAsia="Arial" w:hAnsi="Arial"/>
          <w:sz w:val="12"/>
          <w:szCs w:val="12"/>
          <w:b w:val="1"/>
          <w:bCs w:val="1"/>
          <w:color w:val="auto"/>
        </w:rPr>
        <w:t>EDEEMED 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9" w:lineRule="auto"/>
        <w:tabs>
          <w:tab w:leader="none" w:pos="172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Partial Conversions, Redemptions and Repurchases of Physical Notes</w:t>
      </w:r>
      <w:r>
        <w:rPr>
          <w:rFonts w:ascii="Arial" w:cs="Arial" w:eastAsia="Arial" w:hAnsi="Arial"/>
          <w:sz w:val="16"/>
          <w:szCs w:val="16"/>
          <w:color w:val="auto"/>
        </w:rPr>
        <w:t>. If only a portion of a Physical Note of a Holder is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or Redemption, then, as soon as reasonably practicable after such Physical Note is surrendered for such conversion, Redemption or repurchase, the Company will cause such Physical Note to be exchanged, pursuant and subject to </w:t>
      </w:r>
      <w:r>
        <w:rPr>
          <w:rFonts w:ascii="Arial" w:cs="Arial" w:eastAsia="Arial" w:hAnsi="Arial"/>
          <w:sz w:val="16"/>
          <w:szCs w:val="16"/>
          <w:b w:val="1"/>
          <w:bCs w:val="1"/>
          <w:color w:val="auto"/>
        </w:rPr>
        <w:t>Section 2.10(C)</w:t>
      </w:r>
      <w:r>
        <w:rPr>
          <w:rFonts w:ascii="Arial" w:cs="Arial" w:eastAsia="Arial" w:hAnsi="Arial"/>
          <w:sz w:val="16"/>
          <w:szCs w:val="16"/>
          <w:color w:val="auto"/>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Physical Note referred to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clause (ii)</w:t>
      </w:r>
      <w:r>
        <w:rPr>
          <w:rFonts w:ascii="Arial" w:cs="Arial" w:eastAsia="Arial" w:hAnsi="Arial"/>
          <w:sz w:val="16"/>
          <w:szCs w:val="16"/>
          <w:i w:val="1"/>
          <w:iCs w:val="1"/>
          <w:color w:val="auto"/>
        </w:rPr>
        <w:t xml:space="preserve"> </w:t>
      </w:r>
      <w:r>
        <w:rPr>
          <w:rFonts w:ascii="Arial" w:cs="Arial" w:eastAsia="Arial" w:hAnsi="Arial"/>
          <w:sz w:val="16"/>
          <w:szCs w:val="16"/>
          <w:color w:val="auto"/>
        </w:rPr>
        <w:t>need not be issued at any time after which such principal amount subject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Redemption or repurchase, as applicable, is deemed to cease to be outstanding pursuant to </w:t>
      </w:r>
      <w:r>
        <w:rPr>
          <w:rFonts w:ascii="Arial" w:cs="Arial" w:eastAsia="Arial" w:hAnsi="Arial"/>
          <w:sz w:val="16"/>
          <w:szCs w:val="16"/>
          <w:b w:val="1"/>
          <w:bCs w:val="1"/>
          <w:color w:val="auto"/>
        </w:rPr>
        <w:t>Section 2.17</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520" w:hanging="864"/>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Cancellation of Converted, Redeemed and Repurchased Notes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60" w:firstLine="644"/>
        <w:spacing w:after="0" w:line="291" w:lineRule="auto"/>
        <w:tabs>
          <w:tab w:leader="none" w:pos="2283"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If a Physical Note (or any portion thereof that has not theretofore been exchanged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2.11</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Holder is to be 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or Redemption, then, promptly after the later of the time such Physical Note (or such portion) is deemed to cease to be outstanding pursuant to </w:t>
      </w:r>
      <w:r>
        <w:rPr>
          <w:rFonts w:ascii="Arial" w:cs="Arial" w:eastAsia="Arial" w:hAnsi="Arial"/>
          <w:sz w:val="16"/>
          <w:szCs w:val="16"/>
          <w:b w:val="1"/>
          <w:bCs w:val="1"/>
          <w:color w:val="auto"/>
        </w:rPr>
        <w:t>Section 2.17</w:t>
      </w:r>
      <w:r>
        <w:rPr>
          <w:rFonts w:ascii="Arial" w:cs="Arial" w:eastAsia="Arial" w:hAnsi="Arial"/>
          <w:sz w:val="16"/>
          <w:szCs w:val="16"/>
          <w:color w:val="auto"/>
        </w:rPr>
        <w:t xml:space="preserve"> and the time such Physical Note is surrendered for such conversion or repurchase, as applicable, (1) such Physical Note will be cancelled pursuant to </w:t>
      </w:r>
      <w:r>
        <w:rPr>
          <w:rFonts w:ascii="Arial" w:cs="Arial" w:eastAsia="Arial" w:hAnsi="Arial"/>
          <w:sz w:val="16"/>
          <w:szCs w:val="16"/>
          <w:b w:val="1"/>
          <w:bCs w:val="1"/>
          <w:color w:val="auto"/>
        </w:rPr>
        <w:t>Section 2.14</w:t>
      </w:r>
      <w:r>
        <w:rPr>
          <w:rFonts w:ascii="Arial" w:cs="Arial" w:eastAsia="Arial" w:hAnsi="Arial"/>
          <w:sz w:val="16"/>
          <w:szCs w:val="16"/>
          <w:color w:val="auto"/>
        </w:rPr>
        <w:t>; and (2) in the case of a partial conversion, Redemption or repurchase, the Company will issue, execute and deliver to such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60" w:firstLine="644"/>
        <w:spacing w:after="0" w:line="256" w:lineRule="auto"/>
        <w:tabs>
          <w:tab w:leader="none" w:pos="221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If a Global Note (or any portion thereof) is to be converted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or repurchased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Upon Fundamental Change or subject to Redemption, then, promptly after the time such Note (or such portion) is deemed to cease to be outstanding pursuant to </w:t>
      </w:r>
      <w:r>
        <w:rPr>
          <w:rFonts w:ascii="Arial" w:cs="Arial" w:eastAsia="Arial" w:hAnsi="Arial"/>
          <w:sz w:val="18"/>
          <w:szCs w:val="18"/>
          <w:b w:val="1"/>
          <w:bCs w:val="1"/>
          <w:color w:val="auto"/>
        </w:rPr>
        <w:t>Section 2.17</w:t>
      </w:r>
      <w:r>
        <w:rPr>
          <w:rFonts w:ascii="Arial" w:cs="Arial" w:eastAsia="Arial" w:hAnsi="Arial"/>
          <w:sz w:val="18"/>
          <w:szCs w:val="18"/>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540" w:hanging="111"/>
        <w:spacing w:after="0"/>
        <w:tabs>
          <w:tab w:leader="none" w:pos="55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Section 2.12. R</w:t>
      </w:r>
      <w:r>
        <w:rPr>
          <w:rFonts w:ascii="Arial" w:cs="Arial" w:eastAsia="Arial" w:hAnsi="Arial"/>
          <w:sz w:val="12"/>
          <w:szCs w:val="12"/>
          <w:b w:val="1"/>
          <w:bCs w:val="1"/>
          <w:color w:val="auto"/>
        </w:rPr>
        <w:t>EPLACEMENT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as applicable, to protect the Company and the Trustee and that is reasonably satisfactory to the Trustee to protect from any loss that any of them may suffer if such Note is replaced.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Every replacement Note issued pursuant to this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C</w:t>
      </w:r>
      <w:r>
        <w:rPr>
          <w:rFonts w:ascii="Arial" w:cs="Arial" w:eastAsia="Arial" w:hAnsi="Arial"/>
          <w:sz w:val="12"/>
          <w:szCs w:val="12"/>
          <w:b w:val="1"/>
          <w:bCs w:val="1"/>
          <w:color w:val="auto"/>
        </w:rPr>
        <w:t>ANCELLATION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3.07</w:t>
      </w:r>
      <w:r>
        <w:rPr>
          <w:rFonts w:ascii="Arial" w:cs="Arial" w:eastAsia="Arial" w:hAnsi="Arial"/>
          <w:sz w:val="18"/>
          <w:szCs w:val="18"/>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Arial" w:cs="Arial" w:eastAsia="Arial" w:hAnsi="Arial"/>
          <w:sz w:val="18"/>
          <w:szCs w:val="18"/>
          <w:b w:val="1"/>
          <w:bCs w:val="1"/>
          <w:color w:val="auto"/>
        </w:rPr>
        <w:t>Section 2.03(B)</w:t>
      </w:r>
      <w:r>
        <w:rPr>
          <w:rFonts w:ascii="Arial" w:cs="Arial" w:eastAsia="Arial" w:hAnsi="Arial"/>
          <w:sz w:val="18"/>
          <w:szCs w:val="18"/>
          <w:color w:val="auto"/>
        </w:rPr>
        <w:t>, the Company may not originally issue new Notes to replace Notes that it has paid or that have been cancelled upon transfer, exchange, payment or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ELD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 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FFILIATES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b w:val="1"/>
          <w:bCs w:val="1"/>
          <w:color w:val="auto"/>
        </w:rPr>
        <w:t>Sections 2.17</w:t>
      </w:r>
      <w:r>
        <w:rPr>
          <w:rFonts w:ascii="Arial" w:cs="Arial" w:eastAsia="Arial" w:hAnsi="Arial"/>
          <w:sz w:val="16"/>
          <w:szCs w:val="16"/>
          <w:color w:val="auto"/>
        </w:rPr>
        <w:t xml:space="preserve"> and </w:t>
      </w:r>
      <w:r>
        <w:rPr>
          <w:rFonts w:ascii="Arial" w:cs="Arial" w:eastAsia="Arial" w:hAnsi="Arial"/>
          <w:sz w:val="16"/>
          <w:szCs w:val="16"/>
          <w:b w:val="1"/>
          <w:bCs w:val="1"/>
          <w:color w:val="auto"/>
        </w:rPr>
        <w:t>3.07</w:t>
      </w:r>
      <w:r>
        <w:rPr>
          <w:rFonts w:ascii="Arial" w:cs="Arial" w:eastAsia="Arial" w:hAnsi="Arial"/>
          <w:sz w:val="16"/>
          <w:szCs w:val="16"/>
          <w:color w:val="auto"/>
        </w:rPr>
        <w:t xml:space="preserve">, in determining whether the Holders of the required aggregate principal amount of Notes have concurred in any direction, waiver or consent or other action under this Indenture, Notes owned by the Company or any of its Affiliates will be deemed not to be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determining whether the Trustee is protected in relying on any such direction, waiver or consent or other action under this Indenture, only Notes that a Responsible Officer of the Trustee knows are so owned will be so disregarded.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Section 2.16. T</w:t>
      </w:r>
      <w:r>
        <w:rPr>
          <w:rFonts w:ascii="Arial" w:cs="Arial" w:eastAsia="Arial" w:hAnsi="Arial"/>
          <w:sz w:val="12"/>
          <w:szCs w:val="12"/>
          <w:b w:val="1"/>
          <w:bCs w:val="1"/>
          <w:color w:val="auto"/>
        </w:rPr>
        <w:t>EMPORARY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Until definitive Notes are ready for delivery, the Company may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definitive Notes in exchange for temporary Notes. Until so exchanged, each temporary Note will in all respects be entitled to the same benefits under this Indenture as definitive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O</w:t>
      </w:r>
      <w:r>
        <w:rPr>
          <w:rFonts w:ascii="Arial" w:cs="Arial" w:eastAsia="Arial" w:hAnsi="Arial"/>
          <w:sz w:val="12"/>
          <w:szCs w:val="12"/>
          <w:b w:val="1"/>
          <w:bCs w:val="1"/>
          <w:color w:val="auto"/>
        </w:rPr>
        <w:t>UTSTANDING</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48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Notes that are outstanding at any time will be deemed to be those Notes that, at such time, have been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authenticated, excluding those Notes (or portions thereof) that have theretofore been (i) cancelled by the Trustee or delivered to the Trustee for cancellation in accordance with </w:t>
      </w:r>
      <w:r>
        <w:rPr>
          <w:rFonts w:ascii="Arial" w:cs="Arial" w:eastAsia="Arial" w:hAnsi="Arial"/>
          <w:sz w:val="18"/>
          <w:szCs w:val="18"/>
          <w:b w:val="1"/>
          <w:bCs w:val="1"/>
          <w:color w:val="auto"/>
        </w:rPr>
        <w:t>Section 2.14</w:t>
      </w:r>
      <w:r>
        <w:rPr>
          <w:rFonts w:ascii="Arial" w:cs="Arial" w:eastAsia="Arial" w:hAnsi="Arial"/>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(iv) deemed to cease to be outstanding to the extent provided in, and subject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 xml:space="preserve"> or </w:t>
      </w:r>
      <w:r>
        <w:rPr>
          <w:rFonts w:ascii="Arial" w:cs="Arial" w:eastAsia="Arial" w:hAnsi="Arial"/>
          <w:sz w:val="18"/>
          <w:szCs w:val="18"/>
          <w:b w:val="1"/>
          <w:bCs w:val="1"/>
          <w:color w:val="auto"/>
        </w:rPr>
        <w:t>(D)</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2.17</w:t>
      </w:r>
      <w:r>
        <w:rPr>
          <w:rFonts w:ascii="Arial" w:cs="Arial" w:eastAsia="Arial" w:hAnsi="Arial"/>
          <w:sz w:val="18"/>
          <w:szCs w:val="18"/>
          <w:color w:val="auto"/>
        </w:rPr>
        <w:t xml:space="preserve">; or (v) deemed not to be outstanding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66" w:lineRule="auto"/>
        <w:tabs>
          <w:tab w:leader="none" w:pos="181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Replaced Notes</w:t>
      </w:r>
      <w:r>
        <w:rPr>
          <w:rFonts w:ascii="Arial" w:cs="Arial" w:eastAsia="Arial" w:hAnsi="Arial"/>
          <w:sz w:val="18"/>
          <w:szCs w:val="18"/>
          <w:color w:val="auto"/>
        </w:rPr>
        <w:t>. If a Note is replaced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2.12</w:t>
      </w:r>
      <w:r>
        <w:rPr>
          <w:rFonts w:ascii="Arial" w:cs="Arial" w:eastAsia="Arial" w:hAnsi="Arial"/>
          <w:sz w:val="18"/>
          <w:szCs w:val="18"/>
          <w:color w:val="auto"/>
        </w:rPr>
        <w:t>, then such Note will cease to be outstanding at the time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unless the Trustee and the Company receive proof reasonably satisfactory to them that such Note is held by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under applicable law.</w:t>
      </w:r>
    </w:p>
    <w:p>
      <w:pPr>
        <w:spacing w:after="0" w:line="179" w:lineRule="exact"/>
        <w:rPr>
          <w:rFonts w:ascii="Arial" w:cs="Arial" w:eastAsia="Arial" w:hAnsi="Arial"/>
          <w:sz w:val="18"/>
          <w:szCs w:val="18"/>
          <w:color w:val="auto"/>
        </w:rPr>
      </w:pPr>
    </w:p>
    <w:p>
      <w:pPr>
        <w:jc w:val="both"/>
        <w:ind w:firstLine="656"/>
        <w:spacing w:after="0" w:line="271" w:lineRule="auto"/>
        <w:tabs>
          <w:tab w:leader="none" w:pos="1774"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Maturing Notes and Notes Called for Redemption or Subject to Repurchase</w:t>
      </w:r>
      <w:r>
        <w:rPr>
          <w:rFonts w:ascii="Arial" w:cs="Arial" w:eastAsia="Arial" w:hAnsi="Arial"/>
          <w:sz w:val="17"/>
          <w:szCs w:val="17"/>
          <w:color w:val="auto"/>
        </w:rPr>
        <w:t>. If, on a Redemption Date, a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Arial" w:cs="Arial" w:eastAsia="Arial" w:hAnsi="Arial"/>
          <w:sz w:val="17"/>
          <w:szCs w:val="17"/>
          <w:b w:val="1"/>
          <w:bCs w:val="1"/>
          <w:color w:val="auto"/>
        </w:rPr>
        <w:t>Sections 4.02(D)</w:t>
      </w:r>
      <w:r>
        <w:rPr>
          <w:rFonts w:ascii="Arial" w:cs="Arial" w:eastAsia="Arial" w:hAnsi="Arial"/>
          <w:sz w:val="17"/>
          <w:szCs w:val="17"/>
          <w:color w:val="auto"/>
        </w:rPr>
        <w:t xml:space="preserve">, </w:t>
      </w:r>
      <w:r>
        <w:rPr>
          <w:rFonts w:ascii="Arial" w:cs="Arial" w:eastAsia="Arial" w:hAnsi="Arial"/>
          <w:sz w:val="17"/>
          <w:szCs w:val="17"/>
          <w:b w:val="1"/>
          <w:bCs w:val="1"/>
          <w:color w:val="auto"/>
        </w:rPr>
        <w:t>4.03(F)</w:t>
      </w:r>
      <w:r>
        <w:rPr>
          <w:rFonts w:ascii="Arial" w:cs="Arial" w:eastAsia="Arial" w:hAnsi="Arial"/>
          <w:sz w:val="17"/>
          <w:szCs w:val="17"/>
          <w:color w:val="auto"/>
        </w:rPr>
        <w:t xml:space="preserve"> or </w:t>
      </w:r>
      <w:r>
        <w:rPr>
          <w:rFonts w:ascii="Arial" w:cs="Arial" w:eastAsia="Arial" w:hAnsi="Arial"/>
          <w:sz w:val="17"/>
          <w:szCs w:val="17"/>
          <w:b w:val="1"/>
          <w:bCs w:val="1"/>
          <w:color w:val="auto"/>
        </w:rPr>
        <w:t>5.02(D)</w:t>
      </w:r>
      <w:r>
        <w:rPr>
          <w:rFonts w:ascii="Arial" w:cs="Arial" w:eastAsia="Arial" w:hAnsi="Arial"/>
          <w:sz w:val="17"/>
          <w:szCs w:val="17"/>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178" w:lineRule="exact"/>
        <w:rPr>
          <w:rFonts w:ascii="Arial" w:cs="Arial" w:eastAsia="Arial" w:hAnsi="Arial"/>
          <w:sz w:val="17"/>
          <w:szCs w:val="17"/>
          <w:color w:val="auto"/>
        </w:rPr>
      </w:pPr>
    </w:p>
    <w:p>
      <w:pPr>
        <w:jc w:val="both"/>
        <w:ind w:firstLine="656"/>
        <w:spacing w:after="0" w:line="311" w:lineRule="auto"/>
        <w:tabs>
          <w:tab w:leader="none" w:pos="156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Notes to Be Converted</w:t>
      </w:r>
      <w:r>
        <w:rPr>
          <w:rFonts w:ascii="Arial" w:cs="Arial" w:eastAsia="Arial" w:hAnsi="Arial"/>
          <w:sz w:val="16"/>
          <w:szCs w:val="16"/>
          <w:color w:val="auto"/>
        </w:rPr>
        <w:t>. At the Close of Business on the Conversion Date for any Note (or any portion thereof) to be converted,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(or such portion) will (unless there occurs a Default in the delivery of the Conversion Consideration or interest due, pursuant to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5.02(D)</w:t>
      </w:r>
      <w:r>
        <w:rPr>
          <w:rFonts w:ascii="Arial" w:cs="Arial" w:eastAsia="Arial" w:hAnsi="Arial"/>
          <w:sz w:val="16"/>
          <w:szCs w:val="16"/>
          <w:color w:val="auto"/>
        </w:rPr>
        <w:t>, upon such conversion) be deemed to cease to be outstanding, except to the extent provided in</w:t>
      </w:r>
      <w:r>
        <w:rPr>
          <w:rFonts w:ascii="Arial" w:cs="Arial" w:eastAsia="Arial" w:hAnsi="Arial"/>
          <w:sz w:val="16"/>
          <w:szCs w:val="16"/>
          <w:b w:val="1"/>
          <w:bCs w:val="1"/>
          <w:color w:val="auto"/>
        </w:rPr>
        <w:t xml:space="preserve"> Section 5.02(D)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5.08</w:t>
      </w:r>
      <w:r>
        <w:rPr>
          <w:rFonts w:ascii="Arial" w:cs="Arial" w:eastAsia="Arial" w:hAnsi="Arial"/>
          <w:sz w:val="16"/>
          <w:szCs w:val="16"/>
          <w:color w:val="auto"/>
        </w:rPr>
        <w:t>.</w:t>
      </w:r>
    </w:p>
    <w:p>
      <w:pPr>
        <w:spacing w:after="0" w:line="364" w:lineRule="exact"/>
        <w:rPr>
          <w:rFonts w:ascii="Arial" w:cs="Arial" w:eastAsia="Arial" w:hAnsi="Arial"/>
          <w:sz w:val="16"/>
          <w:szCs w:val="16"/>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line="4" w:lineRule="exact"/>
        <w:rPr>
          <w:sz w:val="20"/>
          <w:szCs w:val="20"/>
          <w:color w:val="auto"/>
        </w:rPr>
      </w:pPr>
    </w:p>
    <w:p>
      <w:pPr>
        <w:jc w:val="both"/>
        <w:ind w:firstLine="656"/>
        <w:spacing w:after="0" w:line="286" w:lineRule="auto"/>
        <w:tabs>
          <w:tab w:leader="none" w:pos="165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Cessation of Accrual of Interest</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Note from, and including, the date that such Note is deemed, pursuant to this payment or delivery of any cash or other property due on such Note.</w:t>
      </w:r>
    </w:p>
    <w:p>
      <w:pPr>
        <w:spacing w:after="0" w:line="20" w:lineRule="exact"/>
        <w:rPr>
          <w:sz w:val="20"/>
          <w:szCs w:val="20"/>
          <w:color w:val="auto"/>
        </w:rPr>
      </w:pPr>
      <w:r>
        <w:rPr>
          <w:sz w:val="20"/>
          <w:szCs w:val="20"/>
          <w:color w:val="auto"/>
        </w:rPr>
        <w:br w:type="column"/>
      </w:r>
    </w:p>
    <w:p>
      <w:pPr>
        <w:ind w:right="20" w:firstLine="52"/>
        <w:spacing w:after="0" w:line="347" w:lineRule="auto"/>
        <w:rPr>
          <w:sz w:val="20"/>
          <w:szCs w:val="20"/>
          <w:color w:val="auto"/>
        </w:rPr>
      </w:pPr>
      <w:r>
        <w:rPr>
          <w:rFonts w:ascii="Arial" w:cs="Arial" w:eastAsia="Arial" w:hAnsi="Arial"/>
          <w:sz w:val="16"/>
          <w:szCs w:val="16"/>
          <w:b w:val="1"/>
          <w:bCs w:val="1"/>
          <w:color w:val="auto"/>
        </w:rPr>
        <w:t>Sections 4.02(D)</w:t>
      </w:r>
      <w:r>
        <w:rPr>
          <w:rFonts w:ascii="Arial" w:cs="Arial" w:eastAsia="Arial" w:hAnsi="Arial"/>
          <w:sz w:val="16"/>
          <w:szCs w:val="16"/>
          <w:color w:val="auto"/>
        </w:rPr>
        <w:t>,</w:t>
      </w:r>
      <w:r>
        <w:rPr>
          <w:rFonts w:ascii="Arial" w:cs="Arial" w:eastAsia="Arial" w:hAnsi="Arial"/>
          <w:sz w:val="16"/>
          <w:szCs w:val="16"/>
          <w:b w:val="1"/>
          <w:bCs w:val="1"/>
          <w:color w:val="auto"/>
        </w:rPr>
        <w:t xml:space="preserve"> 4.03(F) </w:t>
      </w:r>
      <w:r>
        <w:rPr>
          <w:rFonts w:ascii="Arial" w:cs="Arial" w:eastAsia="Arial" w:hAnsi="Arial"/>
          <w:sz w:val="16"/>
          <w:szCs w:val="16"/>
          <w:color w:val="auto"/>
        </w:rPr>
        <w:t>or</w:t>
      </w:r>
      <w:r>
        <w:rPr>
          <w:rFonts w:ascii="Arial" w:cs="Arial" w:eastAsia="Arial" w:hAnsi="Arial"/>
          <w:sz w:val="16"/>
          <w:szCs w:val="16"/>
          <w:b w:val="1"/>
          <w:bCs w:val="1"/>
          <w:color w:val="auto"/>
        </w:rPr>
        <w:t xml:space="preserve"> 5.02(D)</w:t>
      </w:r>
      <w:r>
        <w:rPr>
          <w:rFonts w:ascii="Arial" w:cs="Arial" w:eastAsia="Arial" w:hAnsi="Arial"/>
          <w:sz w:val="16"/>
          <w:szCs w:val="16"/>
          <w:color w:val="auto"/>
        </w:rPr>
        <w:t>, interest will cease to accrue on each</w:t>
      </w:r>
      <w:r>
        <w:rPr>
          <w:rFonts w:ascii="Arial" w:cs="Arial" w:eastAsia="Arial" w:hAnsi="Arial"/>
          <w:sz w:val="16"/>
          <w:szCs w:val="16"/>
          <w:b w:val="1"/>
          <w:bCs w:val="1"/>
          <w:color w:val="auto"/>
        </w:rPr>
        <w:t xml:space="preserve"> Section 2.17</w:t>
      </w:r>
      <w:r>
        <w:rPr>
          <w:rFonts w:ascii="Arial" w:cs="Arial" w:eastAsia="Arial" w:hAnsi="Arial"/>
          <w:sz w:val="16"/>
          <w:szCs w:val="16"/>
          <w:color w:val="auto"/>
        </w:rPr>
        <w:t>, to cease to be outstanding, unless there occurs a default in the</w:t>
      </w:r>
    </w:p>
    <w:p>
      <w:pPr>
        <w:spacing w:after="0" w:line="331" w:lineRule="exact"/>
        <w:rPr>
          <w:sz w:val="20"/>
          <w:szCs w:val="20"/>
          <w:color w:val="auto"/>
        </w:rPr>
      </w:pPr>
    </w:p>
    <w:p>
      <w:pPr>
        <w:sectPr>
          <w:pgSz w:w="11900" w:h="16838" w:orient="portrait"/>
          <w:cols w:equalWidth="0" w:num="2">
            <w:col w:w="5680" w:space="0"/>
            <w:col w:w="55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Section 2.18. R</w:t>
      </w:r>
      <w:r>
        <w:rPr>
          <w:rFonts w:ascii="Arial" w:cs="Arial" w:eastAsia="Arial" w:hAnsi="Arial"/>
          <w:sz w:val="12"/>
          <w:szCs w:val="12"/>
          <w:b w:val="1"/>
          <w:bCs w:val="1"/>
          <w:color w:val="auto"/>
        </w:rPr>
        <w:t>EPURCHASES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Sections 2.14</w:t>
      </w:r>
      <w:r>
        <w:rPr>
          <w:rFonts w:ascii="Arial" w:cs="Arial" w:eastAsia="Arial" w:hAnsi="Arial"/>
          <w:sz w:val="18"/>
          <w:szCs w:val="18"/>
          <w:color w:val="auto"/>
        </w:rPr>
        <w:t xml:space="preserve"> and </w:t>
      </w:r>
      <w:r>
        <w:rPr>
          <w:rFonts w:ascii="Arial" w:cs="Arial" w:eastAsia="Arial" w:hAnsi="Arial"/>
          <w:sz w:val="18"/>
          <w:szCs w:val="18"/>
          <w:b w:val="1"/>
          <w:bCs w:val="1"/>
          <w:color w:val="auto"/>
        </w:rPr>
        <w:t>3.07</w:t>
      </w:r>
      <w:r>
        <w:rPr>
          <w:rFonts w:ascii="Arial" w:cs="Arial" w:eastAsia="Arial" w:hAnsi="Arial"/>
          <w:sz w:val="18"/>
          <w:szCs w:val="18"/>
          <w:color w:val="auto"/>
        </w:rPr>
        <w:t>, the Company may, from time to time, repurchase Notes in open market purchases or in negotiated transactions without delivering prior notice to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2.19. CUSIP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ISIN N</w:t>
      </w:r>
      <w:r>
        <w:rPr>
          <w:rFonts w:ascii="Arial" w:cs="Arial" w:eastAsia="Arial" w:hAnsi="Arial"/>
          <w:sz w:val="12"/>
          <w:szCs w:val="12"/>
          <w:b w:val="1"/>
          <w:bCs w:val="1"/>
          <w:color w:val="auto"/>
        </w:rPr>
        <w:t>UMBERS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Subject to the provisions of this Indenture, the Company may use one or more CUSIP or ISIN numbers to identify any of the Notes, and, if so, the Company and the Trustee will use such CUSIP or ISIN number(s) in notices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84"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3.01. P</w:t>
      </w:r>
      <w:r>
        <w:rPr>
          <w:rFonts w:ascii="Arial" w:cs="Arial" w:eastAsia="Arial" w:hAnsi="Arial"/>
          <w:sz w:val="12"/>
          <w:szCs w:val="12"/>
          <w:b w:val="1"/>
          <w:bCs w:val="1"/>
          <w:color w:val="auto"/>
        </w:rPr>
        <w:t>AYMENT 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308" w:lineRule="auto"/>
        <w:tabs>
          <w:tab w:leader="none" w:pos="1523"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pay or cause to be paid all the principal of, the Fundamental Change Repurchase Price and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 interest on, and other amounts due with respect to, the Notes on the dates and in the manner set forth in this Indenture.</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70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Deposit of Funds</w:t>
      </w:r>
      <w:r>
        <w:rPr>
          <w:rFonts w:ascii="Arial" w:cs="Arial" w:eastAsia="Arial" w:hAnsi="Arial"/>
          <w:sz w:val="17"/>
          <w:szCs w:val="17"/>
          <w:color w:val="auto"/>
        </w:rPr>
        <w:t>. Before 11:00 A.M., New York City time, on each Redemption Date, Fundamental Change Repurchase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3.02.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1" w:lineRule="auto"/>
        <w:tabs>
          <w:tab w:leader="none" w:pos="1577"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send to the Trustee copies of all reports that the Company is required to file with the SEC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13(a) or 15(d) of the Exchange Act (other than current reports on Form 8-K (or any successor form)) within fifteen (15) calendar days after the date that the Company is required to file the same (after giving effect to all applicable grace periods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Company will provide to such Holder a copy of any report that the Company has sent the Trustee pursuant to this </w:t>
      </w:r>
      <w:r>
        <w:rPr>
          <w:rFonts w:ascii="Arial" w:cs="Arial" w:eastAsia="Arial" w:hAnsi="Arial"/>
          <w:sz w:val="17"/>
          <w:szCs w:val="17"/>
          <w:b w:val="1"/>
          <w:bCs w:val="1"/>
          <w:color w:val="auto"/>
        </w:rPr>
        <w:t>Section 3.02(A)</w:t>
      </w:r>
      <w:r>
        <w:rPr>
          <w:rFonts w:ascii="Arial" w:cs="Arial" w:eastAsia="Arial" w:hAnsi="Arial"/>
          <w:sz w:val="17"/>
          <w:szCs w:val="17"/>
          <w:color w:val="auto"/>
        </w:rPr>
        <w:t>, other than a report that is deemed to be sent to the Trustee pursuant to the preceding sentence.</w:t>
      </w:r>
    </w:p>
    <w:p>
      <w:pPr>
        <w:spacing w:after="0" w:line="394" w:lineRule="exact"/>
        <w:rPr>
          <w:rFonts w:ascii="Arial" w:cs="Arial" w:eastAsia="Arial" w:hAnsi="Arial"/>
          <w:sz w:val="17"/>
          <w:szCs w:val="17"/>
          <w:color w:val="auto"/>
        </w:rPr>
      </w:pPr>
    </w:p>
    <w:p>
      <w:pPr>
        <w:ind w:left="5540" w:hanging="111"/>
        <w:spacing w:after="0"/>
        <w:tabs>
          <w:tab w:leader="none" w:pos="5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6" w:name="page37"/>
    <w:bookmarkEnd w:id="36"/>
    <w:p>
      <w:pPr>
        <w:jc w:val="both"/>
        <w:ind w:firstLine="656"/>
        <w:spacing w:after="0" w:line="254" w:lineRule="auto"/>
        <w:tabs>
          <w:tab w:leader="none" w:pos="151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not be responsible for determining whether the Company has filed any material via the EDGAR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system (or such successor) or for the timeliness of its content. The sending or filing of reports, information and documents pursuant to </w:t>
      </w:r>
      <w:r>
        <w:rPr>
          <w:rFonts w:ascii="Arial" w:cs="Arial" w:eastAsia="Arial" w:hAnsi="Arial"/>
          <w:sz w:val="18"/>
          <w:szCs w:val="18"/>
          <w:b w:val="1"/>
          <w:bCs w:val="1"/>
          <w:color w:val="auto"/>
        </w:rPr>
        <w:t>Section 3.02(A)</w:t>
      </w:r>
      <w:r>
        <w:rPr>
          <w:rFonts w:ascii="Arial" w:cs="Arial" w:eastAsia="Arial" w:hAnsi="Arial"/>
          <w:sz w:val="18"/>
          <w:szCs w:val="18"/>
          <w:color w:val="auto"/>
        </w:rPr>
        <w:t xml:space="preserve"> is for informational purposes only and the information and the Trustee’s receipt of the foregoing will not be deemed to constitute actual or constructive notice to the Trustee of any information contained, or determinable from information contained, therein, including the Company’s compliance with any of its covenants under this Indenture (as to which the Trustee is entitled to rely exclusively on an Officer’s Certificate). The Trustee will have no obligation whatsoever to monitor or confirm, on a continuing basis or otherwise, the Company’s compliance with its covenants under this Indenture or with respect to any reports or other documents filed with the SEC via the EDGAR system (or any successor thereto) or any other website, or to participate in any conference calls.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3.03. R</w:t>
      </w:r>
      <w:r>
        <w:rPr>
          <w:rFonts w:ascii="Arial" w:cs="Arial" w:eastAsia="Arial" w:hAnsi="Arial"/>
          <w:sz w:val="12"/>
          <w:szCs w:val="12"/>
          <w:b w:val="1"/>
          <w:bCs w:val="1"/>
          <w:color w:val="auto"/>
        </w:rPr>
        <w:t>ULE</w:t>
      </w:r>
      <w:r>
        <w:rPr>
          <w:rFonts w:ascii="Arial" w:cs="Arial" w:eastAsia="Arial" w:hAnsi="Arial"/>
          <w:sz w:val="18"/>
          <w:szCs w:val="18"/>
          <w:b w:val="1"/>
          <w:bCs w:val="1"/>
          <w:color w:val="auto"/>
        </w:rPr>
        <w:t xml:space="preserve"> 144A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3.04.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509"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Accrual of Additional Interest</w:t>
      </w:r>
      <w:r>
        <w:rPr>
          <w:rFonts w:ascii="Arial" w:cs="Arial" w:eastAsia="Arial" w:hAnsi="Arial"/>
          <w:sz w:val="18"/>
          <w:szCs w:val="18"/>
          <w:color w:val="auto"/>
        </w:rPr>
        <w:t>. If, on any day occurring on or after the date that is the later of (x) six (6) months after the Last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Issue Date of any Note and (y) July 26, 2022,</w:t>
      </w:r>
    </w:p>
    <w:p>
      <w:pPr>
        <w:spacing w:after="0" w:line="170" w:lineRule="exact"/>
        <w:rPr>
          <w:rFonts w:ascii="Arial" w:cs="Arial" w:eastAsia="Arial" w:hAnsi="Arial"/>
          <w:sz w:val="18"/>
          <w:szCs w:val="18"/>
          <w:color w:val="auto"/>
        </w:rPr>
      </w:pPr>
    </w:p>
    <w:p>
      <w:pPr>
        <w:ind w:left="660" w:firstLine="644"/>
        <w:spacing w:after="0" w:line="277" w:lineRule="auto"/>
        <w:tabs>
          <w:tab w:leader="none" w:pos="23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not satisfied the reporting conditions (including, for the avoidance of doubt, the requirement for current Form 10 information) set forth in Rule 144(c) and (i)(2) under the Securities Act; or</w:t>
      </w:r>
    </w:p>
    <w:p>
      <w:pPr>
        <w:spacing w:after="0" w:line="170" w:lineRule="exact"/>
        <w:rPr>
          <w:rFonts w:ascii="Arial" w:cs="Arial" w:eastAsia="Arial" w:hAnsi="Arial"/>
          <w:sz w:val="18"/>
          <w:szCs w:val="18"/>
          <w:color w:val="auto"/>
        </w:rPr>
      </w:pPr>
    </w:p>
    <w:p>
      <w:pPr>
        <w:ind w:left="2160" w:hanging="856"/>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Note is not otherwise Freely Tradable,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Additional Interest will accrue on such Note for such day.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56" w:lineRule="auto"/>
        <w:tabs>
          <w:tab w:leader="none" w:pos="1747"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Amount and Payment of Additional Interest</w:t>
      </w:r>
      <w:r>
        <w:rPr>
          <w:rFonts w:ascii="Arial" w:cs="Arial" w:eastAsia="Arial" w:hAnsi="Arial"/>
          <w:sz w:val="18"/>
          <w:szCs w:val="18"/>
          <w:color w:val="auto"/>
        </w:rPr>
        <w:t>. Any Additional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3.04(A)</w:t>
      </w:r>
      <w:r>
        <w:rPr>
          <w:rFonts w:ascii="Arial" w:cs="Arial" w:eastAsia="Arial" w:hAnsi="Arial"/>
          <w:sz w:val="18"/>
          <w:szCs w:val="18"/>
          <w:i w:val="1"/>
          <w:iCs w:val="1"/>
          <w:color w:val="auto"/>
        </w:rPr>
        <w:t xml:space="preserve"> </w:t>
      </w:r>
      <w:r>
        <w:rPr>
          <w:rFonts w:ascii="Arial" w:cs="Arial" w:eastAsia="Arial" w:hAnsi="Arial"/>
          <w:sz w:val="18"/>
          <w:szCs w:val="18"/>
          <w:color w:val="auto"/>
        </w:rPr>
        <w:t>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on the same dates and in the same manner as the Stated Interest on such Note and will accrue at a rate per annum equal to one half of one percent (0.50%) of the principal amount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will Additional Interest, together with any Special Interest, accrue on any day on a Note at a combined rate per annum that exceeds one percent (1.00%).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91" w:lineRule="exact"/>
        <w:rPr>
          <w:rFonts w:ascii="Arial" w:cs="Arial" w:eastAsia="Arial" w:hAnsi="Arial"/>
          <w:sz w:val="18"/>
          <w:szCs w:val="18"/>
          <w:color w:val="auto"/>
        </w:rPr>
      </w:pPr>
    </w:p>
    <w:p>
      <w:pPr>
        <w:jc w:val="both"/>
        <w:ind w:firstLine="656"/>
        <w:spacing w:after="0" w:line="255" w:lineRule="auto"/>
        <w:tabs>
          <w:tab w:leader="none" w:pos="155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Notice of Accrual of Additional Interest; Trustee’s Disclaimer</w:t>
      </w:r>
      <w:r>
        <w:rPr>
          <w:rFonts w:ascii="Arial" w:cs="Arial" w:eastAsia="Arial" w:hAnsi="Arial"/>
          <w:sz w:val="18"/>
          <w:szCs w:val="18"/>
          <w:color w:val="auto"/>
        </w:rPr>
        <w:t>. The Company will send written notice to the Holder of each Note, and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92" w:lineRule="exact"/>
        <w:rPr>
          <w:rFonts w:ascii="Arial" w:cs="Arial" w:eastAsia="Arial" w:hAnsi="Arial"/>
          <w:sz w:val="18"/>
          <w:szCs w:val="18"/>
          <w:color w:val="auto"/>
        </w:rPr>
      </w:pPr>
    </w:p>
    <w:p>
      <w:pPr>
        <w:ind w:firstLine="656"/>
        <w:spacing w:after="0" w:line="277" w:lineRule="auto"/>
        <w:tabs>
          <w:tab w:leader="none" w:pos="149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Exclusive Remedy</w:t>
      </w:r>
      <w:r>
        <w:rPr>
          <w:rFonts w:ascii="Arial" w:cs="Arial" w:eastAsia="Arial" w:hAnsi="Arial"/>
          <w:sz w:val="18"/>
          <w:szCs w:val="18"/>
          <w:color w:val="auto"/>
        </w:rPr>
        <w:t>. The accrual of Additional Interest will be the exclusive remedy available to Holders for the failure of their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become Freely Tradable.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3.05. C</w:t>
      </w:r>
      <w:r>
        <w:rPr>
          <w:rFonts w:ascii="Arial" w:cs="Arial" w:eastAsia="Arial" w:hAnsi="Arial"/>
          <w:sz w:val="12"/>
          <w:szCs w:val="12"/>
          <w:b w:val="1"/>
          <w:bCs w:val="1"/>
          <w:color w:val="auto"/>
        </w:rPr>
        <w:t>OMPLIANCE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75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Annual Compliance Certificate</w:t>
      </w:r>
      <w:r>
        <w:rPr>
          <w:rFonts w:ascii="Arial" w:cs="Arial" w:eastAsia="Arial" w:hAnsi="Arial"/>
          <w:sz w:val="18"/>
          <w:szCs w:val="18"/>
          <w:color w:val="auto"/>
        </w:rPr>
        <w:t>. Within ninety (90) days after December 31, 2021 and each fiscal year of the Company 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7" w:lineRule="exact"/>
        <w:rPr>
          <w:rFonts w:ascii="Arial" w:cs="Arial" w:eastAsia="Arial" w:hAnsi="Arial"/>
          <w:sz w:val="18"/>
          <w:szCs w:val="18"/>
          <w:color w:val="auto"/>
        </w:rPr>
      </w:pPr>
    </w:p>
    <w:p>
      <w:pPr>
        <w:ind w:right="20" w:firstLine="656"/>
        <w:spacing w:after="0" w:line="277" w:lineRule="auto"/>
        <w:tabs>
          <w:tab w:leader="none" w:pos="165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Default Certificate</w:t>
      </w:r>
      <w:r>
        <w:rPr>
          <w:rFonts w:ascii="Arial" w:cs="Arial" w:eastAsia="Arial" w:hAnsi="Arial"/>
          <w:sz w:val="18"/>
          <w:szCs w:val="18"/>
          <w:color w:val="auto"/>
        </w:rPr>
        <w:t>. If a Default or Event of Default occurs, then the Company will promptly deliver an Officer’s Certificate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describing the same and what action the Company is taking or proposes to take with respect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3.06. S</w:t>
      </w:r>
      <w:r>
        <w:rPr>
          <w:rFonts w:ascii="Arial" w:cs="Arial" w:eastAsia="Arial" w:hAnsi="Arial"/>
          <w:sz w:val="12"/>
          <w:szCs w:val="12"/>
          <w:b w:val="1"/>
          <w:bCs w:val="1"/>
          <w:color w:val="auto"/>
        </w:rPr>
        <w:t>TAY</w:t>
      </w:r>
      <w:r>
        <w:rPr>
          <w:rFonts w:ascii="Arial" w:cs="Arial" w:eastAsia="Arial" w:hAnsi="Arial"/>
          <w:sz w:val="18"/>
          <w:szCs w:val="18"/>
          <w:b w:val="1"/>
          <w:bCs w:val="1"/>
          <w:color w:val="auto"/>
        </w:rPr>
        <w:t>, E</w:t>
      </w:r>
      <w:r>
        <w:rPr>
          <w:rFonts w:ascii="Arial" w:cs="Arial" w:eastAsia="Arial" w:hAnsi="Arial"/>
          <w:sz w:val="12"/>
          <w:szCs w:val="12"/>
          <w:b w:val="1"/>
          <w:bCs w:val="1"/>
          <w:color w:val="auto"/>
        </w:rPr>
        <w:t>XTENSION AND</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SURY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Section 3.07. R</w:t>
      </w:r>
      <w:r>
        <w:rPr>
          <w:rFonts w:ascii="Arial" w:cs="Arial" w:eastAsia="Arial" w:hAnsi="Arial"/>
          <w:sz w:val="12"/>
          <w:szCs w:val="12"/>
          <w:b w:val="1"/>
          <w:bCs w:val="1"/>
          <w:color w:val="auto"/>
        </w:rPr>
        <w:t>ESTRICTION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AND 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FFILIATES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promptly deliver to the Trustee for cancellation all Notes that the Company or any of its Subsidiaries has purchased or otherwise acquired. The Company will use commercially reasonable efforts to prevent any of its controlled Affiliates from acquiring any Note (or any beneficial interest therein).</w:t>
      </w:r>
    </w:p>
    <w:p>
      <w:pPr>
        <w:spacing w:after="0" w:line="180" w:lineRule="exact"/>
        <w:rPr>
          <w:sz w:val="20"/>
          <w:szCs w:val="20"/>
          <w:color w:val="auto"/>
        </w:rPr>
      </w:pPr>
    </w:p>
    <w:p>
      <w:pPr>
        <w:ind w:left="3500"/>
        <w:spacing w:after="0"/>
        <w:tabs>
          <w:tab w:leader="none" w:pos="47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REPURCHASE AND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INKING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sinking fund is required to be provided for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4.02.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UPON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12"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Right of Holders to Require the Company to Repurchase Notes Upon a Fundamental Change</w:t>
      </w:r>
      <w:r>
        <w:rPr>
          <w:rFonts w:ascii="Arial" w:cs="Arial" w:eastAsia="Arial" w:hAnsi="Arial"/>
          <w:sz w:val="17"/>
          <w:szCs w:val="17"/>
          <w:color w:val="auto"/>
        </w:rPr>
        <w:t>. Subject to the other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4.02</w:t>
      </w:r>
      <w:r>
        <w:rPr>
          <w:rFonts w:ascii="Arial" w:cs="Arial" w:eastAsia="Arial" w:hAnsi="Arial"/>
          <w:sz w:val="17"/>
          <w:szCs w:val="17"/>
          <w:color w:val="auto"/>
        </w:rPr>
        <w:t>, if a Fundamental Change occurs, then each Holder will have the right (the “</w:t>
      </w:r>
      <w:r>
        <w:rPr>
          <w:rFonts w:ascii="Arial" w:cs="Arial" w:eastAsia="Arial" w:hAnsi="Arial"/>
          <w:sz w:val="17"/>
          <w:szCs w:val="17"/>
          <w:b w:val="1"/>
          <w:bCs w:val="1"/>
          <w:color w:val="auto"/>
        </w:rPr>
        <w:t>Fundamental Change Repurchase Right</w:t>
      </w:r>
      <w:r>
        <w:rPr>
          <w:rFonts w:ascii="Arial" w:cs="Arial" w:eastAsia="Arial" w:hAnsi="Arial"/>
          <w:sz w:val="17"/>
          <w:szCs w:val="17"/>
          <w:color w:val="auto"/>
        </w:rPr>
        <w:t>”) to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repurchase such Holder’s Notes (or any portion thereof in an Authorized Denomination) on the Fundamental Change Repurchase Date for such Fundamental Change for a cash purchase price equal to the Fundamental Change Repurchase Price.</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558"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Repurchase Prohibited in Certain Circumstances</w:t>
      </w:r>
      <w:r>
        <w:rPr>
          <w:rFonts w:ascii="Arial" w:cs="Arial" w:eastAsia="Arial" w:hAnsi="Arial"/>
          <w:sz w:val="17"/>
          <w:szCs w:val="17"/>
          <w:color w:val="auto"/>
        </w:rPr>
        <w:t>. If the principal amount of the Notes has been accelerated and such acceleration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Arial" w:cs="Arial" w:eastAsia="Arial" w:hAnsi="Arial"/>
          <w:sz w:val="17"/>
          <w:szCs w:val="17"/>
          <w:b w:val="1"/>
          <w:bCs w:val="1"/>
          <w:color w:val="auto"/>
        </w:rPr>
        <w:t>Section 4.02(D)</w:t>
      </w:r>
      <w:r>
        <w:rPr>
          <w:rFonts w:ascii="Arial" w:cs="Arial" w:eastAsia="Arial" w:hAnsi="Arial"/>
          <w:sz w:val="17"/>
          <w:szCs w:val="17"/>
          <w:color w:val="auto"/>
        </w:rPr>
        <w:t xml:space="preserve">, on such Fundamental Change Repurchase Date), then (i) the Company may not repurchase any Notes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58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Day of the Company’s choosing that is no more than thirty five (35), nor less than twenty (20), Business Days after the date the Company sends the related Fundamental Change Notice pursuant to </w:t>
      </w:r>
      <w:r>
        <w:rPr>
          <w:rFonts w:ascii="Arial" w:cs="Arial" w:eastAsia="Arial" w:hAnsi="Arial"/>
          <w:sz w:val="18"/>
          <w:szCs w:val="18"/>
          <w:b w:val="1"/>
          <w:bCs w:val="1"/>
          <w:color w:val="auto"/>
        </w:rPr>
        <w:t>Section 4.02(E)</w:t>
      </w:r>
      <w:r>
        <w:rPr>
          <w:rFonts w:ascii="Arial" w:cs="Arial" w:eastAsia="Arial" w:hAnsi="Arial"/>
          <w:sz w:val="18"/>
          <w:szCs w:val="18"/>
          <w:color w:val="auto"/>
        </w:rPr>
        <w:t>.</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656" w:firstLine="656"/>
        <w:spacing w:after="0" w:line="268" w:lineRule="auto"/>
        <w:tabs>
          <w:tab w:leader="none" w:pos="119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Fundamental Change Repurchase Price</w:t>
      </w:r>
      <w:r>
        <w:rPr>
          <w:rFonts w:ascii="Arial" w:cs="Arial" w:eastAsia="Arial" w:hAnsi="Arial"/>
          <w:sz w:val="17"/>
          <w:szCs w:val="17"/>
          <w:color w:val="auto"/>
        </w:rPr>
        <w:t>. The Fundamental Change Repurchase Price for any Note to be repurchased upon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Arial" w:cs="Arial" w:eastAsia="Arial" w:hAnsi="Arial"/>
          <w:sz w:val="17"/>
          <w:szCs w:val="17"/>
          <w:b w:val="1"/>
          <w:bCs w:val="1"/>
          <w:color w:val="auto"/>
        </w:rPr>
        <w:t>Section 2.05(C)</w:t>
      </w:r>
      <w:r>
        <w:rPr>
          <w:rFonts w:ascii="Arial" w:cs="Arial" w:eastAsia="Arial" w:hAnsi="Arial"/>
          <w:sz w:val="17"/>
          <w:szCs w:val="17"/>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2.05(C)</w:t>
      </w:r>
      <w:r>
        <w:rPr>
          <w:rFonts w:ascii="Arial" w:cs="Arial" w:eastAsia="Arial" w:hAnsi="Arial"/>
          <w:sz w:val="17"/>
          <w:szCs w:val="17"/>
          <w:color w:val="auto"/>
        </w:rPr>
        <w:t>, on the next Business Day to Holders as of the Close of Business on the immediately preceding Regular Record Date; and (y) the Fundamental</w:t>
      </w:r>
      <w:r>
        <w:rPr>
          <w:rFonts w:ascii="Arial" w:cs="Arial" w:eastAsia="Arial" w:hAnsi="Arial"/>
          <w:sz w:val="17"/>
          <w:szCs w:val="17"/>
          <w:b w:val="1"/>
          <w:bCs w:val="1"/>
          <w:color w:val="auto"/>
        </w:rPr>
        <w:t xml:space="preserve"> </w:t>
      </w:r>
      <w:r>
        <w:rPr>
          <w:rFonts w:ascii="Arial" w:cs="Arial" w:eastAsia="Arial" w:hAnsi="Arial"/>
          <w:sz w:val="17"/>
          <w:szCs w:val="17"/>
          <w:color w:val="auto"/>
        </w:rPr>
        <w:t>Change Repurchase Price will include interest on Notes to be repurchased from, and including, such Interest Payment Date to, but excluding, such Fundamental Change Repurchase Date.</w:t>
      </w:r>
    </w:p>
    <w:p>
      <w:pPr>
        <w:spacing w:after="0" w:line="184" w:lineRule="exact"/>
        <w:rPr>
          <w:rFonts w:ascii="Arial" w:cs="Arial" w:eastAsia="Arial" w:hAnsi="Arial"/>
          <w:sz w:val="17"/>
          <w:szCs w:val="17"/>
          <w:color w:val="auto"/>
        </w:rPr>
      </w:pPr>
    </w:p>
    <w:p>
      <w:pPr>
        <w:jc w:val="both"/>
        <w:ind w:left="-656" w:firstLine="656"/>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Fundamental Change Notice</w:t>
      </w:r>
      <w:r>
        <w:rPr>
          <w:rFonts w:ascii="Arial" w:cs="Arial" w:eastAsia="Arial" w:hAnsi="Arial"/>
          <w:sz w:val="18"/>
          <w:szCs w:val="18"/>
          <w:color w:val="auto"/>
        </w:rPr>
        <w:t>. On or before the twentieth (20th) calendar day after the effective date of a Fundamental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send to each Holder in writing, with a copy to the Trustee, the Paying Agent and the Conversion Agent a notice of such Fundamental Change (a “</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Fundamental Change Notice must state:</w:t>
      </w:r>
    </w:p>
    <w:p>
      <w:pPr>
        <w:spacing w:after="0" w:line="225" w:lineRule="exact"/>
        <w:rPr>
          <w:sz w:val="20"/>
          <w:szCs w:val="20"/>
          <w:color w:val="auto"/>
        </w:rPr>
      </w:pPr>
    </w:p>
    <w:p>
      <w:pPr>
        <w:ind w:left="1584" w:hanging="936"/>
        <w:spacing w:after="0"/>
        <w:tabs>
          <w:tab w:leader="none" w:pos="15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225" w:lineRule="exact"/>
        <w:rPr>
          <w:rFonts w:ascii="Arial" w:cs="Arial" w:eastAsia="Arial" w:hAnsi="Arial"/>
          <w:sz w:val="18"/>
          <w:szCs w:val="18"/>
          <w:color w:val="auto"/>
        </w:rPr>
      </w:pPr>
    </w:p>
    <w:p>
      <w:pPr>
        <w:ind w:left="1504" w:hanging="856"/>
        <w:spacing w:after="0"/>
        <w:tabs>
          <w:tab w:leader="none" w:pos="15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221" w:lineRule="exact"/>
        <w:rPr>
          <w:rFonts w:ascii="Arial" w:cs="Arial" w:eastAsia="Arial" w:hAnsi="Arial"/>
          <w:sz w:val="18"/>
          <w:szCs w:val="18"/>
          <w:color w:val="auto"/>
        </w:rPr>
      </w:pPr>
    </w:p>
    <w:p>
      <w:pPr>
        <w:jc w:val="both"/>
        <w:ind w:left="4" w:firstLine="644"/>
        <w:spacing w:after="0" w:line="266" w:lineRule="auto"/>
        <w:tabs>
          <w:tab w:leader="none" w:pos="16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procedures that a Holder must follow to require the Company to repurchase its Notes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including the deadline for exercising the Fundamental Change Repurchase Right and the procedures for submitting and withdrawing a Fundamental Change Repurchase Notice;</w:t>
      </w:r>
    </w:p>
    <w:p>
      <w:pPr>
        <w:spacing w:after="0" w:line="179" w:lineRule="exact"/>
        <w:rPr>
          <w:rFonts w:ascii="Arial" w:cs="Arial" w:eastAsia="Arial" w:hAnsi="Arial"/>
          <w:sz w:val="18"/>
          <w:szCs w:val="18"/>
          <w:color w:val="auto"/>
        </w:rPr>
      </w:pPr>
    </w:p>
    <w:p>
      <w:pPr>
        <w:ind w:left="1484" w:hanging="836"/>
        <w:spacing w:after="0"/>
        <w:tabs>
          <w:tab w:leader="none" w:pos="14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4" w:hanging="836"/>
        <w:spacing w:after="0"/>
        <w:tabs>
          <w:tab w:leader="none" w:pos="14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4" w:firstLine="644"/>
        <w:spacing w:after="0" w:line="308" w:lineRule="auto"/>
        <w:tabs>
          <w:tab w:leader="none" w:pos="1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362" w:lineRule="exact"/>
        <w:rPr>
          <w:rFonts w:ascii="Arial" w:cs="Arial" w:eastAsia="Arial" w:hAnsi="Arial"/>
          <w:sz w:val="17"/>
          <w:szCs w:val="17"/>
          <w:color w:val="auto"/>
        </w:rPr>
      </w:pPr>
    </w:p>
    <w:p>
      <w:pPr>
        <w:ind w:left="4884" w:hanging="111"/>
        <w:spacing w:after="0"/>
        <w:tabs>
          <w:tab w:leader="none" w:pos="48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ind w:left="660" w:firstLine="644"/>
        <w:spacing w:after="0" w:line="277" w:lineRule="auto"/>
        <w:tabs>
          <w:tab w:leader="none" w:pos="2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2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46" w:lineRule="exact"/>
        <w:rPr>
          <w:rFonts w:ascii="Arial" w:cs="Arial" w:eastAsia="Arial" w:hAnsi="Arial"/>
          <w:sz w:val="17"/>
          <w:szCs w:val="17"/>
          <w:color w:val="auto"/>
        </w:rPr>
      </w:pPr>
    </w:p>
    <w:p>
      <w:pPr>
        <w:ind w:left="2180" w:hanging="876"/>
        <w:spacing w:after="0"/>
        <w:tabs>
          <w:tab w:leader="none" w:pos="2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46" w:lineRule="exact"/>
        <w:rPr>
          <w:sz w:val="20"/>
          <w:szCs w:val="20"/>
          <w:color w:val="auto"/>
        </w:rPr>
      </w:pPr>
    </w:p>
    <w:p>
      <w:pPr>
        <w:ind w:left="1500" w:hanging="844"/>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308" w:lineRule="auto"/>
        <w:tabs>
          <w:tab w:leader="none" w:pos="2404"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Delivery of Fundamental Change Repurchase Notice and Notes to Be Repurchased</w:t>
      </w:r>
      <w:r>
        <w:rPr>
          <w:rFonts w:ascii="Arial" w:cs="Arial" w:eastAsia="Arial" w:hAnsi="Arial"/>
          <w:sz w:val="17"/>
          <w:szCs w:val="17"/>
          <w:color w:val="auto"/>
        </w:rPr>
        <w:t>. To exercise its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 for a Note following a Fundamental Change, the Holder thereof must deliver to the Paying Agent:</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886" w:val="left"/>
        </w:tabs>
        <w:numPr>
          <w:ilvl w:val="2"/>
          <w:numId w:val="40"/>
        </w:numPr>
        <w:rPr>
          <w:rFonts w:ascii="Arial" w:cs="Arial" w:eastAsia="Arial" w:hAnsi="Arial"/>
          <w:sz w:val="18"/>
          <w:szCs w:val="18"/>
          <w:color w:val="auto"/>
        </w:rPr>
      </w:pPr>
      <w:r>
        <w:rPr>
          <w:rFonts w:ascii="Arial" w:cs="Arial" w:eastAsia="Arial" w:hAnsi="Arial"/>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83" w:lineRule="exact"/>
        <w:rPr>
          <w:rFonts w:ascii="Arial" w:cs="Arial" w:eastAsia="Arial" w:hAnsi="Arial"/>
          <w:sz w:val="18"/>
          <w:szCs w:val="18"/>
          <w:color w:val="auto"/>
        </w:rPr>
      </w:pPr>
    </w:p>
    <w:p>
      <w:pPr>
        <w:ind w:left="2920" w:hanging="968"/>
        <w:spacing w:after="0"/>
        <w:tabs>
          <w:tab w:leader="none" w:pos="2920" w:val="left"/>
        </w:tabs>
        <w:numPr>
          <w:ilvl w:val="2"/>
          <w:numId w:val="40"/>
        </w:numPr>
        <w:rPr>
          <w:rFonts w:ascii="Arial" w:cs="Arial" w:eastAsia="Arial" w:hAnsi="Arial"/>
          <w:sz w:val="16"/>
          <w:szCs w:val="16"/>
          <w:color w:val="auto"/>
        </w:rPr>
      </w:pPr>
      <w:r>
        <w:rPr>
          <w:rFonts w:ascii="Arial" w:cs="Arial" w:eastAsia="Arial" w:hAnsi="Arial"/>
          <w:sz w:val="16"/>
          <w:szCs w:val="16"/>
          <w:color w:val="auto"/>
        </w:rPr>
        <w:t>such Note, duly endorsed for transfer (if such Note is a Physical Note) or by book-entry transfer (if such Note is a</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Global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Paying Agent will promptly deliver to the Company a copy of each Fundamental Change Repurchase Notice that it receives.</w:t>
      </w:r>
    </w:p>
    <w:p>
      <w:pPr>
        <w:spacing w:after="0" w:line="225" w:lineRule="exact"/>
        <w:rPr>
          <w:sz w:val="20"/>
          <w:szCs w:val="20"/>
          <w:color w:val="auto"/>
        </w:rPr>
      </w:pPr>
    </w:p>
    <w:p>
      <w:pPr>
        <w:ind w:left="2200" w:hanging="896"/>
        <w:spacing w:after="0"/>
        <w:tabs>
          <w:tab w:leader="none" w:pos="22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Contents of Fundamental Change Repurchase Notices</w:t>
      </w:r>
      <w:r>
        <w:rPr>
          <w:rFonts w:ascii="Arial" w:cs="Arial" w:eastAsia="Arial" w:hAnsi="Arial"/>
          <w:sz w:val="16"/>
          <w:szCs w:val="16"/>
          <w:color w:val="auto"/>
        </w:rPr>
        <w:t>. Each Fundamental Change Repurchase Notice with respect to a Note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must state:</w:t>
      </w:r>
    </w:p>
    <w:p>
      <w:pPr>
        <w:spacing w:after="0" w:line="210" w:lineRule="exact"/>
        <w:rPr>
          <w:rFonts w:ascii="Arial" w:cs="Arial" w:eastAsia="Arial" w:hAnsi="Arial"/>
          <w:sz w:val="16"/>
          <w:szCs w:val="16"/>
          <w:color w:val="auto"/>
        </w:rPr>
      </w:pPr>
    </w:p>
    <w:p>
      <w:pPr>
        <w:ind w:left="2840" w:hanging="888"/>
        <w:spacing w:after="0"/>
        <w:tabs>
          <w:tab w:leader="none" w:pos="2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which must be an Authorized Denomination; and</w:t>
      </w:r>
    </w:p>
    <w:p>
      <w:pPr>
        <w:spacing w:after="0" w:line="225" w:lineRule="exact"/>
        <w:rPr>
          <w:rFonts w:ascii="Arial" w:cs="Arial" w:eastAsia="Arial" w:hAnsi="Arial"/>
          <w:sz w:val="18"/>
          <w:szCs w:val="18"/>
          <w:color w:val="auto"/>
        </w:rPr>
      </w:pPr>
    </w:p>
    <w:p>
      <w:pPr>
        <w:ind w:left="2940" w:hanging="988"/>
        <w:spacing w:after="0"/>
        <w:tabs>
          <w:tab w:leader="none" w:pos="29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that such Holder is exercising its Fundamental Change Repurchase Right with respect to such principal amount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such Note;</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Note is a Global Note, then such Fundamental Change Repurchase Notice must comply with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Procedures (and any such Fundamental Change Repurchase Notice delivered in compliance with the Depositary Procedures will be deemed to satisfy the requirements of this </w:t>
      </w:r>
      <w:r>
        <w:rPr>
          <w:rFonts w:ascii="Arial" w:cs="Arial" w:eastAsia="Arial" w:hAnsi="Arial"/>
          <w:sz w:val="18"/>
          <w:szCs w:val="18"/>
          <w:b w:val="1"/>
          <w:bCs w:val="1"/>
          <w:color w:val="auto"/>
        </w:rPr>
        <w:t>Section 4.02(F)</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4" w:firstLine="644"/>
        <w:spacing w:after="0" w:line="259" w:lineRule="auto"/>
        <w:tabs>
          <w:tab w:leader="none" w:pos="1651"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A Holder that has delivered a Fundamental Change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6" w:lineRule="exact"/>
        <w:rPr>
          <w:rFonts w:ascii="Arial" w:cs="Arial" w:eastAsia="Arial" w:hAnsi="Arial"/>
          <w:sz w:val="18"/>
          <w:szCs w:val="18"/>
          <w:color w:val="auto"/>
        </w:rPr>
      </w:pPr>
    </w:p>
    <w:p>
      <w:pPr>
        <w:ind w:left="2184" w:hanging="888"/>
        <w:spacing w:after="0"/>
        <w:tabs>
          <w:tab w:leader="none" w:pos="21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which must be an Authorized Denomination; and</w:t>
      </w:r>
    </w:p>
    <w:p>
      <w:pPr>
        <w:spacing w:after="0" w:line="225" w:lineRule="exact"/>
        <w:rPr>
          <w:rFonts w:ascii="Arial" w:cs="Arial" w:eastAsia="Arial" w:hAnsi="Arial"/>
          <w:sz w:val="18"/>
          <w:szCs w:val="18"/>
          <w:color w:val="auto"/>
        </w:rPr>
      </w:pPr>
    </w:p>
    <w:p>
      <w:pPr>
        <w:ind w:left="644" w:right="20" w:firstLine="652"/>
        <w:spacing w:after="0" w:line="277" w:lineRule="auto"/>
        <w:tabs>
          <w:tab w:leader="none" w:pos="23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 which must be an Authorized Denomination;</w:t>
      </w:r>
    </w:p>
    <w:p>
      <w:pPr>
        <w:spacing w:after="0" w:line="170"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Note is a Global Note, then such withdrawal notice must comply with the Depositary Procedures (and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withdrawal notice delivered in compliance with the Depositary Procedures will be deemed to satisfy the requirements of this </w:t>
      </w:r>
      <w:r>
        <w:rPr>
          <w:rFonts w:ascii="Arial" w:cs="Arial" w:eastAsia="Arial" w:hAnsi="Arial"/>
          <w:sz w:val="16"/>
          <w:szCs w:val="16"/>
          <w:b w:val="1"/>
          <w:bCs w:val="1"/>
          <w:color w:val="auto"/>
        </w:rPr>
        <w:t>Section 4.02(F)</w:t>
      </w:r>
      <w:r>
        <w:rPr>
          <w:rFonts w:ascii="Arial" w:cs="Arial" w:eastAsia="Arial" w:hAnsi="Arial"/>
          <w:sz w:val="16"/>
          <w:szCs w:val="16"/>
          <w:color w:val="auto"/>
        </w:rPr>
        <w:t>).</w:t>
      </w:r>
    </w:p>
    <w:p>
      <w:pPr>
        <w:spacing w:after="0" w:line="124"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Arial" w:cs="Arial" w:eastAsia="Arial" w:hAnsi="Arial"/>
          <w:sz w:val="18"/>
          <w:szCs w:val="18"/>
          <w:b w:val="1"/>
          <w:bCs w:val="1"/>
          <w:color w:val="auto"/>
        </w:rPr>
        <w:t>Section 2.11</w:t>
      </w:r>
      <w:r>
        <w:rPr>
          <w:rFonts w:ascii="Arial" w:cs="Arial" w:eastAsia="Arial" w:hAnsi="Arial"/>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92" w:lineRule="exact"/>
        <w:rPr>
          <w:sz w:val="20"/>
          <w:szCs w:val="20"/>
          <w:color w:val="auto"/>
        </w:rPr>
      </w:pPr>
    </w:p>
    <w:p>
      <w:pPr>
        <w:jc w:val="both"/>
        <w:ind w:left="-656" w:firstLine="656"/>
        <w:spacing w:after="0" w:line="290" w:lineRule="auto"/>
        <w:tabs>
          <w:tab w:leader="none" w:pos="1069"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Payment of the Fundamental Change Repurchase Price</w:t>
      </w:r>
      <w:r>
        <w:rPr>
          <w:rFonts w:ascii="Arial" w:cs="Arial" w:eastAsia="Arial" w:hAnsi="Arial"/>
          <w:sz w:val="16"/>
          <w:szCs w:val="16"/>
          <w:color w:val="auto"/>
        </w:rPr>
        <w:t>. Without limiting the Company’s obligation to deposit the Fundamental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 Repurchase Price within the time proscribed by </w:t>
      </w:r>
      <w:r>
        <w:rPr>
          <w:rFonts w:ascii="Arial" w:cs="Arial" w:eastAsia="Arial" w:hAnsi="Arial"/>
          <w:sz w:val="16"/>
          <w:szCs w:val="16"/>
          <w:b w:val="1"/>
          <w:bCs w:val="1"/>
          <w:color w:val="auto"/>
        </w:rPr>
        <w:t>Section 3.01(B)</w:t>
      </w:r>
      <w:r>
        <w:rPr>
          <w:rFonts w:ascii="Arial" w:cs="Arial" w:eastAsia="Arial" w:hAnsi="Arial"/>
          <w:sz w:val="16"/>
          <w:szCs w:val="16"/>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Arial" w:cs="Arial" w:eastAsia="Arial" w:hAnsi="Arial"/>
          <w:sz w:val="16"/>
          <w:szCs w:val="16"/>
          <w:b w:val="1"/>
          <w:bCs w:val="1"/>
          <w:color w:val="auto"/>
        </w:rPr>
        <w:t>Section 4.02(D)</w:t>
      </w:r>
      <w:r>
        <w:rPr>
          <w:rFonts w:ascii="Arial" w:cs="Arial" w:eastAsia="Arial" w:hAnsi="Arial"/>
          <w:sz w:val="16"/>
          <w:szCs w:val="16"/>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Arial" w:cs="Arial" w:eastAsia="Arial" w:hAnsi="Arial"/>
          <w:sz w:val="16"/>
          <w:szCs w:val="16"/>
          <w:b w:val="1"/>
          <w:bCs w:val="1"/>
          <w:color w:val="auto"/>
        </w:rPr>
        <w:t>Section 4.02(G)</w:t>
      </w:r>
      <w:r>
        <w:rPr>
          <w:rFonts w:ascii="Arial" w:cs="Arial" w:eastAsia="Arial" w:hAnsi="Arial"/>
          <w:sz w:val="16"/>
          <w:szCs w:val="16"/>
          <w:color w:val="auto"/>
        </w:rPr>
        <w:t>.</w:t>
      </w:r>
    </w:p>
    <w:p>
      <w:pPr>
        <w:spacing w:after="0" w:line="381" w:lineRule="exact"/>
        <w:rPr>
          <w:rFonts w:ascii="Arial" w:cs="Arial" w:eastAsia="Arial" w:hAnsi="Arial"/>
          <w:sz w:val="16"/>
          <w:szCs w:val="16"/>
          <w:color w:val="auto"/>
        </w:rPr>
      </w:pPr>
    </w:p>
    <w:p>
      <w:pPr>
        <w:ind w:left="4884" w:hanging="111"/>
        <w:spacing w:after="0"/>
        <w:tabs>
          <w:tab w:leader="none" w:pos="48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2" w:name="page43"/>
    <w:bookmarkEnd w:id="42"/>
    <w:p>
      <w:pPr>
        <w:jc w:val="both"/>
        <w:ind w:left="-656" w:firstLine="656"/>
        <w:spacing w:after="0" w:line="258" w:lineRule="auto"/>
        <w:tabs>
          <w:tab w:leader="none" w:pos="826"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Third Party May Conduct Repurchase Offer In Lieu of the Company</w:t>
      </w:r>
      <w:r>
        <w:rPr>
          <w:rFonts w:ascii="Arial" w:cs="Arial" w:eastAsia="Arial" w:hAnsi="Arial"/>
          <w:sz w:val="18"/>
          <w:szCs w:val="18"/>
          <w:color w:val="auto"/>
        </w:rPr>
        <w:t>. Notwithstanding anything to the contrary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be deemed to satisfy its obligations under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if one or more third parties conduct any Repurchase Upon Fundamental Change and related offer to repurchase Notes otherwise required by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in the same manner</w:t>
      </w:r>
      <w:r>
        <w:rPr>
          <w:rFonts w:ascii="Arial" w:cs="Arial" w:eastAsia="Arial" w:hAnsi="Arial"/>
          <w:sz w:val="18"/>
          <w:szCs w:val="18"/>
          <w:color w:val="231F20"/>
        </w:rPr>
        <w:t>, at the same time and otherwise in compliance with the</w:t>
      </w:r>
      <w:r>
        <w:rPr>
          <w:rFonts w:ascii="Arial" w:cs="Arial" w:eastAsia="Arial" w:hAnsi="Arial"/>
          <w:sz w:val="18"/>
          <w:szCs w:val="18"/>
          <w:color w:val="auto"/>
        </w:rPr>
        <w:t xml:space="preserve"> </w:t>
      </w:r>
      <w:r>
        <w:rPr>
          <w:rFonts w:ascii="Arial" w:cs="Arial" w:eastAsia="Arial" w:hAnsi="Arial"/>
          <w:sz w:val="18"/>
          <w:szCs w:val="18"/>
          <w:color w:val="231F20"/>
        </w:rPr>
        <w:t xml:space="preserve">requirements for an offer made by the Company as provided in this </w:t>
      </w:r>
      <w:r>
        <w:rPr>
          <w:rFonts w:ascii="Arial" w:cs="Arial" w:eastAsia="Arial" w:hAnsi="Arial"/>
          <w:sz w:val="18"/>
          <w:szCs w:val="18"/>
          <w:b w:val="1"/>
          <w:bCs w:val="1"/>
          <w:color w:val="000000"/>
        </w:rPr>
        <w:t>Section 4.02</w:t>
      </w:r>
      <w:r>
        <w:rPr>
          <w:rFonts w:ascii="Arial" w:cs="Arial" w:eastAsia="Arial" w:hAnsi="Arial"/>
          <w:sz w:val="18"/>
          <w:szCs w:val="18"/>
          <w:color w:val="231F20"/>
        </w:rPr>
        <w:t xml:space="preserve"> </w:t>
      </w:r>
      <w:r>
        <w:rPr>
          <w:rFonts w:ascii="Arial" w:cs="Arial" w:eastAsia="Arial" w:hAnsi="Arial"/>
          <w:sz w:val="18"/>
          <w:szCs w:val="18"/>
          <w:color w:val="000000"/>
        </w:rPr>
        <w:t>that would have satisfied the requirements of this</w:t>
      </w:r>
      <w:r>
        <w:rPr>
          <w:rFonts w:ascii="Arial" w:cs="Arial" w:eastAsia="Arial" w:hAnsi="Arial"/>
          <w:sz w:val="18"/>
          <w:szCs w:val="18"/>
          <w:color w:val="231F20"/>
        </w:rPr>
        <w:t xml:space="preserve"> </w:t>
      </w:r>
      <w:r>
        <w:rPr>
          <w:rFonts w:ascii="Arial" w:cs="Arial" w:eastAsia="Arial" w:hAnsi="Arial"/>
          <w:sz w:val="18"/>
          <w:szCs w:val="18"/>
          <w:b w:val="1"/>
          <w:bCs w:val="1"/>
          <w:color w:val="000000"/>
        </w:rPr>
        <w:t>Section 4.02</w:t>
      </w:r>
      <w:r>
        <w:rPr>
          <w:rFonts w:ascii="Arial" w:cs="Arial" w:eastAsia="Arial" w:hAnsi="Arial"/>
          <w:sz w:val="18"/>
          <w:szCs w:val="18"/>
          <w:color w:val="231F20"/>
        </w:rPr>
        <w:t xml:space="preserve"> </w:t>
      </w:r>
      <w:r>
        <w:rPr>
          <w:rFonts w:ascii="Arial" w:cs="Arial" w:eastAsia="Arial" w:hAnsi="Arial"/>
          <w:sz w:val="18"/>
          <w:szCs w:val="18"/>
          <w:color w:val="000000"/>
        </w:rPr>
        <w:t>if</w:t>
      </w:r>
      <w:r>
        <w:rPr>
          <w:rFonts w:ascii="Arial" w:cs="Arial" w:eastAsia="Arial" w:hAnsi="Arial"/>
          <w:sz w:val="18"/>
          <w:szCs w:val="18"/>
          <w:color w:val="231F20"/>
        </w:rPr>
        <w:t xml:space="preserve"> </w:t>
      </w:r>
      <w:r>
        <w:rPr>
          <w:rFonts w:ascii="Arial" w:cs="Arial" w:eastAsia="Arial" w:hAnsi="Arial"/>
          <w:sz w:val="18"/>
          <w:szCs w:val="18"/>
          <w:color w:val="000000"/>
        </w:rPr>
        <w:t>conducted directly by the Company.</w:t>
      </w:r>
    </w:p>
    <w:p>
      <w:pPr>
        <w:spacing w:after="0" w:line="187" w:lineRule="exact"/>
        <w:rPr>
          <w:rFonts w:ascii="Arial" w:cs="Arial" w:eastAsia="Arial" w:hAnsi="Arial"/>
          <w:sz w:val="18"/>
          <w:szCs w:val="18"/>
          <w:color w:val="auto"/>
        </w:rPr>
      </w:pPr>
    </w:p>
    <w:p>
      <w:pPr>
        <w:jc w:val="both"/>
        <w:ind w:left="-656" w:firstLine="656"/>
        <w:spacing w:after="0" w:line="268" w:lineRule="auto"/>
        <w:tabs>
          <w:tab w:leader="none" w:pos="891"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No Requirement to Conduct an Offer to Repurchase Notes if the Fundamental Change Results in the Notes Becoming Convertible into an Amount of Cash Exceeding the Fundamental Change Repurchase Price</w:t>
      </w:r>
      <w:r>
        <w:rPr>
          <w:rFonts w:ascii="Arial" w:cs="Arial" w:eastAsia="Arial" w:hAnsi="Arial"/>
          <w:sz w:val="17"/>
          <w:szCs w:val="17"/>
          <w:color w:val="auto"/>
        </w:rPr>
        <w:t>. Notwithstanding anything to the contrary in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4.02</w:t>
      </w:r>
      <w:r>
        <w:rPr>
          <w:rFonts w:ascii="Arial" w:cs="Arial" w:eastAsia="Arial" w:hAnsi="Arial"/>
          <w:sz w:val="17"/>
          <w:szCs w:val="17"/>
          <w:color w:val="auto"/>
        </w:rPr>
        <w: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not be required to send a Fundamental Change Notice pursuant to </w:t>
      </w:r>
      <w:r>
        <w:rPr>
          <w:rFonts w:ascii="Arial" w:cs="Arial" w:eastAsia="Arial" w:hAnsi="Arial"/>
          <w:sz w:val="17"/>
          <w:szCs w:val="17"/>
          <w:b w:val="1"/>
          <w:bCs w:val="1"/>
          <w:color w:val="auto"/>
        </w:rPr>
        <w:t>Section 4.02(E)</w:t>
      </w:r>
      <w:r>
        <w:rPr>
          <w:rFonts w:ascii="Arial" w:cs="Arial" w:eastAsia="Arial" w:hAnsi="Arial"/>
          <w:sz w:val="17"/>
          <w:szCs w:val="17"/>
          <w:color w:val="auto"/>
        </w:rPr>
        <w:t xml:space="preserve">, or offer to repurchase or repurchase any Notes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in connection with a Common Stock Change Event that constitutes a Fundamental Change pursuant to</w:t>
      </w:r>
      <w:r>
        <w:rPr>
          <w:rFonts w:ascii="Arial" w:cs="Arial" w:eastAsia="Arial" w:hAnsi="Arial"/>
          <w:sz w:val="17"/>
          <w:szCs w:val="17"/>
          <w:b w:val="1"/>
          <w:bCs w:val="1"/>
          <w:color w:val="auto"/>
        </w:rPr>
        <w:t xml:space="preserve"> clause (B)(ii) </w:t>
      </w:r>
      <w:r>
        <w:rPr>
          <w:rFonts w:ascii="Arial" w:cs="Arial" w:eastAsia="Arial" w:hAnsi="Arial"/>
          <w:sz w:val="17"/>
          <w:szCs w:val="17"/>
          <w:color w:val="auto"/>
        </w:rPr>
        <w:t>of the definition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Arial" w:cs="Arial" w:eastAsia="Arial" w:hAnsi="Arial"/>
          <w:sz w:val="17"/>
          <w:szCs w:val="17"/>
          <w:b w:val="1"/>
          <w:bCs w:val="1"/>
          <w:color w:val="auto"/>
        </w:rPr>
        <w:t>Section 5.09(A)</w:t>
      </w:r>
      <w:r>
        <w:rPr>
          <w:rFonts w:ascii="Arial" w:cs="Arial" w:eastAsia="Arial" w:hAnsi="Arial"/>
          <w:sz w:val="17"/>
          <w:szCs w:val="17"/>
          <w:color w:val="auto"/>
        </w:rPr>
        <w:t xml:space="preserve"> and, if applicable, </w:t>
      </w:r>
      <w:r>
        <w:rPr>
          <w:rFonts w:ascii="Arial" w:cs="Arial" w:eastAsia="Arial" w:hAnsi="Arial"/>
          <w:sz w:val="17"/>
          <w:szCs w:val="17"/>
          <w:b w:val="1"/>
          <w:bCs w:val="1"/>
          <w:color w:val="auto"/>
        </w:rPr>
        <w:t>Section 5.07</w:t>
      </w:r>
      <w:r>
        <w:rPr>
          <w:rFonts w:ascii="Arial" w:cs="Arial" w:eastAsia="Arial" w:hAnsi="Arial"/>
          <w:sz w:val="17"/>
          <w:szCs w:val="17"/>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Arial" w:cs="Arial" w:eastAsia="Arial" w:hAnsi="Arial"/>
          <w:sz w:val="17"/>
          <w:szCs w:val="17"/>
          <w:b w:val="1"/>
          <w:bCs w:val="1"/>
          <w:color w:val="auto"/>
        </w:rPr>
        <w:t>Section 5.01(C)(i)(3)(b)</w:t>
      </w:r>
      <w:r>
        <w:rPr>
          <w:rFonts w:ascii="Arial" w:cs="Arial" w:eastAsia="Arial" w:hAnsi="Arial"/>
          <w:sz w:val="17"/>
          <w:szCs w:val="17"/>
          <w:color w:val="auto"/>
        </w:rPr>
        <w:t xml:space="preserve">, and includes, in such notice, a statement that the Company is relying on this </w:t>
      </w:r>
      <w:r>
        <w:rPr>
          <w:rFonts w:ascii="Arial" w:cs="Arial" w:eastAsia="Arial" w:hAnsi="Arial"/>
          <w:sz w:val="17"/>
          <w:szCs w:val="17"/>
          <w:b w:val="1"/>
          <w:bCs w:val="1"/>
          <w:color w:val="auto"/>
        </w:rPr>
        <w:t>Section 4.02(I)</w:t>
      </w:r>
      <w:r>
        <w:rPr>
          <w:rFonts w:ascii="Arial" w:cs="Arial" w:eastAsia="Arial" w:hAnsi="Arial"/>
          <w:sz w:val="17"/>
          <w:szCs w:val="17"/>
          <w:color w:val="auto"/>
        </w:rPr>
        <w:t xml:space="preserve">. For the avoidance of doubt, the maximum amount of accrued interest referred to in </w:t>
      </w:r>
      <w:r>
        <w:rPr>
          <w:rFonts w:ascii="Arial" w:cs="Arial" w:eastAsia="Arial" w:hAnsi="Arial"/>
          <w:sz w:val="17"/>
          <w:szCs w:val="17"/>
          <w:b w:val="1"/>
          <w:bCs w:val="1"/>
          <w:color w:val="auto"/>
        </w:rPr>
        <w:t>clause (ii)</w:t>
      </w:r>
      <w:r>
        <w:rPr>
          <w:rFonts w:ascii="Arial" w:cs="Arial" w:eastAsia="Arial" w:hAnsi="Arial"/>
          <w:sz w:val="17"/>
          <w:szCs w:val="17"/>
          <w:color w:val="auto"/>
        </w:rPr>
        <w:t xml:space="preserve"> above will be determined (x) by assuming that the Fundamental Change Repurchase Date occurs on the latest possible date permitted for the applicable Fundamental Change pursuant to </w:t>
      </w:r>
      <w:r>
        <w:rPr>
          <w:rFonts w:ascii="Arial" w:cs="Arial" w:eastAsia="Arial" w:hAnsi="Arial"/>
          <w:sz w:val="17"/>
          <w:szCs w:val="17"/>
          <w:b w:val="1"/>
          <w:bCs w:val="1"/>
          <w:color w:val="auto"/>
        </w:rPr>
        <w:t>Section 4.02(E)</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4.02(C)</w:t>
      </w:r>
      <w:r>
        <w:rPr>
          <w:rFonts w:ascii="Arial" w:cs="Arial" w:eastAsia="Arial" w:hAnsi="Arial"/>
          <w:sz w:val="17"/>
          <w:szCs w:val="17"/>
          <w:color w:val="auto"/>
        </w:rPr>
        <w:t xml:space="preserve">; and (y) without regard to the proviso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4.02(D)</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656" w:firstLine="656"/>
        <w:spacing w:after="0" w:line="271" w:lineRule="auto"/>
        <w:tabs>
          <w:tab w:leader="none" w:pos="105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Compliance with Applicable Securities Laws</w:t>
      </w:r>
      <w:r>
        <w:rPr>
          <w:rFonts w:ascii="Arial" w:cs="Arial" w:eastAsia="Arial" w:hAnsi="Arial"/>
          <w:sz w:val="17"/>
          <w:szCs w:val="17"/>
          <w:color w:val="auto"/>
        </w:rPr>
        <w:t>. To the extent applicable, the Company will comply, in all material respects,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that the Company’s obligations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Arial" w:cs="Arial" w:eastAsia="Arial" w:hAnsi="Arial"/>
          <w:sz w:val="17"/>
          <w:szCs w:val="17"/>
          <w:b w:val="1"/>
          <w:bCs w:val="1"/>
          <w:color w:val="auto"/>
        </w:rPr>
        <w:t>Section 4.02</w:t>
      </w:r>
      <w:r>
        <w:rPr>
          <w:rFonts w:ascii="Arial" w:cs="Arial" w:eastAsia="Arial" w:hAnsi="Arial"/>
          <w:sz w:val="17"/>
          <w:szCs w:val="17"/>
          <w:color w:val="auto"/>
        </w:rPr>
        <w:t>, modified as necessary by the Company in good faith to permit compliance with such law or regulation.</w:t>
      </w:r>
    </w:p>
    <w:p>
      <w:pPr>
        <w:spacing w:after="0" w:line="394" w:lineRule="exact"/>
        <w:rPr>
          <w:rFonts w:ascii="Arial" w:cs="Arial" w:eastAsia="Arial" w:hAnsi="Arial"/>
          <w:sz w:val="17"/>
          <w:szCs w:val="17"/>
          <w:color w:val="auto"/>
        </w:rPr>
      </w:pPr>
    </w:p>
    <w:p>
      <w:pPr>
        <w:ind w:left="4884" w:hanging="111"/>
        <w:spacing w:after="0"/>
        <w:tabs>
          <w:tab w:leader="none" w:pos="48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3" w:name="page44"/>
    <w:bookmarkEnd w:id="43"/>
    <w:p>
      <w:pPr>
        <w:jc w:val="both"/>
        <w:ind w:firstLine="656"/>
        <w:spacing w:after="0" w:line="266" w:lineRule="auto"/>
        <w:tabs>
          <w:tab w:leader="none" w:pos="150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Repurchase in Part</w:t>
      </w:r>
      <w:r>
        <w:rPr>
          <w:rFonts w:ascii="Arial" w:cs="Arial" w:eastAsia="Arial" w:hAnsi="Arial"/>
          <w:sz w:val="18"/>
          <w:szCs w:val="18"/>
          <w:color w:val="auto"/>
        </w:rPr>
        <w:t>. Subject to the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Notes may be repurchased pursuant to a Repurchase Upon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in part, but only in Authorized Denominations. Provisions of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applying to the repurchase of a Note in whole will equally apply to the repurchase of a permitted portion of a Note.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4.03. R</w:t>
      </w:r>
      <w:r>
        <w:rPr>
          <w:rFonts w:ascii="Arial" w:cs="Arial" w:eastAsia="Arial" w:hAnsi="Arial"/>
          <w:sz w:val="12"/>
          <w:szCs w:val="12"/>
          <w:b w:val="1"/>
          <w:bCs w:val="1"/>
          <w:color w:val="auto"/>
        </w:rPr>
        <w:t>IGHT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EDEEM THE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left="1880" w:hanging="1224"/>
        <w:spacing w:after="0"/>
        <w:tabs>
          <w:tab w:leader="none" w:pos="18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No Right to Redeem Before December 20, 2024</w:t>
      </w:r>
      <w:r>
        <w:rPr>
          <w:rFonts w:ascii="Arial" w:cs="Arial" w:eastAsia="Arial" w:hAnsi="Arial"/>
          <w:sz w:val="17"/>
          <w:szCs w:val="17"/>
          <w:color w:val="auto"/>
        </w:rPr>
        <w:t>. The Company may not redeem the Notes at its option at any time before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December 20, 2024.</w:t>
      </w:r>
    </w:p>
    <w:p>
      <w:pPr>
        <w:spacing w:after="0" w:line="206" w:lineRule="exact"/>
        <w:rPr>
          <w:rFonts w:ascii="Arial" w:cs="Arial" w:eastAsia="Arial" w:hAnsi="Arial"/>
          <w:sz w:val="17"/>
          <w:szCs w:val="17"/>
          <w:color w:val="auto"/>
        </w:rPr>
      </w:pPr>
    </w:p>
    <w:p>
      <w:pPr>
        <w:jc w:val="both"/>
        <w:ind w:firstLine="656"/>
        <w:spacing w:after="0" w:line="271" w:lineRule="auto"/>
        <w:tabs>
          <w:tab w:leader="none" w:pos="1544"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Right to Redeem the Notes on or After December 20, 2024</w:t>
      </w:r>
      <w:r>
        <w:rPr>
          <w:rFonts w:ascii="Arial" w:cs="Arial" w:eastAsia="Arial" w:hAnsi="Arial"/>
          <w:sz w:val="17"/>
          <w:szCs w:val="17"/>
          <w:color w:val="auto"/>
        </w:rPr>
        <w:t>. Subject to the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4.03</w:t>
      </w:r>
      <w:r>
        <w:rPr>
          <w:rFonts w:ascii="Arial" w:cs="Arial" w:eastAsia="Arial" w:hAnsi="Arial"/>
          <w:sz w:val="17"/>
          <w:szCs w:val="17"/>
          <w:color w:val="auto"/>
        </w:rPr>
        <w:t>, the Company has the right, 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election, to redeem all, or any portion (subject to the Partial Redemption Limitation set forth in </w:t>
      </w:r>
      <w:r>
        <w:rPr>
          <w:rFonts w:ascii="Arial" w:cs="Arial" w:eastAsia="Arial" w:hAnsi="Arial"/>
          <w:sz w:val="17"/>
          <w:szCs w:val="17"/>
          <w:b w:val="1"/>
          <w:bCs w:val="1"/>
          <w:color w:val="auto"/>
        </w:rPr>
        <w:t>Section 4.03(C)</w:t>
      </w:r>
      <w:r>
        <w:rPr>
          <w:rFonts w:ascii="Arial" w:cs="Arial" w:eastAsia="Arial" w:hAnsi="Arial"/>
          <w:sz w:val="17"/>
          <w:szCs w:val="17"/>
          <w:color w:val="auto"/>
        </w:rPr>
        <w:t xml:space="preserve">) in an Authorized Denomination, of the Notes, at any time, and from time to time, on a Redemption Date on or after December 20, 2024 and on or before the thirty-first (31st) Scheduled Trading Day immediately before the Maturity Date, for a cash purchase price equal to the Redemption Price, but only if (1) the Last Reported Sale Price per share of Common Stock exceeds one hundred and thirty percent (130%) of the Conversion Price on (i) each of at least twenty (20) Trading Days (whether or not consecutive) during the thirty (30) consecutive Trading Days ending on, and including, the Trading Day immediately before the Redemption Notice Date for such Redemption; and (ii) the Trading Day immediately before such Redemption Notice Date; and (2) the Liquidity Conditions have been satisfied. For the avoidance of doubt, the calling of any Notes for Redemption will constitute a Make-Whole Fundamental Change with respect to that Note pursuant to </w:t>
      </w:r>
      <w:r>
        <w:rPr>
          <w:rFonts w:ascii="Arial" w:cs="Arial" w:eastAsia="Arial" w:hAnsi="Arial"/>
          <w:sz w:val="17"/>
          <w:szCs w:val="17"/>
          <w:b w:val="1"/>
          <w:bCs w:val="1"/>
          <w:color w:val="auto"/>
        </w:rPr>
        <w:t xml:space="preserve">clause (B) </w:t>
      </w:r>
      <w:r>
        <w:rPr>
          <w:rFonts w:ascii="Arial" w:cs="Arial" w:eastAsia="Arial" w:hAnsi="Arial"/>
          <w:sz w:val="17"/>
          <w:szCs w:val="17"/>
          <w:color w:val="auto"/>
        </w:rPr>
        <w:t>of the definition thereof.</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65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Partial Redemption Limitation</w:t>
      </w:r>
      <w:r>
        <w:rPr>
          <w:rFonts w:ascii="Arial" w:cs="Arial" w:eastAsia="Arial" w:hAnsi="Arial"/>
          <w:sz w:val="18"/>
          <w:szCs w:val="18"/>
          <w:color w:val="auto"/>
        </w:rPr>
        <w:t>. If the Company elects to redeem fewer than all of the</w:t>
      </w:r>
      <w:r>
        <w:rPr>
          <w:rFonts w:ascii="Arial" w:cs="Arial" w:eastAsia="Arial" w:hAnsi="Arial"/>
          <w:sz w:val="18"/>
          <w:szCs w:val="18"/>
          <w:i w:val="1"/>
          <w:iCs w:val="1"/>
          <w:color w:val="auto"/>
        </w:rPr>
        <w:t xml:space="preserve"> outstanding </w:t>
      </w:r>
      <w:r>
        <w:rPr>
          <w:rFonts w:ascii="Arial" w:cs="Arial" w:eastAsia="Arial" w:hAnsi="Arial"/>
          <w:sz w:val="18"/>
          <w:szCs w:val="18"/>
          <w:color w:val="auto"/>
        </w:rPr>
        <w:t>Notes, at least one hundred fifty</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dollars ($150,000,000) aggregate principal amount of Notes must be outstanding and not subject to Redemption as of the Redemption Notice Date for such Redemption (such requirement, the “</w:t>
      </w:r>
      <w:r>
        <w:rPr>
          <w:rFonts w:ascii="Arial" w:cs="Arial" w:eastAsia="Arial" w:hAnsi="Arial"/>
          <w:sz w:val="18"/>
          <w:szCs w:val="18"/>
          <w:b w:val="1"/>
          <w:bCs w:val="1"/>
          <w:color w:val="auto"/>
        </w:rPr>
        <w:t>Partial Redemption Limitation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523"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Redemption Prohibited in Certain Circumstances</w:t>
      </w:r>
      <w:r>
        <w:rPr>
          <w:rFonts w:ascii="Arial" w:cs="Arial" w:eastAsia="Arial" w:hAnsi="Arial"/>
          <w:sz w:val="17"/>
          <w:szCs w:val="17"/>
          <w:color w:val="auto"/>
        </w:rPr>
        <w:t>. If the principal amount of the Notes has been accelerated and such acceleration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been rescinded on or before the Redemption Date (including a rescission as a result of the payment of the related Redemption Price, and any related interest pursuant to the proviso to </w:t>
      </w:r>
      <w:r>
        <w:rPr>
          <w:rFonts w:ascii="Arial" w:cs="Arial" w:eastAsia="Arial" w:hAnsi="Arial"/>
          <w:sz w:val="17"/>
          <w:szCs w:val="17"/>
          <w:b w:val="1"/>
          <w:bCs w:val="1"/>
          <w:color w:val="auto"/>
        </w:rPr>
        <w:t>Section 4.03(F)</w:t>
      </w:r>
      <w:r>
        <w:rPr>
          <w:rFonts w:ascii="Arial" w:cs="Arial" w:eastAsia="Arial" w:hAnsi="Arial"/>
          <w:sz w:val="17"/>
          <w:szCs w:val="17"/>
          <w:color w:val="auto"/>
        </w:rPr>
        <w:t xml:space="preserve">, on such Redemption Date), then (i) the Company may not call for Redemption or otherwise redeem any Notes pursuant to this </w:t>
      </w:r>
      <w:r>
        <w:rPr>
          <w:rFonts w:ascii="Arial" w:cs="Arial" w:eastAsia="Arial" w:hAnsi="Arial"/>
          <w:sz w:val="17"/>
          <w:szCs w:val="17"/>
          <w:b w:val="1"/>
          <w:bCs w:val="1"/>
          <w:color w:val="auto"/>
        </w:rPr>
        <w:t>Section 4.03</w:t>
      </w:r>
      <w:r>
        <w:rPr>
          <w:rFonts w:ascii="Arial" w:cs="Arial" w:eastAsia="Arial" w:hAnsi="Arial"/>
          <w:sz w:val="17"/>
          <w:szCs w:val="17"/>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77" w:lineRule="exact"/>
        <w:rPr>
          <w:rFonts w:ascii="Arial" w:cs="Arial" w:eastAsia="Arial" w:hAnsi="Arial"/>
          <w:sz w:val="17"/>
          <w:szCs w:val="17"/>
          <w:color w:val="auto"/>
        </w:rPr>
      </w:pPr>
    </w:p>
    <w:p>
      <w:pPr>
        <w:jc w:val="both"/>
        <w:ind w:firstLine="656"/>
        <w:spacing w:after="0" w:line="272" w:lineRule="auto"/>
        <w:tabs>
          <w:tab w:leader="none" w:pos="1548"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Redemption Date</w:t>
      </w:r>
      <w:r>
        <w:rPr>
          <w:rFonts w:ascii="Arial" w:cs="Arial" w:eastAsia="Arial" w:hAnsi="Arial"/>
          <w:sz w:val="17"/>
          <w:szCs w:val="17"/>
          <w:color w:val="auto"/>
        </w:rPr>
        <w:t>. The Redemption Date for any Redemption will be a Business Day of the Company’s choosing that is no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fifty five (55), nor less than thirty five (35), Scheduled Trading Days after the Redemption Notice Date for such Redemption (it being understood, for the avoidance of doubt, that such Redemption Notice Date will be at least four (4) Scheduled Trading Days before the first VWAP Trading Day of the Observation Period relating to such Redemption date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of Observation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in accordance with </w:t>
      </w:r>
      <w:r>
        <w:rPr>
          <w:rFonts w:ascii="Arial" w:cs="Arial" w:eastAsia="Arial" w:hAnsi="Arial"/>
          <w:sz w:val="17"/>
          <w:szCs w:val="17"/>
          <w:b w:val="1"/>
          <w:bCs w:val="1"/>
          <w:color w:val="auto"/>
        </w:rPr>
        <w:t>Section 5.03(A)(i)(3)</w:t>
      </w:r>
      <w:r>
        <w:rPr>
          <w:rFonts w:ascii="Arial" w:cs="Arial" w:eastAsia="Arial" w:hAnsi="Arial"/>
          <w:sz w:val="17"/>
          <w:szCs w:val="17"/>
          <w:color w:val="auto"/>
        </w:rPr>
        <w:t>, the Company has elected to settle all conversions for Notes called for Redemption with a Conversion Date that occurs during the related Redemption Conversion Period by Physical Settlement, then the Company may instead elect to choose a Redemption Date that is a Business Day no more than sixty (60), nor less than thirty (30), calendar days after such Redemption Notice Date.</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56" w:firstLine="656"/>
        <w:spacing w:after="0" w:line="287" w:lineRule="auto"/>
        <w:tabs>
          <w:tab w:leader="none" w:pos="93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Redemption Price</w:t>
      </w:r>
      <w:r>
        <w:rPr>
          <w:rFonts w:ascii="Arial" w:cs="Arial" w:eastAsia="Arial" w:hAnsi="Arial"/>
          <w:sz w:val="16"/>
          <w:szCs w:val="16"/>
          <w:color w:val="auto"/>
        </w:rPr>
        <w:t>. The Redemption Price for any Note called for Redemption is an amount in cash equal to the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Note plus accrued and unpaid interest on such Note to, but excluding, the Redemption Date for such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Arial" w:cs="Arial" w:eastAsia="Arial" w:hAnsi="Arial"/>
          <w:sz w:val="16"/>
          <w:szCs w:val="16"/>
          <w:b w:val="1"/>
          <w:bCs w:val="1"/>
          <w:color w:val="auto"/>
        </w:rPr>
        <w:t>Section 2.05(C)</w:t>
      </w:r>
      <w:r>
        <w:rPr>
          <w:rFonts w:ascii="Arial" w:cs="Arial" w:eastAsia="Arial" w:hAnsi="Arial"/>
          <w:sz w:val="16"/>
          <w:szCs w:val="16"/>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Arial" w:cs="Arial" w:eastAsia="Arial" w:hAnsi="Arial"/>
          <w:sz w:val="16"/>
          <w:szCs w:val="16"/>
          <w:b w:val="1"/>
          <w:bCs w:val="1"/>
          <w:color w:val="auto"/>
        </w:rPr>
        <w:t>Section 2.05(C)</w:t>
      </w:r>
      <w:r>
        <w:rPr>
          <w:rFonts w:ascii="Arial" w:cs="Arial" w:eastAsia="Arial" w:hAnsi="Arial"/>
          <w:sz w:val="16"/>
          <w:szCs w:val="16"/>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71" w:lineRule="exact"/>
        <w:rPr>
          <w:rFonts w:ascii="Arial" w:cs="Arial" w:eastAsia="Arial" w:hAnsi="Arial"/>
          <w:sz w:val="16"/>
          <w:szCs w:val="16"/>
          <w:color w:val="auto"/>
        </w:rPr>
      </w:pPr>
    </w:p>
    <w:p>
      <w:pPr>
        <w:ind w:left="-656" w:firstLine="656"/>
        <w:spacing w:after="0" w:line="277" w:lineRule="auto"/>
        <w:tabs>
          <w:tab w:leader="none" w:pos="108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Redemption Notice</w:t>
      </w:r>
      <w:r>
        <w:rPr>
          <w:rFonts w:ascii="Arial" w:cs="Arial" w:eastAsia="Arial" w:hAnsi="Arial"/>
          <w:sz w:val="18"/>
          <w:szCs w:val="18"/>
          <w:color w:val="auto"/>
        </w:rPr>
        <w:t>. To call any Notes for Redemption, the Company must send to each Holder of such Notes, the Trustee,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Agent and the Paying Agent a written notice of such Redemption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Redemption Notice must state:</w:t>
      </w:r>
    </w:p>
    <w:p>
      <w:pPr>
        <w:spacing w:after="0" w:line="225" w:lineRule="exact"/>
        <w:rPr>
          <w:sz w:val="20"/>
          <w:szCs w:val="20"/>
          <w:color w:val="auto"/>
        </w:rPr>
      </w:pPr>
    </w:p>
    <w:p>
      <w:pPr>
        <w:ind w:left="1584" w:hanging="936"/>
        <w:spacing w:after="0"/>
        <w:tabs>
          <w:tab w:leader="none" w:pos="15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such Notes have been called for Redemption, briefly describing the Company’s Redemption right under this Indenture;</w:t>
      </w:r>
    </w:p>
    <w:p>
      <w:pPr>
        <w:spacing w:after="0" w:line="248" w:lineRule="exact"/>
        <w:rPr>
          <w:rFonts w:ascii="Arial" w:cs="Arial" w:eastAsia="Arial" w:hAnsi="Arial"/>
          <w:sz w:val="16"/>
          <w:szCs w:val="16"/>
          <w:color w:val="auto"/>
        </w:rPr>
      </w:pPr>
    </w:p>
    <w:p>
      <w:pPr>
        <w:ind w:left="1504" w:hanging="856"/>
        <w:spacing w:after="0"/>
        <w:tabs>
          <w:tab w:leader="none" w:pos="15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Date for such Redemption;</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4.03(F)</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4" w:hanging="836"/>
        <w:spacing w:after="0"/>
        <w:tabs>
          <w:tab w:leader="none" w:pos="14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5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spacing w:after="0" w:line="399" w:lineRule="exact"/>
        <w:rPr>
          <w:rFonts w:ascii="Arial" w:cs="Arial" w:eastAsia="Arial" w:hAnsi="Arial"/>
          <w:sz w:val="18"/>
          <w:szCs w:val="18"/>
          <w:color w:val="auto"/>
        </w:rPr>
      </w:pPr>
    </w:p>
    <w:p>
      <w:pPr>
        <w:ind w:left="4884" w:hanging="111"/>
        <w:spacing w:after="0"/>
        <w:tabs>
          <w:tab w:leader="none" w:pos="48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ind w:left="660" w:firstLine="644"/>
        <w:spacing w:after="0" w:line="308" w:lineRule="auto"/>
        <w:tabs>
          <w:tab w:leader="none" w:pos="227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firstLine="644"/>
        <w:spacing w:after="0" w:line="277" w:lineRule="auto"/>
        <w:tabs>
          <w:tab w:leader="none" w:pos="22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Settlement Method that will apply to all conversions of Notes with a Conversion Date that occurs during the related Redemption Conversion Period; and</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or before the Redemption Notice Date, the Company will send a copy of such Redemption Notice to the Trustee and the Paying Agent. At the Company’s written request, the Trustee will give the Redemption Notice in the Company’s name and at its expense, provided that the Company delivers to the Trustee, at least five Business Days in the case of Physical Notes and five calendar days in the case of Global Notes prior to the Redemption Notice Date (unless the Trustee agrees to a shorter period), an Officer’s Certificate requesting that the Trustee give such notice and setting forth the information to be stated in such notice as provided in this </w:t>
      </w:r>
      <w:r>
        <w:rPr>
          <w:rFonts w:ascii="Arial" w:cs="Arial" w:eastAsia="Arial" w:hAnsi="Arial"/>
          <w:sz w:val="18"/>
          <w:szCs w:val="18"/>
          <w:b w:val="1"/>
          <w:bCs w:val="1"/>
          <w:color w:val="auto"/>
        </w:rPr>
        <w:t>Section 4.03(G)</w:t>
      </w:r>
      <w:r>
        <w:rPr>
          <w:rFonts w:ascii="Arial" w:cs="Arial" w:eastAsia="Arial" w:hAnsi="Arial"/>
          <w:sz w:val="18"/>
          <w:szCs w:val="18"/>
          <w:color w:val="auto"/>
        </w:rPr>
        <w:t>.</w:t>
      </w:r>
    </w:p>
    <w:p>
      <w:pPr>
        <w:spacing w:after="0" w:line="188" w:lineRule="exact"/>
        <w:rPr>
          <w:sz w:val="20"/>
          <w:szCs w:val="20"/>
          <w:color w:val="auto"/>
        </w:rPr>
      </w:pPr>
    </w:p>
    <w:p>
      <w:pPr>
        <w:ind w:left="1500" w:hanging="844"/>
        <w:spacing w:after="0"/>
        <w:tabs>
          <w:tab w:leader="none" w:pos="15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Selection, Conversion and Transfer of Notes to Be Redeemed in Part</w:t>
      </w:r>
      <w:r>
        <w:rPr>
          <w:rFonts w:ascii="Arial" w:cs="Arial" w:eastAsia="Arial" w:hAnsi="Arial"/>
          <w:sz w:val="16"/>
          <w:szCs w:val="16"/>
          <w:color w:val="auto"/>
        </w:rPr>
        <w:t>. If less than all Notes then outstanding are called for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211" w:lineRule="exact"/>
        <w:rPr>
          <w:sz w:val="20"/>
          <w:szCs w:val="20"/>
          <w:color w:val="auto"/>
        </w:rPr>
      </w:pPr>
    </w:p>
    <w:p>
      <w:pPr>
        <w:jc w:val="both"/>
        <w:ind w:left="660" w:firstLine="644"/>
        <w:spacing w:after="0" w:line="263" w:lineRule="auto"/>
        <w:tabs>
          <w:tab w:leader="none" w:pos="23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279"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only a portion of a Note is subject to Redemption and such Note is converted in part, then the converted portion of such Note will be deemed to be from the portion of such Note that was subject to Redemption.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7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Payment of the Redemption Price</w:t>
      </w:r>
      <w:r>
        <w:rPr>
          <w:rFonts w:ascii="Arial" w:cs="Arial" w:eastAsia="Arial" w:hAnsi="Arial"/>
          <w:sz w:val="18"/>
          <w:szCs w:val="18"/>
          <w:color w:val="auto"/>
        </w:rPr>
        <w:t>. Without limiting the Company’s obligation to deposit the Redemption Price by the time proscribed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w:t>
      </w:r>
      <w:r>
        <w:rPr>
          <w:rFonts w:ascii="Arial" w:cs="Arial" w:eastAsia="Arial" w:hAnsi="Arial"/>
          <w:sz w:val="18"/>
          <w:szCs w:val="18"/>
          <w:b w:val="1"/>
          <w:bCs w:val="1"/>
          <w:color w:val="auto"/>
        </w:rPr>
        <w:t>Section 3.01(B)</w:t>
      </w:r>
      <w:r>
        <w:rPr>
          <w:rFonts w:ascii="Arial" w:cs="Arial" w:eastAsia="Arial" w:hAnsi="Arial"/>
          <w:sz w:val="18"/>
          <w:szCs w:val="18"/>
          <w:color w:val="auto"/>
        </w:rPr>
        <w:t xml:space="preserve">, the Company will cause the Redemption Price for a Note (or portion thereof) subject to Redemption to be paid to the Holder thereof on or before the applicable Redemption Date. For the avoidance of doubt, interest payable pursuant to the proviso to </w:t>
      </w:r>
      <w:r>
        <w:rPr>
          <w:rFonts w:ascii="Arial" w:cs="Arial" w:eastAsia="Arial" w:hAnsi="Arial"/>
          <w:sz w:val="18"/>
          <w:szCs w:val="18"/>
          <w:b w:val="1"/>
          <w:bCs w:val="1"/>
          <w:color w:val="auto"/>
        </w:rPr>
        <w:t>Section 4.03(F)</w:t>
      </w:r>
      <w:r>
        <w:rPr>
          <w:rFonts w:ascii="Arial" w:cs="Arial" w:eastAsia="Arial" w:hAnsi="Arial"/>
          <w:sz w:val="18"/>
          <w:szCs w:val="18"/>
          <w:color w:val="auto"/>
        </w:rPr>
        <w:t xml:space="preserve"> on any Note (or portion thereof) subject to Redemption must be paid pursuant to such proviso.</w:t>
      </w:r>
    </w:p>
    <w:p>
      <w:pPr>
        <w:spacing w:after="0" w:line="182" w:lineRule="exact"/>
        <w:rPr>
          <w:rFonts w:ascii="Arial" w:cs="Arial" w:eastAsia="Arial" w:hAnsi="Arial"/>
          <w:sz w:val="18"/>
          <w:szCs w:val="18"/>
          <w:color w:val="auto"/>
        </w:rPr>
      </w:pPr>
    </w:p>
    <w:p>
      <w:pPr>
        <w:jc w:val="both"/>
        <w:ind w:firstLine="656"/>
        <w:spacing w:after="0" w:line="291" w:lineRule="auto"/>
        <w:tabs>
          <w:tab w:leader="none" w:pos="1639"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Special Provisions for Partial Calls</w:t>
      </w:r>
      <w:r>
        <w:rPr>
          <w:rFonts w:ascii="Arial" w:cs="Arial" w:eastAsia="Arial" w:hAnsi="Arial"/>
          <w:sz w:val="16"/>
          <w:szCs w:val="16"/>
          <w:color w:val="auto"/>
        </w:rPr>
        <w:t>. If the Company elects to redeem less than all of the outstanding Notes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4.03</w:t>
      </w:r>
      <w:r>
        <w:rPr>
          <w:rFonts w:ascii="Arial" w:cs="Arial" w:eastAsia="Arial" w:hAnsi="Arial"/>
          <w:sz w:val="16"/>
          <w:szCs w:val="16"/>
          <w:color w:val="auto"/>
        </w:rPr>
        <w:t>, and the Holder of any Note, or any owner of a beneficial interest in any Global Note, is reasonably not able to determine, before the Close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thirty-second (32nd) Scheduled Trading Day (or, if, in accordance with </w:t>
      </w:r>
      <w:r>
        <w:rPr>
          <w:rFonts w:ascii="Arial" w:cs="Arial" w:eastAsia="Arial" w:hAnsi="Arial"/>
          <w:sz w:val="16"/>
          <w:szCs w:val="16"/>
          <w:b w:val="1"/>
          <w:bCs w:val="1"/>
          <w:color w:val="auto"/>
        </w:rPr>
        <w:t>Section 5.03(A)(i)(3)</w:t>
      </w:r>
      <w:r>
        <w:rPr>
          <w:rFonts w:ascii="Arial" w:cs="Arial" w:eastAsia="Arial" w:hAnsi="Arial"/>
          <w:sz w:val="16"/>
          <w:szCs w:val="16"/>
          <w:color w:val="auto"/>
        </w:rPr>
        <w:t xml:space="preserve">, the Company has elected to settle all conversions of Notes with a Conversion Date that occurs during the related Redemption Conversion Period,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during the related Redemption Conversion Period, and each such conversion will be deemed to be of a Note called for Redemption for purposes of this </w:t>
      </w:r>
      <w:r>
        <w:rPr>
          <w:rFonts w:ascii="Arial" w:cs="Arial" w:eastAsia="Arial" w:hAnsi="Arial"/>
          <w:sz w:val="16"/>
          <w:szCs w:val="16"/>
          <w:b w:val="1"/>
          <w:bCs w:val="1"/>
          <w:color w:val="auto"/>
        </w:rPr>
        <w:t>Section 4.03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Sections 5.01(C)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(i)(4) </w:t>
      </w:r>
      <w:r>
        <w:rPr>
          <w:rFonts w:ascii="Arial" w:cs="Arial" w:eastAsia="Arial" w:hAnsi="Arial"/>
          <w:sz w:val="16"/>
          <w:szCs w:val="16"/>
          <w:color w:val="auto"/>
        </w:rPr>
        <w:t>and</w:t>
      </w:r>
      <w:r>
        <w:rPr>
          <w:rFonts w:ascii="Arial" w:cs="Arial" w:eastAsia="Arial" w:hAnsi="Arial"/>
          <w:sz w:val="16"/>
          <w:szCs w:val="16"/>
          <w:b w:val="1"/>
          <w:bCs w:val="1"/>
          <w:color w:val="auto"/>
        </w:rPr>
        <w:t xml:space="preserve"> 5.07</w:t>
      </w:r>
      <w:r>
        <w:rPr>
          <w:rFonts w:ascii="Arial" w:cs="Arial" w:eastAsia="Arial" w:hAnsi="Arial"/>
          <w:sz w:val="16"/>
          <w:szCs w:val="16"/>
          <w:color w:val="auto"/>
        </w:rPr>
        <w:t>. The Trustee will have no obligation to make any determination in connection with the foregoing.</w:t>
      </w:r>
    </w:p>
    <w:p>
      <w:pPr>
        <w:spacing w:after="0" w:line="379" w:lineRule="exact"/>
        <w:rPr>
          <w:rFonts w:ascii="Arial" w:cs="Arial" w:eastAsia="Arial" w:hAnsi="Arial"/>
          <w:sz w:val="16"/>
          <w:szCs w:val="16"/>
          <w:color w:val="auto"/>
        </w:rPr>
      </w:pPr>
    </w:p>
    <w:p>
      <w:pPr>
        <w:ind w:left="5540" w:hanging="111"/>
        <w:spacing w:after="0"/>
        <w:tabs>
          <w:tab w:leader="none" w:pos="55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4360"/>
        <w:spacing w:after="0"/>
        <w:tabs>
          <w:tab w:leader="none" w:pos="56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8"/>
          <w:szCs w:val="18"/>
          <w:b w:val="1"/>
          <w:bCs w:val="1"/>
          <w:color w:val="auto"/>
        </w:rPr>
        <w:t>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5.01.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w:t>
      </w:r>
      <w:r>
        <w:rPr>
          <w:rFonts w:ascii="Arial" w:cs="Arial" w:eastAsia="Arial" w:hAnsi="Arial"/>
          <w:sz w:val="18"/>
          <w:szCs w:val="18"/>
          <w:b w:val="1"/>
          <w:bCs w:val="1"/>
          <w:color w:val="auto"/>
        </w:rPr>
        <w:t>.</w:t>
      </w:r>
    </w:p>
    <w:p>
      <w:pPr>
        <w:spacing w:after="0" w:line="225" w:lineRule="exact"/>
        <w:rPr>
          <w:sz w:val="20"/>
          <w:szCs w:val="20"/>
          <w:color w:val="auto"/>
        </w:rPr>
      </w:pPr>
    </w:p>
    <w:p>
      <w:pPr>
        <w:ind w:left="1620" w:hanging="964"/>
        <w:spacing w:after="0"/>
        <w:tabs>
          <w:tab w:leader="none" w:pos="16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Subject to the provisions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5</w:t>
      </w:r>
      <w:r>
        <w:rPr>
          <w:rFonts w:ascii="Arial" w:cs="Arial" w:eastAsia="Arial" w:hAnsi="Arial"/>
          <w:sz w:val="16"/>
          <w:szCs w:val="16"/>
          <w:color w:val="auto"/>
        </w:rPr>
        <w:t>, each Holder may, at its option, convert such Holder’s Notes into Conversion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210" w:lineRule="exact"/>
        <w:rPr>
          <w:rFonts w:ascii="Arial" w:cs="Arial" w:eastAsia="Arial" w:hAnsi="Arial"/>
          <w:sz w:val="16"/>
          <w:szCs w:val="16"/>
          <w:color w:val="auto"/>
        </w:rPr>
      </w:pPr>
    </w:p>
    <w:p>
      <w:pPr>
        <w:ind w:firstLine="656"/>
        <w:spacing w:after="0" w:line="342" w:lineRule="auto"/>
        <w:tabs>
          <w:tab w:leader="none" w:pos="1612"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Conversions in Part</w:t>
      </w:r>
      <w:r>
        <w:rPr>
          <w:rFonts w:ascii="Arial" w:cs="Arial" w:eastAsia="Arial" w:hAnsi="Arial"/>
          <w:sz w:val="16"/>
          <w:szCs w:val="16"/>
          <w:color w:val="auto"/>
        </w:rPr>
        <w:t>. Subject to the terms of this Indenture, Notes may be converted in part, but only in Authorized Denominations.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applying to the conversion of a Note in whole will equally apply to conversions of a permitted portion of a Note.</w:t>
      </w:r>
    </w:p>
    <w:p>
      <w:pPr>
        <w:spacing w:after="0" w:line="123" w:lineRule="exact"/>
        <w:rPr>
          <w:rFonts w:ascii="Arial" w:cs="Arial" w:eastAsia="Arial" w:hAnsi="Arial"/>
          <w:sz w:val="16"/>
          <w:szCs w:val="16"/>
          <w:color w:val="auto"/>
        </w:rPr>
      </w:pPr>
    </w:p>
    <w:p>
      <w:pPr>
        <w:ind w:left="1520" w:hanging="864"/>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When Notes May Be Converted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240" w:hanging="936"/>
        <w:spacing w:after="0"/>
        <w:tabs>
          <w:tab w:leader="none" w:pos="224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5.01(C)(ii)</w:t>
      </w:r>
      <w:r>
        <w:rPr>
          <w:rFonts w:ascii="Arial" w:cs="Arial" w:eastAsia="Arial" w:hAnsi="Arial"/>
          <w:sz w:val="18"/>
          <w:szCs w:val="18"/>
          <w:color w:val="auto"/>
        </w:rPr>
        <w:t>, a Note may be converted only in the following circumstances:</w:t>
      </w:r>
    </w:p>
    <w:p>
      <w:pPr>
        <w:spacing w:after="0" w:line="229" w:lineRule="exact"/>
        <w:rPr>
          <w:rFonts w:ascii="Arial" w:cs="Arial" w:eastAsia="Arial" w:hAnsi="Arial"/>
          <w:sz w:val="18"/>
          <w:szCs w:val="18"/>
          <w:color w:val="auto"/>
        </w:rPr>
      </w:pPr>
    </w:p>
    <w:p>
      <w:pPr>
        <w:jc w:val="both"/>
        <w:ind w:left="1300" w:firstLine="652"/>
        <w:spacing w:after="0" w:line="255" w:lineRule="auto"/>
        <w:tabs>
          <w:tab w:leader="none" w:pos="3251" w:val="left"/>
        </w:tabs>
        <w:numPr>
          <w:ilvl w:val="2"/>
          <w:numId w:val="53"/>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Sale Price Condition</w:t>
      </w:r>
      <w:r>
        <w:rPr>
          <w:rFonts w:ascii="Arial" w:cs="Arial" w:eastAsia="Arial" w:hAnsi="Arial"/>
          <w:sz w:val="18"/>
          <w:szCs w:val="18"/>
          <w:color w:val="auto"/>
        </w:rPr>
        <w:t>. Before the Close of Business on the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September 15, 2026, a Holder may convert its Notes during any calendar quarter (and only during such calendar quarter) commencing after the calendar quarter ending on March 31, 2022,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92" w:lineRule="exact"/>
        <w:rPr>
          <w:rFonts w:ascii="Arial" w:cs="Arial" w:eastAsia="Arial" w:hAnsi="Arial"/>
          <w:sz w:val="18"/>
          <w:szCs w:val="18"/>
          <w:color w:val="auto"/>
        </w:rPr>
      </w:pPr>
    </w:p>
    <w:p>
      <w:pPr>
        <w:jc w:val="both"/>
        <w:ind w:left="1300" w:firstLine="652"/>
        <w:spacing w:after="0" w:line="272" w:lineRule="auto"/>
        <w:tabs>
          <w:tab w:leader="none" w:pos="2913" w:val="left"/>
        </w:tabs>
        <w:numPr>
          <w:ilvl w:val="2"/>
          <w:numId w:val="53"/>
        </w:numPr>
        <w:rPr>
          <w:rFonts w:ascii="Arial" w:cs="Arial" w:eastAsia="Arial" w:hAnsi="Arial"/>
          <w:sz w:val="17"/>
          <w:szCs w:val="17"/>
          <w:color w:val="auto"/>
        </w:rPr>
      </w:pPr>
      <w:r>
        <w:rPr>
          <w:rFonts w:ascii="Arial" w:cs="Arial" w:eastAsia="Arial" w:hAnsi="Arial"/>
          <w:sz w:val="17"/>
          <w:szCs w:val="17"/>
          <w:i w:val="1"/>
          <w:iCs w:val="1"/>
          <w:color w:val="auto"/>
        </w:rPr>
        <w:t>Conversion upon Satisfaction of Note Trading Price Condition</w:t>
      </w:r>
      <w:r>
        <w:rPr>
          <w:rFonts w:ascii="Arial" w:cs="Arial" w:eastAsia="Arial" w:hAnsi="Arial"/>
          <w:sz w:val="17"/>
          <w:szCs w:val="17"/>
          <w:color w:val="auto"/>
        </w:rPr>
        <w:t>. Before the Close of Business on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before September 15, 2026, a Holder may convert its Notes during the five (5) consecutive Business Days immediately after any ten (10) consecutive Trading Day period (such ten (10) consecutive Trading Day period, the “</w:t>
      </w:r>
      <w:r>
        <w:rPr>
          <w:rFonts w:ascii="Arial" w:cs="Arial" w:eastAsia="Arial" w:hAnsi="Arial"/>
          <w:sz w:val="17"/>
          <w:szCs w:val="17"/>
          <w:b w:val="1"/>
          <w:bCs w:val="1"/>
          <w:color w:val="auto"/>
        </w:rPr>
        <w:t>Measurement Period</w:t>
      </w:r>
      <w:r>
        <w:rPr>
          <w:rFonts w:ascii="Arial" w:cs="Arial" w:eastAsia="Arial" w:hAnsi="Arial"/>
          <w:sz w:val="17"/>
          <w:szCs w:val="17"/>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Arial" w:cs="Arial" w:eastAsia="Arial" w:hAnsi="Arial"/>
          <w:sz w:val="17"/>
          <w:szCs w:val="17"/>
          <w:b w:val="1"/>
          <w:bCs w:val="1"/>
          <w:color w:val="auto"/>
        </w:rPr>
        <w:t>Trading Price Condition</w:t>
      </w:r>
      <w:r>
        <w:rPr>
          <w:rFonts w:ascii="Arial" w:cs="Arial" w:eastAsia="Arial" w:hAnsi="Arial"/>
          <w:sz w:val="17"/>
          <w:szCs w:val="17"/>
          <w:color w:val="auto"/>
        </w:rPr>
        <w:t>.”</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3"/>
          <w:numId w:val="53"/>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180"/>
        <w:spacing w:after="0" w:line="286" w:lineRule="auto"/>
        <w:rPr>
          <w:sz w:val="20"/>
          <w:szCs w:val="20"/>
          <w:color w:val="auto"/>
        </w:rPr>
      </w:pPr>
      <w:r>
        <w:rPr>
          <w:rFonts w:ascii="Arial" w:cs="Arial" w:eastAsia="Arial" w:hAnsi="Arial"/>
          <w:sz w:val="16"/>
          <w:szCs w:val="16"/>
          <w:color w:val="auto"/>
        </w:rPr>
        <w:t xml:space="preserve">The Trading Price will be determined by the Bid Solicitation Agent pursuant to this </w:t>
      </w:r>
      <w:r>
        <w:rPr>
          <w:rFonts w:ascii="Arial" w:cs="Arial" w:eastAsia="Arial" w:hAnsi="Arial"/>
          <w:sz w:val="16"/>
          <w:szCs w:val="16"/>
          <w:b w:val="1"/>
          <w:bCs w:val="1"/>
          <w:color w:val="auto"/>
        </w:rPr>
        <w:t>Section 5.01(C)(i)(2)</w:t>
      </w:r>
      <w:r>
        <w:rPr>
          <w:rFonts w:ascii="Arial" w:cs="Arial" w:eastAsia="Arial" w:hAnsi="Arial"/>
          <w:sz w:val="16"/>
          <w:szCs w:val="16"/>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(x) notify the Holders, the Trustee and the Conversion Agent of the same and (y) select the institutions to provide bids to the Bid Solicitation Agent and will instruct such institutions to provide bids to the Bid Solicitation Agent in accordance with the definition of “Trading Price.”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71" w:lineRule="exact"/>
        <w:rPr>
          <w:sz w:val="20"/>
          <w:szCs w:val="20"/>
          <w:color w:val="auto"/>
        </w:rPr>
      </w:pPr>
    </w:p>
    <w:p>
      <w:pPr>
        <w:ind w:left="1720" w:hanging="888"/>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Conversion upon Specified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77" w:lineRule="auto"/>
        <w:tabs>
          <w:tab w:leader="none" w:pos="283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Certain Distributions</w:t>
      </w:r>
      <w:r>
        <w:rPr>
          <w:rFonts w:ascii="Arial" w:cs="Arial" w:eastAsia="Arial" w:hAnsi="Arial"/>
          <w:sz w:val="18"/>
          <w:szCs w:val="18"/>
          <w:color w:val="auto"/>
        </w:rPr>
        <w:t>. If, before the Close of Business on the Business Day immediately before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15, 2026, the Company elects to:</w:t>
      </w:r>
    </w:p>
    <w:p>
      <w:pPr>
        <w:spacing w:after="0" w:line="170" w:lineRule="exact"/>
        <w:rPr>
          <w:rFonts w:ascii="Arial" w:cs="Arial" w:eastAsia="Arial" w:hAnsi="Arial"/>
          <w:sz w:val="18"/>
          <w:szCs w:val="18"/>
          <w:color w:val="auto"/>
        </w:rPr>
      </w:pPr>
    </w:p>
    <w:p>
      <w:pPr>
        <w:jc w:val="both"/>
        <w:ind w:left="1480" w:firstLine="648"/>
        <w:spacing w:after="0" w:line="270" w:lineRule="auto"/>
        <w:tabs>
          <w:tab w:leader="none" w:pos="3216" w:val="left"/>
        </w:tabs>
        <w:numPr>
          <w:ilvl w:val="2"/>
          <w:numId w:val="54"/>
        </w:numPr>
        <w:rPr>
          <w:rFonts w:ascii="Arial" w:cs="Arial" w:eastAsia="Arial" w:hAnsi="Arial"/>
          <w:sz w:val="17"/>
          <w:szCs w:val="17"/>
          <w:color w:val="auto"/>
        </w:rPr>
      </w:pPr>
      <w:r>
        <w:rPr>
          <w:rFonts w:ascii="Arial" w:cs="Arial" w:eastAsia="Arial" w:hAnsi="Arial"/>
          <w:sz w:val="17"/>
          <w:szCs w:val="17"/>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upon their separation from the Common Stock or upon the occurrence of such triggering event)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7"/>
          <w:szCs w:val="17"/>
          <w:b w:val="1"/>
          <w:bCs w:val="1"/>
          <w:color w:val="auto"/>
        </w:rPr>
        <w:t>Section 5.05(A)(ii)</w:t>
      </w:r>
      <w:r>
        <w:rPr>
          <w:rFonts w:ascii="Arial" w:cs="Arial" w:eastAsia="Arial" w:hAnsi="Arial"/>
          <w:sz w:val="17"/>
          <w:szCs w:val="17"/>
          <w:color w:val="auto"/>
        </w:rPr>
        <w:t>); or</w:t>
      </w:r>
    </w:p>
    <w:p>
      <w:pPr>
        <w:spacing w:after="0" w:line="396" w:lineRule="exact"/>
        <w:rPr>
          <w:rFonts w:ascii="Arial" w:cs="Arial" w:eastAsia="Arial" w:hAnsi="Arial"/>
          <w:sz w:val="17"/>
          <w:szCs w:val="17"/>
          <w:color w:val="auto"/>
        </w:rPr>
      </w:pPr>
    </w:p>
    <w:p>
      <w:pPr>
        <w:ind w:left="4420" w:hanging="111"/>
        <w:spacing w:after="0"/>
        <w:tabs>
          <w:tab w:leader="none" w:pos="4420" w:val="left"/>
        </w:tabs>
        <w:numPr>
          <w:ilvl w:val="3"/>
          <w:numId w:val="54"/>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jc w:val="both"/>
        <w:ind w:left="1480" w:firstLine="648"/>
        <w:spacing w:after="0" w:line="301" w:lineRule="auto"/>
        <w:tabs>
          <w:tab w:leader="none" w:pos="30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announced,</w:t>
      </w:r>
    </w:p>
    <w:p>
      <w:pPr>
        <w:spacing w:after="0" w:line="157" w:lineRule="exact"/>
        <w:rPr>
          <w:sz w:val="20"/>
          <w:szCs w:val="20"/>
          <w:color w:val="auto"/>
        </w:rPr>
      </w:pPr>
    </w:p>
    <w:p>
      <w:pPr>
        <w:jc w:val="both"/>
        <w:ind w:left="840"/>
        <w:spacing w:after="0" w:line="267" w:lineRule="auto"/>
        <w:rPr>
          <w:sz w:val="20"/>
          <w:szCs w:val="20"/>
          <w:color w:val="auto"/>
        </w:rPr>
      </w:pPr>
      <w:r>
        <w:rPr>
          <w:rFonts w:ascii="Arial" w:cs="Arial" w:eastAsia="Arial" w:hAnsi="Arial"/>
          <w:sz w:val="17"/>
          <w:szCs w:val="17"/>
          <w:color w:val="auto"/>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Arial" w:cs="Arial" w:eastAsia="Arial" w:hAnsi="Arial"/>
          <w:sz w:val="17"/>
          <w:szCs w:val="17"/>
          <w:b w:val="1"/>
          <w:bCs w:val="1"/>
          <w:color w:val="auto"/>
        </w:rPr>
        <w:t>Section 5.03(A)(i)(1)</w:t>
      </w:r>
      <w:r>
        <w:rPr>
          <w:rFonts w:ascii="Arial" w:cs="Arial" w:eastAsia="Arial" w:hAnsi="Arial"/>
          <w:sz w:val="17"/>
          <w:szCs w:val="17"/>
          <w:color w:val="auto"/>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 w:name="page50"/>
    <w:bookmarkEnd w:id="49"/>
    <w:p>
      <w:pPr>
        <w:jc w:val="both"/>
        <w:ind w:left="1300" w:firstLine="640"/>
        <w:spacing w:after="0" w:line="268" w:lineRule="auto"/>
        <w:tabs>
          <w:tab w:leader="none" w:pos="3048"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Certain Corporate Events</w:t>
      </w:r>
      <w:r>
        <w:rPr>
          <w:rFonts w:ascii="Arial" w:cs="Arial" w:eastAsia="Arial" w:hAnsi="Arial"/>
          <w:sz w:val="17"/>
          <w:szCs w:val="17"/>
          <w:color w:val="auto"/>
        </w:rPr>
        <w:t>. If a Fundamental Change, Make-Whole Fundamental Change (other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Make-Whole Fundamental Change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written notice to the Holders, the Trustee and the Conversion Agent of such transaction or event, such effective date and the related right to convert Notes.</w:t>
      </w:r>
    </w:p>
    <w:p>
      <w:pPr>
        <w:spacing w:after="0" w:line="186" w:lineRule="exact"/>
        <w:rPr>
          <w:rFonts w:ascii="Arial" w:cs="Arial" w:eastAsia="Arial" w:hAnsi="Arial"/>
          <w:sz w:val="17"/>
          <w:szCs w:val="17"/>
          <w:color w:val="auto"/>
        </w:rPr>
      </w:pPr>
    </w:p>
    <w:p>
      <w:pPr>
        <w:jc w:val="both"/>
        <w:ind w:left="640" w:firstLine="652"/>
        <w:spacing w:after="0" w:line="263" w:lineRule="auto"/>
        <w:tabs>
          <w:tab w:leader="none" w:pos="226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Conversion upon Redemption</w:t>
      </w:r>
      <w:r>
        <w:rPr>
          <w:rFonts w:ascii="Arial" w:cs="Arial" w:eastAsia="Arial" w:hAnsi="Arial"/>
          <w:sz w:val="18"/>
          <w:szCs w:val="18"/>
          <w:color w:val="auto"/>
        </w:rPr>
        <w:t>. If the Company calls any Note for</w:t>
      </w:r>
      <w:r>
        <w:rPr>
          <w:rFonts w:ascii="Arial" w:cs="Arial" w:eastAsia="Arial" w:hAnsi="Arial"/>
          <w:sz w:val="18"/>
          <w:szCs w:val="18"/>
          <w:i w:val="1"/>
          <w:iCs w:val="1"/>
          <w:color w:val="auto"/>
        </w:rPr>
        <w:t xml:space="preserve"> Redemption </w:t>
      </w:r>
      <w:r>
        <w:rPr>
          <w:rFonts w:ascii="Arial" w:cs="Arial" w:eastAsia="Arial" w:hAnsi="Arial"/>
          <w:sz w:val="18"/>
          <w:szCs w:val="18"/>
          <w:color w:val="auto"/>
        </w:rPr>
        <w:t>before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immediately before September 15, 2026, then the Holder of such Note may convert such Note at any time during the related Redemption Conversion Period.</w:t>
      </w:r>
    </w:p>
    <w:p>
      <w:pPr>
        <w:spacing w:after="0" w:line="183" w:lineRule="exact"/>
        <w:rPr>
          <w:rFonts w:ascii="Arial" w:cs="Arial" w:eastAsia="Arial" w:hAnsi="Arial"/>
          <w:sz w:val="18"/>
          <w:szCs w:val="18"/>
          <w:color w:val="auto"/>
        </w:rPr>
      </w:pPr>
    </w:p>
    <w:p>
      <w:pPr>
        <w:jc w:val="both"/>
        <w:ind w:left="640" w:firstLine="652"/>
        <w:spacing w:after="0" w:line="287" w:lineRule="auto"/>
        <w:tabs>
          <w:tab w:leader="none" w:pos="221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Conversions During Free Convertibility Period</w:t>
      </w:r>
      <w:r>
        <w:rPr>
          <w:rFonts w:ascii="Arial" w:cs="Arial" w:eastAsia="Arial" w:hAnsi="Arial"/>
          <w:sz w:val="18"/>
          <w:szCs w:val="18"/>
          <w:color w:val="auto"/>
        </w:rPr>
        <w:t>. On or after September 15, 2026, a Holder may convert its Notes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time until the Close of Business on the second (2nd) Scheduled Trading Day immediately before the Maturity Date regardless of the conditions set forth in </w:t>
      </w:r>
      <w:r>
        <w:rPr>
          <w:rFonts w:ascii="Arial" w:cs="Arial" w:eastAsia="Arial" w:hAnsi="Arial"/>
          <w:sz w:val="18"/>
          <w:szCs w:val="18"/>
          <w:b w:val="1"/>
          <w:bCs w:val="1"/>
          <w:color w:val="auto"/>
        </w:rPr>
        <w:t>sub-paragraphs (1)</w:t>
      </w:r>
      <w:r>
        <w:rPr>
          <w:rFonts w:ascii="Arial" w:cs="Arial" w:eastAsia="Arial" w:hAnsi="Arial"/>
          <w:sz w:val="18"/>
          <w:szCs w:val="18"/>
          <w:color w:val="auto"/>
        </w:rPr>
        <w:t xml:space="preserve">, </w:t>
      </w:r>
      <w:r>
        <w:rPr>
          <w:rFonts w:ascii="Arial" w:cs="Arial" w:eastAsia="Arial" w:hAnsi="Arial"/>
          <w:sz w:val="18"/>
          <w:szCs w:val="18"/>
          <w:b w:val="1"/>
          <w:bCs w:val="1"/>
          <w:color w:val="auto"/>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 xml:space="preserve"> or </w:t>
      </w:r>
      <w:r>
        <w:rPr>
          <w:rFonts w:ascii="Arial" w:cs="Arial" w:eastAsia="Arial" w:hAnsi="Arial"/>
          <w:sz w:val="18"/>
          <w:szCs w:val="18"/>
          <w:b w:val="1"/>
          <w:bCs w:val="1"/>
          <w:color w:val="auto"/>
        </w:rPr>
        <w:t>(4)</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For the avoidance of doubt, the Notes may become convertible pursuant to any one or more of the preceding sub-paragraphs of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5.01(C)(i) </w:t>
      </w:r>
      <w:r>
        <w:rPr>
          <w:rFonts w:ascii="Arial" w:cs="Arial" w:eastAsia="Arial" w:hAnsi="Arial"/>
          <w:sz w:val="18"/>
          <w:szCs w:val="18"/>
          <w:color w:val="auto"/>
        </w:rPr>
        <w:t>and the Notes ceasing to be convertible pursuant to a particular sub-paragraph of this</w:t>
      </w:r>
      <w:r>
        <w:rPr>
          <w:rFonts w:ascii="Arial" w:cs="Arial" w:eastAsia="Arial" w:hAnsi="Arial"/>
          <w:sz w:val="18"/>
          <w:szCs w:val="18"/>
          <w:b w:val="1"/>
          <w:bCs w:val="1"/>
          <w:color w:val="auto"/>
        </w:rPr>
        <w:t xml:space="preserve"> Section 5.01(C)(i) </w:t>
      </w:r>
      <w:r>
        <w:rPr>
          <w:rFonts w:ascii="Arial" w:cs="Arial" w:eastAsia="Arial" w:hAnsi="Arial"/>
          <w:sz w:val="18"/>
          <w:szCs w:val="18"/>
          <w:color w:val="auto"/>
        </w:rPr>
        <w:t>will not preclude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being convertible pursuant to any other sub-paragraph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80" w:lineRule="exact"/>
        <w:rPr>
          <w:sz w:val="20"/>
          <w:szCs w:val="20"/>
          <w:color w:val="auto"/>
        </w:rPr>
      </w:pPr>
    </w:p>
    <w:p>
      <w:pPr>
        <w:ind w:left="1500" w:hanging="856"/>
        <w:spacing w:after="0"/>
        <w:tabs>
          <w:tab w:leader="none" w:pos="1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Limitations and Closed Periods</w:t>
      </w:r>
      <w:r>
        <w:rPr>
          <w:rFonts w:ascii="Arial" w:cs="Arial" w:eastAsia="Arial" w:hAnsi="Arial"/>
          <w:sz w:val="18"/>
          <w:szCs w:val="18"/>
          <w:color w:val="auto"/>
        </w:rPr>
        <w:t>. Notwithstanding anything to the contrary in this Indenture or the Notes:</w:t>
      </w:r>
    </w:p>
    <w:p>
      <w:pPr>
        <w:spacing w:after="0" w:line="261" w:lineRule="exact"/>
        <w:rPr>
          <w:rFonts w:ascii="Arial" w:cs="Arial" w:eastAsia="Arial" w:hAnsi="Arial"/>
          <w:sz w:val="18"/>
          <w:szCs w:val="18"/>
          <w:color w:val="auto"/>
        </w:rPr>
      </w:pPr>
    </w:p>
    <w:p>
      <w:pPr>
        <w:ind w:left="640" w:firstLine="652"/>
        <w:spacing w:after="0" w:line="297" w:lineRule="auto"/>
        <w:tabs>
          <w:tab w:leader="none" w:pos="2402"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Notes may be surrendered for conversion during a period where the Notes are convertible pursuant to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5.01(C) </w:t>
      </w:r>
      <w:r>
        <w:rPr>
          <w:rFonts w:ascii="Arial" w:cs="Arial" w:eastAsia="Arial" w:hAnsi="Arial"/>
          <w:sz w:val="18"/>
          <w:szCs w:val="18"/>
          <w:color w:val="auto"/>
        </w:rPr>
        <w:t>only after the Open of Business and before the Close of Business on a Business Day;</w:t>
      </w:r>
    </w:p>
    <w:p>
      <w:pPr>
        <w:spacing w:after="0" w:line="153" w:lineRule="exact"/>
        <w:rPr>
          <w:rFonts w:ascii="Arial" w:cs="Arial" w:eastAsia="Arial" w:hAnsi="Arial"/>
          <w:sz w:val="18"/>
          <w:szCs w:val="18"/>
          <w:color w:val="auto"/>
        </w:rPr>
      </w:pPr>
    </w:p>
    <w:p>
      <w:pPr>
        <w:ind w:left="640" w:right="20" w:firstLine="652"/>
        <w:spacing w:after="0" w:line="277" w:lineRule="auto"/>
        <w:tabs>
          <w:tab w:leader="none" w:pos="23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no event may any Note be converted after the Close of Business on the second (2nd) Scheduled Trading Day immediately before the Maturity Date;</w:t>
      </w:r>
    </w:p>
    <w:p>
      <w:pPr>
        <w:spacing w:after="0" w:line="386" w:lineRule="exact"/>
        <w:rPr>
          <w:rFonts w:ascii="Arial" w:cs="Arial" w:eastAsia="Arial" w:hAnsi="Arial"/>
          <w:sz w:val="18"/>
          <w:szCs w:val="18"/>
          <w:color w:val="auto"/>
        </w:rPr>
      </w:pPr>
    </w:p>
    <w:p>
      <w:pPr>
        <w:ind w:left="4880" w:hanging="111"/>
        <w:spacing w:after="0"/>
        <w:tabs>
          <w:tab w:leader="none" w:pos="48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50" w:name="page51"/>
    <w:bookmarkEnd w:id="50"/>
    <w:p>
      <w:pPr>
        <w:jc w:val="both"/>
        <w:ind w:left="1300" w:firstLine="652"/>
        <w:spacing w:after="0" w:line="323" w:lineRule="auto"/>
        <w:tabs>
          <w:tab w:leader="none" w:pos="300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the Company calls any Note for Redemption pursuant to </w:t>
      </w:r>
      <w:r>
        <w:rPr>
          <w:rFonts w:ascii="Arial" w:cs="Arial" w:eastAsia="Arial" w:hAnsi="Arial"/>
          <w:sz w:val="16"/>
          <w:szCs w:val="16"/>
          <w:b w:val="1"/>
          <w:bCs w:val="1"/>
          <w:color w:val="auto"/>
        </w:rPr>
        <w:t>Section 4.03</w:t>
      </w:r>
      <w:r>
        <w:rPr>
          <w:rFonts w:ascii="Arial" w:cs="Arial" w:eastAsia="Arial" w:hAnsi="Arial"/>
          <w:sz w:val="16"/>
          <w:szCs w:val="16"/>
          <w:color w:val="auto"/>
        </w:rPr>
        <w:t>, then the Holder of such Note may not convert such Note after the Close of Business on the second (2nd) Scheduled Trading Day immediately before the applicable Redemption Date, except to the extent the Company fails to pay the Redemption Price for such Note in accordance with this Indenture; and</w:t>
      </w:r>
    </w:p>
    <w:p>
      <w:pPr>
        <w:spacing w:after="0" w:line="175" w:lineRule="exact"/>
        <w:rPr>
          <w:rFonts w:ascii="Arial" w:cs="Arial" w:eastAsia="Arial" w:hAnsi="Arial"/>
          <w:sz w:val="16"/>
          <w:szCs w:val="16"/>
          <w:color w:val="auto"/>
        </w:rPr>
      </w:pPr>
    </w:p>
    <w:p>
      <w:pPr>
        <w:jc w:val="both"/>
        <w:ind w:left="1300" w:firstLine="652"/>
        <w:spacing w:after="0" w:line="350" w:lineRule="auto"/>
        <w:tabs>
          <w:tab w:leader="none" w:pos="2967"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a Fundamental Change Repurchase Notice is validly delivered pursuant to </w:t>
      </w:r>
      <w:r>
        <w:rPr>
          <w:rFonts w:ascii="Arial" w:cs="Arial" w:eastAsia="Arial" w:hAnsi="Arial"/>
          <w:sz w:val="16"/>
          <w:szCs w:val="16"/>
          <w:b w:val="1"/>
          <w:bCs w:val="1"/>
          <w:color w:val="auto"/>
        </w:rPr>
        <w:t>Section 4.02(F)</w:t>
      </w:r>
      <w:r>
        <w:rPr>
          <w:rFonts w:ascii="Arial" w:cs="Arial" w:eastAsia="Arial" w:hAnsi="Arial"/>
          <w:sz w:val="16"/>
          <w:szCs w:val="16"/>
          <w:color w:val="auto"/>
        </w:rPr>
        <w:t xml:space="preserve"> with respect to any Note, then such Note may not be converted, except to the extent (a) such Note is not subject to such notice; (b) such notice is withdrawn in accordance with </w:t>
      </w:r>
      <w:r>
        <w:rPr>
          <w:rFonts w:ascii="Arial" w:cs="Arial" w:eastAsia="Arial" w:hAnsi="Arial"/>
          <w:sz w:val="16"/>
          <w:szCs w:val="16"/>
          <w:b w:val="1"/>
          <w:bCs w:val="1"/>
          <w:color w:val="auto"/>
        </w:rPr>
        <w:t>Section 4.02(F)</w:t>
      </w:r>
      <w:r>
        <w:rPr>
          <w:rFonts w:ascii="Arial" w:cs="Arial" w:eastAsia="Arial" w:hAnsi="Arial"/>
          <w:sz w:val="16"/>
          <w:szCs w:val="16"/>
          <w:color w:val="auto"/>
        </w:rPr>
        <w:t xml:space="preserve">; or (c) the Company fails to pay the Fundamental Change Repurchase Price for such Note in accordance with this Indenture (or a third party fails to make such payment in lieu of the Company in accordance with </w:t>
      </w:r>
      <w:r>
        <w:rPr>
          <w:rFonts w:ascii="Arial" w:cs="Arial" w:eastAsia="Arial" w:hAnsi="Arial"/>
          <w:sz w:val="16"/>
          <w:szCs w:val="16"/>
          <w:b w:val="1"/>
          <w:bCs w:val="1"/>
          <w:color w:val="auto"/>
        </w:rPr>
        <w:t>Section 4.02(H)</w:t>
      </w:r>
      <w:r>
        <w:rPr>
          <w:rFonts w:ascii="Arial" w:cs="Arial" w:eastAsia="Arial" w:hAnsi="Arial"/>
          <w:sz w:val="16"/>
          <w:szCs w:val="16"/>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60" w:firstLine="644"/>
        <w:spacing w:after="0" w:line="266" w:lineRule="auto"/>
        <w:tabs>
          <w:tab w:leader="none" w:pos="2283"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To convert a beneficial interest in a Global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owner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beneficial interest must (1) comply with the Depositary Procedures for converting such beneficial interest (at which time such conversion will become irrevocable); and (2)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firstLine="644"/>
        <w:spacing w:after="0" w:line="258" w:lineRule="auto"/>
        <w:tabs>
          <w:tab w:leader="none" w:pos="223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Physical Notes</w:t>
      </w:r>
      <w:r>
        <w:rPr>
          <w:rFonts w:ascii="Arial" w:cs="Arial" w:eastAsia="Arial" w:hAnsi="Arial"/>
          <w:sz w:val="18"/>
          <w:szCs w:val="18"/>
          <w:color w:val="auto"/>
        </w:rPr>
        <w:t>. To convert all or a portion of a Physical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301" w:lineRule="auto"/>
        <w:tabs>
          <w:tab w:leader="none" w:pos="1517"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Effect of Converting a Note</w:t>
      </w:r>
      <w:r>
        <w:rPr>
          <w:rFonts w:ascii="Arial" w:cs="Arial" w:eastAsia="Arial" w:hAnsi="Arial"/>
          <w:sz w:val="16"/>
          <w:szCs w:val="16"/>
          <w:color w:val="auto"/>
        </w:rPr>
        <w:t>. At the Close of Business on the Conversion Date for a Note (or any portion thereof) to be converted,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(or such portion) will (unless there occurs a Default in the delivery of the Conversion Consideration or interest due, pursuant to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or </w:t>
      </w:r>
      <w:r>
        <w:rPr>
          <w:rFonts w:ascii="Arial" w:cs="Arial" w:eastAsia="Arial" w:hAnsi="Arial"/>
          <w:sz w:val="16"/>
          <w:szCs w:val="16"/>
          <w:b w:val="1"/>
          <w:bCs w:val="1"/>
          <w:color w:val="auto"/>
        </w:rPr>
        <w:t>5.02(D)</w:t>
      </w:r>
      <w:r>
        <w:rPr>
          <w:rFonts w:ascii="Arial" w:cs="Arial" w:eastAsia="Arial" w:hAnsi="Arial"/>
          <w:sz w:val="16"/>
          <w:szCs w:val="16"/>
          <w:color w:val="auto"/>
        </w:rPr>
        <w:t>, upon such conversion) be deemed to cease to be outstanding (and, for the avoidance of doubt, no Person will be deemed to be a Holder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Note (or such portion thereof) as of the Close of Business on such Conversion Date), except to the extent provided in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656"/>
        <w:spacing w:after="0" w:line="311" w:lineRule="auto"/>
        <w:tabs>
          <w:tab w:leader="none" w:pos="1598"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Holder of Record of Conversion Shares</w:t>
      </w:r>
      <w:r>
        <w:rPr>
          <w:rFonts w:ascii="Arial" w:cs="Arial" w:eastAsia="Arial" w:hAnsi="Arial"/>
          <w:sz w:val="16"/>
          <w:szCs w:val="16"/>
          <w:color w:val="auto"/>
        </w:rPr>
        <w:t>. The Person in whose name any share of Common Stock is issuable upon conversion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364" w:lineRule="exact"/>
        <w:rPr>
          <w:rFonts w:ascii="Arial" w:cs="Arial" w:eastAsia="Arial" w:hAnsi="Arial"/>
          <w:sz w:val="16"/>
          <w:szCs w:val="16"/>
          <w:color w:val="auto"/>
        </w:rPr>
      </w:pPr>
    </w:p>
    <w:p>
      <w:pPr>
        <w:ind w:left="5540" w:hanging="111"/>
        <w:spacing w:after="0"/>
        <w:tabs>
          <w:tab w:leader="none" w:pos="55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1" w:name="page52"/>
    <w:bookmarkEnd w:id="51"/>
    <w:p>
      <w:pPr>
        <w:jc w:val="both"/>
        <w:ind w:left="-656" w:firstLine="656"/>
        <w:spacing w:after="0" w:line="285" w:lineRule="auto"/>
        <w:tabs>
          <w:tab w:leader="none" w:pos="98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Interest Payable upon Conversion in Certain Circumstances</w:t>
      </w:r>
      <w:r>
        <w:rPr>
          <w:rFonts w:ascii="Arial" w:cs="Arial" w:eastAsia="Arial" w:hAnsi="Arial"/>
          <w:sz w:val="16"/>
          <w:szCs w:val="16"/>
          <w:color w:val="auto"/>
        </w:rPr>
        <w:t>. If the Conversion Date of a Note is after a Regular Record Date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Arial" w:cs="Arial" w:eastAsia="Arial" w:hAnsi="Arial"/>
          <w:sz w:val="16"/>
          <w:szCs w:val="16"/>
          <w:b w:val="1"/>
          <w:bCs w:val="1"/>
          <w:color w:val="auto"/>
        </w:rPr>
        <w:t>clause (i)</w:t>
      </w:r>
      <w:r>
        <w:rPr>
          <w:rFonts w:ascii="Arial" w:cs="Arial" w:eastAsia="Arial" w:hAnsi="Arial"/>
          <w:sz w:val="16"/>
          <w:szCs w:val="16"/>
          <w:color w:val="auto"/>
        </w:rPr>
        <w:t xml:space="preserve">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Holder surrendering such Note for conversion need not deliver such cash (w) if such Note is called (or deemed, pursuant to </w:t>
      </w:r>
      <w:r>
        <w:rPr>
          <w:rFonts w:ascii="Arial" w:cs="Arial" w:eastAsia="Arial" w:hAnsi="Arial"/>
          <w:sz w:val="16"/>
          <w:szCs w:val="16"/>
          <w:b w:val="1"/>
          <w:bCs w:val="1"/>
          <w:color w:val="auto"/>
        </w:rPr>
        <w:t>Section 4.03(J)</w:t>
      </w:r>
      <w:r>
        <w:rPr>
          <w:rFonts w:ascii="Arial" w:cs="Arial" w:eastAsia="Arial" w:hAnsi="Arial"/>
          <w:sz w:val="16"/>
          <w:szCs w:val="16"/>
          <w:color w:val="auto"/>
        </w:rPr>
        <w:t xml:space="preserve">, to be called) for Redemption and such Conversion Date occurs during the related Redemption Conversion Period;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656" w:firstLine="656"/>
        <w:spacing w:after="0" w:line="301" w:lineRule="auto"/>
        <w:tabs>
          <w:tab w:leader="none" w:pos="919"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Taxes and Duties</w:t>
      </w:r>
      <w:r>
        <w:rPr>
          <w:rFonts w:ascii="Arial" w:cs="Arial" w:eastAsia="Arial" w:hAnsi="Arial"/>
          <w:sz w:val="16"/>
          <w:szCs w:val="16"/>
          <w:color w:val="auto"/>
        </w:rPr>
        <w:t>. If a Holder converts a Note, the Company will pay any documentary, stamp or similar issue or transfer tax or duty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on the issue or delivery of any shares of Common Stock upon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57" w:lineRule="exact"/>
        <w:rPr>
          <w:rFonts w:ascii="Arial" w:cs="Arial" w:eastAsia="Arial" w:hAnsi="Arial"/>
          <w:sz w:val="16"/>
          <w:szCs w:val="16"/>
          <w:color w:val="auto"/>
        </w:rPr>
      </w:pPr>
    </w:p>
    <w:p>
      <w:pPr>
        <w:jc w:val="both"/>
        <w:ind w:left="-656" w:firstLine="656"/>
        <w:spacing w:after="0" w:line="257" w:lineRule="auto"/>
        <w:tabs>
          <w:tab w:leader="none" w:pos="113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Conversion Agent to Notify Company of Conversions</w:t>
      </w:r>
      <w:r>
        <w:rPr>
          <w:rFonts w:ascii="Arial" w:cs="Arial" w:eastAsia="Arial" w:hAnsi="Arial"/>
          <w:sz w:val="18"/>
          <w:szCs w:val="18"/>
          <w:color w:val="auto"/>
        </w:rPr>
        <w:t>. If any Note is submitted for conversion to the Conversion Agent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Agent receives any notice of conversion with respect to a Note, then the Conversion Agent will promptly (and, in any event, no later than the date the Conversion Agent receives such Note or notice if received prior to the Close of Business on such date) notify the Company and the Trustee of such occurrence, together with any other information reasonably requested by the Company, and will cooperate with the Company to determine the Conversion Date for such Note.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84" w:hanging="111"/>
        <w:spacing w:after="0"/>
        <w:tabs>
          <w:tab w:leader="none" w:pos="48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Section 5.03. S</w:t>
      </w:r>
      <w:r>
        <w:rPr>
          <w:rFonts w:ascii="Arial" w:cs="Arial" w:eastAsia="Arial" w:hAnsi="Arial"/>
          <w:sz w:val="12"/>
          <w:szCs w:val="12"/>
          <w:b w:val="1"/>
          <w:bCs w:val="1"/>
          <w:color w:val="auto"/>
        </w:rPr>
        <w:t>ETTLEMENT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536"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Settlement Method</w:t>
      </w:r>
      <w:r>
        <w:rPr>
          <w:rFonts w:ascii="Arial" w:cs="Arial" w:eastAsia="Arial" w:hAnsi="Arial"/>
          <w:sz w:val="16"/>
          <w:szCs w:val="16"/>
          <w:color w:val="auto"/>
        </w:rPr>
        <w:t>. Upon the conversion of any Note, the Company will settle such conversion by paying or delivering,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provided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either (x) shares of Common Stock, together, if applicable, with cash in lieu of fractional shares as provided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5.03(B)(i)(1) </w:t>
      </w:r>
      <w:r>
        <w:rPr>
          <w:rFonts w:ascii="Arial" w:cs="Arial" w:eastAsia="Arial" w:hAnsi="Arial"/>
          <w:sz w:val="16"/>
          <w:szCs w:val="16"/>
          <w:color w:val="auto"/>
        </w:rPr>
        <w:t>(a “</w:t>
      </w:r>
      <w:r>
        <w:rPr>
          <w:rFonts w:ascii="Arial" w:cs="Arial" w:eastAsia="Arial" w:hAnsi="Arial"/>
          <w:sz w:val="16"/>
          <w:szCs w:val="16"/>
          <w:b w:val="1"/>
          <w:bCs w:val="1"/>
          <w:color w:val="auto"/>
        </w:rPr>
        <w:t>Physical Settlement</w:t>
      </w:r>
      <w:r>
        <w:rPr>
          <w:rFonts w:ascii="Arial" w:cs="Arial" w:eastAsia="Arial" w:hAnsi="Arial"/>
          <w:sz w:val="16"/>
          <w:szCs w:val="16"/>
          <w:color w:val="auto"/>
        </w:rPr>
        <w:t>”); (y) solely cash as provided in</w:t>
      </w:r>
      <w:r>
        <w:rPr>
          <w:rFonts w:ascii="Arial" w:cs="Arial" w:eastAsia="Arial" w:hAnsi="Arial"/>
          <w:sz w:val="16"/>
          <w:szCs w:val="16"/>
          <w:b w:val="1"/>
          <w:bCs w:val="1"/>
          <w:color w:val="auto"/>
        </w:rPr>
        <w:t xml:space="preserve"> Section 5.03(B)(i)(2) </w:t>
      </w:r>
      <w:r>
        <w:rPr>
          <w:rFonts w:ascii="Arial" w:cs="Arial" w:eastAsia="Arial" w:hAnsi="Arial"/>
          <w:sz w:val="16"/>
          <w:szCs w:val="16"/>
          <w:color w:val="auto"/>
        </w:rPr>
        <w:t>(a “</w:t>
      </w:r>
      <w:r>
        <w:rPr>
          <w:rFonts w:ascii="Arial" w:cs="Arial" w:eastAsia="Arial" w:hAnsi="Arial"/>
          <w:sz w:val="16"/>
          <w:szCs w:val="16"/>
          <w:b w:val="1"/>
          <w:bCs w:val="1"/>
          <w:color w:val="auto"/>
        </w:rPr>
        <w:t>Cash Settlement</w:t>
      </w:r>
      <w:r>
        <w:rPr>
          <w:rFonts w:ascii="Arial" w:cs="Arial" w:eastAsia="Arial" w:hAnsi="Arial"/>
          <w:sz w:val="16"/>
          <w:szCs w:val="16"/>
          <w:color w:val="auto"/>
        </w:rPr>
        <w:t>”); or (z) a combination of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Common Stock, together, if applicable, with cash in lieu of fractional shares as provided in </w:t>
      </w:r>
      <w:r>
        <w:rPr>
          <w:rFonts w:ascii="Arial" w:cs="Arial" w:eastAsia="Arial" w:hAnsi="Arial"/>
          <w:sz w:val="16"/>
          <w:szCs w:val="16"/>
          <w:b w:val="1"/>
          <w:bCs w:val="1"/>
          <w:color w:val="auto"/>
        </w:rPr>
        <w:t>Section 5.03(B)(i)(3)</w:t>
      </w:r>
      <w:r>
        <w:rPr>
          <w:rFonts w:ascii="Arial" w:cs="Arial" w:eastAsia="Arial" w:hAnsi="Arial"/>
          <w:sz w:val="16"/>
          <w:szCs w:val="16"/>
          <w:color w:val="auto"/>
        </w:rPr>
        <w:t xml:space="preserve"> (a “</w:t>
      </w:r>
      <w:r>
        <w:rPr>
          <w:rFonts w:ascii="Arial" w:cs="Arial" w:eastAsia="Arial" w:hAnsi="Arial"/>
          <w:sz w:val="16"/>
          <w:szCs w:val="16"/>
          <w:b w:val="1"/>
          <w:bCs w:val="1"/>
          <w:color w:val="auto"/>
        </w:rPr>
        <w:t>Combination Settlement</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660" w:right="20" w:firstLine="644"/>
        <w:spacing w:after="0" w:line="277" w:lineRule="auto"/>
        <w:tabs>
          <w:tab w:leader="none" w:pos="2607"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The Company’s Right to Elect Settlement Method</w:t>
      </w:r>
      <w:r>
        <w:rPr>
          <w:rFonts w:ascii="Arial" w:cs="Arial" w:eastAsia="Arial" w:hAnsi="Arial"/>
          <w:sz w:val="18"/>
          <w:szCs w:val="18"/>
          <w:color w:val="auto"/>
        </w:rPr>
        <w:t>. The Company will have the right to elect the Settlement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to any conversion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06" w:lineRule="exact"/>
        <w:rPr>
          <w:rFonts w:ascii="Arial" w:cs="Arial" w:eastAsia="Arial" w:hAnsi="Arial"/>
          <w:sz w:val="18"/>
          <w:szCs w:val="18"/>
          <w:color w:val="auto"/>
        </w:rPr>
      </w:pPr>
    </w:p>
    <w:p>
      <w:pPr>
        <w:jc w:val="both"/>
        <w:ind w:left="1300" w:firstLine="652"/>
        <w:spacing w:after="0" w:line="297" w:lineRule="auto"/>
        <w:tabs>
          <w:tab w:leader="none" w:pos="2900" w:val="left"/>
        </w:tabs>
        <w:numPr>
          <w:ilvl w:val="2"/>
          <w:numId w:val="6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color w:val="auto"/>
        </w:rPr>
        <w:t>clause (3)</w:t>
      </w:r>
      <w:r>
        <w:rPr>
          <w:rFonts w:ascii="Arial" w:cs="Arial" w:eastAsia="Arial" w:hAnsi="Arial"/>
          <w:sz w:val="17"/>
          <w:szCs w:val="17"/>
          <w:color w:val="auto"/>
        </w:rPr>
        <w:t xml:space="preserve"> below, all conversions of Notes with a Conversion Date that occurs on or after September 15, 2026 will be settled using the same Settlement Method, and the Company will send written notice of such Settlement Method to Holders, the Trustee and the Conversion Agent no later than the Open of Business on September 15, 2026;</w:t>
      </w:r>
    </w:p>
    <w:p>
      <w:pPr>
        <w:spacing w:after="0" w:line="192" w:lineRule="exact"/>
        <w:rPr>
          <w:rFonts w:ascii="Arial" w:cs="Arial" w:eastAsia="Arial" w:hAnsi="Arial"/>
          <w:sz w:val="17"/>
          <w:szCs w:val="17"/>
          <w:color w:val="auto"/>
        </w:rPr>
      </w:pPr>
    </w:p>
    <w:p>
      <w:pPr>
        <w:jc w:val="both"/>
        <w:ind w:left="1300" w:firstLine="652"/>
        <w:spacing w:after="0" w:line="266" w:lineRule="auto"/>
        <w:tabs>
          <w:tab w:leader="none" w:pos="29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w:t>
      </w:r>
      <w:r>
        <w:rPr>
          <w:rFonts w:ascii="Arial" w:cs="Arial" w:eastAsia="Arial" w:hAnsi="Arial"/>
          <w:sz w:val="18"/>
          <w:szCs w:val="18"/>
          <w:color w:val="auto"/>
        </w:rPr>
        <w:t xml:space="preserve"> below, if the Company elects a Settlement Method with respect to the conversion of any Note whose Conversion Date occurs before September 15, 2026, then the Company will send notice of such Settlement Method to the Holder of such Note, the Trustee and the Conversion Agent (if other than the Trustee) no later than the Close of Business on the Business Day immediately after such Conversion Date;</w:t>
      </w:r>
    </w:p>
    <w:p>
      <w:pPr>
        <w:spacing w:after="0" w:line="179" w:lineRule="exact"/>
        <w:rPr>
          <w:rFonts w:ascii="Arial" w:cs="Arial" w:eastAsia="Arial" w:hAnsi="Arial"/>
          <w:sz w:val="18"/>
          <w:szCs w:val="18"/>
          <w:color w:val="auto"/>
        </w:rPr>
      </w:pPr>
    </w:p>
    <w:p>
      <w:pPr>
        <w:ind w:left="2940" w:hanging="988"/>
        <w:spacing w:after="0"/>
        <w:tabs>
          <w:tab w:leader="none" w:pos="2940" w:val="left"/>
        </w:tabs>
        <w:numPr>
          <w:ilvl w:val="2"/>
          <w:numId w:val="62"/>
        </w:numPr>
        <w:rPr>
          <w:rFonts w:ascii="Arial" w:cs="Arial" w:eastAsia="Arial" w:hAnsi="Arial"/>
          <w:sz w:val="16"/>
          <w:szCs w:val="16"/>
          <w:color w:val="auto"/>
        </w:rPr>
      </w:pPr>
      <w:r>
        <w:rPr>
          <w:rFonts w:ascii="Arial" w:cs="Arial" w:eastAsia="Arial" w:hAnsi="Arial"/>
          <w:sz w:val="16"/>
          <w:szCs w:val="16"/>
          <w:color w:val="auto"/>
        </w:rPr>
        <w:t>if any Notes are called for Redemption, then (a) the Company will specify, in the related Redemption Notice sent</w:t>
      </w:r>
    </w:p>
    <w:p>
      <w:pPr>
        <w:spacing w:after="0" w:line="68" w:lineRule="exact"/>
        <w:rPr>
          <w:rFonts w:ascii="Arial" w:cs="Arial" w:eastAsia="Arial" w:hAnsi="Arial"/>
          <w:sz w:val="16"/>
          <w:szCs w:val="16"/>
          <w:color w:val="auto"/>
        </w:rPr>
      </w:pPr>
    </w:p>
    <w:p>
      <w:pPr>
        <w:jc w:val="both"/>
        <w:ind w:left="1300"/>
        <w:spacing w:after="0" w:line="316" w:lineRule="auto"/>
        <w:rPr>
          <w:rFonts w:ascii="Arial" w:cs="Arial" w:eastAsia="Arial" w:hAnsi="Arial"/>
          <w:sz w:val="16"/>
          <w:szCs w:val="16"/>
          <w:color w:val="auto"/>
        </w:rPr>
      </w:pPr>
      <w:r>
        <w:rPr>
          <w:rFonts w:ascii="Arial" w:cs="Arial" w:eastAsia="Arial" w:hAnsi="Arial"/>
          <w:sz w:val="16"/>
          <w:szCs w:val="16"/>
          <w:color w:val="auto"/>
        </w:rPr>
        <w:t xml:space="preserve">pursuant to </w:t>
      </w:r>
      <w:r>
        <w:rPr>
          <w:rFonts w:ascii="Arial" w:cs="Arial" w:eastAsia="Arial" w:hAnsi="Arial"/>
          <w:sz w:val="16"/>
          <w:szCs w:val="16"/>
          <w:b w:val="1"/>
          <w:bCs w:val="1"/>
          <w:color w:val="auto"/>
        </w:rPr>
        <w:t>Section 4.03(G)</w:t>
      </w:r>
      <w:r>
        <w:rPr>
          <w:rFonts w:ascii="Arial" w:cs="Arial" w:eastAsia="Arial" w:hAnsi="Arial"/>
          <w:sz w:val="16"/>
          <w:szCs w:val="16"/>
          <w:color w:val="auto"/>
        </w:rPr>
        <w:t>, the Settlement Method that will apply to all conversions of Notes with a Conversion Date that occurs during the related Redemption Conversion Period; and (b) if such Redemption Date occurs on or after September 15, 2026, then such Settlement</w:t>
      </w:r>
    </w:p>
    <w:p>
      <w:pPr>
        <w:spacing w:after="0" w:line="1" w:lineRule="exact"/>
        <w:rPr>
          <w:rFonts w:ascii="Arial" w:cs="Arial" w:eastAsia="Arial" w:hAnsi="Arial"/>
          <w:sz w:val="16"/>
          <w:szCs w:val="16"/>
          <w:color w:val="auto"/>
        </w:rPr>
      </w:pPr>
    </w:p>
    <w:p>
      <w:pPr>
        <w:ind w:left="130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Method must be the same Settlement Method that, pursuant to </w:t>
      </w:r>
      <w:r>
        <w:rPr>
          <w:rFonts w:ascii="Arial" w:cs="Arial" w:eastAsia="Arial" w:hAnsi="Arial"/>
          <w:sz w:val="18"/>
          <w:szCs w:val="18"/>
          <w:b w:val="1"/>
          <w:bCs w:val="1"/>
          <w:color w:val="auto"/>
        </w:rPr>
        <w:t>clause (1)</w:t>
      </w:r>
      <w:r>
        <w:rPr>
          <w:rFonts w:ascii="Arial" w:cs="Arial" w:eastAsia="Arial" w:hAnsi="Arial"/>
          <w:sz w:val="18"/>
          <w:szCs w:val="18"/>
          <w:color w:val="auto"/>
        </w:rPr>
        <w:t xml:space="preserve"> above, applies to all conversions of Notes with a Conversion Date that occurs on or after September 15, 2026;</w:t>
      </w:r>
    </w:p>
    <w:p>
      <w:pPr>
        <w:spacing w:after="0" w:line="153" w:lineRule="exact"/>
        <w:rPr>
          <w:rFonts w:ascii="Arial" w:cs="Arial" w:eastAsia="Arial" w:hAnsi="Arial"/>
          <w:sz w:val="16"/>
          <w:szCs w:val="16"/>
          <w:color w:val="auto"/>
        </w:rPr>
      </w:pPr>
    </w:p>
    <w:p>
      <w:pPr>
        <w:jc w:val="both"/>
        <w:ind w:left="1300" w:firstLine="652"/>
        <w:spacing w:after="0" w:line="287" w:lineRule="auto"/>
        <w:tabs>
          <w:tab w:leader="none" w:pos="3008"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Arial" w:cs="Arial" w:eastAsia="Arial" w:hAnsi="Arial"/>
          <w:sz w:val="18"/>
          <w:szCs w:val="18"/>
          <w:b w:val="1"/>
          <w:bCs w:val="1"/>
          <w:color w:val="auto"/>
        </w:rPr>
        <w:t>clause (1)</w:t>
      </w:r>
      <w:r>
        <w:rPr>
          <w:rFonts w:ascii="Arial" w:cs="Arial" w:eastAsia="Arial" w:hAnsi="Arial"/>
          <w:sz w:val="18"/>
          <w:szCs w:val="18"/>
          <w:color w:val="auto"/>
        </w:rPr>
        <w:t xml:space="preserve"> or </w:t>
      </w:r>
      <w:r>
        <w:rPr>
          <w:rFonts w:ascii="Arial" w:cs="Arial" w:eastAsia="Arial" w:hAnsi="Arial"/>
          <w:sz w:val="18"/>
          <w:szCs w:val="18"/>
          <w:b w:val="1"/>
          <w:bCs w:val="1"/>
          <w:color w:val="auto"/>
        </w:rPr>
        <w:t>(3)</w:t>
      </w:r>
      <w:r>
        <w:rPr>
          <w:rFonts w:ascii="Arial" w:cs="Arial" w:eastAsia="Arial" w:hAnsi="Arial"/>
          <w:sz w:val="18"/>
          <w:szCs w:val="18"/>
          <w:color w:val="auto"/>
        </w:rPr>
        <w:t xml:space="preserve"> above);</w:t>
      </w:r>
    </w:p>
    <w:p>
      <w:pPr>
        <w:spacing w:after="0" w:line="175" w:lineRule="exact"/>
        <w:rPr>
          <w:rFonts w:ascii="Arial" w:cs="Arial" w:eastAsia="Arial" w:hAnsi="Arial"/>
          <w:sz w:val="18"/>
          <w:szCs w:val="18"/>
          <w:color w:val="auto"/>
        </w:rPr>
      </w:pPr>
    </w:p>
    <w:p>
      <w:pPr>
        <w:jc w:val="both"/>
        <w:ind w:left="1300" w:firstLine="652"/>
        <w:spacing w:after="0" w:line="263" w:lineRule="auto"/>
        <w:tabs>
          <w:tab w:leader="none" w:pos="3102"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913"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40" w:hanging="111"/>
        <w:spacing w:after="0"/>
        <w:tabs>
          <w:tab w:leader="none" w:pos="5540" w:val="left"/>
        </w:tabs>
        <w:numPr>
          <w:ilvl w:val="3"/>
          <w:numId w:val="62"/>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2184" w:hanging="888"/>
        <w:spacing w:after="0"/>
        <w:tabs>
          <w:tab w:leader="none" w:pos="2184"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the Settlement Method will be subject to </w:t>
      </w:r>
      <w:r>
        <w:rPr>
          <w:rFonts w:ascii="Arial" w:cs="Arial" w:eastAsia="Arial" w:hAnsi="Arial"/>
          <w:sz w:val="17"/>
          <w:szCs w:val="17"/>
          <w:b w:val="1"/>
          <w:bCs w:val="1"/>
          <w:color w:val="auto"/>
        </w:rPr>
        <w:t>Sections 4.03(E)</w:t>
      </w:r>
      <w:r>
        <w:rPr>
          <w:rFonts w:ascii="Arial" w:cs="Arial" w:eastAsia="Arial" w:hAnsi="Arial"/>
          <w:sz w:val="17"/>
          <w:szCs w:val="17"/>
          <w:color w:val="auto"/>
        </w:rPr>
        <w:t xml:space="preserve">, </w:t>
      </w:r>
      <w:r>
        <w:rPr>
          <w:rFonts w:ascii="Arial" w:cs="Arial" w:eastAsia="Arial" w:hAnsi="Arial"/>
          <w:sz w:val="17"/>
          <w:szCs w:val="17"/>
          <w:b w:val="1"/>
          <w:bCs w:val="1"/>
          <w:color w:val="auto"/>
        </w:rPr>
        <w:t>5.09(A)(2)</w:t>
      </w:r>
      <w:r>
        <w:rPr>
          <w:rFonts w:ascii="Arial" w:cs="Arial" w:eastAsia="Arial" w:hAnsi="Arial"/>
          <w:sz w:val="17"/>
          <w:szCs w:val="17"/>
          <w:color w:val="auto"/>
        </w:rPr>
        <w:t xml:space="preserve"> , </w:t>
      </w:r>
      <w:r>
        <w:rPr>
          <w:rFonts w:ascii="Arial" w:cs="Arial" w:eastAsia="Arial" w:hAnsi="Arial"/>
          <w:sz w:val="17"/>
          <w:szCs w:val="17"/>
          <w:b w:val="1"/>
          <w:bCs w:val="1"/>
          <w:color w:val="auto"/>
        </w:rPr>
        <w:t>5.01(C)(i)(3)(a)</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5.07(D)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jc w:val="both"/>
        <w:ind w:left="4" w:firstLine="644"/>
        <w:spacing w:after="0" w:line="285" w:lineRule="auto"/>
        <w:tabs>
          <w:tab w:leader="none" w:pos="1569"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The Company’s Right to Irrevocably Fix the Settlement Method</w:t>
      </w:r>
      <w:r>
        <w:rPr>
          <w:rFonts w:ascii="Arial" w:cs="Arial" w:eastAsia="Arial" w:hAnsi="Arial"/>
          <w:sz w:val="16"/>
          <w:szCs w:val="16"/>
          <w:color w:val="auto"/>
        </w:rPr>
        <w:t>. The Company will have the right, exercisable at its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(x) sending notice of such exercise to the Holders (with a copy to the Trustee and the Conversion Agent) and (y) disclosing such exercise on the Company’s website or in a Current Report on Form 8-K (or any successor form) filed with, or furnished to, the SEC, to irrevocably (1)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Settlement Method so elected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above, or the Settlement Method(s) remaining after any elimination pursuant to </w:t>
      </w:r>
      <w:r>
        <w:rPr>
          <w:rFonts w:ascii="Arial" w:cs="Arial" w:eastAsia="Arial" w:hAnsi="Arial"/>
          <w:sz w:val="16"/>
          <w:szCs w:val="16"/>
          <w:b w:val="1"/>
          <w:bCs w:val="1"/>
          <w:color w:val="auto"/>
        </w:rPr>
        <w:t>clause (2)</w:t>
      </w:r>
      <w:r>
        <w:rPr>
          <w:rFonts w:ascii="Arial" w:cs="Arial" w:eastAsia="Arial" w:hAnsi="Arial"/>
          <w:sz w:val="16"/>
          <w:szCs w:val="16"/>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Such notice, if sent, must set forth the Settlement Method so elected, or the Settlement Method(s) so eliminated, as applicable, and expressly state that the election is irrevocable and applicable to all conversions of Notes with a Conversion Date that occurs on or after the date such notice is sent to Holders. Upon any such irrevocable election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above, the Default Settlement Method will automatically be deemed to be set to the Settlement Method so elected; and upon any such irrevocable election pursuant to </w:t>
      </w:r>
      <w:r>
        <w:rPr>
          <w:rFonts w:ascii="Arial" w:cs="Arial" w:eastAsia="Arial" w:hAnsi="Arial"/>
          <w:sz w:val="16"/>
          <w:szCs w:val="16"/>
          <w:b w:val="1"/>
          <w:bCs w:val="1"/>
          <w:color w:val="auto"/>
        </w:rPr>
        <w:t>clause (2)</w:t>
      </w:r>
      <w:r>
        <w:rPr>
          <w:rFonts w:ascii="Arial" w:cs="Arial" w:eastAsia="Arial" w:hAnsi="Arial"/>
          <w:sz w:val="16"/>
          <w:szCs w:val="16"/>
          <w:color w:val="auto"/>
        </w:rPr>
        <w:t xml:space="preserve"> above, the Company will, if needed, simultaneously change the Default Settlement Method to a Settlement Method that is consistent with such irrevocable election. Notwithstanding anything to the contrary in the preceding sentences of this paragraph, no such change in the Default Settlement Method or irrevocable election will affect any Settlement Method theretofore elected (or deemed to be elected) with respect to any Note pursuant to this Indenture (including pursuant to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For the avoidance of doubt, such an irrevocable election, if made, will be effective without the need to amend this Indenture or the Notes, including pursuant to </w:t>
      </w:r>
      <w:r>
        <w:rPr>
          <w:rFonts w:ascii="Arial" w:cs="Arial" w:eastAsia="Arial" w:hAnsi="Arial"/>
          <w:sz w:val="16"/>
          <w:szCs w:val="16"/>
          <w:b w:val="1"/>
          <w:bCs w:val="1"/>
          <w:color w:val="auto"/>
        </w:rPr>
        <w:t>Section 8.01(G)</w:t>
      </w:r>
      <w:r>
        <w:rPr>
          <w:rFonts w:ascii="Arial" w:cs="Arial" w:eastAsia="Arial" w:hAnsi="Arial"/>
          <w:sz w:val="16"/>
          <w:szCs w:val="16"/>
          <w:color w:val="auto"/>
        </w:rPr>
        <w:t xml:space="preserve"> (it being understood, however, that the Company may nonetheless choose to execute such an amendment at its option).</w:t>
      </w:r>
    </w:p>
    <w:p>
      <w:pPr>
        <w:spacing w:after="0" w:line="168" w:lineRule="exact"/>
        <w:rPr>
          <w:rFonts w:ascii="Arial" w:cs="Arial" w:eastAsia="Arial" w:hAnsi="Arial"/>
          <w:sz w:val="16"/>
          <w:szCs w:val="16"/>
          <w:color w:val="auto"/>
        </w:rPr>
      </w:pPr>
    </w:p>
    <w:p>
      <w:pPr>
        <w:ind w:left="864" w:hanging="864"/>
        <w:spacing w:after="0"/>
        <w:tabs>
          <w:tab w:leader="none" w:pos="86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Conversion Consideration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 w:right="20" w:firstLine="644"/>
        <w:spacing w:after="0" w:line="312" w:lineRule="auto"/>
        <w:tabs>
          <w:tab w:leader="none" w:pos="2045"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Sections 5.03(B)(ii)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5.03(B)(iii)</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5.09(A)(2)</w:t>
      </w:r>
      <w:r>
        <w:rPr>
          <w:rFonts w:ascii="Arial" w:cs="Arial" w:eastAsia="Arial" w:hAnsi="Arial"/>
          <w:sz w:val="17"/>
          <w:szCs w:val="17"/>
          <w:color w:val="auto"/>
        </w:rPr>
        <w:t>, the type and amount of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Conversion Consideration</w:t>
      </w:r>
      <w:r>
        <w:rPr>
          <w:rFonts w:ascii="Arial" w:cs="Arial" w:eastAsia="Arial" w:hAnsi="Arial"/>
          <w:sz w:val="17"/>
          <w:szCs w:val="17"/>
          <w:color w:val="auto"/>
        </w:rPr>
        <w:t>”) due in respect of each $1,000 principal amount of a Note to be converted will be as follows:</w:t>
      </w:r>
    </w:p>
    <w:p>
      <w:pPr>
        <w:spacing w:after="0" w:line="143" w:lineRule="exact"/>
        <w:rPr>
          <w:rFonts w:ascii="Arial" w:cs="Arial" w:eastAsia="Arial" w:hAnsi="Arial"/>
          <w:sz w:val="17"/>
          <w:szCs w:val="17"/>
          <w:color w:val="auto"/>
        </w:rPr>
      </w:pPr>
    </w:p>
    <w:p>
      <w:pPr>
        <w:ind w:left="644" w:firstLine="652"/>
        <w:spacing w:after="0" w:line="277" w:lineRule="auto"/>
        <w:tabs>
          <w:tab w:leader="none" w:pos="2311" w:val="left"/>
        </w:tabs>
        <w:numPr>
          <w:ilvl w:val="2"/>
          <w:numId w:val="65"/>
        </w:numPr>
        <w:rPr>
          <w:rFonts w:ascii="Arial" w:cs="Arial" w:eastAsia="Arial" w:hAnsi="Arial"/>
          <w:sz w:val="18"/>
          <w:szCs w:val="18"/>
          <w:color w:val="auto"/>
        </w:rPr>
      </w:pPr>
      <w:r>
        <w:rPr>
          <w:rFonts w:ascii="Arial" w:cs="Arial" w:eastAsia="Arial" w:hAnsi="Arial"/>
          <w:sz w:val="18"/>
          <w:szCs w:val="18"/>
          <w:color w:val="auto"/>
        </w:rPr>
        <w:t>if Physical Settlement applies to such conversion, a number of shares of Common Stock equal to the Conversion Rate in effect on the Conversion Date for such conversion;</w:t>
      </w:r>
    </w:p>
    <w:p>
      <w:pPr>
        <w:spacing w:after="0" w:line="386" w:lineRule="exact"/>
        <w:rPr>
          <w:rFonts w:ascii="Arial" w:cs="Arial" w:eastAsia="Arial" w:hAnsi="Arial"/>
          <w:sz w:val="18"/>
          <w:szCs w:val="18"/>
          <w:color w:val="auto"/>
        </w:rPr>
      </w:pPr>
    </w:p>
    <w:p>
      <w:pPr>
        <w:ind w:left="4884" w:hanging="111"/>
        <w:spacing w:after="0"/>
        <w:tabs>
          <w:tab w:leader="none" w:pos="4884" w:val="left"/>
        </w:tabs>
        <w:numPr>
          <w:ilvl w:val="3"/>
          <w:numId w:val="65"/>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45" w:right="339" w:bottom="1440" w:gutter="0" w:footer="0" w:header="0"/>
        </w:sectPr>
      </w:pPr>
    </w:p>
    <w:bookmarkStart w:id="54" w:name="page55"/>
    <w:bookmarkEnd w:id="54"/>
    <w:p>
      <w:pPr>
        <w:ind w:left="644" w:firstLine="652"/>
        <w:spacing w:after="0" w:line="277" w:lineRule="auto"/>
        <w:tabs>
          <w:tab w:leader="none" w:pos="2257" w:val="left"/>
        </w:tabs>
        <w:numPr>
          <w:ilvl w:val="2"/>
          <w:numId w:val="66"/>
        </w:numPr>
        <w:rPr>
          <w:rFonts w:ascii="Arial" w:cs="Arial" w:eastAsia="Arial" w:hAnsi="Arial"/>
          <w:sz w:val="18"/>
          <w:szCs w:val="18"/>
          <w:color w:val="auto"/>
        </w:rPr>
      </w:pPr>
      <w:r>
        <w:rPr>
          <w:rFonts w:ascii="Arial" w:cs="Arial" w:eastAsia="Arial" w:hAnsi="Arial"/>
          <w:sz w:val="18"/>
          <w:szCs w:val="18"/>
          <w:color w:val="auto"/>
        </w:rPr>
        <w:t>if Cash Settlement applies to such conversion, cash in an amount equal to the sum of the Daily Conversion Values for each VWAP Trading Day in the Observation Period for such conversion; or</w:t>
      </w:r>
    </w:p>
    <w:p>
      <w:pPr>
        <w:spacing w:after="0" w:line="170" w:lineRule="exact"/>
        <w:rPr>
          <w:rFonts w:ascii="Arial" w:cs="Arial" w:eastAsia="Arial" w:hAnsi="Arial"/>
          <w:sz w:val="18"/>
          <w:szCs w:val="18"/>
          <w:color w:val="auto"/>
        </w:rPr>
      </w:pPr>
    </w:p>
    <w:p>
      <w:pPr>
        <w:jc w:val="both"/>
        <w:ind w:left="644" w:firstLine="652"/>
        <w:spacing w:after="0" w:line="259" w:lineRule="auto"/>
        <w:tabs>
          <w:tab w:leader="none" w:pos="25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86" w:lineRule="exact"/>
        <w:rPr>
          <w:rFonts w:ascii="Arial" w:cs="Arial" w:eastAsia="Arial" w:hAnsi="Arial"/>
          <w:sz w:val="18"/>
          <w:szCs w:val="18"/>
          <w:color w:val="auto"/>
        </w:rPr>
      </w:pPr>
    </w:p>
    <w:p>
      <w:pPr>
        <w:jc w:val="both"/>
        <w:ind w:left="4" w:firstLine="644"/>
        <w:spacing w:after="0" w:line="254" w:lineRule="auto"/>
        <w:tabs>
          <w:tab w:leader="none" w:pos="159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Cash in Lieu of Fractional Shares</w:t>
      </w:r>
      <w:r>
        <w:rPr>
          <w:rFonts w:ascii="Arial" w:cs="Arial" w:eastAsia="Arial" w:hAnsi="Arial"/>
          <w:sz w:val="18"/>
          <w:szCs w:val="18"/>
          <w:color w:val="auto"/>
        </w:rPr>
        <w:t>. If Physical Settlement or Combination Settlement applies to the conversion of any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number of shares of Common Stock deliverable pursuant to </w:t>
      </w:r>
      <w:r>
        <w:rPr>
          <w:rFonts w:ascii="Arial" w:cs="Arial" w:eastAsia="Arial" w:hAnsi="Arial"/>
          <w:sz w:val="18"/>
          <w:szCs w:val="18"/>
          <w:b w:val="1"/>
          <w:bCs w:val="1"/>
          <w:color w:val="auto"/>
        </w:rPr>
        <w:t>Section 5.03(B)(i)</w:t>
      </w:r>
      <w:r>
        <w:rPr>
          <w:rFonts w:ascii="Arial" w:cs="Arial" w:eastAsia="Arial" w:hAnsi="Arial"/>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applicable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94" w:lineRule="exact"/>
        <w:rPr>
          <w:rFonts w:ascii="Arial" w:cs="Arial" w:eastAsia="Arial" w:hAnsi="Arial"/>
          <w:sz w:val="18"/>
          <w:szCs w:val="18"/>
          <w:color w:val="auto"/>
        </w:rPr>
      </w:pPr>
    </w:p>
    <w:p>
      <w:pPr>
        <w:jc w:val="both"/>
        <w:ind w:left="4" w:firstLine="644"/>
        <w:spacing w:after="0" w:line="259" w:lineRule="auto"/>
        <w:tabs>
          <w:tab w:leader="none" w:pos="152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Conversion of Multiple Notes by a Single Holder</w:t>
      </w:r>
      <w:r>
        <w:rPr>
          <w:rFonts w:ascii="Arial" w:cs="Arial" w:eastAsia="Arial" w:hAnsi="Arial"/>
          <w:sz w:val="18"/>
          <w:szCs w:val="18"/>
          <w:color w:val="auto"/>
        </w:rPr>
        <w:t>. If a Holder converts more than one (1) Note on a single Conversion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86" w:lineRule="exact"/>
        <w:rPr>
          <w:rFonts w:ascii="Arial" w:cs="Arial" w:eastAsia="Arial" w:hAnsi="Arial"/>
          <w:sz w:val="18"/>
          <w:szCs w:val="18"/>
          <w:color w:val="auto"/>
        </w:rPr>
      </w:pPr>
    </w:p>
    <w:p>
      <w:pPr>
        <w:jc w:val="both"/>
        <w:ind w:left="4" w:firstLine="644"/>
        <w:spacing w:after="0" w:line="257" w:lineRule="auto"/>
        <w:tabs>
          <w:tab w:leader="none" w:pos="1564"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Notice of Calculation of Conversion Consideration</w:t>
      </w:r>
      <w:r>
        <w:rPr>
          <w:rFonts w:ascii="Arial" w:cs="Arial" w:eastAsia="Arial" w:hAnsi="Arial"/>
          <w:sz w:val="18"/>
          <w:szCs w:val="18"/>
          <w:color w:val="auto"/>
        </w:rPr>
        <w:t>. If Cash Settlement or Combination Settlement applies to the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the Conversion Agent nor the Paying Agent will have any duty to make any such determination.</w:t>
      </w:r>
    </w:p>
    <w:p>
      <w:pPr>
        <w:spacing w:after="0" w:line="183" w:lineRule="exact"/>
        <w:rPr>
          <w:rFonts w:ascii="Arial" w:cs="Arial" w:eastAsia="Arial" w:hAnsi="Arial"/>
          <w:sz w:val="18"/>
          <w:szCs w:val="18"/>
          <w:color w:val="auto"/>
        </w:rPr>
      </w:pPr>
    </w:p>
    <w:p>
      <w:pPr>
        <w:jc w:val="both"/>
        <w:ind w:left="-656" w:firstLine="656"/>
        <w:spacing w:after="0" w:line="291" w:lineRule="auto"/>
        <w:tabs>
          <w:tab w:leader="none" w:pos="861"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Delivery of the Conversion Consideration</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Sections 5.05(D)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5.07(D)</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5.09</w:t>
      </w:r>
      <w:r>
        <w:rPr>
          <w:rFonts w:ascii="Arial" w:cs="Arial" w:eastAsia="Arial" w:hAnsi="Arial"/>
          <w:sz w:val="16"/>
          <w:szCs w:val="16"/>
          <w:color w:val="auto"/>
        </w:rPr>
        <w:t>, the Company will pay or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Physical Settlement applies to the conversion of any Note with a Conversion Date that is after the Regular Record Date immediately before the Maturity Date, then, solely for purposes of such conversion, (x) the Company will pay or deliver, as applicable, the Conversion Consideration due upon such conversion no later than the Maturity Date (or, if the Maturity Date is not a Business Day, the next Business Day); and (y) the Conversion Date will instead be deemed to be the second (2nd) Business Day immediately before the Maturity Date.</w:t>
      </w:r>
    </w:p>
    <w:p>
      <w:pPr>
        <w:spacing w:after="0" w:line="379" w:lineRule="exact"/>
        <w:rPr>
          <w:rFonts w:ascii="Arial" w:cs="Arial" w:eastAsia="Arial" w:hAnsi="Arial"/>
          <w:sz w:val="16"/>
          <w:szCs w:val="16"/>
          <w:color w:val="auto"/>
        </w:rPr>
      </w:pPr>
    </w:p>
    <w:p>
      <w:pPr>
        <w:ind w:left="4884" w:hanging="111"/>
        <w:spacing w:after="0"/>
        <w:tabs>
          <w:tab w:leader="none" w:pos="4884" w:val="left"/>
        </w:tabs>
        <w:numPr>
          <w:ilvl w:val="3"/>
          <w:numId w:val="68"/>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5" w:name="page56"/>
    <w:bookmarkEnd w:id="55"/>
    <w:p>
      <w:pPr>
        <w:jc w:val="both"/>
        <w:ind w:firstLine="656"/>
        <w:spacing w:after="0" w:line="272" w:lineRule="auto"/>
        <w:tabs>
          <w:tab w:leader="none" w:pos="1563"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Deemed Payment of Principal and Interest; Settlement of Accrued Interest Notwithstanding Conversion</w:t>
      </w:r>
      <w:r>
        <w:rPr>
          <w:rFonts w:ascii="Arial" w:cs="Arial" w:eastAsia="Arial" w:hAnsi="Arial"/>
          <w:sz w:val="17"/>
          <w:szCs w:val="17"/>
          <w:color w:val="auto"/>
        </w:rPr>
        <w:t>. If a Holder converts a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then the Company will not adjust the Conversion Rate to account for any accrued and unpaid interest on such Note, and, except as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5.02(D)</w:t>
      </w:r>
      <w:r>
        <w:rPr>
          <w:rFonts w:ascii="Arial" w:cs="Arial" w:eastAsia="Arial" w:hAnsi="Arial"/>
          <w:sz w:val="17"/>
          <w:szCs w:val="17"/>
          <w:color w:val="auto"/>
        </w:rPr>
        <w:t>, the Company’s delivery of the Conversion Consideration due in respect of such conversion will be deemed to fully satisfy and discharge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obligation to pay the principal of, and accrued and unpaid interest, if any, on, such Note to, but excluding the Conversion Date. As a result, except as provided in </w:t>
      </w:r>
      <w:r>
        <w:rPr>
          <w:rFonts w:ascii="Arial" w:cs="Arial" w:eastAsia="Arial" w:hAnsi="Arial"/>
          <w:sz w:val="17"/>
          <w:szCs w:val="17"/>
          <w:b w:val="1"/>
          <w:bCs w:val="1"/>
          <w:color w:val="auto"/>
        </w:rPr>
        <w:t>Section 5.02(D)</w:t>
      </w:r>
      <w:r>
        <w:rPr>
          <w:rFonts w:ascii="Arial" w:cs="Arial" w:eastAsia="Arial" w:hAnsi="Arial"/>
          <w:sz w:val="17"/>
          <w:szCs w:val="17"/>
          <w:color w:val="auto"/>
        </w:rPr>
        <w:t xml:space="preserve">, any accrued and unpaid interest on a converted Note will be deemed to be paid in full rather than cancelled, extinguished or forfeited. In addition, subject to </w:t>
      </w:r>
      <w:r>
        <w:rPr>
          <w:rFonts w:ascii="Arial" w:cs="Arial" w:eastAsia="Arial" w:hAnsi="Arial"/>
          <w:sz w:val="17"/>
          <w:szCs w:val="17"/>
          <w:b w:val="1"/>
          <w:bCs w:val="1"/>
          <w:color w:val="auto"/>
        </w:rPr>
        <w:t>Section 5.02(D)</w:t>
      </w:r>
      <w:r>
        <w:rPr>
          <w:rFonts w:ascii="Arial" w:cs="Arial" w:eastAsia="Arial" w:hAnsi="Arial"/>
          <w:sz w:val="17"/>
          <w:szCs w:val="17"/>
          <w:color w:val="auto"/>
        </w:rPr>
        <w:t>, if the Conversion Consideration for a Note consists of both cash and shares of Common Stock, then accrued and unpaid interest that is deemed to be paid therewith will be deemed to be paid first out of such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5.04. R</w:t>
      </w:r>
      <w:r>
        <w:rPr>
          <w:rFonts w:ascii="Arial" w:cs="Arial" w:eastAsia="Arial" w:hAnsi="Arial"/>
          <w:sz w:val="12"/>
          <w:szCs w:val="12"/>
          <w:b w:val="1"/>
          <w:bCs w:val="1"/>
          <w:color w:val="auto"/>
        </w:rPr>
        <w:t>ESERVE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TATUS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SSUED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68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Stock Reserve</w:t>
      </w:r>
      <w:r>
        <w:rPr>
          <w:rFonts w:ascii="Arial" w:cs="Arial" w:eastAsia="Arial" w:hAnsi="Arial"/>
          <w:sz w:val="18"/>
          <w:szCs w:val="18"/>
          <w:color w:val="auto"/>
        </w:rPr>
        <w:t>. At all times when any Notes are outstanding, the Company will reserve, out of its authorized, unreserved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54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Status of Conversion Shares; Listing</w:t>
      </w:r>
      <w:r>
        <w:rPr>
          <w:rFonts w:ascii="Arial" w:cs="Arial" w:eastAsia="Arial" w:hAnsi="Arial"/>
          <w:sz w:val="18"/>
          <w:szCs w:val="18"/>
          <w:color w:val="auto"/>
        </w:rPr>
        <w:t>. Each Conversion Share, if any, delivered upon conversion of any Note will be a newly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treasury share (except that any Conversion Share delivered by a designated financial institution pursuant to </w:t>
      </w:r>
      <w:r>
        <w:rPr>
          <w:rFonts w:ascii="Arial" w:cs="Arial" w:eastAsia="Arial" w:hAnsi="Arial"/>
          <w:sz w:val="18"/>
          <w:szCs w:val="18"/>
          <w:b w:val="1"/>
          <w:bCs w:val="1"/>
          <w:color w:val="auto"/>
        </w:rPr>
        <w:t>Section 5.08</w:t>
      </w:r>
      <w:r>
        <w:rPr>
          <w:rFonts w:ascii="Arial" w:cs="Arial" w:eastAsia="Arial" w:hAnsi="Arial"/>
          <w:sz w:val="18"/>
          <w:szCs w:val="18"/>
          <w:color w:val="auto"/>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Section 5.05. A</w:t>
      </w:r>
      <w:r>
        <w:rPr>
          <w:rFonts w:ascii="Arial" w:cs="Arial" w:eastAsia="Arial" w:hAnsi="Arial"/>
          <w:sz w:val="12"/>
          <w:szCs w:val="12"/>
          <w:b w:val="1"/>
          <w:bCs w:val="1"/>
          <w:color w:val="auto"/>
        </w:rPr>
        <w:t>DJUSTMENTS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Events Requiring an Adjustment to the Conversion Rate</w:t>
      </w:r>
      <w:r>
        <w:rPr>
          <w:rFonts w:ascii="Arial" w:cs="Arial" w:eastAsia="Arial" w:hAnsi="Arial"/>
          <w:sz w:val="17"/>
          <w:szCs w:val="17"/>
          <w:color w:val="auto"/>
        </w:rPr>
        <w:t>. The Conversion Rate will be adjusted from time to time as follows:</w:t>
      </w:r>
    </w:p>
    <w:p>
      <w:pPr>
        <w:spacing w:after="0" w:line="236" w:lineRule="exact"/>
        <w:rPr>
          <w:rFonts w:ascii="Arial" w:cs="Arial" w:eastAsia="Arial" w:hAnsi="Arial"/>
          <w:sz w:val="17"/>
          <w:szCs w:val="17"/>
          <w:color w:val="auto"/>
        </w:rPr>
      </w:pPr>
    </w:p>
    <w:p>
      <w:pPr>
        <w:jc w:val="both"/>
        <w:ind w:left="660" w:firstLine="644"/>
        <w:spacing w:after="0" w:line="259" w:lineRule="auto"/>
        <w:tabs>
          <w:tab w:leader="none" w:pos="262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Stock Dividends, Splits and Combinations</w:t>
      </w:r>
      <w:r>
        <w:rPr>
          <w:rFonts w:ascii="Arial" w:cs="Arial" w:eastAsia="Arial" w:hAnsi="Arial"/>
          <w:sz w:val="18"/>
          <w:szCs w:val="18"/>
          <w:color w:val="auto"/>
        </w:rPr>
        <w:t>. If the Company issues solely shares of Common Stock as a dividend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on all or substantially all shares of the Common Stock, or if the Company effects a stock split or a stock combination of the Common Stock (in each case excluding an issuance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127635</wp:posOffset>
            </wp:positionV>
            <wp:extent cx="112268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26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9940" w:type="dxa"/>
            <w:vAlign w:val="bottom"/>
          </w:tcPr>
          <w:p>
            <w:pPr>
              <w:spacing w:after="0"/>
              <w:rPr>
                <w:sz w:val="20"/>
                <w:szCs w:val="20"/>
                <w:color w:val="auto"/>
              </w:rPr>
            </w:pPr>
          </w:p>
        </w:tc>
      </w:tr>
      <w:tr>
        <w:trPr>
          <w:trHeight w:val="418"/>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Conversion Rate in effect immediately before the Open of Business on the Ex-Dividend Date for such dividend or distribution, or</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immediately before the Open of Business on the effective date of such stock split or stock combination, as applicable;</w:t>
            </w:r>
          </w:p>
        </w:tc>
      </w:tr>
      <w:tr>
        <w:trPr>
          <w:trHeight w:val="462"/>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6"/>
              </w:rPr>
              <w:t>the Conversion Rate in effect immediately after the Open of Business on such Ex-Dividend Date or effective date, as applicable;</w:t>
            </w:r>
          </w:p>
        </w:tc>
      </w:tr>
      <w:tr>
        <w:trPr>
          <w:trHeight w:val="402"/>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the number of shares of Common Stock outstanding immediately before the Open of Business on such Ex-Dividend Date or effective</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date, as applicable, without giving effect to such dividend, distribution, stock split or stock combination; and</w:t>
            </w:r>
          </w:p>
        </w:tc>
      </w:tr>
      <w:tr>
        <w:trPr>
          <w:trHeight w:val="418"/>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number of shares of Common Stock outstanding immediately after giving effect to such dividend, distribution, stock split or stock</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combination.</w:t>
            </w:r>
          </w:p>
        </w:tc>
      </w:tr>
    </w:tbl>
    <w:p>
      <w:pPr>
        <w:spacing w:after="0" w:line="19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 xml:space="preserve">If any dividend or distribution of the type described in this </w:t>
      </w:r>
      <w:r>
        <w:rPr>
          <w:rFonts w:ascii="Arial" w:cs="Arial" w:eastAsia="Arial" w:hAnsi="Arial"/>
          <w:sz w:val="18"/>
          <w:szCs w:val="18"/>
          <w:b w:val="1"/>
          <w:bCs w:val="1"/>
          <w:color w:val="auto"/>
        </w:rPr>
        <w:t>Section 5.05(A)(i)</w:t>
      </w:r>
      <w:r>
        <w:rPr>
          <w:rFonts w:ascii="Arial" w:cs="Arial" w:eastAsia="Arial" w:hAnsi="Arial"/>
          <w:sz w:val="18"/>
          <w:szCs w:val="18"/>
          <w:color w:val="auto"/>
        </w:rPr>
        <w:t xml:space="preserve"> is declared, but not so paid, then the Conversion Rate will be readjusted, effective as of the date the Board of Directors determines not to pay such dividend or distribution, to the Conversion Rate that would then be in effect had such dividend or distribution not been declared.</w:t>
      </w:r>
    </w:p>
    <w:p>
      <w:pPr>
        <w:spacing w:after="0" w:line="180" w:lineRule="exact"/>
        <w:rPr>
          <w:sz w:val="20"/>
          <w:szCs w:val="20"/>
          <w:color w:val="auto"/>
        </w:rPr>
      </w:pPr>
    </w:p>
    <w:p>
      <w:pPr>
        <w:jc w:val="both"/>
        <w:ind w:left="660" w:firstLine="644"/>
        <w:spacing w:after="0" w:line="273" w:lineRule="auto"/>
        <w:tabs>
          <w:tab w:leader="none" w:pos="2171"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Rights, Options and Warrants</w:t>
      </w:r>
      <w:r>
        <w:rPr>
          <w:rFonts w:ascii="Arial" w:cs="Arial" w:eastAsia="Arial" w:hAnsi="Arial"/>
          <w:sz w:val="17"/>
          <w:szCs w:val="17"/>
          <w:color w:val="auto"/>
        </w:rPr>
        <w:t>. If the Company distributes, to all or substantially all holders of Common Stock, rights,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warrants (other than rights issued or otherwise distributed pursuant to a stockholder rights plan, as to which </w:t>
      </w:r>
      <w:r>
        <w:rPr>
          <w:rFonts w:ascii="Arial" w:cs="Arial" w:eastAsia="Arial" w:hAnsi="Arial"/>
          <w:sz w:val="17"/>
          <w:szCs w:val="17"/>
          <w:b w:val="1"/>
          <w:bCs w:val="1"/>
          <w:color w:val="auto"/>
        </w:rPr>
        <w:t>Sections 5.05(A)(iii)(1)</w:t>
      </w:r>
      <w:r>
        <w:rPr>
          <w:rFonts w:ascii="Arial" w:cs="Arial" w:eastAsia="Arial" w:hAnsi="Arial"/>
          <w:sz w:val="17"/>
          <w:szCs w:val="17"/>
          <w:color w:val="auto"/>
        </w:rPr>
        <w:t xml:space="preserve"> and </w:t>
      </w:r>
      <w:r>
        <w:rPr>
          <w:rFonts w:ascii="Arial" w:cs="Arial" w:eastAsia="Arial" w:hAnsi="Arial"/>
          <w:sz w:val="17"/>
          <w:szCs w:val="17"/>
          <w:b w:val="1"/>
          <w:bCs w:val="1"/>
          <w:color w:val="auto"/>
        </w:rPr>
        <w:t>5.05(F)</w:t>
      </w:r>
      <w:r>
        <w:rPr>
          <w:rFonts w:ascii="Arial" w:cs="Arial" w:eastAsia="Arial" w:hAnsi="Arial"/>
          <w:sz w:val="17"/>
          <w:szCs w:val="17"/>
          <w:color w:val="auto"/>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5540" w:hanging="111"/>
        <w:spacing w:after="0"/>
        <w:tabs>
          <w:tab w:leader="none" w:pos="5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-781685</wp:posOffset>
            </wp:positionV>
            <wp:extent cx="1294130" cy="386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94130" cy="3860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8900" w:type="dxa"/>
            <w:vAlign w:val="bottom"/>
          </w:tcPr>
          <w:p>
            <w:pPr>
              <w:spacing w:after="0"/>
              <w:rPr>
                <w:sz w:val="20"/>
                <w:szCs w:val="20"/>
                <w:color w:val="auto"/>
              </w:rPr>
            </w:pPr>
          </w:p>
        </w:tc>
      </w:tr>
      <w:tr>
        <w:trPr>
          <w:trHeight w:val="463"/>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w w:val="93"/>
              </w:rPr>
              <w:t>the Conversion Rate in effect immediately before the Open of Business on the Ex-Dividend Date for such distribution;</w:t>
            </w:r>
          </w:p>
        </w:tc>
      </w:tr>
      <w:tr>
        <w:trPr>
          <w:trHeight w:val="445"/>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w w:val="90"/>
              </w:rPr>
              <w:t>the number of shares of Common Stock outstanding immediately before the Open of Business on such Ex-Dividend Date;</w:t>
            </w:r>
          </w:p>
        </w:tc>
      </w:tr>
    </w:tbl>
    <w:p>
      <w:pPr>
        <w:spacing w:after="0" w:line="202" w:lineRule="exact"/>
        <w:rPr>
          <w:sz w:val="20"/>
          <w:szCs w:val="20"/>
          <w:color w:val="auto"/>
        </w:rPr>
      </w:pPr>
    </w:p>
    <w:p>
      <w:pPr>
        <w:ind w:left="460" w:hanging="451"/>
        <w:spacing w:after="0"/>
        <w:tabs>
          <w:tab w:leader="none" w:pos="460" w:val="left"/>
        </w:tabs>
        <w:numPr>
          <w:ilvl w:val="0"/>
          <w:numId w:val="73"/>
        </w:numPr>
        <w:rPr>
          <w:rFonts w:ascii="Arial" w:cs="Arial" w:eastAsia="Arial" w:hAnsi="Arial"/>
          <w:sz w:val="18"/>
          <w:szCs w:val="18"/>
          <w:i w:val="1"/>
          <w:iCs w:val="1"/>
          <w:color w:val="auto"/>
        </w:rPr>
      </w:pPr>
      <w:r>
        <w:rPr>
          <w:rFonts w:ascii="Arial" w:cs="Arial" w:eastAsia="Arial" w:hAnsi="Arial"/>
          <w:sz w:val="18"/>
          <w:szCs w:val="18"/>
          <w:color w:val="auto"/>
        </w:rPr>
        <w:t>=   the total number of shares of Common Stock issuable pursuant to such rights, options or warrants; and</w:t>
      </w:r>
    </w:p>
    <w:p>
      <w:pPr>
        <w:spacing w:after="0" w:line="225" w:lineRule="exact"/>
        <w:rPr>
          <w:sz w:val="20"/>
          <w:szCs w:val="20"/>
          <w:color w:val="auto"/>
        </w:rPr>
      </w:pPr>
    </w:p>
    <w:p>
      <w:pPr>
        <w:ind w:left="800" w:hanging="791"/>
        <w:spacing w:after="0" w:line="263" w:lineRule="auto"/>
        <w:tabs>
          <w:tab w:leader="none" w:pos="476" w:val="left"/>
        </w:tabs>
        <w:numPr>
          <w:ilvl w:val="0"/>
          <w:numId w:val="74"/>
        </w:numPr>
        <w:rPr>
          <w:rFonts w:ascii="Arial" w:cs="Arial" w:eastAsia="Arial" w:hAnsi="Arial"/>
          <w:sz w:val="18"/>
          <w:szCs w:val="18"/>
          <w:i w:val="1"/>
          <w:iCs w:val="1"/>
          <w:color w:val="auto"/>
        </w:rPr>
      </w:pPr>
      <w:r>
        <w:rPr>
          <w:rFonts w:ascii="Arial" w:cs="Arial" w:eastAsia="Arial" w:hAnsi="Arial"/>
          <w:sz w:val="18"/>
          <w:szCs w:val="18"/>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84"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8" w:lineRule="exact"/>
        <w:rPr>
          <w:sz w:val="20"/>
          <w:szCs w:val="20"/>
          <w:color w:val="auto"/>
        </w:rPr>
      </w:pPr>
    </w:p>
    <w:p>
      <w:pPr>
        <w:jc w:val="both"/>
        <w:ind w:left="40"/>
        <w:spacing w:after="0" w:line="294"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b w:val="1"/>
          <w:bCs w:val="1"/>
          <w:color w:val="auto"/>
        </w:rPr>
        <w:t>Section 5.05(A)(ii)</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5.01(C)(i)(3)(a)(I)</w:t>
      </w:r>
      <w:r>
        <w:rPr>
          <w:rFonts w:ascii="Arial" w:cs="Arial" w:eastAsia="Arial" w:hAnsi="Arial"/>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spacing w:after="0" w:line="38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940" w:top="908" w:right="339" w:bottom="1440" w:gutter="0" w:footer="0" w:header="0"/>
        </w:sectPr>
      </w:pPr>
    </w:p>
    <w:bookmarkStart w:id="58" w:name="page59"/>
    <w:bookmarkEnd w:id="58"/>
    <w:p>
      <w:pPr>
        <w:ind w:left="2120" w:hanging="816"/>
        <w:spacing w:after="0"/>
        <w:tabs>
          <w:tab w:leader="none" w:pos="21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3197"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Distributions Other than Spin-Offs</w:t>
      </w:r>
      <w:r>
        <w:rPr>
          <w:rFonts w:ascii="Arial" w:cs="Arial" w:eastAsia="Arial" w:hAnsi="Arial"/>
          <w:sz w:val="18"/>
          <w:szCs w:val="18"/>
          <w:color w:val="auto"/>
        </w:rPr>
        <w:t>. If the Company distributes shares of its Capital Stock, evidences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or other assets or property of the Company, or rights, options or warrants to acquire Capital Stock of the Company or other securities, to all or substantially all holders of the Common Stock, excluding:</w:t>
      </w:r>
    </w:p>
    <w:p>
      <w:pPr>
        <w:spacing w:after="0" w:line="183" w:lineRule="exact"/>
        <w:rPr>
          <w:rFonts w:ascii="Arial" w:cs="Arial" w:eastAsia="Arial" w:hAnsi="Arial"/>
          <w:sz w:val="18"/>
          <w:szCs w:val="18"/>
          <w:color w:val="auto"/>
        </w:rPr>
      </w:pPr>
    </w:p>
    <w:p>
      <w:pPr>
        <w:ind w:left="1960" w:firstLine="640"/>
        <w:spacing w:after="0" w:line="277" w:lineRule="auto"/>
        <w:tabs>
          <w:tab w:leader="none" w:pos="31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dividends, distributions, rights, options or warrants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Section </w:t>
      </w:r>
      <w:r>
        <w:rPr>
          <w:rFonts w:ascii="Arial" w:cs="Arial" w:eastAsia="Arial" w:hAnsi="Arial"/>
          <w:sz w:val="18"/>
          <w:szCs w:val="18"/>
          <w:b w:val="1"/>
          <w:bCs w:val="1"/>
          <w:color w:val="auto"/>
        </w:rPr>
        <w:t>5.05(A)(i)</w:t>
      </w:r>
      <w:r>
        <w:rPr>
          <w:rFonts w:ascii="Arial" w:cs="Arial" w:eastAsia="Arial" w:hAnsi="Arial"/>
          <w:sz w:val="18"/>
          <w:szCs w:val="18"/>
          <w:color w:val="auto"/>
        </w:rPr>
        <w:t xml:space="preserve"> or </w:t>
      </w:r>
      <w:r>
        <w:rPr>
          <w:rFonts w:ascii="Arial" w:cs="Arial" w:eastAsia="Arial" w:hAnsi="Arial"/>
          <w:sz w:val="18"/>
          <w:szCs w:val="18"/>
          <w:b w:val="1"/>
          <w:bCs w:val="1"/>
          <w:color w:val="auto"/>
        </w:rPr>
        <w:t>5.05(A)(ii)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firstLine="640"/>
        <w:spacing w:after="0" w:line="277" w:lineRule="auto"/>
        <w:tabs>
          <w:tab w:leader="none" w:pos="3194"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dividends or distributions paid exclusively in cash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80" w:hanging="680"/>
        <w:spacing w:after="0"/>
        <w:tabs>
          <w:tab w:leader="none" w:pos="3280" w:val="left"/>
        </w:tabs>
        <w:numPr>
          <w:ilvl w:val="2"/>
          <w:numId w:val="75"/>
        </w:numPr>
        <w:rPr>
          <w:rFonts w:ascii="Arial" w:cs="Arial" w:eastAsia="Arial" w:hAnsi="Arial"/>
          <w:sz w:val="16"/>
          <w:szCs w:val="16"/>
          <w:color w:val="auto"/>
        </w:rPr>
      </w:pPr>
      <w:r>
        <w:rPr>
          <w:rFonts w:ascii="Arial" w:cs="Arial" w:eastAsia="Arial" w:hAnsi="Arial"/>
          <w:sz w:val="16"/>
          <w:szCs w:val="16"/>
          <w:color w:val="auto"/>
        </w:rPr>
        <w:t>rights issued or otherwise distributed pursuant to a stockholder rights plan, except to the extent provided in</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b w:val="1"/>
          <w:bCs w:val="1"/>
          <w:color w:val="auto"/>
        </w:rPr>
        <w:t>Section 5.05(F)</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960" w:firstLine="640"/>
        <w:spacing w:after="0" w:line="277" w:lineRule="auto"/>
        <w:tabs>
          <w:tab w:leader="none" w:pos="3196"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Spin-Offs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Section 5.05(A)(iii)(2)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firstLine="640"/>
        <w:spacing w:after="0" w:line="277" w:lineRule="auto"/>
        <w:tabs>
          <w:tab w:leader="none" w:pos="3269"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tender offer or exchange offer for shares of Common Stock, as to which </w:t>
      </w:r>
      <w:r>
        <w:rPr>
          <w:rFonts w:ascii="Arial" w:cs="Arial" w:eastAsia="Arial" w:hAnsi="Arial"/>
          <w:sz w:val="18"/>
          <w:szCs w:val="18"/>
          <w:b w:val="1"/>
          <w:bCs w:val="1"/>
          <w:color w:val="auto"/>
        </w:rPr>
        <w:t xml:space="preserve">Section 5.05(A)(v) </w:t>
      </w:r>
      <w:r>
        <w:rPr>
          <w:rFonts w:ascii="Arial" w:cs="Arial" w:eastAsia="Arial" w:hAnsi="Arial"/>
          <w:sz w:val="18"/>
          <w:szCs w:val="18"/>
          <w:color w:val="auto"/>
        </w:rPr>
        <w:t>will apply; and</w:t>
      </w:r>
    </w:p>
    <w:p>
      <w:pPr>
        <w:spacing w:after="0" w:line="166" w:lineRule="exact"/>
        <w:rPr>
          <w:rFonts w:ascii="Arial" w:cs="Arial" w:eastAsia="Arial" w:hAnsi="Arial"/>
          <w:sz w:val="18"/>
          <w:szCs w:val="18"/>
          <w:color w:val="auto"/>
        </w:rPr>
      </w:pPr>
    </w:p>
    <w:p>
      <w:pPr>
        <w:ind w:left="3120" w:hanging="520"/>
        <w:spacing w:after="0"/>
        <w:tabs>
          <w:tab w:leader="none" w:pos="31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151765</wp:posOffset>
            </wp:positionV>
            <wp:extent cx="1517015" cy="462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0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ind w:left="1300"/>
              <w:spacing w:after="0"/>
              <w:rPr>
                <w:sz w:val="20"/>
                <w:szCs w:val="20"/>
                <w:color w:val="auto"/>
              </w:rPr>
            </w:pPr>
            <w:r>
              <w:rPr>
                <w:rFonts w:ascii="Arial" w:cs="Arial" w:eastAsia="Arial" w:hAnsi="Arial"/>
                <w:sz w:val="18"/>
                <w:szCs w:val="18"/>
                <w:color w:val="auto"/>
              </w:rPr>
              <w:t>where:</w:t>
            </w:r>
          </w:p>
        </w:tc>
        <w:tc>
          <w:tcPr>
            <w:tcW w:w="9260" w:type="dxa"/>
            <w:vAlign w:val="bottom"/>
          </w:tcPr>
          <w:p>
            <w:pPr>
              <w:spacing w:after="0"/>
              <w:rPr>
                <w:sz w:val="20"/>
                <w:szCs w:val="20"/>
                <w:color w:val="auto"/>
              </w:rPr>
            </w:pPr>
          </w:p>
        </w:tc>
      </w:tr>
      <w:tr>
        <w:trPr>
          <w:trHeight w:val="463"/>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w w:val="97"/>
              </w:rPr>
              <w:t>CR</w:t>
            </w:r>
            <w:r>
              <w:rPr>
                <w:rFonts w:ascii="Arial" w:cs="Arial" w:eastAsia="Arial" w:hAnsi="Arial"/>
                <w:sz w:val="29"/>
                <w:szCs w:val="29"/>
                <w:i w:val="1"/>
                <w:iCs w:val="1"/>
                <w:color w:val="auto"/>
                <w:w w:val="97"/>
                <w:vertAlign w:val="subscript"/>
              </w:rPr>
              <w:t>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8"/>
              </w:rPr>
              <w:t>the Conversion Rate in effect immediately before the Open of Business on the Ex-Dividend Date for such distribution;</w:t>
            </w:r>
          </w:p>
        </w:tc>
      </w:tr>
      <w:tr>
        <w:trPr>
          <w:trHeight w:val="445"/>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w w:val="97"/>
              </w:rPr>
              <w:t>CR</w:t>
            </w:r>
            <w:r>
              <w:rPr>
                <w:rFonts w:ascii="Arial" w:cs="Arial" w:eastAsia="Arial" w:hAnsi="Arial"/>
                <w:sz w:val="29"/>
                <w:szCs w:val="29"/>
                <w:i w:val="1"/>
                <w:iCs w:val="1"/>
                <w:color w:val="auto"/>
                <w:w w:val="97"/>
                <w:vertAlign w:val="subscript"/>
              </w:rPr>
              <w:t>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01"/>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rPr>
              <w:t>SP</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0"/>
              </w:rPr>
              <w:t>the average of the Last Reported Sale Prices per share of Common Stock for the ten (10) consecutive Trading Days ending on,</w:t>
            </w:r>
          </w:p>
        </w:tc>
      </w:tr>
      <w:tr>
        <w:trPr>
          <w:trHeight w:val="230"/>
        </w:trPr>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rPr>
              <w:t>and including, the Trading Day immediately before such Ex-Dividend Date; and</w:t>
            </w:r>
          </w:p>
        </w:tc>
      </w:tr>
      <w:tr>
        <w:trPr>
          <w:trHeight w:val="418"/>
        </w:trPr>
        <w:tc>
          <w:tcPr>
            <w:tcW w:w="1980" w:type="dxa"/>
            <w:vAlign w:val="bottom"/>
            <w:gridSpan w:val="2"/>
          </w:tcPr>
          <w:p>
            <w:pPr>
              <w:ind w:left="1300"/>
              <w:spacing w:after="0"/>
              <w:rPr>
                <w:sz w:val="20"/>
                <w:szCs w:val="20"/>
                <w:color w:val="auto"/>
              </w:rPr>
            </w:pPr>
            <w:r>
              <w:rPr>
                <w:rFonts w:ascii="Arial" w:cs="Arial" w:eastAsia="Arial" w:hAnsi="Arial"/>
                <w:sz w:val="18"/>
                <w:szCs w:val="18"/>
                <w:i w:val="1"/>
                <w:iCs w:val="1"/>
                <w:color w:val="auto"/>
              </w:rPr>
              <w:t xml:space="preserve">FMV </w:t>
            </w: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4"/>
              </w:rPr>
              <w:t>the fair market value (as determined by the Company in good faith), as of such Ex-Dividend Date, of the shares of Capital</w:t>
            </w:r>
          </w:p>
        </w:tc>
      </w:tr>
      <w:tr>
        <w:trPr>
          <w:trHeight w:val="216"/>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w w:val="90"/>
              </w:rPr>
              <w:t>Stock, evidences of indebtedness, assets, property, rights, options or warrants distributed per share of Common Stock pursuant</w:t>
            </w:r>
          </w:p>
        </w:tc>
      </w:tr>
      <w:tr>
        <w:trPr>
          <w:trHeight w:val="230"/>
        </w:trPr>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rPr>
              <w:t>to such distribution;</w:t>
            </w:r>
          </w:p>
        </w:tc>
      </w:tr>
      <w:tr>
        <w:trPr>
          <w:trHeight w:val="648"/>
        </w:trPr>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3440"/>
              <w:spacing w:after="0"/>
              <w:rPr>
                <w:sz w:val="20"/>
                <w:szCs w:val="20"/>
                <w:color w:val="auto"/>
              </w:rPr>
            </w:pPr>
            <w:r>
              <w:rPr>
                <w:rFonts w:ascii="Arial" w:cs="Arial" w:eastAsia="Arial" w:hAnsi="Arial"/>
                <w:sz w:val="18"/>
                <w:szCs w:val="18"/>
                <w:color w:val="auto"/>
              </w:rPr>
              <w:t>- 51 -</w:t>
            </w:r>
          </w:p>
        </w:tc>
      </w:tr>
    </w:tbl>
    <w:p>
      <w:pPr>
        <w:sectPr>
          <w:pgSz w:w="11900" w:h="16838" w:orient="portrait"/>
          <w:cols w:equalWidth="0" w:num="1">
            <w:col w:w="11240"/>
          </w:cols>
          <w:pgMar w:left="320" w:top="908" w:right="339" w:bottom="1440" w:gutter="0" w:footer="0" w:header="0"/>
        </w:sectPr>
      </w:pPr>
    </w:p>
    <w:bookmarkStart w:id="59" w:name="page60"/>
    <w:bookmarkEnd w:id="59"/>
    <w:p>
      <w:pPr>
        <w:jc w:val="both"/>
        <w:ind w:left="180"/>
        <w:spacing w:after="0" w:line="29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FMV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receive, for each $1,000 principal amount of Notes held by such Holder on the record date for such distribution, at the same time and on the same terms as holders of Common Stock,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61"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70" w:lineRule="exact"/>
        <w:rPr>
          <w:sz w:val="20"/>
          <w:szCs w:val="20"/>
          <w:color w:val="auto"/>
        </w:rPr>
      </w:pPr>
    </w:p>
    <w:p>
      <w:pPr>
        <w:jc w:val="both"/>
        <w:ind w:left="180" w:firstLine="652"/>
        <w:spacing w:after="0" w:line="321" w:lineRule="auto"/>
        <w:tabs>
          <w:tab w:leader="none" w:pos="182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Spin-Offs</w:t>
      </w:r>
      <w:r>
        <w:rPr>
          <w:rFonts w:ascii="Arial" w:cs="Arial" w:eastAsia="Arial" w:hAnsi="Arial"/>
          <w:sz w:val="16"/>
          <w:szCs w:val="16"/>
          <w:color w:val="auto"/>
        </w:rPr>
        <w:t>. If the Company distributes or dividends shares of Capital Stock of any class or series, or similar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of or relating to an Affiliate, a Subsidiary or other business unit of the Company to all or substantially all holders of the Common Stock (other than solely pursuant to (x) a Common Stock Change Event, as to which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will apply; or (y) a tender</w:t>
      </w:r>
    </w:p>
    <w:p>
      <w:pPr>
        <w:jc w:val="both"/>
        <w:ind w:left="180"/>
        <w:spacing w:after="0" w:line="274" w:lineRule="auto"/>
        <w:rPr>
          <w:sz w:val="20"/>
          <w:szCs w:val="20"/>
          <w:color w:val="auto"/>
        </w:rPr>
      </w:pPr>
      <w:r>
        <w:rPr>
          <w:rFonts w:ascii="Arial" w:cs="Arial" w:eastAsia="Arial" w:hAnsi="Arial"/>
          <w:sz w:val="18"/>
          <w:szCs w:val="18"/>
          <w:color w:val="auto"/>
        </w:rPr>
        <w:t xml:space="preserve">offer or exchange offer for shares of Common Stock, as to which </w:t>
      </w:r>
      <w:r>
        <w:rPr>
          <w:rFonts w:ascii="Arial" w:cs="Arial" w:eastAsia="Arial" w:hAnsi="Arial"/>
          <w:sz w:val="18"/>
          <w:szCs w:val="18"/>
          <w:b w:val="1"/>
          <w:bCs w:val="1"/>
          <w:color w:val="auto"/>
        </w:rPr>
        <w:t>Section 5.05(A)(v)</w:t>
      </w:r>
      <w:r>
        <w:rPr>
          <w:rFonts w:ascii="Arial" w:cs="Arial" w:eastAsia="Arial" w:hAnsi="Arial"/>
          <w:sz w:val="18"/>
          <w:szCs w:val="18"/>
          <w:color w:val="auto"/>
        </w:rPr>
        <w:t xml:space="preserve"> will apply), and such Capital Stock or equity interests are listed or quoted (or will be listed or quoted upon the consummation of the transaction)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118745</wp:posOffset>
            </wp:positionV>
            <wp:extent cx="1508760" cy="37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w:t>
      </w:r>
    </w:p>
    <w:p>
      <w:pPr>
        <w:spacing w:after="0" w:line="96" w:lineRule="exact"/>
        <w:rPr>
          <w:sz w:val="20"/>
          <w:szCs w:val="20"/>
          <w:color w:val="auto"/>
        </w:rPr>
      </w:pPr>
    </w:p>
    <w:p>
      <w:pPr>
        <w:jc w:val="both"/>
        <w:ind w:left="64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r>
        <w:rPr>
          <w:sz w:val="20"/>
          <w:szCs w:val="20"/>
          <w:color w:val="auto"/>
        </w:rPr>
        <w:tab/>
      </w:r>
      <w:r>
        <w:rPr>
          <w:rFonts w:ascii="Arial" w:cs="Arial" w:eastAsia="Arial" w:hAnsi="Arial"/>
          <w:sz w:val="18"/>
          <w:szCs w:val="18"/>
          <w:color w:val="auto"/>
        </w:rPr>
        <w:t>= the Conversion Rate in effect immediately before the Close of Business on the last Trading Day of the Spin-Off Valuation Period for such Spin-Off;</w:t>
      </w:r>
    </w:p>
    <w:p>
      <w:pPr>
        <w:spacing w:after="0" w:line="170" w:lineRule="exact"/>
        <w:rPr>
          <w:sz w:val="20"/>
          <w:szCs w:val="20"/>
          <w:color w:val="auto"/>
        </w:rPr>
      </w:pPr>
    </w:p>
    <w:p>
      <w:pPr>
        <w:jc w:val="both"/>
        <w:ind w:left="64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r>
        <w:rPr>
          <w:sz w:val="20"/>
          <w:szCs w:val="20"/>
          <w:color w:val="auto"/>
        </w:rPr>
        <w:tab/>
      </w:r>
      <w:r>
        <w:rPr>
          <w:rFonts w:ascii="Arial" w:cs="Arial" w:eastAsia="Arial" w:hAnsi="Arial"/>
          <w:sz w:val="18"/>
          <w:szCs w:val="18"/>
          <w:color w:val="auto"/>
        </w:rPr>
        <w:t>= the Conversion Rate in effect immediately after the Close of Business on the last Trading Day of the Spin-Off Valuation Period;</w:t>
      </w:r>
    </w:p>
    <w:p>
      <w:pPr>
        <w:spacing w:after="0" w:line="299" w:lineRule="exact"/>
        <w:rPr>
          <w:sz w:val="20"/>
          <w:szCs w:val="20"/>
          <w:color w:val="auto"/>
        </w:rPr>
      </w:pPr>
    </w:p>
    <w:p>
      <w:pPr>
        <w:jc w:val="both"/>
        <w:ind w:left="960" w:hanging="782"/>
        <w:spacing w:after="0" w:line="255" w:lineRule="auto"/>
        <w:tabs>
          <w:tab w:leader="none" w:pos="940" w:val="left"/>
        </w:tabs>
        <w:rPr>
          <w:sz w:val="20"/>
          <w:szCs w:val="20"/>
          <w:color w:val="auto"/>
        </w:rPr>
      </w:pPr>
      <w:r>
        <w:rPr>
          <w:rFonts w:ascii="Arial" w:cs="Arial" w:eastAsia="Arial" w:hAnsi="Arial"/>
          <w:sz w:val="18"/>
          <w:szCs w:val="18"/>
          <w:i w:val="1"/>
          <w:iCs w:val="1"/>
          <w:color w:val="auto"/>
        </w:rPr>
        <w:t xml:space="preserve">FMV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product of (x) the average of the Last Reported Sale Prices per share or unit of the Capital Stock or equity interests distributed in such Spin-Off over the ten (10) consecutive Trading Day period (the “</w:t>
      </w:r>
      <w:r>
        <w:rPr>
          <w:rFonts w:ascii="Arial" w:cs="Arial" w:eastAsia="Arial" w:hAnsi="Arial"/>
          <w:sz w:val="18"/>
          <w:szCs w:val="18"/>
          <w:b w:val="1"/>
          <w:bCs w:val="1"/>
          <w:color w:val="auto"/>
        </w:rPr>
        <w:t>Spin-Off Valuation Period</w:t>
      </w:r>
      <w:r>
        <w:rPr>
          <w:rFonts w:ascii="Arial" w:cs="Arial" w:eastAsia="Arial" w:hAnsi="Arial"/>
          <w:sz w:val="18"/>
          <w:szCs w:val="18"/>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192" w:lineRule="exact"/>
        <w:rPr>
          <w:sz w:val="20"/>
          <w:szCs w:val="20"/>
          <w:color w:val="auto"/>
        </w:rPr>
      </w:pPr>
    </w:p>
    <w:p>
      <w:pPr>
        <w:jc w:val="both"/>
        <w:ind w:left="640" w:right="2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SP</w:t>
      </w:r>
      <w:r>
        <w:rPr>
          <w:sz w:val="20"/>
          <w:szCs w:val="20"/>
          <w:color w:val="auto"/>
        </w:rPr>
        <w:tab/>
      </w:r>
      <w:r>
        <w:rPr>
          <w:rFonts w:ascii="Arial" w:cs="Arial" w:eastAsia="Arial" w:hAnsi="Arial"/>
          <w:sz w:val="18"/>
          <w:szCs w:val="18"/>
          <w:color w:val="auto"/>
        </w:rPr>
        <w:t>= the average of the Last Reported Sale Prices per share of Common Stock for each Trading Day in the Spin-Off Valuation Period.</w:t>
      </w:r>
    </w:p>
    <w:p>
      <w:pPr>
        <w:spacing w:after="0" w:line="38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0" w:name="page61"/>
    <w:bookmarkEnd w:id="60"/>
    <w:p>
      <w:pPr>
        <w:jc w:val="both"/>
        <w:ind w:left="680"/>
        <w:spacing w:after="0" w:line="254"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88" w:lineRule="exact"/>
        <w:rPr>
          <w:sz w:val="20"/>
          <w:szCs w:val="20"/>
          <w:color w:val="auto"/>
        </w:rPr>
      </w:pPr>
    </w:p>
    <w:p>
      <w:pPr>
        <w:jc w:val="both"/>
        <w:ind w:left="680"/>
        <w:spacing w:after="0" w:line="266" w:lineRule="auto"/>
        <w:rPr>
          <w:sz w:val="20"/>
          <w:szCs w:val="20"/>
          <w:color w:val="auto"/>
        </w:rPr>
      </w:pPr>
      <w:r>
        <w:rPr>
          <w:rFonts w:ascii="Arial" w:cs="Arial" w:eastAsia="Arial" w:hAnsi="Arial"/>
          <w:sz w:val="18"/>
          <w:szCs w:val="18"/>
          <w:color w:val="auto"/>
        </w:rPr>
        <w:t xml:space="preserve">To the extent any dividend or distribution of the type set forth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80" w:lineRule="exact"/>
        <w:rPr>
          <w:sz w:val="20"/>
          <w:szCs w:val="20"/>
          <w:color w:val="auto"/>
        </w:rPr>
      </w:pPr>
    </w:p>
    <w:p>
      <w:pPr>
        <w:ind w:left="40" w:right="20" w:firstLine="644"/>
        <w:spacing w:after="0" w:line="277" w:lineRule="auto"/>
        <w:tabs>
          <w:tab w:leader="none" w:pos="162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distribution is made to all or substantially all holders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117475</wp:posOffset>
            </wp:positionV>
            <wp:extent cx="1294130" cy="420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94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9520" w:type="dxa"/>
            <w:vAlign w:val="bottom"/>
          </w:tcPr>
          <w:p>
            <w:pPr>
              <w:spacing w:after="0"/>
              <w:rPr>
                <w:sz w:val="20"/>
                <w:szCs w:val="20"/>
                <w:color w:val="auto"/>
              </w:rPr>
            </w:pPr>
          </w:p>
        </w:tc>
      </w:tr>
      <w:tr>
        <w:trPr>
          <w:trHeight w:val="463"/>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w w:val="91"/>
              </w:rPr>
              <w:t>the Conversion Rate in effect immediately before the Open of Business on the Ex-Dividend Date for such dividend or distribution;</w:t>
            </w:r>
          </w:p>
        </w:tc>
      </w:tr>
      <w:tr>
        <w:trPr>
          <w:trHeight w:val="445"/>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400" w:type="dxa"/>
            <w:vAlign w:val="bottom"/>
          </w:tcPr>
          <w:p>
            <w:pPr>
              <w:spacing w:after="0"/>
              <w:rPr>
                <w:sz w:val="20"/>
                <w:szCs w:val="20"/>
                <w:color w:val="auto"/>
              </w:rPr>
            </w:pPr>
            <w:r>
              <w:rPr>
                <w:rFonts w:ascii="Arial" w:cs="Arial" w:eastAsia="Arial" w:hAnsi="Arial"/>
                <w:sz w:val="18"/>
                <w:szCs w:val="18"/>
                <w:i w:val="1"/>
                <w:iCs w:val="1"/>
                <w:color w:val="auto"/>
              </w:rPr>
              <w:t>SP</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w w:val="93"/>
              </w:rPr>
              <w:t>the Last Reported Sale Price per share of Common Stock on the Trading Day immediately before such Ex-Dividend Date; and</w:t>
            </w:r>
          </w:p>
        </w:tc>
      </w:tr>
    </w:tbl>
    <w:p>
      <w:pPr>
        <w:spacing w:after="0" w:line="202" w:lineRule="exact"/>
        <w:rPr>
          <w:sz w:val="20"/>
          <w:szCs w:val="20"/>
          <w:color w:val="auto"/>
        </w:rPr>
      </w:pPr>
    </w:p>
    <w:p>
      <w:pPr>
        <w:ind w:left="460" w:hanging="451"/>
        <w:spacing w:after="0"/>
        <w:tabs>
          <w:tab w:leader="none" w:pos="460" w:val="left"/>
        </w:tabs>
        <w:numPr>
          <w:ilvl w:val="0"/>
          <w:numId w:val="78"/>
        </w:numPr>
        <w:rPr>
          <w:rFonts w:ascii="Arial" w:cs="Arial" w:eastAsia="Arial" w:hAnsi="Arial"/>
          <w:sz w:val="18"/>
          <w:szCs w:val="18"/>
          <w:i w:val="1"/>
          <w:iCs w:val="1"/>
          <w:color w:val="auto"/>
        </w:rPr>
      </w:pPr>
      <w:r>
        <w:rPr>
          <w:rFonts w:ascii="Arial" w:cs="Arial" w:eastAsia="Arial" w:hAnsi="Arial"/>
          <w:sz w:val="18"/>
          <w:szCs w:val="18"/>
          <w:color w:val="auto"/>
        </w:rPr>
        <w:t>=   the cash amount distributed per share of Common Stock in such dividend or distribution;</w:t>
      </w:r>
    </w:p>
    <w:p>
      <w:pPr>
        <w:spacing w:after="0" w:line="225" w:lineRule="exact"/>
        <w:rPr>
          <w:sz w:val="20"/>
          <w:szCs w:val="20"/>
          <w:color w:val="auto"/>
        </w:rPr>
      </w:pPr>
    </w:p>
    <w:p>
      <w:pPr>
        <w:jc w:val="both"/>
        <w:ind w:left="40"/>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D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each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for each $1,000 principal amount of Notes held by such Holder on the record date for such dividend or distribution, at the same time and on the same terms as holders of Common Stock, without having to convert its Notes, the amount of cash that such Holder would have received if such Holder had owned, on such record date, a number of shares of Common Stock equal to the Conversion Rate in effect on such record date.</w:t>
      </w:r>
    </w:p>
    <w:p>
      <w:pPr>
        <w:spacing w:after="0" w:line="37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940" w:top="904" w:right="339" w:bottom="1440" w:gutter="0" w:footer="0" w:header="0"/>
        </w:sectPr>
      </w:pPr>
    </w:p>
    <w:bookmarkStart w:id="61" w:name="page62"/>
    <w:bookmarkEnd w:id="61"/>
    <w:p>
      <w:pPr>
        <w:ind w:left="660"/>
        <w:spacing w:after="0" w:line="308" w:lineRule="auto"/>
        <w:rPr>
          <w:sz w:val="20"/>
          <w:szCs w:val="20"/>
          <w:color w:val="auto"/>
        </w:rPr>
      </w:pPr>
      <w:r>
        <w:rPr>
          <w:rFonts w:ascii="Arial" w:cs="Arial" w:eastAsia="Arial" w:hAnsi="Arial"/>
          <w:sz w:val="17"/>
          <w:szCs w:val="17"/>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46" w:lineRule="exact"/>
        <w:rPr>
          <w:sz w:val="20"/>
          <w:szCs w:val="20"/>
          <w:color w:val="auto"/>
        </w:rPr>
      </w:pPr>
    </w:p>
    <w:p>
      <w:pPr>
        <w:jc w:val="both"/>
        <w:ind w:left="660" w:firstLine="644"/>
        <w:spacing w:after="0" w:line="293" w:lineRule="auto"/>
        <w:tabs>
          <w:tab w:leader="none" w:pos="2233"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Tender Offers or Exchange Offers</w:t>
      </w:r>
      <w:r>
        <w:rPr>
          <w:rFonts w:ascii="Arial" w:cs="Arial" w:eastAsia="Arial" w:hAnsi="Arial"/>
          <w:sz w:val="16"/>
          <w:szCs w:val="16"/>
          <w:color w:val="auto"/>
        </w:rPr>
        <w:t>. If the Company or any of its Subsidiaries makes a payment in respect of a tender offer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113665</wp:posOffset>
            </wp:positionV>
            <wp:extent cx="1817370" cy="420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173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ind w:left="660"/>
              <w:spacing w:after="0"/>
              <w:rPr>
                <w:sz w:val="20"/>
                <w:szCs w:val="20"/>
                <w:color w:val="auto"/>
              </w:rPr>
            </w:pPr>
            <w:r>
              <w:rPr>
                <w:rFonts w:ascii="Arial" w:cs="Arial" w:eastAsia="Arial" w:hAnsi="Arial"/>
                <w:sz w:val="18"/>
                <w:szCs w:val="18"/>
                <w:color w:val="auto"/>
              </w:rPr>
              <w:t>where:</w:t>
            </w:r>
          </w:p>
        </w:tc>
        <w:tc>
          <w:tcPr>
            <w:tcW w:w="9940" w:type="dxa"/>
            <w:vAlign w:val="bottom"/>
          </w:tcPr>
          <w:p>
            <w:pPr>
              <w:spacing w:after="0"/>
              <w:rPr>
                <w:sz w:val="20"/>
                <w:szCs w:val="20"/>
                <w:color w:val="auto"/>
              </w:rPr>
            </w:pP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0"/>
              </w:rPr>
              <w:t>the Conversion Rate in effect immediately before the Close of Business on the last Trading Day of the Tender/Exchange Offer Valuation</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Period for such tender or exchange offer;</w:t>
            </w: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1"/>
              </w:rPr>
              <w:t>the Conversion Rate in effect immediately after the Close of Business on the last Trading Day of the Tender/Exchange Offer Valuation</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Period;</w:t>
            </w:r>
          </w:p>
        </w:tc>
      </w:tr>
      <w:tr>
        <w:trPr>
          <w:trHeight w:val="417"/>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AC</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the aggregate value, as of the time such tender or exchange offer expires (the “</w:t>
            </w:r>
            <w:r>
              <w:rPr>
                <w:rFonts w:ascii="Arial" w:cs="Arial" w:eastAsia="Arial" w:hAnsi="Arial"/>
                <w:sz w:val="18"/>
                <w:szCs w:val="18"/>
                <w:b w:val="1"/>
                <w:bCs w:val="1"/>
                <w:color w:val="auto"/>
                <w:w w:val="92"/>
              </w:rPr>
              <w:t>Expiration Time</w:t>
            </w:r>
            <w:r>
              <w:rPr>
                <w:rFonts w:ascii="Arial" w:cs="Arial" w:eastAsia="Arial" w:hAnsi="Arial"/>
                <w:sz w:val="18"/>
                <w:szCs w:val="18"/>
                <w:color w:val="auto"/>
                <w:w w:val="92"/>
              </w:rPr>
              <w:t>”), of all cash and other consideration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paid for shares of Common Stock purchased or exchanged in such tender or exchange offer (such aggregate value to be determined,</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other than with respect to cash, by the Company in good faith);</w:t>
            </w:r>
          </w:p>
        </w:tc>
      </w:tr>
      <w:tr>
        <w:trPr>
          <w:trHeight w:val="419"/>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number of shares of Common Stock outstanding immediately before the Expiration Time (including all shares of Common Stock</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accepted for purchase or exchange in such tender or exchange offer);</w:t>
            </w: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4"/>
              </w:rPr>
              <w:t>the number of shares of Common Stock outstanding immediately after the Expiration Time (excluding all shares of Common Stock</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accepted for purchase or exchange in such tender or exchange offer); and</w:t>
            </w:r>
          </w:p>
        </w:tc>
      </w:tr>
      <w:tr>
        <w:trPr>
          <w:trHeight w:val="413"/>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SP</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6"/>
              </w:rPr>
              <w:t>the average of the Last Reported Sale Prices per share of Common Stock over the ten (10) consecutive Trading Day period (the</w:t>
            </w:r>
          </w:p>
        </w:tc>
      </w:tr>
      <w:tr>
        <w:trPr>
          <w:trHeight w:val="234"/>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Tender/Exchange Offer Valuation Period</w:t>
            </w:r>
            <w:r>
              <w:rPr>
                <w:rFonts w:ascii="Arial" w:cs="Arial" w:eastAsia="Arial" w:hAnsi="Arial"/>
                <w:sz w:val="18"/>
                <w:szCs w:val="18"/>
                <w:color w:val="auto"/>
                <w:w w:val="95"/>
              </w:rPr>
              <w:t>”) beginning on, and including, the Trading Day immediately after the Expiration Date;</w:t>
            </w:r>
          </w:p>
        </w:tc>
      </w:tr>
      <w:tr>
        <w:trPr>
          <w:trHeight w:val="648"/>
        </w:trPr>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- 54 -</w:t>
            </w:r>
          </w:p>
        </w:tc>
      </w:tr>
    </w:tbl>
    <w:p>
      <w:pPr>
        <w:sectPr>
          <w:pgSz w:w="11900" w:h="16838" w:orient="portrait"/>
          <w:cols w:equalWidth="0" w:num="1">
            <w:col w:w="11240"/>
          </w:cols>
          <w:pgMar w:left="320" w:top="908" w:right="339" w:bottom="1440" w:gutter="0" w:footer="0" w:header="0"/>
        </w:sectPr>
      </w:pPr>
    </w:p>
    <w:bookmarkStart w:id="62" w:name="page63"/>
    <w:bookmarkEnd w:id="62"/>
    <w:p>
      <w:pPr>
        <w:jc w:val="both"/>
        <w:ind w:left="4"/>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Conversion Rate will in no event be adjusted down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5.05(A)(v)</w:t>
      </w:r>
      <w:r>
        <w:rPr>
          <w:rFonts w:ascii="Arial" w:cs="Arial" w:eastAsia="Arial" w:hAnsi="Arial"/>
          <w:sz w:val="16"/>
          <w:szCs w:val="16"/>
          <w:color w:val="auto"/>
        </w:rPr>
        <w:t>, except to the extent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immediately following paragraph. Notwithstanding anything to the contrary in this </w:t>
      </w:r>
      <w:r>
        <w:rPr>
          <w:rFonts w:ascii="Arial" w:cs="Arial" w:eastAsia="Arial" w:hAnsi="Arial"/>
          <w:sz w:val="16"/>
          <w:szCs w:val="16"/>
          <w:b w:val="1"/>
          <w:bCs w:val="1"/>
          <w:color w:val="auto"/>
        </w:rPr>
        <w:t>Section 5.05(A)(v)</w:t>
      </w:r>
      <w:r>
        <w:rPr>
          <w:rFonts w:ascii="Arial" w:cs="Arial" w:eastAsia="Arial" w:hAnsi="Arial"/>
          <w:sz w:val="16"/>
          <w:szCs w:val="16"/>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6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8" w:lineRule="exact"/>
        <w:rPr>
          <w:sz w:val="20"/>
          <w:szCs w:val="20"/>
          <w:color w:val="auto"/>
        </w:rPr>
      </w:pPr>
    </w:p>
    <w:p>
      <w:pPr>
        <w:ind w:left="864" w:hanging="864"/>
        <w:spacing w:after="0"/>
        <w:tabs>
          <w:tab w:leader="none" w:pos="864"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No Adjustments in Certain Cases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2" w:lineRule="auto"/>
        <w:tabs>
          <w:tab w:leader="none" w:pos="1748" w:val="left"/>
        </w:tabs>
        <w:numPr>
          <w:ilvl w:val="1"/>
          <w:numId w:val="80"/>
        </w:numPr>
        <w:rPr>
          <w:rFonts w:ascii="Arial" w:cs="Arial" w:eastAsia="Arial" w:hAnsi="Arial"/>
          <w:sz w:val="17"/>
          <w:szCs w:val="17"/>
          <w:color w:val="auto"/>
        </w:rPr>
      </w:pPr>
      <w:r>
        <w:rPr>
          <w:rFonts w:ascii="Arial" w:cs="Arial" w:eastAsia="Arial" w:hAnsi="Arial"/>
          <w:sz w:val="17"/>
          <w:szCs w:val="17"/>
          <w:i w:val="1"/>
          <w:iCs w:val="1"/>
          <w:color w:val="auto"/>
        </w:rPr>
        <w:t>Where Holders Participate in the Transaction or Event Without Conversion</w:t>
      </w:r>
      <w:r>
        <w:rPr>
          <w:rFonts w:ascii="Arial" w:cs="Arial" w:eastAsia="Arial" w:hAnsi="Arial"/>
          <w:sz w:val="17"/>
          <w:szCs w:val="17"/>
          <w:color w:val="auto"/>
        </w:rPr>
        <w:t>. Notwithstanding anything to the contrary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5.05(A)</w:t>
      </w:r>
      <w:r>
        <w:rPr>
          <w:rFonts w:ascii="Arial" w:cs="Arial" w:eastAsia="Arial" w:hAnsi="Arial"/>
          <w:sz w:val="17"/>
          <w:szCs w:val="17"/>
          <w:color w:val="auto"/>
        </w:rPr>
        <w:t>, the Company will not be obligated to adjust the Conversion Rate on account of a transaction or other event otherwise requiring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adjustment pursuant to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(other than a stock split or combination of the type set forth in </w:t>
      </w:r>
      <w:r>
        <w:rPr>
          <w:rFonts w:ascii="Arial" w:cs="Arial" w:eastAsia="Arial" w:hAnsi="Arial"/>
          <w:sz w:val="17"/>
          <w:szCs w:val="17"/>
          <w:b w:val="1"/>
          <w:bCs w:val="1"/>
          <w:color w:val="auto"/>
        </w:rPr>
        <w:t>Section 5.05(A)(i)</w:t>
      </w:r>
      <w:r>
        <w:rPr>
          <w:rFonts w:ascii="Arial" w:cs="Arial" w:eastAsia="Arial" w:hAnsi="Arial"/>
          <w:sz w:val="17"/>
          <w:szCs w:val="17"/>
          <w:color w:val="auto"/>
        </w:rPr>
        <w:t xml:space="preserve"> or a tender or exchange offer of the type set forth in </w:t>
      </w:r>
      <w:r>
        <w:rPr>
          <w:rFonts w:ascii="Arial" w:cs="Arial" w:eastAsia="Arial" w:hAnsi="Arial"/>
          <w:sz w:val="17"/>
          <w:szCs w:val="17"/>
          <w:b w:val="1"/>
          <w:bCs w:val="1"/>
          <w:color w:val="auto"/>
        </w:rPr>
        <w:t>Section 5.05(A)(v)</w:t>
      </w:r>
      <w:r>
        <w:rPr>
          <w:rFonts w:ascii="Arial" w:cs="Arial" w:eastAsia="Arial" w:hAnsi="Arial"/>
          <w:sz w:val="17"/>
          <w:szCs w:val="17"/>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393" w:lineRule="exact"/>
        <w:rPr>
          <w:rFonts w:ascii="Arial" w:cs="Arial" w:eastAsia="Arial" w:hAnsi="Arial"/>
          <w:sz w:val="17"/>
          <w:szCs w:val="17"/>
          <w:color w:val="auto"/>
        </w:rPr>
      </w:pPr>
    </w:p>
    <w:p>
      <w:pPr>
        <w:ind w:left="4884" w:hanging="111"/>
        <w:spacing w:after="0"/>
        <w:tabs>
          <w:tab w:leader="none" w:pos="4884" w:val="left"/>
        </w:tabs>
        <w:numPr>
          <w:ilvl w:val="2"/>
          <w:numId w:val="80"/>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3" w:name="page64"/>
    <w:bookmarkEnd w:id="63"/>
    <w:p>
      <w:pPr>
        <w:ind w:left="4" w:firstLine="644"/>
        <w:spacing w:after="0" w:line="282" w:lineRule="auto"/>
        <w:tabs>
          <w:tab w:leader="none" w:pos="1717"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The Company will not be required to adjust the Conversion Rate except as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5.07</w:t>
      </w:r>
      <w:r>
        <w:rPr>
          <w:rFonts w:ascii="Arial" w:cs="Arial" w:eastAsia="Arial" w:hAnsi="Arial"/>
          <w:sz w:val="18"/>
          <w:szCs w:val="18"/>
          <w:color w:val="auto"/>
        </w:rPr>
        <w:t>. Without limiting the foregoing, the Company will not be obligated to adjust the Conversion Rate on account of:</w:t>
      </w:r>
    </w:p>
    <w:p>
      <w:pPr>
        <w:spacing w:after="0" w:line="202" w:lineRule="exact"/>
        <w:rPr>
          <w:rFonts w:ascii="Arial" w:cs="Arial" w:eastAsia="Arial" w:hAnsi="Arial"/>
          <w:sz w:val="18"/>
          <w:szCs w:val="18"/>
          <w:color w:val="auto"/>
        </w:rPr>
      </w:pPr>
    </w:p>
    <w:p>
      <w:pPr>
        <w:ind w:left="644" w:firstLine="652"/>
        <w:spacing w:after="0" w:line="297" w:lineRule="auto"/>
        <w:tabs>
          <w:tab w:leader="none" w:pos="2257"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Section 5.05</w:t>
      </w:r>
      <w:r>
        <w:rPr>
          <w:rFonts w:ascii="Arial" w:cs="Arial" w:eastAsia="Arial" w:hAnsi="Arial"/>
          <w:sz w:val="18"/>
          <w:szCs w:val="18"/>
          <w:color w:val="auto"/>
        </w:rPr>
        <w:t>, the sale of shares of Common Stock for a purchase price that is less than the market price per share of Common Stock or less than the Conversion Price;</w:t>
      </w:r>
    </w:p>
    <w:p>
      <w:pPr>
        <w:spacing w:after="0" w:line="153" w:lineRule="exact"/>
        <w:rPr>
          <w:rFonts w:ascii="Arial" w:cs="Arial" w:eastAsia="Arial" w:hAnsi="Arial"/>
          <w:sz w:val="18"/>
          <w:szCs w:val="18"/>
          <w:color w:val="auto"/>
        </w:rPr>
      </w:pPr>
    </w:p>
    <w:p>
      <w:pPr>
        <w:jc w:val="both"/>
        <w:ind w:left="644" w:firstLine="652"/>
        <w:spacing w:after="0" w:line="263" w:lineRule="auto"/>
        <w:tabs>
          <w:tab w:leader="none" w:pos="225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83" w:lineRule="exact"/>
        <w:rPr>
          <w:rFonts w:ascii="Arial" w:cs="Arial" w:eastAsia="Arial" w:hAnsi="Arial"/>
          <w:sz w:val="18"/>
          <w:szCs w:val="18"/>
          <w:color w:val="auto"/>
        </w:rPr>
      </w:pPr>
    </w:p>
    <w:p>
      <w:pPr>
        <w:jc w:val="both"/>
        <w:ind w:left="644" w:right="20" w:firstLine="652"/>
        <w:spacing w:after="0" w:line="342" w:lineRule="auto"/>
        <w:tabs>
          <w:tab w:leader="none" w:pos="2244"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23" w:lineRule="exact"/>
        <w:rPr>
          <w:rFonts w:ascii="Arial" w:cs="Arial" w:eastAsia="Arial" w:hAnsi="Arial"/>
          <w:sz w:val="16"/>
          <w:szCs w:val="16"/>
          <w:color w:val="auto"/>
        </w:rPr>
      </w:pPr>
    </w:p>
    <w:p>
      <w:pPr>
        <w:ind w:left="644" w:right="20" w:firstLine="652"/>
        <w:spacing w:after="0" w:line="277" w:lineRule="auto"/>
        <w:tabs>
          <w:tab w:leader="none" w:pos="225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option, warrant, right or convertible or exchangeable security of the Company outstanding as of the Issue Date;</w:t>
      </w:r>
    </w:p>
    <w:p>
      <w:pPr>
        <w:spacing w:after="0" w:line="170" w:lineRule="exact"/>
        <w:rPr>
          <w:rFonts w:ascii="Arial" w:cs="Arial" w:eastAsia="Arial" w:hAnsi="Arial"/>
          <w:sz w:val="18"/>
          <w:szCs w:val="18"/>
          <w:color w:val="auto"/>
        </w:rPr>
      </w:pPr>
    </w:p>
    <w:p>
      <w:pPr>
        <w:ind w:left="2184" w:hanging="888"/>
        <w:spacing w:after="0"/>
        <w:tabs>
          <w:tab w:leader="none" w:pos="2184" w:val="left"/>
        </w:tabs>
        <w:numPr>
          <w:ilvl w:val="2"/>
          <w:numId w:val="81"/>
        </w:numPr>
        <w:rPr>
          <w:rFonts w:ascii="Arial" w:cs="Arial" w:eastAsia="Arial" w:hAnsi="Arial"/>
          <w:sz w:val="18"/>
          <w:szCs w:val="18"/>
          <w:color w:val="auto"/>
        </w:rPr>
      </w:pPr>
      <w:r>
        <w:rPr>
          <w:rFonts w:ascii="Arial" w:cs="Arial" w:eastAsia="Arial" w:hAnsi="Arial"/>
          <w:sz w:val="18"/>
          <w:szCs w:val="18"/>
          <w:color w:val="auto"/>
        </w:rPr>
        <w:t>solely a change in the par value of the Common Stock;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2"/>
          <w:numId w:val="81"/>
        </w:numPr>
        <w:rPr>
          <w:rFonts w:ascii="Arial" w:cs="Arial" w:eastAsia="Arial" w:hAnsi="Arial"/>
          <w:sz w:val="18"/>
          <w:szCs w:val="18"/>
          <w:color w:val="auto"/>
        </w:rPr>
      </w:pPr>
      <w:r>
        <w:rPr>
          <w:rFonts w:ascii="Arial" w:cs="Arial" w:eastAsia="Arial" w:hAnsi="Arial"/>
          <w:sz w:val="18"/>
          <w:szCs w:val="18"/>
          <w:color w:val="auto"/>
        </w:rPr>
        <w:t>accrued and unpaid interest on the Notes.</w:t>
      </w:r>
    </w:p>
    <w:p>
      <w:pPr>
        <w:spacing w:after="0" w:line="221" w:lineRule="exact"/>
        <w:rPr>
          <w:rFonts w:ascii="Arial" w:cs="Arial" w:eastAsia="Arial" w:hAnsi="Arial"/>
          <w:sz w:val="18"/>
          <w:szCs w:val="18"/>
          <w:color w:val="auto"/>
        </w:rPr>
      </w:pPr>
    </w:p>
    <w:p>
      <w:pPr>
        <w:jc w:val="both"/>
        <w:ind w:left="-656" w:firstLine="656"/>
        <w:spacing w:after="0" w:line="256" w:lineRule="auto"/>
        <w:tabs>
          <w:tab w:leader="none" w:pos="99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Adjustment Deferral</w:t>
      </w:r>
      <w:r>
        <w:rPr>
          <w:rFonts w:ascii="Arial" w:cs="Arial" w:eastAsia="Arial" w:hAnsi="Arial"/>
          <w:sz w:val="18"/>
          <w:szCs w:val="18"/>
          <w:color w:val="auto"/>
        </w:rPr>
        <w:t>. If an adjustment to the Conversion Rate otherwise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result in a change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one percent (1%) to the Conversion Rate, then, notwithstanding anything to the contrary in this </w:t>
      </w:r>
      <w:r>
        <w:rPr>
          <w:rFonts w:ascii="Arial" w:cs="Arial" w:eastAsia="Arial" w:hAnsi="Arial"/>
          <w:sz w:val="18"/>
          <w:szCs w:val="18"/>
          <w:b w:val="1"/>
          <w:bCs w:val="1"/>
          <w:color w:val="auto"/>
        </w:rPr>
        <w:t>Article 5</w:t>
      </w:r>
      <w:r>
        <w:rPr>
          <w:rFonts w:ascii="Arial" w:cs="Arial" w:eastAsia="Arial" w:hAnsi="Arial"/>
          <w:sz w:val="18"/>
          <w:szCs w:val="18"/>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any Redemption Notice Date; and (v) September 15, 2026.</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4884" w:hanging="111"/>
        <w:spacing w:after="0"/>
        <w:tabs>
          <w:tab w:leader="none" w:pos="4884" w:val="left"/>
        </w:tabs>
        <w:numPr>
          <w:ilvl w:val="3"/>
          <w:numId w:val="82"/>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4" w:name="page65"/>
    <w:bookmarkEnd w:id="64"/>
    <w:p>
      <w:pPr>
        <w:ind w:left="1320" w:hanging="664"/>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Adjustments Not Yet Effective</w:t>
      </w:r>
      <w:r>
        <w:rPr>
          <w:rFonts w:ascii="Arial" w:cs="Arial" w:eastAsia="Arial" w:hAnsi="Arial"/>
          <w:sz w:val="18"/>
          <w:szCs w:val="18"/>
          <w:color w:val="auto"/>
        </w:rPr>
        <w:t>. Notwithstanding anything to the contrary in this Indenture or the Notes, if:</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2157"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record date, effective date or Expiration Time for any event that requires an adjustment to the Conversion Rate pursuant to </w:t>
      </w:r>
      <w:r>
        <w:rPr>
          <w:rFonts w:ascii="Arial" w:cs="Arial" w:eastAsia="Arial" w:hAnsi="Arial"/>
          <w:sz w:val="17"/>
          <w:szCs w:val="17"/>
          <w:b w:val="1"/>
          <w:bCs w:val="1"/>
          <w:color w:val="auto"/>
        </w:rPr>
        <w:t xml:space="preserve">Section 5.05(A) </w:t>
      </w:r>
      <w:r>
        <w:rPr>
          <w:rFonts w:ascii="Arial" w:cs="Arial" w:eastAsia="Arial" w:hAnsi="Arial"/>
          <w:sz w:val="17"/>
          <w:szCs w:val="17"/>
          <w:color w:val="auto"/>
        </w:rPr>
        <w:t>has occurred on or before the Conversion Date for such conversion (in the case of Physical Settlement) or on or before any</w:t>
      </w:r>
      <w:r>
        <w:rPr>
          <w:rFonts w:ascii="Arial" w:cs="Arial" w:eastAsia="Arial" w:hAnsi="Arial"/>
          <w:sz w:val="17"/>
          <w:szCs w:val="17"/>
          <w:b w:val="1"/>
          <w:bCs w:val="1"/>
          <w:color w:val="auto"/>
        </w:rPr>
        <w:t xml:space="preserve"> </w:t>
      </w:r>
      <w:r>
        <w:rPr>
          <w:rFonts w:ascii="Arial" w:cs="Arial" w:eastAsia="Arial" w:hAnsi="Arial"/>
          <w:sz w:val="17"/>
          <w:szCs w:val="17"/>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22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and</w:t>
      </w:r>
    </w:p>
    <w:p>
      <w:pPr>
        <w:spacing w:after="0" w:line="183" w:lineRule="exact"/>
        <w:rPr>
          <w:rFonts w:ascii="Arial" w:cs="Arial" w:eastAsia="Arial" w:hAnsi="Arial"/>
          <w:sz w:val="18"/>
          <w:szCs w:val="18"/>
          <w:color w:val="auto"/>
        </w:rPr>
      </w:pPr>
    </w:p>
    <w:p>
      <w:pPr>
        <w:ind w:left="2140" w:hanging="836"/>
        <w:spacing w:after="0"/>
        <w:tabs>
          <w:tab w:leader="none" w:pos="21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shares are not entitled to participate in such event (because they were not held on the related record date or otherwise),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spacing w:after="0" w:line="171" w:lineRule="exact"/>
        <w:rPr>
          <w:sz w:val="20"/>
          <w:szCs w:val="20"/>
          <w:color w:val="auto"/>
        </w:rPr>
      </w:pPr>
    </w:p>
    <w:p>
      <w:pPr>
        <w:ind w:firstLine="656"/>
        <w:spacing w:after="0" w:line="277" w:lineRule="auto"/>
        <w:tabs>
          <w:tab w:leader="none" w:pos="1368"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Conversion Rate Adjustments where Converting Holders Participate in the Relevant Transaction or Event</w:t>
      </w:r>
      <w:r>
        <w:rPr>
          <w:rFonts w:ascii="Arial" w:cs="Arial" w:eastAsia="Arial" w:hAnsi="Arial"/>
          <w:sz w:val="18"/>
          <w:szCs w:val="18"/>
          <w:color w:val="auto"/>
        </w:rPr>
        <w:t>. Notwithstanding anything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contrary in this Indenture or the Notes, if:</w:t>
      </w:r>
    </w:p>
    <w:p>
      <w:pPr>
        <w:spacing w:after="0" w:line="170" w:lineRule="exact"/>
        <w:rPr>
          <w:rFonts w:ascii="Arial" w:cs="Arial" w:eastAsia="Arial" w:hAnsi="Arial"/>
          <w:sz w:val="18"/>
          <w:szCs w:val="18"/>
          <w:color w:val="auto"/>
        </w:rPr>
      </w:pPr>
    </w:p>
    <w:p>
      <w:pPr>
        <w:ind w:left="2460" w:hanging="1156"/>
        <w:spacing w:after="0"/>
        <w:tabs>
          <w:tab w:leader="none" w:pos="24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 Conversion Rate adjustment for any dividend or distribution becomes effective on any Ex-Dividend Date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Section 5.05(A)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160" w:hanging="856"/>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99"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2287"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in each case based on a Conversion Rate that is adjusted for such dividend or distribution; and</w:t>
      </w:r>
    </w:p>
    <w:p>
      <w:pPr>
        <w:spacing w:after="0" w:line="381" w:lineRule="exact"/>
        <w:rPr>
          <w:rFonts w:ascii="Arial" w:cs="Arial" w:eastAsia="Arial" w:hAnsi="Arial"/>
          <w:sz w:val="17"/>
          <w:szCs w:val="17"/>
          <w:color w:val="auto"/>
        </w:rPr>
      </w:pPr>
    </w:p>
    <w:p>
      <w:pPr>
        <w:ind w:left="5540" w:hanging="111"/>
        <w:spacing w:after="0"/>
        <w:tabs>
          <w:tab w:leader="none" w:pos="5540" w:val="left"/>
        </w:tabs>
        <w:numPr>
          <w:ilvl w:val="2"/>
          <w:numId w:val="84"/>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5" w:name="page66"/>
    <w:bookmarkEnd w:id="65"/>
    <w:p>
      <w:pPr>
        <w:ind w:left="2180" w:hanging="876"/>
        <w:spacing w:after="0"/>
        <w:tabs>
          <w:tab w:leader="none" w:pos="2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such shares would be entitled to participate in such dividend or distribution (including pursuant to </w:t>
      </w:r>
      <w:r>
        <w:rPr>
          <w:rFonts w:ascii="Arial" w:cs="Arial" w:eastAsia="Arial" w:hAnsi="Arial"/>
          <w:sz w:val="17"/>
          <w:szCs w:val="17"/>
          <w:b w:val="1"/>
          <w:bCs w:val="1"/>
          <w:color w:val="auto"/>
        </w:rPr>
        <w:t>Section 5.02(C)</w:t>
      </w:r>
      <w:r>
        <w:rPr>
          <w:rFonts w:ascii="Arial" w:cs="Arial" w:eastAsia="Arial" w:hAnsi="Arial"/>
          <w:sz w:val="17"/>
          <w:szCs w:val="17"/>
          <w:color w:val="auto"/>
        </w:rPr>
        <w:t>),</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77" w:lineRule="exact"/>
        <w:rPr>
          <w:sz w:val="20"/>
          <w:szCs w:val="20"/>
          <w:color w:val="auto"/>
        </w:rPr>
      </w:pPr>
    </w:p>
    <w:p>
      <w:pPr>
        <w:jc w:val="both"/>
        <w:ind w:firstLine="656"/>
        <w:spacing w:after="0" w:line="254" w:lineRule="auto"/>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Stockholder Rights Plans</w:t>
      </w:r>
      <w:r>
        <w:rPr>
          <w:rFonts w:ascii="Arial" w:cs="Arial" w:eastAsia="Arial" w:hAnsi="Arial"/>
          <w:sz w:val="18"/>
          <w:szCs w:val="18"/>
          <w:color w:val="auto"/>
        </w:rPr>
        <w:t>. If any shares of Common Stock are to be issued upon conversion of any Note and, at the time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Arial" w:cs="Arial" w:eastAsia="Arial" w:hAnsi="Arial"/>
          <w:sz w:val="18"/>
          <w:szCs w:val="18"/>
          <w:b w:val="1"/>
          <w:bCs w:val="1"/>
          <w:color w:val="auto"/>
        </w:rPr>
        <w:t>Section 5.05(A)(iii)(1)</w:t>
      </w:r>
      <w:r>
        <w:rPr>
          <w:rFonts w:ascii="Arial" w:cs="Arial" w:eastAsia="Arial" w:hAnsi="Arial"/>
          <w:sz w:val="18"/>
          <w:szCs w:val="18"/>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33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Limitation on Effecting Transactions Resulting in Certain Adjustments</w:t>
      </w:r>
      <w:r>
        <w:rPr>
          <w:rFonts w:ascii="Arial" w:cs="Arial" w:eastAsia="Arial" w:hAnsi="Arial"/>
          <w:sz w:val="18"/>
          <w:szCs w:val="18"/>
          <w:color w:val="auto"/>
        </w:rPr>
        <w:t>. The Company will not engage in or be a party to 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event that would require the Conversion Rate to be adjusted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an amount that would result in the Conversion Price per share of Common Stock being less than the par value per share of Common Stock.</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411"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Equitable Adjustments to Prices</w:t>
      </w:r>
      <w:r>
        <w:rPr>
          <w:rFonts w:ascii="Arial" w:cs="Arial" w:eastAsia="Arial" w:hAnsi="Arial"/>
          <w:sz w:val="18"/>
          <w:szCs w:val="18"/>
          <w:color w:val="auto"/>
        </w:rPr>
        <w:t>. Whenever any provision of this Indenture requires the Company to calculate the Last Reported Sale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spacing w:after="0" w:line="188" w:lineRule="exact"/>
        <w:rPr>
          <w:rFonts w:ascii="Arial" w:cs="Arial" w:eastAsia="Arial" w:hAnsi="Arial"/>
          <w:sz w:val="18"/>
          <w:szCs w:val="18"/>
          <w:color w:val="auto"/>
        </w:rPr>
      </w:pPr>
    </w:p>
    <w:p>
      <w:pPr>
        <w:jc w:val="both"/>
        <w:ind w:firstLine="656"/>
        <w:spacing w:after="0" w:line="261" w:lineRule="auto"/>
        <w:tabs>
          <w:tab w:leader="none" w:pos="1412"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Calculation of Number of Outstanding Shares of Common Stock</w:t>
      </w:r>
      <w:r>
        <w:rPr>
          <w:rFonts w:ascii="Arial" w:cs="Arial" w:eastAsia="Arial" w:hAnsi="Arial"/>
          <w:sz w:val="18"/>
          <w:szCs w:val="18"/>
          <w:color w:val="auto"/>
        </w:rPr>
        <w:t>. For purposes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firstLine="656"/>
        <w:spacing w:after="0" w:line="277" w:lineRule="auto"/>
        <w:tabs>
          <w:tab w:leader="none" w:pos="1571"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with respect to the Conversion Rate and adjustments thereto will be made to the nearest 1/10,000th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(with 5/100,000ths rounded upward).</w:t>
      </w:r>
    </w:p>
    <w:p>
      <w:pPr>
        <w:spacing w:after="0" w:line="166" w:lineRule="exact"/>
        <w:rPr>
          <w:rFonts w:ascii="Arial" w:cs="Arial" w:eastAsia="Arial" w:hAnsi="Arial"/>
          <w:sz w:val="18"/>
          <w:szCs w:val="18"/>
          <w:color w:val="auto"/>
        </w:rPr>
      </w:pPr>
    </w:p>
    <w:p>
      <w:pPr>
        <w:jc w:val="both"/>
        <w:ind w:firstLine="656"/>
        <w:spacing w:after="0" w:line="261" w:lineRule="auto"/>
        <w:tabs>
          <w:tab w:leader="none" w:pos="1496"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Notice of Conversion Rate Adjustments</w:t>
      </w:r>
      <w:r>
        <w:rPr>
          <w:rFonts w:ascii="Arial" w:cs="Arial" w:eastAsia="Arial" w:hAnsi="Arial"/>
          <w:sz w:val="18"/>
          <w:szCs w:val="18"/>
          <w:color w:val="auto"/>
        </w:rPr>
        <w:t>. Upon the effectiveness of any adjustment to the Conversion Rate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5.06. V</w:t>
      </w:r>
      <w:r>
        <w:rPr>
          <w:rFonts w:ascii="Arial" w:cs="Arial" w:eastAsia="Arial" w:hAnsi="Arial"/>
          <w:sz w:val="12"/>
          <w:szCs w:val="12"/>
          <w:b w:val="1"/>
          <w:bCs w:val="1"/>
          <w:color w:val="auto"/>
        </w:rPr>
        <w:t>OLUNTARY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68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To the extent permitted by law and applicable stock exchange rules, the Company, from time to time, may (but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and (ii) such increase is irrevocably in effect for a period of at least twenty (20) Business Days.</w:t>
      </w:r>
    </w:p>
    <w:p>
      <w:pPr>
        <w:spacing w:after="0" w:line="183" w:lineRule="exact"/>
        <w:rPr>
          <w:rFonts w:ascii="Arial" w:cs="Arial" w:eastAsia="Arial" w:hAnsi="Arial"/>
          <w:sz w:val="18"/>
          <w:szCs w:val="18"/>
          <w:color w:val="auto"/>
        </w:rPr>
      </w:pPr>
    </w:p>
    <w:p>
      <w:pPr>
        <w:jc w:val="both"/>
        <w:ind w:firstLine="656"/>
        <w:spacing w:after="0" w:line="314" w:lineRule="auto"/>
        <w:tabs>
          <w:tab w:leader="none" w:pos="1531"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Notice of Voluntary Increases</w:t>
      </w:r>
      <w:r>
        <w:rPr>
          <w:rFonts w:ascii="Arial" w:cs="Arial" w:eastAsia="Arial" w:hAnsi="Arial"/>
          <w:sz w:val="16"/>
          <w:szCs w:val="16"/>
          <w:color w:val="auto"/>
        </w:rPr>
        <w:t>. If the Board of Directors determines to increase the Conversion Rate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5.06(A)</w:t>
      </w:r>
      <w:r>
        <w:rPr>
          <w:rFonts w:ascii="Arial" w:cs="Arial" w:eastAsia="Arial" w:hAnsi="Arial"/>
          <w:sz w:val="16"/>
          <w:szCs w:val="16"/>
          <w:color w:val="auto"/>
        </w:rPr>
        <w:t>, then,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later than the first Business Day of the related twenty (20) Business Day period referred to in </w:t>
      </w:r>
      <w:r>
        <w:rPr>
          <w:rFonts w:ascii="Arial" w:cs="Arial" w:eastAsia="Arial" w:hAnsi="Arial"/>
          <w:sz w:val="16"/>
          <w:szCs w:val="16"/>
          <w:b w:val="1"/>
          <w:bCs w:val="1"/>
          <w:color w:val="auto"/>
        </w:rPr>
        <w:t>Section 5.06(A)</w:t>
      </w:r>
      <w:r>
        <w:rPr>
          <w:rFonts w:ascii="Arial" w:cs="Arial" w:eastAsia="Arial" w:hAnsi="Arial"/>
          <w:sz w:val="16"/>
          <w:szCs w:val="16"/>
          <w:color w:val="auto"/>
        </w:rPr>
        <w:t>, the Company will send notice to each Holder, the Trustee and the Conversion Agent of such increase, the amount thereof and the period during which such increase will be in effect.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5.07.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ONNECTION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w:t>
      </w:r>
      <w:r>
        <w:rPr>
          <w:rFonts w:ascii="Arial" w:cs="Arial" w:eastAsia="Arial" w:hAnsi="Arial"/>
          <w:sz w:val="18"/>
          <w:szCs w:val="18"/>
          <w:b w:val="1"/>
          <w:bCs w:val="1"/>
          <w:color w:val="auto"/>
        </w:rPr>
        <w:t xml:space="preserve"> A M</w:t>
      </w:r>
      <w:r>
        <w:rPr>
          <w:rFonts w:ascii="Arial" w:cs="Arial" w:eastAsia="Arial" w:hAnsi="Arial"/>
          <w:sz w:val="12"/>
          <w:szCs w:val="12"/>
          <w:b w:val="1"/>
          <w:bCs w:val="1"/>
          <w:color w:val="auto"/>
        </w:rPr>
        <w:t>AKE</w:t>
      </w:r>
      <w:r>
        <w:rPr>
          <w:rFonts w:ascii="Arial" w:cs="Arial" w:eastAsia="Arial" w:hAnsi="Arial"/>
          <w:sz w:val="18"/>
          <w:szCs w:val="18"/>
          <w:b w:val="1"/>
          <w:bCs w:val="1"/>
          <w:color w:val="auto"/>
        </w:rPr>
        <w:t>-W</w:t>
      </w:r>
      <w:r>
        <w:rPr>
          <w:rFonts w:ascii="Arial" w:cs="Arial" w:eastAsia="Arial" w:hAnsi="Arial"/>
          <w:sz w:val="12"/>
          <w:szCs w:val="12"/>
          <w:b w:val="1"/>
          <w:bCs w:val="1"/>
          <w:color w:val="auto"/>
        </w:rPr>
        <w:t>HOLE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644"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a Make-Whole Fundamental Change occurs and the Conversion Date for the conversion of a Note occurs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 Make-Whole Fundamental Change Conversion Period, then, subject to this </w:t>
      </w:r>
      <w:r>
        <w:rPr>
          <w:rFonts w:ascii="Arial" w:cs="Arial" w:eastAsia="Arial" w:hAnsi="Arial"/>
          <w:sz w:val="16"/>
          <w:szCs w:val="16"/>
          <w:b w:val="1"/>
          <w:bCs w:val="1"/>
          <w:color w:val="auto"/>
        </w:rPr>
        <w:t>Section 5.07</w:t>
      </w:r>
      <w:r>
        <w:rPr>
          <w:rFonts w:ascii="Arial" w:cs="Arial" w:eastAsia="Arial" w:hAnsi="Arial"/>
          <w:sz w:val="16"/>
          <w:szCs w:val="16"/>
          <w:color w:val="auto"/>
        </w:rPr>
        <w:t>, the Conversion Rate applicable to such conversion will be increased by a number of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373" w:lineRule="exact"/>
        <w:rPr>
          <w:rFonts w:ascii="Arial" w:cs="Arial" w:eastAsia="Arial" w:hAnsi="Arial"/>
          <w:sz w:val="16"/>
          <w:szCs w:val="16"/>
          <w:color w:val="auto"/>
        </w:rPr>
      </w:pPr>
    </w:p>
    <w:p>
      <w:pPr>
        <w:ind w:left="5540" w:hanging="111"/>
        <w:spacing w:after="0"/>
        <w:tabs>
          <w:tab w:leader="none" w:pos="5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3"/>
        </w:trPr>
        <w:tc>
          <w:tcPr>
            <w:tcW w:w="1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Make-Whole</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Stock Price</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0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Fundamental</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Change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Effective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$36.52</w:t>
            </w:r>
          </w:p>
        </w:tc>
        <w:tc>
          <w:tcPr>
            <w:tcW w:w="16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$40.00</w:t>
            </w:r>
          </w:p>
        </w:tc>
        <w:tc>
          <w:tcPr>
            <w:tcW w:w="1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$45.00</w:t>
            </w:r>
          </w:p>
        </w:tc>
        <w:tc>
          <w:tcPr>
            <w:tcW w:w="16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$50.00</w:t>
            </w:r>
          </w:p>
        </w:tc>
        <w:tc>
          <w:tcPr>
            <w:tcW w:w="20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$54.78</w:t>
            </w:r>
          </w:p>
        </w:tc>
        <w:tc>
          <w:tcPr>
            <w:tcW w:w="18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$60.00</w:t>
            </w:r>
          </w:p>
        </w:tc>
        <w:tc>
          <w:tcPr>
            <w:tcW w:w="18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$65.00</w:t>
            </w:r>
          </w:p>
        </w:tc>
        <w:tc>
          <w:tcPr>
            <w:tcW w:w="200" w:type="dxa"/>
            <w:vAlign w:val="bottom"/>
          </w:tcPr>
          <w:p>
            <w:pPr>
              <w:spacing w:after="0"/>
              <w:rPr>
                <w:sz w:val="13"/>
                <w:szCs w:val="1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$71.21</w:t>
            </w:r>
          </w:p>
        </w:tc>
        <w:tc>
          <w:tcPr>
            <w:tcW w:w="18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$80.00</w:t>
            </w:r>
          </w:p>
        </w:tc>
        <w:tc>
          <w:tcPr>
            <w:tcW w:w="18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$90.00</w:t>
            </w:r>
          </w:p>
        </w:tc>
        <w:tc>
          <w:tcPr>
            <w:tcW w:w="18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$100.00</w:t>
            </w:r>
          </w:p>
        </w:tc>
        <w:tc>
          <w:tcPr>
            <w:tcW w:w="18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$125.00</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150.00</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5"/>
              </w:rPr>
              <w:t>December 14, 2021</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9.1274</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7.6365</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5.9951</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4.7710</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3.8746</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3.1157</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color w:val="auto"/>
                <w:w w:val="80"/>
              </w:rPr>
              <w:t>2.5472</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1.9992</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1.4343</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0.9920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0.6879</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0.2652</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0.0837</w:t>
            </w: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w w:val="92"/>
              </w:rPr>
              <w:t>December 15, 2022</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7.4268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5.7460</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4.5044</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3.6042</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2.8508</w:t>
            </w:r>
          </w:p>
        </w:tc>
        <w:tc>
          <w:tcPr>
            <w:tcW w:w="7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2.2935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1.7638</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1.2283</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0.8194</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0.5463</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0.1845</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0.0437</w:t>
            </w: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December 15, 2023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7.2788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5.5211</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4.2380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3.3207</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2.5650</w:t>
            </w:r>
          </w:p>
        </w:tc>
        <w:tc>
          <w:tcPr>
            <w:tcW w:w="7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2.0158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1.5047</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1.0026</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0.6339</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0.3978</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0.1079</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0.0133</w:t>
            </w: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w w:val="92"/>
              </w:rPr>
              <w:t>December 15, 2024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7.1018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5.2216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3.8716</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2.9277</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2.1705</w:t>
            </w:r>
          </w:p>
        </w:tc>
        <w:tc>
          <w:tcPr>
            <w:tcW w:w="7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1.6372</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1.1590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0.7134</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0.4084</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0.2283</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0.0366</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0.0000</w:t>
            </w: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December 15, 2025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6.8048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4.7018</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3.2324</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2.2506</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1.5117</w:t>
            </w:r>
          </w:p>
        </w:tc>
        <w:tc>
          <w:tcPr>
            <w:tcW w:w="7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1.0308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0.6392</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0.3218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0.1411</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0.0545</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0.0000</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0.0000</w:t>
            </w: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w w:val="92"/>
              </w:rPr>
              <w:t>December 15, 2026</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6.7452</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3.9674</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1.7452</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0.0000</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59" w:lineRule="auto"/>
        <w:tabs>
          <w:tab w:leader="none" w:pos="23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23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if the Stock Price is greater than $200.00 (subject to adjustment in the same manner as the Stock Prices set forth in the column headings of the table above are adjusted pursuant to </w:t>
      </w:r>
      <w:r>
        <w:rPr>
          <w:rFonts w:ascii="Arial" w:cs="Arial" w:eastAsia="Arial" w:hAnsi="Arial"/>
          <w:sz w:val="18"/>
          <w:szCs w:val="18"/>
          <w:b w:val="1"/>
          <w:bCs w:val="1"/>
          <w:color w:val="auto"/>
        </w:rPr>
        <w:t>Section 5.07(B)</w:t>
      </w:r>
      <w:r>
        <w:rPr>
          <w:rFonts w:ascii="Arial" w:cs="Arial" w:eastAsia="Arial" w:hAnsi="Arial"/>
          <w:sz w:val="18"/>
          <w:szCs w:val="18"/>
          <w:color w:val="auto"/>
        </w:rPr>
        <w:t>), or less than $36.52 (subject to adjustment in the same manner), per share, then no Additional Shares will be added to the Conversion Rate.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Notwithstanding anything to the contrary in this Indenture or the Notes, in no event will the Conversion Rate be increased to an amount that exceeds 27.3822 shares of Common Stock per $1,000 principal amount of Notes, which amount is subject to adjustment in the same manner as, and at the same time and for the same events for which, the Conversion Rate is required to be adjusted pursuant to </w:t>
      </w:r>
      <w:r>
        <w:rPr>
          <w:rFonts w:ascii="Arial" w:cs="Arial" w:eastAsia="Arial" w:hAnsi="Arial"/>
          <w:sz w:val="17"/>
          <w:szCs w:val="17"/>
          <w:b w:val="1"/>
          <w:bCs w:val="1"/>
          <w:color w:val="auto"/>
        </w:rPr>
        <w:t>Section 5.05(A)</w:t>
      </w:r>
      <w:r>
        <w:rPr>
          <w:rFonts w:ascii="Arial" w:cs="Arial" w:eastAsia="Arial" w:hAnsi="Arial"/>
          <w:sz w:val="17"/>
          <w:szCs w:val="17"/>
          <w:color w:val="auto"/>
        </w:rPr>
        <w:t>.</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the avoidance of doubt, but subject to </w:t>
      </w:r>
      <w:r>
        <w:rPr>
          <w:rFonts w:ascii="Arial" w:cs="Arial" w:eastAsia="Arial" w:hAnsi="Arial"/>
          <w:sz w:val="18"/>
          <w:szCs w:val="18"/>
          <w:b w:val="1"/>
          <w:bCs w:val="1"/>
          <w:color w:val="auto"/>
        </w:rPr>
        <w:t>Section 4.03(J)</w:t>
      </w:r>
      <w:r>
        <w:rPr>
          <w:rFonts w:ascii="Arial" w:cs="Arial" w:eastAsia="Arial" w:hAnsi="Arial"/>
          <w:sz w:val="18"/>
          <w:szCs w:val="18"/>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for Redemption will not be subject to increase pursuant to this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on account of such Redemption Notice, except to the limited extent described in </w:t>
      </w:r>
      <w:r>
        <w:rPr>
          <w:rFonts w:ascii="Arial" w:cs="Arial" w:eastAsia="Arial" w:hAnsi="Arial"/>
          <w:sz w:val="18"/>
          <w:szCs w:val="18"/>
          <w:b w:val="1"/>
          <w:bCs w:val="1"/>
          <w:color w:val="auto"/>
        </w:rPr>
        <w:t>Section 4.03(J)</w:t>
      </w:r>
      <w:r>
        <w:rPr>
          <w:rFonts w:ascii="Arial" w:cs="Arial" w:eastAsia="Arial" w:hAnsi="Arial"/>
          <w:sz w:val="18"/>
          <w:szCs w:val="18"/>
          <w:color w:val="auto"/>
        </w:rPr>
        <w:t>.</w:t>
      </w:r>
    </w:p>
    <w:p>
      <w:pPr>
        <w:spacing w:after="0" w:line="184" w:lineRule="exact"/>
        <w:rPr>
          <w:sz w:val="20"/>
          <w:szCs w:val="20"/>
          <w:color w:val="auto"/>
        </w:rPr>
      </w:pPr>
    </w:p>
    <w:p>
      <w:pPr>
        <w:jc w:val="both"/>
        <w:ind w:firstLine="656"/>
        <w:spacing w:after="0" w:line="301" w:lineRule="auto"/>
        <w:tabs>
          <w:tab w:leader="none" w:pos="1585"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Adjustment of Stock Prices and Number of Additional Shares</w:t>
      </w:r>
      <w:r>
        <w:rPr>
          <w:rFonts w:ascii="Arial" w:cs="Arial" w:eastAsia="Arial" w:hAnsi="Arial"/>
          <w:sz w:val="16"/>
          <w:szCs w:val="16"/>
          <w:color w:val="auto"/>
        </w:rPr>
        <w:t>. The Stock Prices in the first row (</w:t>
      </w:r>
      <w:r>
        <w:rPr>
          <w:rFonts w:ascii="Arial" w:cs="Arial" w:eastAsia="Arial" w:hAnsi="Arial"/>
          <w:sz w:val="16"/>
          <w:szCs w:val="16"/>
          <w:i w:val="1"/>
          <w:iCs w:val="1"/>
          <w:color w:val="auto"/>
        </w:rPr>
        <w:t>i.e.</w:t>
      </w:r>
      <w:r>
        <w:rPr>
          <w:rFonts w:ascii="Arial" w:cs="Arial" w:eastAsia="Arial" w:hAnsi="Arial"/>
          <w:sz w:val="16"/>
          <w:szCs w:val="16"/>
          <w:color w:val="auto"/>
        </w:rPr>
        <w:t>, the column headers) of the table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 forth in </w:t>
      </w:r>
      <w:r>
        <w:rPr>
          <w:rFonts w:ascii="Arial" w:cs="Arial" w:eastAsia="Arial" w:hAnsi="Arial"/>
          <w:sz w:val="16"/>
          <w:szCs w:val="16"/>
          <w:b w:val="1"/>
          <w:bCs w:val="1"/>
          <w:color w:val="auto"/>
        </w:rPr>
        <w:t>Section 5.07(A)</w:t>
      </w:r>
      <w:r>
        <w:rPr>
          <w:rFonts w:ascii="Arial" w:cs="Arial" w:eastAsia="Arial" w:hAnsi="Arial"/>
          <w:sz w:val="16"/>
          <w:szCs w:val="16"/>
          <w:color w:val="auto"/>
        </w:rPr>
        <w:t xml:space="preserve"> will be adjusted in the same manner as, and at the same time and for the same events for which, the Conversion Price is adjusted as a result of the operation of </w:t>
      </w:r>
      <w:r>
        <w:rPr>
          <w:rFonts w:ascii="Arial" w:cs="Arial" w:eastAsia="Arial" w:hAnsi="Arial"/>
          <w:sz w:val="16"/>
          <w:szCs w:val="16"/>
          <w:b w:val="1"/>
          <w:bCs w:val="1"/>
          <w:color w:val="auto"/>
        </w:rPr>
        <w:t>Section 5.05(A)</w:t>
      </w:r>
      <w:r>
        <w:rPr>
          <w:rFonts w:ascii="Arial" w:cs="Arial" w:eastAsia="Arial" w:hAnsi="Arial"/>
          <w:sz w:val="16"/>
          <w:szCs w:val="16"/>
          <w:color w:val="auto"/>
        </w:rPr>
        <w:t xml:space="preserve">. The numbers of Additional Shares in the table set forth in </w:t>
      </w:r>
      <w:r>
        <w:rPr>
          <w:rFonts w:ascii="Arial" w:cs="Arial" w:eastAsia="Arial" w:hAnsi="Arial"/>
          <w:sz w:val="16"/>
          <w:szCs w:val="16"/>
          <w:b w:val="1"/>
          <w:bCs w:val="1"/>
          <w:color w:val="auto"/>
        </w:rPr>
        <w:t>Section 5.07(A)</w:t>
      </w:r>
      <w:r>
        <w:rPr>
          <w:rFonts w:ascii="Arial" w:cs="Arial" w:eastAsia="Arial" w:hAnsi="Arial"/>
          <w:sz w:val="16"/>
          <w:szCs w:val="16"/>
          <w:color w:val="auto"/>
        </w:rPr>
        <w:t xml:space="preserve"> will be adjusted in the same manner as, and at the same time and for the same events for which, the Conversion Rate is adjusted pursuant to </w:t>
      </w:r>
      <w:r>
        <w:rPr>
          <w:rFonts w:ascii="Arial" w:cs="Arial" w:eastAsia="Arial" w:hAnsi="Arial"/>
          <w:sz w:val="16"/>
          <w:szCs w:val="16"/>
          <w:b w:val="1"/>
          <w:bCs w:val="1"/>
          <w:color w:val="auto"/>
        </w:rPr>
        <w:t>Section 5.05(A)</w:t>
      </w:r>
      <w:r>
        <w:rPr>
          <w:rFonts w:ascii="Arial" w:cs="Arial" w:eastAsia="Arial" w:hAnsi="Arial"/>
          <w:sz w:val="16"/>
          <w:szCs w:val="16"/>
          <w:color w:val="auto"/>
        </w:rPr>
        <w:t>.</w:t>
      </w:r>
    </w:p>
    <w:p>
      <w:pPr>
        <w:spacing w:after="0" w:line="373" w:lineRule="exact"/>
        <w:rPr>
          <w:rFonts w:ascii="Arial" w:cs="Arial" w:eastAsia="Arial" w:hAnsi="Arial"/>
          <w:sz w:val="16"/>
          <w:szCs w:val="16"/>
          <w:color w:val="auto"/>
        </w:rPr>
      </w:pPr>
    </w:p>
    <w:p>
      <w:pPr>
        <w:ind w:left="5540" w:hanging="111"/>
        <w:spacing w:after="0"/>
        <w:tabs>
          <w:tab w:leader="none" w:pos="5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8" w:name="page69"/>
    <w:bookmarkEnd w:id="68"/>
    <w:p>
      <w:pPr>
        <w:jc w:val="both"/>
        <w:ind w:firstLine="656"/>
        <w:spacing w:after="0" w:line="263" w:lineRule="auto"/>
        <w:tabs>
          <w:tab w:leader="none" w:pos="1841"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Notice of the Occurrence of a Make-Whole Fundamental Change</w:t>
      </w:r>
      <w:r>
        <w:rPr>
          <w:rFonts w:ascii="Arial" w:cs="Arial" w:eastAsia="Arial" w:hAnsi="Arial"/>
          <w:sz w:val="18"/>
          <w:szCs w:val="18"/>
          <w:color w:val="auto"/>
        </w:rPr>
        <w:t>. The Company will notify the Holders, the Trustee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Agent of each Make-Whole Fundamental Change occurring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the definition thereof in accordance with </w:t>
      </w:r>
      <w:r>
        <w:rPr>
          <w:rFonts w:ascii="Arial" w:cs="Arial" w:eastAsia="Arial" w:hAnsi="Arial"/>
          <w:sz w:val="18"/>
          <w:szCs w:val="18"/>
          <w:b w:val="1"/>
          <w:bCs w:val="1"/>
          <w:color w:val="auto"/>
        </w:rPr>
        <w:t>Section 5.01(C)</w:t>
      </w:r>
      <w:r>
        <w:rPr>
          <w:rFonts w:ascii="Arial" w:cs="Arial" w:eastAsia="Arial" w:hAnsi="Arial"/>
          <w:sz w:val="18"/>
          <w:szCs w:val="18"/>
          <w:color w:val="auto"/>
        </w:rPr>
        <w:t xml:space="preserve"> </w:t>
      </w:r>
      <w:r>
        <w:rPr>
          <w:rFonts w:ascii="Arial" w:cs="Arial" w:eastAsia="Arial" w:hAnsi="Arial"/>
          <w:sz w:val="18"/>
          <w:szCs w:val="18"/>
          <w:b w:val="1"/>
          <w:bCs w:val="1"/>
          <w:color w:val="auto"/>
        </w:rPr>
        <w:t>(i)(3)(b)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2"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Settlement of Cash Make-Whole Fundamental Changes</w:t>
      </w:r>
      <w:r>
        <w:rPr>
          <w:rFonts w:ascii="Arial" w:cs="Arial" w:eastAsia="Arial" w:hAnsi="Arial"/>
          <w:sz w:val="18"/>
          <w:szCs w:val="18"/>
          <w:color w:val="auto"/>
        </w:rPr>
        <w:t>. For the avoidance of doubt, if holders of Common Stock receive solely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a Common Stock Change Event that also constitutes a Make-Whole Fundamental Change, then, pursuant to </w:t>
      </w:r>
      <w:r>
        <w:rPr>
          <w:rFonts w:ascii="Arial" w:cs="Arial" w:eastAsia="Arial" w:hAnsi="Arial"/>
          <w:sz w:val="18"/>
          <w:szCs w:val="18"/>
          <w:b w:val="1"/>
          <w:bCs w:val="1"/>
          <w:color w:val="auto"/>
        </w:rPr>
        <w:t>Section 5.09</w:t>
      </w:r>
      <w:r>
        <w:rPr>
          <w:rFonts w:ascii="Arial" w:cs="Arial" w:eastAsia="Arial" w:hAnsi="Arial"/>
          <w:sz w:val="18"/>
          <w:szCs w:val="18"/>
          <w:color w:val="auto"/>
        </w:rPr>
        <w:t>, conversions of Notes will thereafter be settled no later than the second (2nd) Business Day after the relevant Conversion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5.08. E</w:t>
      </w:r>
      <w:r>
        <w:rPr>
          <w:rFonts w:ascii="Arial" w:cs="Arial" w:eastAsia="Arial" w:hAnsi="Arial"/>
          <w:sz w:val="12"/>
          <w:szCs w:val="12"/>
          <w:b w:val="1"/>
          <w:bCs w:val="1"/>
          <w:color w:val="auto"/>
        </w:rPr>
        <w:t>XCHANGE IN</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IEU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and subject to the terms of this </w:t>
      </w:r>
      <w:r>
        <w:rPr>
          <w:rFonts w:ascii="Arial" w:cs="Arial" w:eastAsia="Arial" w:hAnsi="Arial"/>
          <w:sz w:val="17"/>
          <w:szCs w:val="17"/>
          <w:b w:val="1"/>
          <w:bCs w:val="1"/>
          <w:color w:val="auto"/>
        </w:rPr>
        <w:t>Section 5.08</w:t>
      </w:r>
      <w:r>
        <w:rPr>
          <w:rFonts w:ascii="Arial" w:cs="Arial" w:eastAsia="Arial" w:hAnsi="Arial"/>
          <w:sz w:val="17"/>
          <w:szCs w:val="17"/>
          <w:color w:val="auto"/>
        </w:rPr>
        <w:t>, if a Note is submitted for conversion, the Company may elect to arrange to have such Note exchanged in lieu of conversion by a financial institution designated by the Company. To make such election, the Company must send written notice of such election to the Holder of such Note, the Trustee and the Conversion Agent before the Close of Business on the Business Day immediately following the Conversion Date for such Note. If the Company has made such election, then:</w:t>
      </w:r>
    </w:p>
    <w:p>
      <w:pPr>
        <w:spacing w:after="0" w:line="169" w:lineRule="exact"/>
        <w:rPr>
          <w:sz w:val="20"/>
          <w:szCs w:val="20"/>
          <w:color w:val="auto"/>
        </w:rPr>
      </w:pPr>
    </w:p>
    <w:p>
      <w:pPr>
        <w:jc w:val="both"/>
        <w:ind w:firstLine="656"/>
        <w:spacing w:after="0" w:line="301" w:lineRule="auto"/>
        <w:tabs>
          <w:tab w:leader="none" w:pos="1644"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(or such other amount agreed to by the Holder and the financial institution) in the manner and at the time the Company would have had to deliver the same pursuant to this </w:t>
      </w:r>
      <w:r>
        <w:rPr>
          <w:rFonts w:ascii="Arial" w:cs="Arial" w:eastAsia="Arial" w:hAnsi="Arial"/>
          <w:sz w:val="16"/>
          <w:szCs w:val="16"/>
          <w:b w:val="1"/>
          <w:bCs w:val="1"/>
          <w:color w:val="auto"/>
        </w:rPr>
        <w:t>Article 5</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625"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such Note is a Global Note, then (i) such designated institution will send written confirmation to the Conversion Agent promptly after wiring the cash Conversion Consideration, if any, and delivering any other Conversion Consideration (or such other consideration agreed to by the Holder and the financial institution), due upon such conversion to the Holder of such Note; and (ii) the Conversion Agent will as soon as reasonably practicable thereafter contact such Holder’s custodian with the Depositary to confirm receipt of the same; and</w:t>
      </w:r>
    </w:p>
    <w:p>
      <w:pPr>
        <w:spacing w:after="0" w:line="171" w:lineRule="exact"/>
        <w:rPr>
          <w:rFonts w:ascii="Arial" w:cs="Arial" w:eastAsia="Arial" w:hAnsi="Arial"/>
          <w:sz w:val="17"/>
          <w:szCs w:val="17"/>
          <w:color w:val="auto"/>
        </w:rPr>
      </w:pPr>
    </w:p>
    <w:p>
      <w:pPr>
        <w:ind w:left="1520" w:hanging="864"/>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Note will not cease to be outstanding by reason of such exchange in lieu of conversion;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financial institution does not accept such Note or fails to timely deliver the Conversion Consideration (or such other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agreed to by the Holder and the financial institution) as set forth in </w:t>
      </w:r>
      <w:r>
        <w:rPr>
          <w:rFonts w:ascii="Arial" w:cs="Arial" w:eastAsia="Arial" w:hAnsi="Arial"/>
          <w:sz w:val="18"/>
          <w:szCs w:val="18"/>
          <w:b w:val="1"/>
          <w:bCs w:val="1"/>
          <w:color w:val="auto"/>
        </w:rPr>
        <w:t>Section 5.08(A)</w:t>
      </w:r>
      <w:r>
        <w:rPr>
          <w:rFonts w:ascii="Arial" w:cs="Arial" w:eastAsia="Arial" w:hAnsi="Arial"/>
          <w:sz w:val="18"/>
          <w:szCs w:val="18"/>
          <w:color w:val="auto"/>
        </w:rPr>
        <w:t xml:space="preserve">, then the Company will be responsible for delivering the Conversion Consideration in the manner and at the time provided in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as if the Company had not elected to make an exchange in lieu of conversion. The Conversion Agent will be entitled to conclusively rely upon the Company’s instruction in connection with effecting such exchange election and will have no liability in respect of such exchange election.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5.09. E</w:t>
      </w:r>
      <w:r>
        <w:rPr>
          <w:rFonts w:ascii="Arial" w:cs="Arial" w:eastAsia="Arial" w:hAnsi="Arial"/>
          <w:sz w:val="12"/>
          <w:szCs w:val="12"/>
          <w:b w:val="1"/>
          <w:bCs w:val="1"/>
          <w:color w:val="auto"/>
        </w:rPr>
        <w:t>FFECT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w:t>
      </w:r>
      <w:r>
        <w:rPr>
          <w:rFonts w:ascii="Arial" w:cs="Arial" w:eastAsia="Arial" w:hAnsi="Arial"/>
          <w:sz w:val="18"/>
          <w:szCs w:val="18"/>
          <w:b w:val="1"/>
          <w:bCs w:val="1"/>
          <w:color w:val="auto"/>
        </w:rPr>
        <w:t>.</w:t>
      </w:r>
    </w:p>
    <w:p>
      <w:pPr>
        <w:spacing w:after="0" w:line="229" w:lineRule="exact"/>
        <w:rPr>
          <w:sz w:val="20"/>
          <w:szCs w:val="20"/>
          <w:color w:val="auto"/>
        </w:rPr>
      </w:pPr>
    </w:p>
    <w:p>
      <w:pPr>
        <w:ind w:left="1260" w:hanging="604"/>
        <w:spacing w:after="0"/>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there occurs any: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consolidation, merger, combination or binding or statutory share exchange involving the Company;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sale, lease or other transfer of all or substantially all of the assets of the Company and its Subsidiaries, taken as a whole, to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 or</w:t>
      </w:r>
    </w:p>
    <w:p>
      <w:pPr>
        <w:spacing w:after="0" w:line="210" w:lineRule="exact"/>
        <w:rPr>
          <w:rFonts w:ascii="Arial" w:cs="Arial" w:eastAsia="Arial" w:hAnsi="Arial"/>
          <w:sz w:val="16"/>
          <w:szCs w:val="16"/>
          <w:color w:val="auto"/>
        </w:rPr>
      </w:pPr>
    </w:p>
    <w:p>
      <w:pPr>
        <w:ind w:left="2020" w:hanging="716"/>
        <w:spacing w:after="0"/>
        <w:tabs>
          <w:tab w:leader="none" w:pos="20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other similar event,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as a result of which, the Common Stock is converted into, or is exchanged for, or represents solely the right to receive, other securities, cash or other property, or any combination of the foregoing (such an event, a “</w:t>
      </w:r>
      <w:r>
        <w:rPr>
          <w:rFonts w:ascii="Arial" w:cs="Arial" w:eastAsia="Arial" w:hAnsi="Arial"/>
          <w:sz w:val="17"/>
          <w:szCs w:val="17"/>
          <w:b w:val="1"/>
          <w:bCs w:val="1"/>
          <w:color w:val="auto"/>
        </w:rPr>
        <w:t>Common Stock Change Event</w:t>
      </w:r>
      <w:r>
        <w:rPr>
          <w:rFonts w:ascii="Arial" w:cs="Arial" w:eastAsia="Arial" w:hAnsi="Arial"/>
          <w:sz w:val="17"/>
          <w:szCs w:val="17"/>
          <w:color w:val="auto"/>
        </w:rPr>
        <w:t>,” and such other securities, cash or property, the “</w:t>
      </w:r>
      <w:r>
        <w:rPr>
          <w:rFonts w:ascii="Arial" w:cs="Arial" w:eastAsia="Arial" w:hAnsi="Arial"/>
          <w:sz w:val="17"/>
          <w:szCs w:val="17"/>
          <w:b w:val="1"/>
          <w:bCs w:val="1"/>
          <w:color w:val="auto"/>
        </w:rPr>
        <w:t>Reference Property</w:t>
      </w:r>
      <w:r>
        <w:rPr>
          <w:rFonts w:ascii="Arial" w:cs="Arial" w:eastAsia="Arial" w:hAnsi="Arial"/>
          <w:sz w:val="17"/>
          <w:szCs w:val="17"/>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Arial" w:cs="Arial" w:eastAsia="Arial" w:hAnsi="Arial"/>
          <w:sz w:val="17"/>
          <w:szCs w:val="17"/>
          <w:b w:val="1"/>
          <w:bCs w:val="1"/>
          <w:color w:val="auto"/>
        </w:rPr>
        <w:t>Reference Property Unit</w:t>
      </w:r>
      <w:r>
        <w:rPr>
          <w:rFonts w:ascii="Arial" w:cs="Arial" w:eastAsia="Arial" w:hAnsi="Arial"/>
          <w:sz w:val="17"/>
          <w:szCs w:val="17"/>
          <w:color w:val="auto"/>
        </w:rPr>
        <w:t>”), then, notwithstanding anything to the contrary in this Indenture or the Notes,</w:t>
      </w:r>
    </w:p>
    <w:p>
      <w:pPr>
        <w:spacing w:after="0" w:line="176" w:lineRule="exact"/>
        <w:rPr>
          <w:sz w:val="20"/>
          <w:szCs w:val="20"/>
          <w:color w:val="auto"/>
        </w:rPr>
      </w:pPr>
    </w:p>
    <w:p>
      <w:pPr>
        <w:jc w:val="both"/>
        <w:ind w:left="1300" w:firstLine="652"/>
        <w:spacing w:after="0" w:line="321" w:lineRule="auto"/>
        <w:tabs>
          <w:tab w:leader="none" w:pos="2873"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in any related definitions) were instead a reference to the same number of</w:t>
      </w:r>
    </w:p>
    <w:p>
      <w:pPr>
        <w:jc w:val="both"/>
        <w:ind w:left="1300"/>
        <w:spacing w:after="0" w:line="309" w:lineRule="auto"/>
        <w:rPr>
          <w:sz w:val="20"/>
          <w:szCs w:val="20"/>
          <w:color w:val="auto"/>
        </w:rPr>
      </w:pPr>
      <w:r>
        <w:rPr>
          <w:rFonts w:ascii="Arial" w:cs="Arial" w:eastAsia="Arial" w:hAnsi="Arial"/>
          <w:sz w:val="16"/>
          <w:szCs w:val="16"/>
          <w:color w:val="auto"/>
        </w:rPr>
        <w:t xml:space="preserve">Reference Property Units; (II) for purposes of </w:t>
      </w:r>
      <w:r>
        <w:rPr>
          <w:rFonts w:ascii="Arial" w:cs="Arial" w:eastAsia="Arial" w:hAnsi="Arial"/>
          <w:sz w:val="16"/>
          <w:szCs w:val="16"/>
          <w:b w:val="1"/>
          <w:bCs w:val="1"/>
          <w:color w:val="auto"/>
        </w:rPr>
        <w:t>Section 4.03</w:t>
      </w:r>
      <w:r>
        <w:rPr>
          <w:rFonts w:ascii="Arial" w:cs="Arial" w:eastAsia="Arial" w:hAnsi="Arial"/>
          <w:sz w:val="16"/>
          <w:szCs w:val="16"/>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mean the common equity, if any, forming part of such Reference Property;</w:t>
      </w:r>
    </w:p>
    <w:p>
      <w:pPr>
        <w:spacing w:after="0" w:line="150" w:lineRule="exact"/>
        <w:rPr>
          <w:sz w:val="20"/>
          <w:szCs w:val="20"/>
          <w:color w:val="auto"/>
        </w:rPr>
      </w:pPr>
    </w:p>
    <w:p>
      <w:pPr>
        <w:jc w:val="both"/>
        <w:ind w:left="1300" w:right="20" w:firstLine="652"/>
        <w:spacing w:after="0" w:line="297" w:lineRule="auto"/>
        <w:tabs>
          <w:tab w:leader="none" w:pos="29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w:t>
      </w:r>
    </w:p>
    <w:p>
      <w:pPr>
        <w:spacing w:after="0" w:line="1" w:lineRule="exact"/>
        <w:rPr>
          <w:rFonts w:ascii="Arial" w:cs="Arial" w:eastAsia="Arial" w:hAnsi="Arial"/>
          <w:sz w:val="16"/>
          <w:szCs w:val="16"/>
          <w:color w:val="auto"/>
        </w:rPr>
      </w:pPr>
    </w:p>
    <w:p>
      <w:pPr>
        <w:jc w:val="both"/>
        <w:ind w:left="1300"/>
        <w:spacing w:after="0" w:line="274" w:lineRule="auto"/>
        <w:rPr>
          <w:rFonts w:ascii="Arial" w:cs="Arial" w:eastAsia="Arial" w:hAnsi="Arial"/>
          <w:sz w:val="16"/>
          <w:szCs w:val="16"/>
          <w:color w:val="auto"/>
        </w:rPr>
      </w:pPr>
      <w:r>
        <w:rPr>
          <w:rFonts w:ascii="Arial" w:cs="Arial" w:eastAsia="Arial" w:hAnsi="Arial"/>
          <w:sz w:val="18"/>
          <w:szCs w:val="18"/>
          <w:color w:val="auto"/>
        </w:rPr>
        <w:t xml:space="preserve">(including, for the avoidance of doubt, any increase to such Conversion Rate pursuant to </w:t>
      </w:r>
      <w:r>
        <w:rPr>
          <w:rFonts w:ascii="Arial" w:cs="Arial" w:eastAsia="Arial" w:hAnsi="Arial"/>
          <w:sz w:val="18"/>
          <w:szCs w:val="18"/>
          <w:b w:val="1"/>
          <w:bCs w:val="1"/>
          <w:color w:val="auto"/>
        </w:rPr>
        <w:t>Section 5.07</w:t>
      </w:r>
      <w:r>
        <w:rPr>
          <w:rFonts w:ascii="Arial" w:cs="Arial" w:eastAsia="Arial" w:hAnsi="Arial"/>
          <w:sz w:val="18"/>
          <w:szCs w:val="18"/>
          <w:color w:val="auto"/>
        </w:rPr>
        <w:t>, if applicable); and (y) the amount of cash constituting such Reference Property Unit; and (II) the Company will settle each such conversion no later than the second (2nd) Business Day after the relevant Conversion Date; and</w:t>
      </w:r>
    </w:p>
    <w:p>
      <w:pPr>
        <w:spacing w:after="0" w:line="388" w:lineRule="exact"/>
        <w:rPr>
          <w:rFonts w:ascii="Arial" w:cs="Arial" w:eastAsia="Arial" w:hAnsi="Arial"/>
          <w:sz w:val="16"/>
          <w:szCs w:val="16"/>
          <w:color w:val="auto"/>
        </w:rPr>
      </w:pPr>
    </w:p>
    <w:p>
      <w:pPr>
        <w:ind w:left="5540" w:hanging="111"/>
        <w:spacing w:after="0"/>
        <w:tabs>
          <w:tab w:leader="none" w:pos="5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1300" w:firstLine="652"/>
        <w:spacing w:after="0" w:line="293" w:lineRule="auto"/>
        <w:tabs>
          <w:tab w:leader="none" w:pos="2873"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in writing of such weighted average as soon as practicable after such determination is made.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or before the effective time of such Common Stock Change Event, the Company and the resulting, surviving or transferee Person (if not the Company) of such Common Stock Change Event (the “</w:t>
      </w:r>
      <w:r>
        <w:rPr>
          <w:rFonts w:ascii="Arial" w:cs="Arial" w:eastAsia="Arial" w:hAnsi="Arial"/>
          <w:sz w:val="16"/>
          <w:szCs w:val="16"/>
          <w:b w:val="1"/>
          <w:bCs w:val="1"/>
          <w:color w:val="auto"/>
        </w:rPr>
        <w:t>Successor Person</w:t>
      </w:r>
      <w:r>
        <w:rPr>
          <w:rFonts w:ascii="Arial" w:cs="Arial" w:eastAsia="Arial" w:hAnsi="Arial"/>
          <w:sz w:val="16"/>
          <w:szCs w:val="16"/>
          <w:color w:val="auto"/>
        </w:rPr>
        <w:t xml:space="preserve">”) will execute and deliver to the Trustee a supplemental indenture pursuant to </w:t>
      </w:r>
      <w:r>
        <w:rPr>
          <w:rFonts w:ascii="Arial" w:cs="Arial" w:eastAsia="Arial" w:hAnsi="Arial"/>
          <w:sz w:val="16"/>
          <w:szCs w:val="16"/>
          <w:b w:val="1"/>
          <w:bCs w:val="1"/>
          <w:color w:val="auto"/>
        </w:rPr>
        <w:t>Section 8.01(F)</w:t>
      </w:r>
      <w:r>
        <w:rPr>
          <w:rFonts w:ascii="Arial" w:cs="Arial" w:eastAsia="Arial" w:hAnsi="Arial"/>
          <w:sz w:val="16"/>
          <w:szCs w:val="16"/>
          <w:color w:val="auto"/>
        </w:rPr>
        <w:t>, which supplemental indenture will (x) provide for subsequent conversions of Notes in the manner set forth in this</w:t>
      </w:r>
      <w:r>
        <w:rPr>
          <w:rFonts w:ascii="Arial" w:cs="Arial" w:eastAsia="Arial" w:hAnsi="Arial"/>
          <w:sz w:val="16"/>
          <w:szCs w:val="16"/>
          <w:b w:val="1"/>
          <w:bCs w:val="1"/>
          <w:color w:val="auto"/>
        </w:rPr>
        <w:t xml:space="preserve"> Section 5.09</w:t>
      </w:r>
      <w:r>
        <w:rPr>
          <w:rFonts w:ascii="Arial" w:cs="Arial" w:eastAsia="Arial" w:hAnsi="Arial"/>
          <w:sz w:val="16"/>
          <w:szCs w:val="16"/>
          <w:color w:val="auto"/>
        </w:rPr>
        <w:t>; (y)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for subsequent adjustments to the Conversion Rate pursuant to </w:t>
      </w:r>
      <w:r>
        <w:rPr>
          <w:rFonts w:ascii="Arial" w:cs="Arial" w:eastAsia="Arial" w:hAnsi="Arial"/>
          <w:sz w:val="16"/>
          <w:szCs w:val="16"/>
          <w:b w:val="1"/>
          <w:bCs w:val="1"/>
          <w:color w:val="auto"/>
        </w:rPr>
        <w:t>Section 5.05(A)</w:t>
      </w:r>
      <w:r>
        <w:rPr>
          <w:rFonts w:ascii="Arial" w:cs="Arial" w:eastAsia="Arial" w:hAnsi="Arial"/>
          <w:sz w:val="16"/>
          <w:szCs w:val="16"/>
          <w:color w:val="auto"/>
        </w:rPr>
        <w:t xml:space="preserve"> in a manner consistent with this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and (z) contain such other provisions, if any, that the Company reasonably determines are appropriate to preserve the economic interests of the Holders and to give effect to the provisions of this </w:t>
      </w:r>
      <w:r>
        <w:rPr>
          <w:rFonts w:ascii="Arial" w:cs="Arial" w:eastAsia="Arial" w:hAnsi="Arial"/>
          <w:sz w:val="16"/>
          <w:szCs w:val="16"/>
          <w:b w:val="1"/>
          <w:bCs w:val="1"/>
          <w:color w:val="auto"/>
        </w:rPr>
        <w:t>Section 5.09(A)</w:t>
      </w:r>
      <w:r>
        <w:rPr>
          <w:rFonts w:ascii="Arial" w:cs="Arial" w:eastAsia="Arial" w:hAnsi="Arial"/>
          <w:sz w:val="16"/>
          <w:szCs w:val="16"/>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65" w:lineRule="exact"/>
        <w:rPr>
          <w:sz w:val="20"/>
          <w:szCs w:val="20"/>
          <w:color w:val="auto"/>
        </w:rPr>
      </w:pPr>
    </w:p>
    <w:p>
      <w:pPr>
        <w:ind w:firstLine="656"/>
        <w:spacing w:after="0" w:line="308" w:lineRule="auto"/>
        <w:tabs>
          <w:tab w:leader="none" w:pos="1527"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Notice of Common Stock Change Events</w:t>
      </w:r>
      <w:r>
        <w:rPr>
          <w:rFonts w:ascii="Arial" w:cs="Arial" w:eastAsia="Arial" w:hAnsi="Arial"/>
          <w:sz w:val="17"/>
          <w:szCs w:val="17"/>
          <w:color w:val="auto"/>
        </w:rPr>
        <w:t>. The Company will provide notice of each Common Stock Change Event to Holders,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and the Conversion Agent no later than the Business Day after the effective date of such Common Stock Change Event.</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Compliance Covenant</w:t>
      </w:r>
      <w:r>
        <w:rPr>
          <w:rFonts w:ascii="Arial" w:cs="Arial" w:eastAsia="Arial" w:hAnsi="Arial"/>
          <w:sz w:val="16"/>
          <w:szCs w:val="16"/>
          <w:color w:val="auto"/>
        </w:rPr>
        <w:t>. The Company will not become a party to any Common Stock Change Event unless its terms are consistent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hanging="111"/>
        <w:spacing w:after="0"/>
        <w:tabs>
          <w:tab w:leader="none" w:pos="5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4460"/>
        <w:spacing w:after="0"/>
        <w:tabs>
          <w:tab w:leader="none" w:pos="56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W</w:t>
      </w:r>
      <w:r>
        <w:rPr>
          <w:rFonts w:ascii="Arial" w:cs="Arial" w:eastAsia="Arial" w:hAnsi="Arial"/>
          <w:sz w:val="12"/>
          <w:szCs w:val="12"/>
          <w:b w:val="1"/>
          <w:bCs w:val="1"/>
          <w:color w:val="auto"/>
        </w:rPr>
        <w:t>HEN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514"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not consolidate with or merge with or into, or (directly, or indirectly through one or more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sell, lease or otherwise transfer, in one transaction or a series of transactions, all or substantially all of the assets of the Company and its Subsidiaries, taken as a whole, to another Person (a “</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 unless:</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2256"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Arial" w:cs="Arial" w:eastAsia="Arial" w:hAnsi="Arial"/>
          <w:sz w:val="16"/>
          <w:szCs w:val="16"/>
          <w:b w:val="1"/>
          <w:bCs w:val="1"/>
          <w:color w:val="auto"/>
        </w:rPr>
        <w:t>Successor Entity</w:t>
      </w:r>
      <w:r>
        <w:rPr>
          <w:rFonts w:ascii="Arial" w:cs="Arial" w:eastAsia="Arial" w:hAnsi="Arial"/>
          <w:sz w:val="16"/>
          <w:szCs w:val="16"/>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Arial" w:cs="Arial" w:eastAsia="Arial" w:hAnsi="Arial"/>
          <w:sz w:val="16"/>
          <w:szCs w:val="16"/>
          <w:b w:val="1"/>
          <w:bCs w:val="1"/>
          <w:color w:val="auto"/>
        </w:rPr>
        <w:t>Section 8.01(E)</w:t>
      </w:r>
      <w:r>
        <w:rPr>
          <w:rFonts w:ascii="Arial" w:cs="Arial" w:eastAsia="Arial" w:hAnsi="Arial"/>
          <w:sz w:val="16"/>
          <w:szCs w:val="16"/>
          <w:color w:val="auto"/>
        </w:rPr>
        <w:t>) all of the Company’s obligations under this Indenture and the Notes; and</w:t>
      </w:r>
    </w:p>
    <w:p>
      <w:pPr>
        <w:spacing w:after="0" w:line="161" w:lineRule="exact"/>
        <w:rPr>
          <w:rFonts w:ascii="Arial" w:cs="Arial" w:eastAsia="Arial" w:hAnsi="Arial"/>
          <w:sz w:val="16"/>
          <w:szCs w:val="16"/>
          <w:color w:val="auto"/>
        </w:rPr>
      </w:pPr>
    </w:p>
    <w:p>
      <w:pPr>
        <w:ind w:left="2220" w:hanging="916"/>
        <w:spacing w:after="0"/>
        <w:tabs>
          <w:tab w:leader="none" w:pos="22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immediately after giving effect to such Business Combination Event, no Default or Event of Default will have occurred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 continuing.</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293"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Delivery of Officer’s Certificate and Opinion of Counsel to the Trustee</w:t>
      </w:r>
      <w:r>
        <w:rPr>
          <w:rFonts w:ascii="Arial" w:cs="Arial" w:eastAsia="Arial" w:hAnsi="Arial"/>
          <w:sz w:val="18"/>
          <w:szCs w:val="18"/>
          <w:color w:val="auto"/>
        </w:rPr>
        <w:t>. Before the effective time of any Business Combination 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deliver to the Trustee an Officer’s Certificate and Opinion of Counsel, each stating that (i) such Business Combination Event (and, if applicable, the related supplemental indenture) comply with </w:t>
      </w:r>
      <w:r>
        <w:rPr>
          <w:rFonts w:ascii="Arial" w:cs="Arial" w:eastAsia="Arial" w:hAnsi="Arial"/>
          <w:sz w:val="18"/>
          <w:szCs w:val="18"/>
          <w:b w:val="1"/>
          <w:bCs w:val="1"/>
          <w:color w:val="auto"/>
        </w:rPr>
        <w:t>Section 6.01(A)</w:t>
      </w:r>
      <w:r>
        <w:rPr>
          <w:rFonts w:ascii="Arial" w:cs="Arial" w:eastAsia="Arial" w:hAnsi="Arial"/>
          <w:sz w:val="18"/>
          <w:szCs w:val="18"/>
          <w:color w:val="auto"/>
        </w:rPr>
        <w:t>; and (ii) all conditions precedent to such Business Combination Event provided in this Indenture have been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6.02.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NTITY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UBSTITUTED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At the effective time of any Business Combination Event that complies with </w:t>
      </w:r>
      <w:r>
        <w:rPr>
          <w:rFonts w:ascii="Arial" w:cs="Arial" w:eastAsia="Arial" w:hAnsi="Arial"/>
          <w:sz w:val="18"/>
          <w:szCs w:val="18"/>
          <w:b w:val="1"/>
          <w:bCs w:val="1"/>
          <w:color w:val="auto"/>
        </w:rPr>
        <w:t>Section 6.01</w:t>
      </w:r>
      <w:r>
        <w:rPr>
          <w:rFonts w:ascii="Arial" w:cs="Arial" w:eastAsia="Arial" w:hAnsi="Arial"/>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6.03. E</w:t>
      </w:r>
      <w:r>
        <w:rPr>
          <w:rFonts w:ascii="Arial" w:cs="Arial" w:eastAsia="Arial" w:hAnsi="Arial"/>
          <w:sz w:val="12"/>
          <w:szCs w:val="12"/>
          <w:b w:val="1"/>
          <w:bCs w:val="1"/>
          <w:color w:val="auto"/>
        </w:rPr>
        <w:t>XCLUSION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RANSFERS WITH</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HOLLY</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UBSIDIARIES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this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will not apply to any transfer of assets between or among the Company and any one or more of its Wholly Owned Subsidiaries not effected by merger or consolidation.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3880"/>
        <w:spacing w:after="0"/>
        <w:tabs>
          <w:tab w:leader="none" w:pos="49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w:t>
      </w:r>
    </w:p>
    <w:p>
      <w:pPr>
        <w:spacing w:after="0" w:line="225" w:lineRule="exact"/>
        <w:rPr>
          <w:sz w:val="20"/>
          <w:szCs w:val="20"/>
          <w:color w:val="auto"/>
        </w:rPr>
      </w:pPr>
    </w:p>
    <w:p>
      <w:pPr>
        <w:ind w:left="1260" w:hanging="604"/>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Definition of 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9" w:lineRule="exact"/>
        <w:rPr>
          <w:rFonts w:ascii="Arial" w:cs="Arial" w:eastAsia="Arial" w:hAnsi="Arial"/>
          <w:sz w:val="18"/>
          <w:szCs w:val="18"/>
          <w:color w:val="auto"/>
        </w:rPr>
      </w:pPr>
    </w:p>
    <w:p>
      <w:pPr>
        <w:ind w:left="660" w:right="20" w:firstLine="644"/>
        <w:spacing w:after="0" w:line="277" w:lineRule="auto"/>
        <w:tabs>
          <w:tab w:leader="none" w:pos="249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upon Redemption, Repurchase Upon Fundamental Change or otherwise) of the principal of, or the Redemption Price or Fundamental Change Repurchase Price for, any Note;</w:t>
      </w:r>
    </w:p>
    <w:p>
      <w:pPr>
        <w:spacing w:after="0" w:line="170" w:lineRule="exact"/>
        <w:rPr>
          <w:rFonts w:ascii="Arial" w:cs="Arial" w:eastAsia="Arial" w:hAnsi="Arial"/>
          <w:sz w:val="18"/>
          <w:szCs w:val="18"/>
          <w:color w:val="auto"/>
        </w:rPr>
      </w:pPr>
    </w:p>
    <w:p>
      <w:pPr>
        <w:ind w:left="2160" w:hanging="856"/>
        <w:spacing w:after="0"/>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default for thirty (30) consecutive days in the payment when due of interest on any Note;</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15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the Company’s failure to deliver, when required by this Indenture, (x) a Fundamental Change Notice, or (y) a notice pursuant to </w:t>
      </w:r>
      <w:r>
        <w:rPr>
          <w:rFonts w:ascii="Arial" w:cs="Arial" w:eastAsia="Arial" w:hAnsi="Arial"/>
          <w:sz w:val="18"/>
          <w:szCs w:val="18"/>
          <w:b w:val="1"/>
          <w:bCs w:val="1"/>
          <w:color w:val="auto"/>
        </w:rPr>
        <w:t>Section 5.01(C)(i)(3)</w:t>
      </w:r>
      <w:r>
        <w:rPr>
          <w:rFonts w:ascii="Arial" w:cs="Arial" w:eastAsia="Arial" w:hAnsi="Arial"/>
          <w:sz w:val="18"/>
          <w:szCs w:val="18"/>
          <w:color w:val="auto"/>
        </w:rPr>
        <w:t xml:space="preserve">, or (z) a notice of a Make-Whole Fundamental Change (other than a Make-Whole Fundamental Change pursuant to </w:t>
      </w:r>
      <w:r>
        <w:rPr>
          <w:rFonts w:ascii="Arial" w:cs="Arial" w:eastAsia="Arial" w:hAnsi="Arial"/>
          <w:sz w:val="18"/>
          <w:szCs w:val="18"/>
          <w:b w:val="1"/>
          <w:bCs w:val="1"/>
          <w:color w:val="auto"/>
        </w:rPr>
        <w:t xml:space="preserve">clause (B) </w:t>
      </w:r>
      <w:r>
        <w:rPr>
          <w:rFonts w:ascii="Arial" w:cs="Arial" w:eastAsia="Arial" w:hAnsi="Arial"/>
          <w:sz w:val="18"/>
          <w:szCs w:val="18"/>
          <w:color w:val="auto"/>
        </w:rPr>
        <w:t>of the definition thereof) pursuant to the provisions referred to in</w:t>
      </w:r>
      <w:r>
        <w:rPr>
          <w:rFonts w:ascii="Arial" w:cs="Arial" w:eastAsia="Arial" w:hAnsi="Arial"/>
          <w:sz w:val="18"/>
          <w:szCs w:val="18"/>
          <w:b w:val="1"/>
          <w:bCs w:val="1"/>
          <w:color w:val="auto"/>
        </w:rPr>
        <w:t xml:space="preserve"> Section 5.07(C)</w:t>
      </w:r>
      <w:r>
        <w:rPr>
          <w:rFonts w:ascii="Arial" w:cs="Arial" w:eastAsia="Arial" w:hAnsi="Arial"/>
          <w:sz w:val="18"/>
          <w:szCs w:val="18"/>
          <w:color w:val="auto"/>
        </w:rPr>
        <w:t>, and, in the case of</w:t>
      </w:r>
      <w:r>
        <w:rPr>
          <w:rFonts w:ascii="Arial" w:cs="Arial" w:eastAsia="Arial" w:hAnsi="Arial"/>
          <w:sz w:val="18"/>
          <w:szCs w:val="18"/>
          <w:b w:val="1"/>
          <w:bCs w:val="1"/>
          <w:color w:val="auto"/>
        </w:rPr>
        <w:t xml:space="preserve"> clause (x) </w:t>
      </w:r>
      <w:r>
        <w:rPr>
          <w:rFonts w:ascii="Arial" w:cs="Arial" w:eastAsia="Arial" w:hAnsi="Arial"/>
          <w:sz w:val="18"/>
          <w:szCs w:val="18"/>
          <w:color w:val="auto"/>
        </w:rPr>
        <w:t>only, such failure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cured within five (5) days after its occurrence;</w:t>
      </w:r>
    </w:p>
    <w:p>
      <w:pPr>
        <w:spacing w:after="0" w:line="182" w:lineRule="exact"/>
        <w:rPr>
          <w:rFonts w:ascii="Arial" w:cs="Arial" w:eastAsia="Arial" w:hAnsi="Arial"/>
          <w:sz w:val="18"/>
          <w:szCs w:val="18"/>
          <w:color w:val="auto"/>
        </w:rPr>
      </w:pPr>
    </w:p>
    <w:p>
      <w:pPr>
        <w:ind w:left="660" w:firstLine="644"/>
        <w:spacing w:after="0" w:line="282" w:lineRule="auto"/>
        <w:tabs>
          <w:tab w:leader="none" w:pos="230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 to convert a Note in accordance with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the exercise of the conversion right with respect thereto, if such default is not cured within three (3) days after its occurrence;</w:t>
      </w:r>
    </w:p>
    <w:p>
      <w:pPr>
        <w:spacing w:after="0" w:line="161" w:lineRule="exact"/>
        <w:rPr>
          <w:rFonts w:ascii="Arial" w:cs="Arial" w:eastAsia="Arial" w:hAnsi="Arial"/>
          <w:sz w:val="18"/>
          <w:szCs w:val="18"/>
          <w:color w:val="auto"/>
        </w:rPr>
      </w:pPr>
    </w:p>
    <w:p>
      <w:pPr>
        <w:ind w:left="2180" w:hanging="876"/>
        <w:spacing w:after="0"/>
        <w:tabs>
          <w:tab w:leader="none" w:pos="2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obligations under </w:t>
      </w: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301" w:lineRule="auto"/>
        <w:tabs>
          <w:tab w:leader="none" w:pos="215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a default in any of the Company’s obligations or agreements under this Indenture or the Notes (other than a default set forth in </w:t>
      </w:r>
      <w:r>
        <w:rPr>
          <w:rFonts w:ascii="Arial" w:cs="Arial" w:eastAsia="Arial" w:hAnsi="Arial"/>
          <w:sz w:val="16"/>
          <w:szCs w:val="16"/>
          <w:b w:val="1"/>
          <w:bCs w:val="1"/>
          <w:color w:val="auto"/>
        </w:rPr>
        <w:t>clause (i)</w:t>
      </w:r>
      <w:r>
        <w:rPr>
          <w:rFonts w:ascii="Arial" w:cs="Arial" w:eastAsia="Arial" w:hAnsi="Arial"/>
          <w:sz w:val="16"/>
          <w:szCs w:val="16"/>
          <w:color w:val="auto"/>
        </w:rPr>
        <w:t>,</w:t>
      </w:r>
      <w:r>
        <w:rPr>
          <w:rFonts w:ascii="Arial" w:cs="Arial" w:eastAsia="Arial" w:hAnsi="Arial"/>
          <w:sz w:val="16"/>
          <w:szCs w:val="16"/>
          <w:b w:val="1"/>
          <w:bCs w:val="1"/>
          <w:color w:val="auto"/>
        </w:rPr>
        <w:t xml:space="preserve"> (ii)</w:t>
      </w:r>
      <w:r>
        <w:rPr>
          <w:rFonts w:ascii="Arial" w:cs="Arial" w:eastAsia="Arial" w:hAnsi="Arial"/>
          <w:sz w:val="16"/>
          <w:szCs w:val="16"/>
          <w:color w:val="auto"/>
        </w:rPr>
        <w:t>,</w:t>
      </w:r>
      <w:r>
        <w:rPr>
          <w:rFonts w:ascii="Arial" w:cs="Arial" w:eastAsia="Arial" w:hAnsi="Arial"/>
          <w:sz w:val="16"/>
          <w:szCs w:val="16"/>
          <w:b w:val="1"/>
          <w:bCs w:val="1"/>
          <w:color w:val="auto"/>
        </w:rPr>
        <w:t xml:space="preserve"> (iii)</w:t>
      </w:r>
      <w:r>
        <w:rPr>
          <w:rFonts w:ascii="Arial" w:cs="Arial" w:eastAsia="Arial" w:hAnsi="Arial"/>
          <w:sz w:val="16"/>
          <w:szCs w:val="16"/>
          <w:color w:val="auto"/>
        </w:rPr>
        <w:t>,</w:t>
      </w:r>
      <w:r>
        <w:rPr>
          <w:rFonts w:ascii="Arial" w:cs="Arial" w:eastAsia="Arial" w:hAnsi="Arial"/>
          <w:sz w:val="16"/>
          <w:szCs w:val="16"/>
          <w:b w:val="1"/>
          <w:bCs w:val="1"/>
          <w:color w:val="auto"/>
        </w:rPr>
        <w:t xml:space="preserve"> (iv) </w:t>
      </w:r>
      <w:r>
        <w:rPr>
          <w:rFonts w:ascii="Arial" w:cs="Arial" w:eastAsia="Arial" w:hAnsi="Arial"/>
          <w:sz w:val="16"/>
          <w:szCs w:val="16"/>
          <w:color w:val="auto"/>
        </w:rPr>
        <w:t>or</w:t>
      </w:r>
      <w:r>
        <w:rPr>
          <w:rFonts w:ascii="Arial" w:cs="Arial" w:eastAsia="Arial" w:hAnsi="Arial"/>
          <w:sz w:val="16"/>
          <w:szCs w:val="16"/>
          <w:b w:val="1"/>
          <w:bCs w:val="1"/>
          <w:color w:val="auto"/>
        </w:rPr>
        <w:t xml:space="preserve"> (v)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Section 7.01(A)</w:t>
      </w:r>
      <w:r>
        <w:rPr>
          <w:rFonts w:ascii="Arial" w:cs="Arial" w:eastAsia="Arial" w:hAnsi="Arial"/>
          <w:sz w:val="16"/>
          <w:szCs w:val="16"/>
          <w:color w:val="auto"/>
        </w:rPr>
        <w:t>) where such default is not cured or waived within sixty (60) days after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57" w:lineRule="exact"/>
        <w:rPr>
          <w:rFonts w:ascii="Arial" w:cs="Arial" w:eastAsia="Arial" w:hAnsi="Arial"/>
          <w:sz w:val="16"/>
          <w:szCs w:val="16"/>
          <w:color w:val="auto"/>
        </w:rPr>
      </w:pPr>
    </w:p>
    <w:p>
      <w:pPr>
        <w:jc w:val="both"/>
        <w:ind w:left="660" w:firstLine="644"/>
        <w:spacing w:after="0" w:line="259" w:lineRule="auto"/>
        <w:tabs>
          <w:tab w:leader="none" w:pos="233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default by the Company or any of its Subsidiaries with respect to any one or more mortgages, agreements or other instruments under which there is outstanding, or by which there is secured or evidenced, any indebtedness for money borrowed of at least one hundred million dollars ($100,000,000) (or its foreign currency equivalent) in the aggregate of the Company or any of its Subsidiaries, whether such indebtedness exists as of the Issue Date or is thereafter created, where such default:</w:t>
      </w:r>
    </w:p>
    <w:p>
      <w:pPr>
        <w:spacing w:after="0" w:line="186" w:lineRule="exact"/>
        <w:rPr>
          <w:rFonts w:ascii="Arial" w:cs="Arial" w:eastAsia="Arial" w:hAnsi="Arial"/>
          <w:sz w:val="18"/>
          <w:szCs w:val="18"/>
          <w:color w:val="auto"/>
        </w:rPr>
      </w:pPr>
    </w:p>
    <w:p>
      <w:pPr>
        <w:ind w:left="1300" w:right="20" w:firstLine="652"/>
        <w:spacing w:after="0" w:line="342" w:lineRule="auto"/>
        <w:tabs>
          <w:tab w:leader="none" w:pos="3021" w:val="left"/>
        </w:tabs>
        <w:numPr>
          <w:ilvl w:val="2"/>
          <w:numId w:val="100"/>
        </w:numPr>
        <w:rPr>
          <w:rFonts w:ascii="Arial" w:cs="Arial" w:eastAsia="Arial" w:hAnsi="Arial"/>
          <w:sz w:val="16"/>
          <w:szCs w:val="16"/>
          <w:color w:val="auto"/>
        </w:rPr>
      </w:pPr>
      <w:r>
        <w:rPr>
          <w:rFonts w:ascii="Arial" w:cs="Arial" w:eastAsia="Arial" w:hAnsi="Arial"/>
          <w:sz w:val="16"/>
          <w:szCs w:val="16"/>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23" w:lineRule="exact"/>
        <w:rPr>
          <w:rFonts w:ascii="Arial" w:cs="Arial" w:eastAsia="Arial" w:hAnsi="Arial"/>
          <w:sz w:val="16"/>
          <w:szCs w:val="16"/>
          <w:color w:val="auto"/>
        </w:rPr>
      </w:pPr>
    </w:p>
    <w:p>
      <w:pPr>
        <w:ind w:left="2840" w:hanging="888"/>
        <w:spacing w:after="0"/>
        <w:tabs>
          <w:tab w:leader="none" w:pos="284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results in such indebtedness becoming or being declared due and payable before its stated maturity,</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1364" w:hanging="716"/>
        <w:spacing w:after="0"/>
        <w:tabs>
          <w:tab w:leader="none" w:pos="13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pursuant to or within the meaning of any Bankruptcy Law, either: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404" w:hanging="756"/>
        <w:spacing w:after="0"/>
        <w:tabs>
          <w:tab w:leader="none" w:pos="14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is for relief against the Company or any of its Significant Subsidiaries in an involuntary case or proceeding;</w:t>
      </w:r>
    </w:p>
    <w:p>
      <w:pPr>
        <w:spacing w:after="0" w:line="236" w:lineRule="exact"/>
        <w:rPr>
          <w:rFonts w:ascii="Arial" w:cs="Arial" w:eastAsia="Arial" w:hAnsi="Arial"/>
          <w:sz w:val="17"/>
          <w:szCs w:val="17"/>
          <w:color w:val="auto"/>
        </w:rPr>
      </w:pPr>
    </w:p>
    <w:p>
      <w:pPr>
        <w:ind w:left="644" w:firstLine="652"/>
        <w:spacing w:after="0" w:line="277" w:lineRule="auto"/>
        <w:tabs>
          <w:tab w:leader="none" w:pos="217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Significant Subsidiaries, or for any substantial part of the property of the Company or any of its Significant Subsidiaries;</w:t>
      </w:r>
    </w:p>
    <w:p>
      <w:pPr>
        <w:spacing w:after="0" w:line="170"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grants any similar relief under any foreign Bankruptcy Law,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in each case under this </w:t>
      </w:r>
      <w:r>
        <w:rPr>
          <w:rFonts w:ascii="Arial" w:cs="Arial" w:eastAsia="Arial" w:hAnsi="Arial"/>
          <w:sz w:val="18"/>
          <w:szCs w:val="18"/>
          <w:b w:val="1"/>
          <w:bCs w:val="1"/>
          <w:color w:val="auto"/>
        </w:rPr>
        <w:t>Section 7.01(A)(ix)</w:t>
      </w:r>
      <w:r>
        <w:rPr>
          <w:rFonts w:ascii="Arial" w:cs="Arial" w:eastAsia="Arial" w:hAnsi="Arial"/>
          <w:sz w:val="18"/>
          <w:szCs w:val="18"/>
          <w:color w:val="auto"/>
        </w:rPr>
        <w:t>, such order or decree remains unstayed and in effect for at least sixty (60) days.</w:t>
      </w:r>
    </w:p>
    <w:p>
      <w:pPr>
        <w:spacing w:after="0" w:line="225" w:lineRule="exact"/>
        <w:rPr>
          <w:sz w:val="20"/>
          <w:szCs w:val="20"/>
          <w:color w:val="auto"/>
        </w:rPr>
      </w:pPr>
    </w:p>
    <w:p>
      <w:pPr>
        <w:jc w:val="both"/>
        <w:ind w:left="-656" w:right="20" w:firstLine="656"/>
        <w:spacing w:after="0" w:line="266" w:lineRule="auto"/>
        <w:tabs>
          <w:tab w:leader="none" w:pos="718"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Cause Irrelevant</w:t>
      </w:r>
      <w:r>
        <w:rPr>
          <w:rFonts w:ascii="Arial" w:cs="Arial" w:eastAsia="Arial" w:hAnsi="Arial"/>
          <w:sz w:val="18"/>
          <w:szCs w:val="18"/>
          <w:color w:val="auto"/>
        </w:rPr>
        <w:t>. Each of the events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7.01(A)</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an Event of Default regardless of the cause thereof or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395" w:lineRule="exact"/>
        <w:rPr>
          <w:rFonts w:ascii="Arial" w:cs="Arial" w:eastAsia="Arial" w:hAnsi="Arial"/>
          <w:sz w:val="18"/>
          <w:szCs w:val="18"/>
          <w:color w:val="auto"/>
        </w:rPr>
      </w:pPr>
    </w:p>
    <w:p>
      <w:pPr>
        <w:ind w:left="4884" w:hanging="111"/>
        <w:spacing w:after="0"/>
        <w:tabs>
          <w:tab w:leader="none" w:pos="48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7.02. A</w:t>
      </w:r>
      <w:r>
        <w:rPr>
          <w:rFonts w:ascii="Arial" w:cs="Arial" w:eastAsia="Arial" w:hAnsi="Arial"/>
          <w:sz w:val="12"/>
          <w:szCs w:val="12"/>
          <w:b w:val="1"/>
          <w:bCs w:val="1"/>
          <w:color w:val="auto"/>
        </w:rPr>
        <w:t>CCELERATION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89" w:lineRule="auto"/>
        <w:tabs>
          <w:tab w:leader="none" w:pos="1536" w:val="left"/>
        </w:tabs>
        <w:numPr>
          <w:ilvl w:val="1"/>
          <w:numId w:val="103"/>
        </w:numPr>
        <w:rPr>
          <w:rFonts w:ascii="Arial" w:cs="Arial" w:eastAsia="Arial" w:hAnsi="Arial"/>
          <w:sz w:val="17"/>
          <w:szCs w:val="17"/>
          <w:color w:val="auto"/>
        </w:rPr>
      </w:pPr>
      <w:r>
        <w:rPr>
          <w:rFonts w:ascii="Arial" w:cs="Arial" w:eastAsia="Arial" w:hAnsi="Arial"/>
          <w:sz w:val="17"/>
          <w:szCs w:val="17"/>
          <w:i w:val="1"/>
          <w:iCs w:val="1"/>
          <w:color w:val="auto"/>
        </w:rPr>
        <w:t>Automatic Acceleration in Certain Circumstances</w:t>
      </w:r>
      <w:r>
        <w:rPr>
          <w:rFonts w:ascii="Arial" w:cs="Arial" w:eastAsia="Arial" w:hAnsi="Arial"/>
          <w:sz w:val="17"/>
          <w:szCs w:val="17"/>
          <w:color w:val="auto"/>
        </w:rPr>
        <w:t>. If an Event of Default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7.01(A)(viii)</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7.01(A)(ix)</w:t>
      </w:r>
      <w:r>
        <w:rPr>
          <w:rFonts w:ascii="Arial" w:cs="Arial" w:eastAsia="Arial" w:hAnsi="Arial"/>
          <w:sz w:val="17"/>
          <w:szCs w:val="17"/>
          <w:i w:val="1"/>
          <w:iCs w:val="1"/>
          <w:color w:val="auto"/>
        </w:rPr>
        <w:t xml:space="preserve"> </w:t>
      </w:r>
      <w:r>
        <w:rPr>
          <w:rFonts w:ascii="Arial" w:cs="Arial" w:eastAsia="Arial" w:hAnsi="Arial"/>
          <w:sz w:val="17"/>
          <w:szCs w:val="17"/>
          <w:color w:val="auto"/>
        </w:rPr>
        <w:t>occurs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57" w:lineRule="exact"/>
        <w:rPr>
          <w:rFonts w:ascii="Arial" w:cs="Arial" w:eastAsia="Arial" w:hAnsi="Arial"/>
          <w:sz w:val="17"/>
          <w:szCs w:val="17"/>
          <w:color w:val="auto"/>
        </w:rPr>
      </w:pPr>
    </w:p>
    <w:p>
      <w:pPr>
        <w:ind w:left="1660" w:hanging="1004"/>
        <w:spacing w:after="0"/>
        <w:tabs>
          <w:tab w:leader="none" w:pos="1660"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Optional Acceleration</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w:t>
      </w:r>
      <w:r>
        <w:rPr>
          <w:rFonts w:ascii="Arial" w:cs="Arial" w:eastAsia="Arial" w:hAnsi="Arial"/>
          <w:sz w:val="16"/>
          <w:szCs w:val="16"/>
          <w:color w:val="auto"/>
        </w:rPr>
        <w:t>, if an Event of Default (other than an Event of Default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7.01(A)</w:t>
      </w:r>
    </w:p>
    <w:p>
      <w:pPr>
        <w:spacing w:after="0" w:line="50" w:lineRule="exact"/>
        <w:rPr>
          <w:rFonts w:ascii="Arial" w:cs="Arial" w:eastAsia="Arial" w:hAnsi="Arial"/>
          <w:sz w:val="16"/>
          <w:szCs w:val="16"/>
          <w:color w:val="auto"/>
        </w:rPr>
      </w:pPr>
    </w:p>
    <w:p>
      <w:pPr>
        <w:jc w:val="both"/>
        <w:ind w:firstLine="8"/>
        <w:spacing w:after="0" w:line="253" w:lineRule="auto"/>
        <w:tabs>
          <w:tab w:leader="none" w:pos="405"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 xml:space="preserve">or </w:t>
      </w:r>
      <w:r>
        <w:rPr>
          <w:rFonts w:ascii="Arial" w:cs="Arial" w:eastAsia="Arial" w:hAnsi="Arial"/>
          <w:sz w:val="18"/>
          <w:szCs w:val="18"/>
          <w:b w:val="1"/>
          <w:bCs w:val="1"/>
          <w:color w:val="auto"/>
        </w:rPr>
        <w:t>7.01(A)(ix)</w:t>
      </w:r>
      <w:r>
        <w:rPr>
          <w:rFonts w:ascii="Arial" w:cs="Arial" w:eastAsia="Arial" w:hAnsi="Arial"/>
          <w:sz w:val="18"/>
          <w:szCs w:val="18"/>
          <w:color w:val="auto"/>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92" w:lineRule="exact"/>
        <w:rPr>
          <w:rFonts w:ascii="Arial" w:cs="Arial" w:eastAsia="Arial" w:hAnsi="Arial"/>
          <w:sz w:val="18"/>
          <w:szCs w:val="18"/>
          <w:b w:val="1"/>
          <w:bCs w:val="1"/>
          <w:color w:val="auto"/>
        </w:rPr>
      </w:pPr>
    </w:p>
    <w:p>
      <w:pPr>
        <w:jc w:val="both"/>
        <w:ind w:firstLine="656"/>
        <w:spacing w:after="0" w:line="296" w:lineRule="auto"/>
        <w:tabs>
          <w:tab w:leader="none" w:pos="1733"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Rescission of Acceleration</w:t>
      </w:r>
      <w:r>
        <w:rPr>
          <w:rFonts w:ascii="Arial" w:cs="Arial" w:eastAsia="Arial" w:hAnsi="Arial"/>
          <w:sz w:val="16"/>
          <w:szCs w:val="16"/>
          <w:color w:val="auto"/>
        </w:rPr>
        <w:t>. Notwithstanding anything to the contrary in this Indenture or the Notes,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S</w:t>
      </w:r>
      <w:r>
        <w:rPr>
          <w:rFonts w:ascii="Arial" w:cs="Arial" w:eastAsia="Arial" w:hAnsi="Arial"/>
          <w:sz w:val="12"/>
          <w:szCs w:val="12"/>
          <w:b w:val="1"/>
          <w:bCs w:val="1"/>
          <w:color w:val="auto"/>
        </w:rPr>
        <w:t>OLE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EMEDY FOR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AILURE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4" w:lineRule="auto"/>
        <w:tabs>
          <w:tab w:leader="none" w:pos="1590"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Notwithstanding anything to the contrary in this Indenture or the Notes, the Company may elect that the sole remedy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Event of Default (a “</w:t>
      </w:r>
      <w:r>
        <w:rPr>
          <w:rFonts w:ascii="Arial" w:cs="Arial" w:eastAsia="Arial" w:hAnsi="Arial"/>
          <w:sz w:val="16"/>
          <w:szCs w:val="16"/>
          <w:b w:val="1"/>
          <w:bCs w:val="1"/>
          <w:color w:val="auto"/>
        </w:rPr>
        <w:t>Reporting Event of Default</w:t>
      </w:r>
      <w:r>
        <w:rPr>
          <w:rFonts w:ascii="Arial" w:cs="Arial" w:eastAsia="Arial" w:hAnsi="Arial"/>
          <w:sz w:val="16"/>
          <w:szCs w:val="16"/>
          <w:color w:val="auto"/>
        </w:rPr>
        <w:t xml:space="preserve">”) pursuant to </w:t>
      </w:r>
      <w:r>
        <w:rPr>
          <w:rFonts w:ascii="Arial" w:cs="Arial" w:eastAsia="Arial" w:hAnsi="Arial"/>
          <w:sz w:val="16"/>
          <w:szCs w:val="16"/>
          <w:b w:val="1"/>
          <w:bCs w:val="1"/>
          <w:color w:val="auto"/>
        </w:rPr>
        <w:t>Section 7.01(A)(vi)</w:t>
      </w:r>
      <w:r>
        <w:rPr>
          <w:rFonts w:ascii="Arial" w:cs="Arial" w:eastAsia="Arial" w:hAnsi="Arial"/>
          <w:sz w:val="16"/>
          <w:szCs w:val="16"/>
          <w:color w:val="auto"/>
        </w:rPr>
        <w:t xml:space="preserve"> arising from the Company’s failure to comply with </w:t>
      </w:r>
      <w:r>
        <w:rPr>
          <w:rFonts w:ascii="Arial" w:cs="Arial" w:eastAsia="Arial" w:hAnsi="Arial"/>
          <w:sz w:val="16"/>
          <w:szCs w:val="16"/>
          <w:b w:val="1"/>
          <w:bCs w:val="1"/>
          <w:color w:val="auto"/>
        </w:rPr>
        <w:t>Section 3.02</w:t>
      </w:r>
      <w:r>
        <w:rPr>
          <w:rFonts w:ascii="Arial" w:cs="Arial" w:eastAsia="Arial" w:hAnsi="Arial"/>
          <w:sz w:val="16"/>
          <w:szCs w:val="16"/>
          <w:color w:val="auto"/>
        </w:rPr>
        <w:t xml:space="preserve"> will, for each of the first two hundred seventy (270)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6"/>
          <w:szCs w:val="16"/>
          <w:b w:val="1"/>
          <w:bCs w:val="1"/>
          <w:color w:val="auto"/>
        </w:rPr>
        <w:t>Section 7.02</w:t>
      </w:r>
      <w:r>
        <w:rPr>
          <w:rFonts w:ascii="Arial" w:cs="Arial" w:eastAsia="Arial" w:hAnsi="Arial"/>
          <w:sz w:val="16"/>
          <w:szCs w:val="16"/>
          <w:color w:val="auto"/>
        </w:rPr>
        <w:t xml:space="preserve"> on account of the relevant Reporting Event of Default from, and including, the two hundred seventy-first (271st) calendar day on which a Reporting Event of Default has occurred and is continuing or if the Company fails to pay any accrued and unpaid Special Interest when due; and</w:t>
      </w:r>
    </w:p>
    <w:p>
      <w:pPr>
        <w:spacing w:after="0" w:line="4" w:lineRule="exact"/>
        <w:rPr>
          <w:rFonts w:ascii="Arial" w:cs="Arial" w:eastAsia="Arial" w:hAnsi="Arial"/>
          <w:sz w:val="16"/>
          <w:szCs w:val="16"/>
          <w:color w:val="auto"/>
        </w:rPr>
      </w:pPr>
    </w:p>
    <w:p>
      <w:pPr>
        <w:ind w:right="20" w:firstLine="8"/>
        <w:spacing w:after="0" w:line="260" w:lineRule="auto"/>
        <w:tabs>
          <w:tab w:leader="none" w:pos="2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Special Interest will cease to accrue on any Notes from, and including, such two hundred seventy-first (271st) calendar day (it being understood that interest on any defaulted Special Interest will nonetheless accrue pursuant to </w:t>
      </w:r>
      <w:r>
        <w:rPr>
          <w:rFonts w:ascii="Arial" w:cs="Arial" w:eastAsia="Arial" w:hAnsi="Arial"/>
          <w:sz w:val="18"/>
          <w:szCs w:val="18"/>
          <w:b w:val="1"/>
          <w:bCs w:val="1"/>
          <w:color w:val="auto"/>
        </w:rPr>
        <w:t>Section 2.05(B)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585" w:val="left"/>
        </w:tabs>
        <w:numPr>
          <w:ilvl w:val="1"/>
          <w:numId w:val="106"/>
        </w:numPr>
        <w:rPr>
          <w:rFonts w:ascii="Arial" w:cs="Arial" w:eastAsia="Arial" w:hAnsi="Arial"/>
          <w:sz w:val="18"/>
          <w:szCs w:val="18"/>
          <w:color w:val="auto"/>
        </w:rPr>
      </w:pPr>
      <w:r>
        <w:rPr>
          <w:rFonts w:ascii="Arial" w:cs="Arial" w:eastAsia="Arial" w:hAnsi="Arial"/>
          <w:sz w:val="18"/>
          <w:szCs w:val="18"/>
          <w:i w:val="1"/>
          <w:iCs w:val="1"/>
          <w:color w:val="auto"/>
        </w:rPr>
        <w:t>Amount and Payment of Special Interest</w:t>
      </w:r>
      <w:r>
        <w:rPr>
          <w:rFonts w:ascii="Arial" w:cs="Arial" w:eastAsia="Arial" w:hAnsi="Arial"/>
          <w:sz w:val="18"/>
          <w:szCs w:val="18"/>
          <w:color w:val="auto"/>
        </w:rPr>
        <w:t>. Any Special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7.03(A)</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same dates and in the same manner as the Stated Interest on such Note and will accrue at a rate per annum equal to one quarter of one percent (0.25%) of the principal amount thereof for the first ninety (90) days on which Special Interest accrues and, thereafter, at a rate per annum equal to one half of one percent (0.50%) of the principal amount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will Special Interest, together with any Additional Interest, accrue on any day on a Note at a combined rate per annum that exceeds one percent (1.00%).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56"/>
        <w:spacing w:after="0" w:line="277" w:lineRule="auto"/>
        <w:tabs>
          <w:tab w:leader="none" w:pos="1679"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Notice of Election</w:t>
      </w:r>
      <w:r>
        <w:rPr>
          <w:rFonts w:ascii="Arial" w:cs="Arial" w:eastAsia="Arial" w:hAnsi="Arial"/>
          <w:sz w:val="17"/>
          <w:szCs w:val="17"/>
          <w:color w:val="auto"/>
        </w:rPr>
        <w:t>. To make the election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7.03(A)</w:t>
      </w:r>
      <w:r>
        <w:rPr>
          <w:rFonts w:ascii="Arial" w:cs="Arial" w:eastAsia="Arial" w:hAnsi="Arial"/>
          <w:sz w:val="17"/>
          <w:szCs w:val="17"/>
          <w:color w:val="auto"/>
        </w:rPr>
        <w:t>, the Company must send to the Holders, the Trustee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Paying Agent, before the date on which each Reporting Event of Default first occurs, a written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1" w:lineRule="exact"/>
        <w:rPr>
          <w:rFonts w:ascii="Arial" w:cs="Arial" w:eastAsia="Arial" w:hAnsi="Arial"/>
          <w:sz w:val="17"/>
          <w:szCs w:val="17"/>
          <w:color w:val="auto"/>
        </w:rPr>
      </w:pPr>
    </w:p>
    <w:p>
      <w:pPr>
        <w:jc w:val="both"/>
        <w:ind w:firstLine="656"/>
        <w:spacing w:after="0" w:line="301" w:lineRule="auto"/>
        <w:tabs>
          <w:tab w:leader="none" w:pos="1496"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Notice to Trustee and Paying Agent; Trustee’s Disclaimer</w:t>
      </w:r>
      <w:r>
        <w:rPr>
          <w:rFonts w:ascii="Arial" w:cs="Arial" w:eastAsia="Arial" w:hAnsi="Arial"/>
          <w:sz w:val="16"/>
          <w:szCs w:val="16"/>
          <w:color w:val="auto"/>
        </w:rPr>
        <w:t>. If Special Interest accrues on any Note, then, no later than five (5)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53" w:lineRule="exact"/>
        <w:rPr>
          <w:rFonts w:ascii="Arial" w:cs="Arial" w:eastAsia="Arial" w:hAnsi="Arial"/>
          <w:sz w:val="16"/>
          <w:szCs w:val="16"/>
          <w:color w:val="auto"/>
        </w:rPr>
      </w:pPr>
    </w:p>
    <w:p>
      <w:pPr>
        <w:ind w:firstLine="656"/>
        <w:spacing w:after="0" w:line="312" w:lineRule="auto"/>
        <w:tabs>
          <w:tab w:leader="none" w:pos="1507"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No Effect on Other Events of Default</w:t>
      </w:r>
      <w:r>
        <w:rPr>
          <w:rFonts w:ascii="Arial" w:cs="Arial" w:eastAsia="Arial" w:hAnsi="Arial"/>
          <w:sz w:val="17"/>
          <w:szCs w:val="17"/>
          <w:color w:val="auto"/>
        </w:rPr>
        <w:t>. No election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 Reporting Event of Default will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of any Holder with respect to any other Event of Default, including with respect to any other Reporting Event of Default.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7.04.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342" w:lineRule="auto"/>
        <w:tabs>
          <w:tab w:leader="none" w:pos="1523"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Trustee May Pursue All Remedies</w:t>
      </w:r>
      <w:r>
        <w:rPr>
          <w:rFonts w:ascii="Arial" w:cs="Arial" w:eastAsia="Arial" w:hAnsi="Arial"/>
          <w:sz w:val="16"/>
          <w:szCs w:val="16"/>
          <w:color w:val="auto"/>
        </w:rPr>
        <w:t>. If an Event of Default occurs and is continuing, then the Trustee may pursue any available remedy</w:t>
      </w:r>
      <w:r>
        <w:rPr>
          <w:rFonts w:ascii="Arial" w:cs="Arial" w:eastAsia="Arial" w:hAnsi="Arial"/>
          <w:sz w:val="16"/>
          <w:szCs w:val="16"/>
          <w:i w:val="1"/>
          <w:iCs w:val="1"/>
          <w:color w:val="auto"/>
        </w:rPr>
        <w:t xml:space="preserve"> </w:t>
      </w:r>
      <w:r>
        <w:rPr>
          <w:rFonts w:ascii="Arial" w:cs="Arial" w:eastAsia="Arial" w:hAnsi="Arial"/>
          <w:sz w:val="16"/>
          <w:szCs w:val="16"/>
          <w:color w:val="auto"/>
        </w:rPr>
        <w:t>to collect the payment of any amounts due with respect to the Notes or to enforce the performance of any provision of this Indenture or the Notes.</w:t>
      </w:r>
    </w:p>
    <w:p>
      <w:pPr>
        <w:spacing w:after="0" w:line="123" w:lineRule="exact"/>
        <w:rPr>
          <w:rFonts w:ascii="Arial" w:cs="Arial" w:eastAsia="Arial" w:hAnsi="Arial"/>
          <w:sz w:val="16"/>
          <w:szCs w:val="16"/>
          <w:color w:val="auto"/>
        </w:rPr>
      </w:pPr>
    </w:p>
    <w:p>
      <w:pPr>
        <w:jc w:val="both"/>
        <w:ind w:firstLine="656"/>
        <w:spacing w:after="0" w:line="311" w:lineRule="auto"/>
        <w:tabs>
          <w:tab w:leader="none" w:pos="159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Procedural Matters</w:t>
      </w:r>
      <w:r>
        <w:rPr>
          <w:rFonts w:ascii="Arial" w:cs="Arial" w:eastAsia="Arial" w:hAnsi="Arial"/>
          <w:sz w:val="16"/>
          <w:szCs w:val="16"/>
          <w:color w:val="auto"/>
        </w:rPr>
        <w:t>. The Trustee may maintain a proceeding even if it does not possess any of the Notes or does not produce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7.05.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AST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An Event of Default pursuant to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(iv)</w:t>
      </w:r>
      <w:r>
        <w:rPr>
          <w:rFonts w:ascii="Arial" w:cs="Arial" w:eastAsia="Arial" w:hAnsi="Arial"/>
          <w:sz w:val="17"/>
          <w:szCs w:val="17"/>
          <w:color w:val="auto"/>
        </w:rPr>
        <w:t xml:space="preserve"> or </w:t>
      </w:r>
      <w:r>
        <w:rPr>
          <w:rFonts w:ascii="Arial" w:cs="Arial" w:eastAsia="Arial" w:hAnsi="Arial"/>
          <w:sz w:val="17"/>
          <w:szCs w:val="17"/>
          <w:b w:val="1"/>
          <w:bCs w:val="1"/>
          <w:color w:val="auto"/>
        </w:rPr>
        <w:t>(vi)</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(that, in the case of </w:t>
      </w:r>
      <w:r>
        <w:rPr>
          <w:rFonts w:ascii="Arial" w:cs="Arial" w:eastAsia="Arial" w:hAnsi="Arial"/>
          <w:sz w:val="17"/>
          <w:szCs w:val="17"/>
          <w:b w:val="1"/>
          <w:bCs w:val="1"/>
          <w:color w:val="auto"/>
        </w:rPr>
        <w:t>clause (vi)</w:t>
      </w:r>
      <w:r>
        <w:rPr>
          <w:rFonts w:ascii="Arial" w:cs="Arial" w:eastAsia="Arial" w:hAnsi="Arial"/>
          <w:sz w:val="17"/>
          <w:szCs w:val="17"/>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Section 7.06. C</w:t>
      </w:r>
      <w:r>
        <w:rPr>
          <w:rFonts w:ascii="Arial" w:cs="Arial" w:eastAsia="Arial" w:hAnsi="Arial"/>
          <w:sz w:val="12"/>
          <w:szCs w:val="12"/>
          <w:b w:val="1"/>
          <w:bCs w:val="1"/>
          <w:color w:val="auto"/>
        </w:rPr>
        <w:t>ONTROL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AJORITY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the last sentence of this paragraph, 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the Trustee determines may be unduly prejudicial to the rights of other Holders (it being understood that the Trustee does not have an affirmative duty to determine whether any direction is prejudicial to any Holder) or may involve the Trustee in liability. Prior to taking any action under this Indenture, the Trustee is entitled to security and indemnity satisfactory to the Trustee against any loss, liability or expense to the Trustee that may result from the Trustee’s following such direction.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7.07. L</w:t>
      </w:r>
      <w:r>
        <w:rPr>
          <w:rFonts w:ascii="Arial" w:cs="Arial" w:eastAsia="Arial" w:hAnsi="Arial"/>
          <w:sz w:val="12"/>
          <w:szCs w:val="12"/>
          <w:b w:val="1"/>
          <w:bCs w:val="1"/>
          <w:color w:val="auto"/>
        </w:rPr>
        <w:t>IMITATION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 Holder may pursue any remedy with respect to this Indenture or the Notes (except to enforce (x) its rights to receive the principal of, or the Redemption Price or Fundamental Change Repurchase Price for, or interest on, any Notes; or (y) the Company’s obligations to convert any Notes pursuant to </w:t>
      </w:r>
      <w:r>
        <w:rPr>
          <w:rFonts w:ascii="Arial" w:cs="Arial" w:eastAsia="Arial" w:hAnsi="Arial"/>
          <w:sz w:val="18"/>
          <w:szCs w:val="18"/>
          <w:b w:val="1"/>
          <w:bCs w:val="1"/>
          <w:color w:val="auto"/>
        </w:rPr>
        <w:t>Article 5</w:t>
      </w:r>
      <w:r>
        <w:rPr>
          <w:rFonts w:ascii="Arial" w:cs="Arial" w:eastAsia="Arial" w:hAnsi="Arial"/>
          <w:sz w:val="18"/>
          <w:szCs w:val="18"/>
          <w:color w:val="auto"/>
        </w:rPr>
        <w:t>), unless:</w:t>
      </w:r>
    </w:p>
    <w:p>
      <w:pPr>
        <w:spacing w:after="0" w:line="184" w:lineRule="exact"/>
        <w:rPr>
          <w:sz w:val="20"/>
          <w:szCs w:val="20"/>
          <w:color w:val="auto"/>
        </w:rPr>
      </w:pPr>
    </w:p>
    <w:p>
      <w:pPr>
        <w:ind w:left="1500" w:hanging="844"/>
        <w:spacing w:after="0"/>
        <w:tabs>
          <w:tab w:leader="none" w:pos="1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Holder has previously delivered to the Trustee notice that an Event of Default is continuing;</w:t>
      </w:r>
    </w:p>
    <w:p>
      <w:pPr>
        <w:spacing w:after="0" w:line="225" w:lineRule="exact"/>
        <w:rPr>
          <w:rFonts w:ascii="Arial" w:cs="Arial" w:eastAsia="Arial" w:hAnsi="Arial"/>
          <w:sz w:val="18"/>
          <w:szCs w:val="18"/>
          <w:color w:val="auto"/>
        </w:rPr>
      </w:pPr>
    </w:p>
    <w:p>
      <w:pPr>
        <w:ind w:firstLine="656"/>
        <w:spacing w:after="0" w:line="277" w:lineRule="auto"/>
        <w:tabs>
          <w:tab w:leader="none" w:pos="15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Holders of at least twenty five percent (25%) in aggregate principal amount of the Notes then outstanding deliver a written request to the Trustee to pursue such remedy;</w:t>
      </w:r>
    </w:p>
    <w:p>
      <w:pPr>
        <w:spacing w:after="0" w:line="170" w:lineRule="exact"/>
        <w:rPr>
          <w:rFonts w:ascii="Arial" w:cs="Arial" w:eastAsia="Arial" w:hAnsi="Arial"/>
          <w:sz w:val="18"/>
          <w:szCs w:val="18"/>
          <w:color w:val="auto"/>
        </w:rPr>
      </w:pPr>
    </w:p>
    <w:p>
      <w:pPr>
        <w:ind w:firstLine="656"/>
        <w:spacing w:after="0" w:line="277" w:lineRule="auto"/>
        <w:tabs>
          <w:tab w:leader="none" w:pos="16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Trustee does not comply with such request within sixty (60) calendar days after its receipt of such request and such offer of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indemnity; and</w:t>
      </w:r>
    </w:p>
    <w:p>
      <w:pPr>
        <w:spacing w:after="0" w:line="210" w:lineRule="exact"/>
        <w:rPr>
          <w:rFonts w:ascii="Arial" w:cs="Arial" w:eastAsia="Arial" w:hAnsi="Arial"/>
          <w:sz w:val="16"/>
          <w:szCs w:val="16"/>
          <w:color w:val="auto"/>
        </w:rPr>
      </w:pPr>
    </w:p>
    <w:p>
      <w:pPr>
        <w:ind w:firstLine="656"/>
        <w:spacing w:after="0" w:line="277" w:lineRule="auto"/>
        <w:tabs>
          <w:tab w:leader="none" w:pos="15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Holder of a Note may not use this Indenture to prejudice the rights of another Holder or to obtain a preference or priority over another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Trustee will have no duty to determine whether any Holder’s use of this Indenture complies with the preceding sentence.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7.08. A</w:t>
      </w:r>
      <w:r>
        <w:rPr>
          <w:rFonts w:ascii="Arial" w:cs="Arial" w:eastAsia="Arial" w:hAnsi="Arial"/>
          <w:sz w:val="12"/>
          <w:szCs w:val="12"/>
          <w:b w:val="1"/>
          <w:bCs w:val="1"/>
          <w:color w:val="auto"/>
        </w:rPr>
        <w:t>BSOLUTE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NSTITUTE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FOR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NFORCEMENT OF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ONSIDERATION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Notwithstanding anything to the contrary in this Indenture or the Notes (but without limiting </w:t>
      </w:r>
      <w:r>
        <w:rPr>
          <w:rFonts w:ascii="Arial" w:cs="Arial" w:eastAsia="Arial" w:hAnsi="Arial"/>
          <w:sz w:val="17"/>
          <w:szCs w:val="17"/>
          <w:b w:val="1"/>
          <w:bCs w:val="1"/>
          <w:color w:val="auto"/>
        </w:rPr>
        <w:t>Section 8.01</w:t>
      </w:r>
      <w:r>
        <w:rPr>
          <w:rFonts w:ascii="Arial" w:cs="Arial" w:eastAsia="Arial" w:hAnsi="Arial"/>
          <w:sz w:val="17"/>
          <w:szCs w:val="17"/>
          <w:color w:val="auto"/>
        </w:rPr>
        <w:t xml:space="preserve">), the right of each Holder of a Note to bring suit for the enforcement of any payment or delivery, as applicable, of the principal of, or the Redemption Price or Fundamental Change Repurchase Price for, or any interest on, or the Conversion Consideration due pursuant to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upon conversion of, such Note on or after the respective due dates therefor provided in this Indenture and the Notes, will not be impaired or affected without the consent of such Holder.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7.09. C</w:t>
      </w:r>
      <w:r>
        <w:rPr>
          <w:rFonts w:ascii="Arial" w:cs="Arial" w:eastAsia="Arial" w:hAnsi="Arial"/>
          <w:sz w:val="12"/>
          <w:szCs w:val="12"/>
          <w:b w:val="1"/>
          <w:bCs w:val="1"/>
          <w:color w:val="auto"/>
        </w:rPr>
        <w:t>OLLECTION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BY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The Trustee will have the right, upon the occurrence and continuance of an Event of Default pursuant to </w:t>
      </w:r>
      <w:r>
        <w:rPr>
          <w:rFonts w:ascii="Arial" w:cs="Arial" w:eastAsia="Arial" w:hAnsi="Arial"/>
          <w:sz w:val="18"/>
          <w:szCs w:val="18"/>
          <w:b w:val="1"/>
          <w:bCs w:val="1"/>
          <w:color w:val="auto"/>
        </w:rPr>
        <w:t>clause (i)</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or </w:t>
      </w:r>
      <w:r>
        <w:rPr>
          <w:rFonts w:ascii="Arial" w:cs="Arial" w:eastAsia="Arial" w:hAnsi="Arial"/>
          <w:sz w:val="18"/>
          <w:szCs w:val="18"/>
          <w:b w:val="1"/>
          <w:bCs w:val="1"/>
          <w:color w:val="auto"/>
        </w:rPr>
        <w:t>(iv)</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to recover judgment in its own name and as trustee of an express trust against the Company for the total unpaid or undelivered principal of, or Redemption Price or Fundamental Change Repurchase Price for, or interest on, or Conversion Consideration due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Arial" w:cs="Arial" w:eastAsia="Arial" w:hAnsi="Arial"/>
          <w:sz w:val="18"/>
          <w:szCs w:val="18"/>
          <w:b w:val="1"/>
          <w:bCs w:val="1"/>
          <w:color w:val="auto"/>
        </w:rPr>
        <w:t>Section 10.06</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ROOFS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Arial" w:cs="Arial" w:eastAsia="Arial" w:hAnsi="Arial"/>
          <w:sz w:val="16"/>
          <w:szCs w:val="16"/>
          <w:b w:val="1"/>
          <w:bCs w:val="1"/>
          <w:color w:val="auto"/>
        </w:rPr>
        <w:t>Section 10.06</w:t>
      </w:r>
      <w:r>
        <w:rPr>
          <w:rFonts w:ascii="Arial" w:cs="Arial" w:eastAsia="Arial" w:hAnsi="Arial"/>
          <w:sz w:val="16"/>
          <w:szCs w:val="16"/>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Section 7.11. P</w:t>
      </w:r>
      <w:r>
        <w:rPr>
          <w:rFonts w:ascii="Arial" w:cs="Arial" w:eastAsia="Arial" w:hAnsi="Arial"/>
          <w:sz w:val="12"/>
          <w:szCs w:val="12"/>
          <w:b w:val="1"/>
          <w:bCs w:val="1"/>
          <w:color w:val="auto"/>
        </w:rPr>
        <w:t>RIORITIES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will pay or deliver in the following order any money or other property that it collects pursuant to this </w:t>
      </w:r>
      <w:r>
        <w:rPr>
          <w:rFonts w:ascii="Arial" w:cs="Arial" w:eastAsia="Arial" w:hAnsi="Arial"/>
          <w:sz w:val="18"/>
          <w:szCs w:val="18"/>
          <w:b w:val="1"/>
          <w:bCs w:val="1"/>
          <w:color w:val="auto"/>
        </w:rPr>
        <w:t>Article 7</w:t>
      </w:r>
      <w:r>
        <w:rPr>
          <w:rFonts w:ascii="Arial" w:cs="Arial" w:eastAsia="Arial" w:hAnsi="Arial"/>
          <w:sz w:val="18"/>
          <w:szCs w:val="18"/>
          <w:color w:val="auto"/>
        </w:rPr>
        <w:t>:</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Trustee, the other Note Agents and each of their respective agents and attorneys for amounts due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10.06</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payment of all fees, compensation, expenses and liabilities incurred, and all advances made, by the Trustee and the Note Agents and the costs and expenses of collection;</w:t>
      </w:r>
    </w:p>
    <w:p>
      <w:pPr>
        <w:spacing w:after="0" w:line="180"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i w:val="1"/>
          <w:iCs w:val="1"/>
          <w:color w:val="auto"/>
        </w:rPr>
        <w:t xml:space="preserve">Second: </w:t>
      </w:r>
      <w:r>
        <w:rPr>
          <w:rFonts w:ascii="Arial" w:cs="Arial" w:eastAsia="Arial" w:hAnsi="Arial"/>
          <w:sz w:val="17"/>
          <w:szCs w:val="17"/>
          <w:color w:val="auto"/>
        </w:rPr>
        <w:t>to Holders for unpaid amounts or other property due on the Notes, including the principal of, or the Redemption Price or</w:t>
      </w:r>
      <w:r>
        <w:rPr>
          <w:rFonts w:ascii="Arial" w:cs="Arial" w:eastAsia="Arial" w:hAnsi="Arial"/>
          <w:sz w:val="17"/>
          <w:szCs w:val="17"/>
          <w:i w:val="1"/>
          <w:iCs w:val="1"/>
          <w:color w:val="auto"/>
        </w:rPr>
        <w:t xml:space="preserve"> </w:t>
      </w:r>
      <w:r>
        <w:rPr>
          <w:rFonts w:ascii="Arial" w:cs="Arial" w:eastAsia="Arial" w:hAnsi="Arial"/>
          <w:sz w:val="17"/>
          <w:szCs w:val="17"/>
          <w:color w:val="auto"/>
        </w:rPr>
        <w:t>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6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i w:val="1"/>
          <w:iCs w:val="1"/>
          <w:color w:val="auto"/>
        </w:rPr>
        <w:t>Third:</w:t>
      </w:r>
      <w:r>
        <w:rPr>
          <w:sz w:val="20"/>
          <w:szCs w:val="20"/>
          <w:color w:val="auto"/>
        </w:rPr>
        <w:tab/>
      </w:r>
      <w:r>
        <w:rPr>
          <w:rFonts w:ascii="Arial" w:cs="Arial" w:eastAsia="Arial" w:hAnsi="Arial"/>
          <w:sz w:val="18"/>
          <w:szCs w:val="18"/>
          <w:color w:val="auto"/>
        </w:rPr>
        <w:t>to the Company or such other Person as a court of competent jurisdiction directs.</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The Trustee may fix a record date and payment date for any payment or delivery to the Holders pursuant to this </w:t>
      </w:r>
      <w:r>
        <w:rPr>
          <w:rFonts w:ascii="Arial" w:cs="Arial" w:eastAsia="Arial" w:hAnsi="Arial"/>
          <w:sz w:val="17"/>
          <w:szCs w:val="17"/>
          <w:b w:val="1"/>
          <w:bCs w:val="1"/>
          <w:color w:val="auto"/>
        </w:rPr>
        <w:t>Section 7.11</w:t>
      </w:r>
      <w:r>
        <w:rPr>
          <w:rFonts w:ascii="Arial" w:cs="Arial" w:eastAsia="Arial" w:hAnsi="Arial"/>
          <w:sz w:val="17"/>
          <w:szCs w:val="17"/>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U</w:t>
      </w:r>
      <w:r>
        <w:rPr>
          <w:rFonts w:ascii="Arial" w:cs="Arial" w:eastAsia="Arial" w:hAnsi="Arial"/>
          <w:sz w:val="12"/>
          <w:szCs w:val="12"/>
          <w:b w:val="1"/>
          <w:bCs w:val="1"/>
          <w:color w:val="auto"/>
        </w:rPr>
        <w:t>NDERTAKING FOR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w:t>
      </w:r>
      <w:r>
        <w:rPr>
          <w:rFonts w:ascii="Arial" w:cs="Arial" w:eastAsia="Arial" w:hAnsi="Arial"/>
          <w:sz w:val="18"/>
          <w:szCs w:val="18"/>
          <w:b w:val="1"/>
          <w:bCs w:val="1"/>
          <w:color w:val="auto"/>
        </w:rPr>
        <w:t>Section 7.12</w:t>
      </w:r>
      <w:r>
        <w:rPr>
          <w:rFonts w:ascii="Arial" w:cs="Arial" w:eastAsia="Arial" w:hAnsi="Arial"/>
          <w:sz w:val="18"/>
          <w:szCs w:val="18"/>
          <w:color w:val="auto"/>
        </w:rPr>
        <w:t xml:space="preserve"> does not apply to any suit by the Trustee, any suit by a Holder pursuant to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or any suit by one or more Holders of more than ten percent (10%) in aggregate principal amount of the Notes then outstanding.</w:t>
      </w:r>
    </w:p>
    <w:p>
      <w:pPr>
        <w:spacing w:after="0" w:line="188" w:lineRule="exact"/>
        <w:rPr>
          <w:sz w:val="20"/>
          <w:szCs w:val="20"/>
          <w:color w:val="auto"/>
        </w:rPr>
      </w:pPr>
    </w:p>
    <w:p>
      <w:pPr>
        <w:ind w:left="2980"/>
        <w:spacing w:after="0"/>
        <w:tabs>
          <w:tab w:leader="none" w:pos="42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AMENDMENTS, SUPPLEMENTS AND WAIVERS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W</w:t>
      </w:r>
      <w:r>
        <w:rPr>
          <w:rFonts w:ascii="Arial" w:cs="Arial" w:eastAsia="Arial" w:hAnsi="Arial"/>
          <w:sz w:val="12"/>
          <w:szCs w:val="12"/>
          <w:b w:val="1"/>
          <w:bCs w:val="1"/>
          <w:color w:val="auto"/>
        </w:rPr>
        <w:t>ITHOUT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b w:val="1"/>
          <w:bCs w:val="1"/>
          <w:color w:val="auto"/>
        </w:rPr>
        <w:t>Section 8.02</w:t>
      </w:r>
      <w:r>
        <w:rPr>
          <w:rFonts w:ascii="Arial" w:cs="Arial" w:eastAsia="Arial" w:hAnsi="Arial"/>
          <w:sz w:val="18"/>
          <w:szCs w:val="18"/>
          <w:color w:val="auto"/>
        </w:rPr>
        <w:t>, the Company and the Trustee may amend or supplement this Indenture or the Notes without the consent of any Holder to:</w:t>
      </w:r>
    </w:p>
    <w:p>
      <w:pPr>
        <w:spacing w:after="0" w:line="166" w:lineRule="exact"/>
        <w:rPr>
          <w:sz w:val="20"/>
          <w:szCs w:val="20"/>
          <w:color w:val="auto"/>
        </w:rPr>
      </w:pPr>
    </w:p>
    <w:p>
      <w:pPr>
        <w:ind w:left="1500" w:hanging="844"/>
        <w:spacing w:after="0"/>
        <w:tabs>
          <w:tab w:leader="none" w:pos="1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 in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add guarantees with respect to the Company’s obligations under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right="20" w:firstLine="656"/>
        <w:spacing w:after="0" w:line="277" w:lineRule="auto"/>
        <w:tabs>
          <w:tab w:leader="none" w:pos="15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add to the Company’s covenants or Events of Default for the benefit of the Holders or surrender any right or power conferred on the Company under this Indenture;</w:t>
      </w:r>
    </w:p>
    <w:p>
      <w:pPr>
        <w:spacing w:after="0" w:line="170" w:lineRule="exact"/>
        <w:rPr>
          <w:rFonts w:ascii="Arial" w:cs="Arial" w:eastAsia="Arial" w:hAnsi="Arial"/>
          <w:sz w:val="18"/>
          <w:szCs w:val="18"/>
          <w:color w:val="auto"/>
        </w:rPr>
      </w:pPr>
    </w:p>
    <w:p>
      <w:pPr>
        <w:ind w:left="1700" w:hanging="1044"/>
        <w:spacing w:after="0"/>
        <w:tabs>
          <w:tab w:leader="none" w:pos="1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provide for the assumption of the Company’s obligations under this Indenture and the Notes pursuant to, and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06" w:lineRule="exact"/>
        <w:rPr>
          <w:rFonts w:ascii="Arial" w:cs="Arial" w:eastAsia="Arial" w:hAnsi="Arial"/>
          <w:sz w:val="16"/>
          <w:szCs w:val="16"/>
          <w:color w:val="auto"/>
        </w:rPr>
      </w:pPr>
    </w:p>
    <w:p>
      <w:pPr>
        <w:ind w:left="1660" w:hanging="1004"/>
        <w:spacing w:after="0"/>
        <w:tabs>
          <w:tab w:leader="none" w:pos="1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enter into supplemental indentures pursuant to, and in accordance with,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in connection with a Common Stock 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210" w:lineRule="exact"/>
        <w:rPr>
          <w:rFonts w:ascii="Arial" w:cs="Arial" w:eastAsia="Arial" w:hAnsi="Arial"/>
          <w:sz w:val="16"/>
          <w:szCs w:val="16"/>
          <w:color w:val="auto"/>
        </w:rPr>
      </w:pPr>
    </w:p>
    <w:p>
      <w:pPr>
        <w:ind w:firstLine="656"/>
        <w:spacing w:after="0" w:line="308" w:lineRule="auto"/>
        <w:tabs>
          <w:tab w:leader="none" w:pos="176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irrevocably elect or eliminate any Settlement Method or Specified Dollar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such election or elimination will affect any Settlement Method theretofore elected (or deemed to be elected) with respect to any Note pursuant to </w:t>
      </w:r>
      <w:r>
        <w:rPr>
          <w:rFonts w:ascii="Arial" w:cs="Arial" w:eastAsia="Arial" w:hAnsi="Arial"/>
          <w:sz w:val="17"/>
          <w:szCs w:val="17"/>
          <w:b w:val="1"/>
          <w:bCs w:val="1"/>
          <w:color w:val="auto"/>
        </w:rPr>
        <w:t>Section 5.03(A)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500" w:hanging="844"/>
        <w:spacing w:after="0"/>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evidence or provide for the acceptance of the appointment, under this Indenture, of a successor Trustee;</w:t>
      </w:r>
    </w:p>
    <w:p>
      <w:pPr>
        <w:spacing w:after="0" w:line="225" w:lineRule="exact"/>
        <w:rPr>
          <w:rFonts w:ascii="Arial" w:cs="Arial" w:eastAsia="Arial" w:hAnsi="Arial"/>
          <w:sz w:val="18"/>
          <w:szCs w:val="18"/>
          <w:color w:val="auto"/>
        </w:rPr>
      </w:pPr>
    </w:p>
    <w:p>
      <w:pPr>
        <w:ind w:firstLine="656"/>
        <w:spacing w:after="0" w:line="277" w:lineRule="auto"/>
        <w:tabs>
          <w:tab w:leader="none" w:pos="164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conform the provisions of this Indenture and the Notes to the “Description of Notes” section of the Company’s preliminary offering memorandum, dated December 8, 2021, as supplemented by the related pricing term sheet, dated December 9, 2021;</w:t>
      </w:r>
    </w:p>
    <w:p>
      <w:pPr>
        <w:spacing w:after="0" w:line="166" w:lineRule="exact"/>
        <w:rPr>
          <w:rFonts w:ascii="Arial" w:cs="Arial" w:eastAsia="Arial" w:hAnsi="Arial"/>
          <w:sz w:val="18"/>
          <w:szCs w:val="18"/>
          <w:color w:val="auto"/>
        </w:rPr>
      </w:pPr>
    </w:p>
    <w:p>
      <w:pPr>
        <w:ind w:left="1560" w:hanging="904"/>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provide for or confirm the issuance of additional Notes pursuant to </w:t>
      </w:r>
      <w:r>
        <w:rPr>
          <w:rFonts w:ascii="Arial" w:cs="Arial" w:eastAsia="Arial" w:hAnsi="Arial"/>
          <w:sz w:val="18"/>
          <w:szCs w:val="18"/>
          <w:b w:val="1"/>
          <w:bCs w:val="1"/>
          <w:color w:val="auto"/>
        </w:rPr>
        <w:t>Section 2.03(B)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656"/>
        <w:spacing w:after="0" w:line="277" w:lineRule="auto"/>
        <w:tabs>
          <w:tab w:leader="none" w:pos="15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comply with any requirement of the SEC in connection with any qualification of this Indenture or any supplemental indenture under the Trust Indenture Act, as then in effect; or</w:t>
      </w:r>
    </w:p>
    <w:p>
      <w:pPr>
        <w:spacing w:after="0" w:line="170" w:lineRule="exact"/>
        <w:rPr>
          <w:rFonts w:ascii="Arial" w:cs="Arial" w:eastAsia="Arial" w:hAnsi="Arial"/>
          <w:sz w:val="18"/>
          <w:szCs w:val="18"/>
          <w:color w:val="auto"/>
        </w:rPr>
      </w:pPr>
    </w:p>
    <w:p>
      <w:pPr>
        <w:ind w:right="20" w:firstLine="656"/>
        <w:spacing w:after="0" w:line="277" w:lineRule="auto"/>
        <w:tabs>
          <w:tab w:leader="none" w:pos="17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any other change to this Indenture or the Notes that does not, individually or in the aggregate with all other such changes, adversely affect the rights of the Holders, as such, in any material respect.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Arial" w:cs="Arial" w:eastAsia="Arial" w:hAnsi="Arial"/>
          <w:sz w:val="18"/>
          <w:szCs w:val="18"/>
          <w:b w:val="1"/>
          <w:bCs w:val="1"/>
          <w:color w:val="auto"/>
        </w:rPr>
        <w:t>Section 8.01(I)</w:t>
      </w:r>
      <w:r>
        <w:rPr>
          <w:rFonts w:ascii="Arial" w:cs="Arial" w:eastAsia="Arial" w:hAnsi="Arial"/>
          <w:sz w:val="18"/>
          <w:szCs w:val="18"/>
          <w:color w:val="auto"/>
        </w:rPr>
        <w: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Section 8.02. W</w:t>
      </w:r>
      <w:r>
        <w:rPr>
          <w:rFonts w:ascii="Arial" w:cs="Arial" w:eastAsia="Arial" w:hAnsi="Arial"/>
          <w:sz w:val="12"/>
          <w:szCs w:val="12"/>
          <w:b w:val="1"/>
          <w:bCs w:val="1"/>
          <w:color w:val="auto"/>
        </w:rPr>
        <w:t>ITH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8" w:lineRule="auto"/>
        <w:tabs>
          <w:tab w:leader="none" w:pos="1577"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8.01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7.05</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immediately following sentence, the Company and the Trustee may,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Arial" w:cs="Arial" w:eastAsia="Arial" w:hAnsi="Arial"/>
          <w:sz w:val="18"/>
          <w:szCs w:val="18"/>
          <w:b w:val="1"/>
          <w:bCs w:val="1"/>
          <w:color w:val="auto"/>
        </w:rPr>
        <w:t>Section 8.01</w:t>
      </w:r>
      <w:r>
        <w:rPr>
          <w:rFonts w:ascii="Arial" w:cs="Arial" w:eastAsia="Arial" w:hAnsi="Arial"/>
          <w:sz w:val="18"/>
          <w:szCs w:val="18"/>
          <w:color w:val="auto"/>
        </w:rPr>
        <w:t>, without the consent of each affected Holder, no amendment or supplement to this Indenture or the Notes, or waiver of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or the Notes, may:</w:t>
      </w:r>
    </w:p>
    <w:p>
      <w:pPr>
        <w:spacing w:after="0" w:line="187" w:lineRule="exact"/>
        <w:rPr>
          <w:rFonts w:ascii="Arial" w:cs="Arial" w:eastAsia="Arial" w:hAnsi="Arial"/>
          <w:sz w:val="18"/>
          <w:szCs w:val="18"/>
          <w:color w:val="auto"/>
        </w:rPr>
      </w:pPr>
    </w:p>
    <w:p>
      <w:pPr>
        <w:ind w:left="2240" w:hanging="936"/>
        <w:spacing w:after="0"/>
        <w:tabs>
          <w:tab w:leader="none" w:pos="22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reduce the principal, or extend the stated maturity, of any Note;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30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reduce the Redemption Price or Fundamental Change Repurchase Price for any Note or change the times at which, or the circumstances under which, the Notes may or will be redeemed or repurchased by the Company;</w:t>
      </w:r>
    </w:p>
    <w:p>
      <w:pPr>
        <w:spacing w:after="0" w:line="170" w:lineRule="exact"/>
        <w:rPr>
          <w:rFonts w:ascii="Arial" w:cs="Arial" w:eastAsia="Arial" w:hAnsi="Arial"/>
          <w:sz w:val="18"/>
          <w:szCs w:val="18"/>
          <w:color w:val="auto"/>
        </w:rPr>
      </w:pPr>
    </w:p>
    <w:p>
      <w:pPr>
        <w:ind w:left="2120" w:hanging="816"/>
        <w:spacing w:after="0"/>
        <w:tabs>
          <w:tab w:leader="none" w:pos="21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reduce the rate, or extend the time for the payment, of interest on any Note;</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w:t>
      </w:r>
    </w:p>
    <w:p>
      <w:pPr>
        <w:spacing w:after="0" w:line="221" w:lineRule="exact"/>
        <w:rPr>
          <w:rFonts w:ascii="Arial" w:cs="Arial" w:eastAsia="Arial" w:hAnsi="Arial"/>
          <w:sz w:val="18"/>
          <w:szCs w:val="18"/>
          <w:color w:val="auto"/>
        </w:rPr>
      </w:pPr>
    </w:p>
    <w:p>
      <w:pPr>
        <w:ind w:left="2180" w:hanging="876"/>
        <w:spacing w:after="0"/>
        <w:tabs>
          <w:tab w:leader="none" w:pos="21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impair the rights of any Holder set forth in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(as such section is in effect on the Issue Date);</w:t>
      </w:r>
    </w:p>
    <w:p>
      <w:pPr>
        <w:spacing w:after="0" w:line="229" w:lineRule="exact"/>
        <w:rPr>
          <w:rFonts w:ascii="Arial" w:cs="Arial" w:eastAsia="Arial" w:hAnsi="Arial"/>
          <w:sz w:val="18"/>
          <w:szCs w:val="18"/>
          <w:color w:val="auto"/>
        </w:rPr>
      </w:pPr>
    </w:p>
    <w:p>
      <w:pPr>
        <w:ind w:left="2140" w:hanging="836"/>
        <w:spacing w:after="0"/>
        <w:tabs>
          <w:tab w:leader="none" w:pos="21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make any Note payable in money, or at a place of payment, other than that stated in this Indenture or the Note;</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reduce the amount of Notes whose Holders must consent to any amendment, supplement, waiver or other modification; or</w:t>
      </w:r>
    </w:p>
    <w:p>
      <w:pPr>
        <w:spacing w:after="0" w:line="236" w:lineRule="exact"/>
        <w:rPr>
          <w:rFonts w:ascii="Arial" w:cs="Arial" w:eastAsia="Arial" w:hAnsi="Arial"/>
          <w:sz w:val="17"/>
          <w:szCs w:val="17"/>
          <w:color w:val="auto"/>
        </w:rPr>
      </w:pPr>
    </w:p>
    <w:p>
      <w:pPr>
        <w:ind w:left="660" w:right="20" w:firstLine="644"/>
        <w:spacing w:after="0" w:line="277" w:lineRule="auto"/>
        <w:tabs>
          <w:tab w:leader="none" w:pos="220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make any direct or indirect change to any amendment, supplement, waiver or modification provision of this Indenture or the Notes that requires the consent of each affected Holder.</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For the avoidance of doubt, pursuant to </w:t>
      </w:r>
      <w:r>
        <w:rPr>
          <w:rFonts w:ascii="Arial" w:cs="Arial" w:eastAsia="Arial" w:hAnsi="Arial"/>
          <w:sz w:val="17"/>
          <w:szCs w:val="17"/>
          <w:b w:val="1"/>
          <w:bCs w:val="1"/>
          <w:color w:val="auto"/>
        </w:rPr>
        <w:t>clauses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(iii)</w:t>
      </w:r>
      <w:r>
        <w:rPr>
          <w:rFonts w:ascii="Arial" w:cs="Arial" w:eastAsia="Arial" w:hAnsi="Arial"/>
          <w:sz w:val="17"/>
          <w:szCs w:val="17"/>
          <w:color w:val="auto"/>
        </w:rPr>
        <w:t xml:space="preserve"> and </w:t>
      </w:r>
      <w:r>
        <w:rPr>
          <w:rFonts w:ascii="Arial" w:cs="Arial" w:eastAsia="Arial" w:hAnsi="Arial"/>
          <w:sz w:val="17"/>
          <w:szCs w:val="17"/>
          <w:b w:val="1"/>
          <w:bCs w:val="1"/>
          <w:color w:val="auto"/>
        </w:rPr>
        <w:t>(iv)</w:t>
      </w:r>
      <w:r>
        <w:rPr>
          <w:rFonts w:ascii="Arial" w:cs="Arial" w:eastAsia="Arial" w:hAnsi="Arial"/>
          <w:sz w:val="17"/>
          <w:szCs w:val="17"/>
          <w:color w:val="auto"/>
        </w:rPr>
        <w:t xml:space="preserve"> of this </w:t>
      </w:r>
      <w:r>
        <w:rPr>
          <w:rFonts w:ascii="Arial" w:cs="Arial" w:eastAsia="Arial" w:hAnsi="Arial"/>
          <w:sz w:val="17"/>
          <w:szCs w:val="17"/>
          <w:b w:val="1"/>
          <w:bCs w:val="1"/>
          <w:color w:val="auto"/>
        </w:rPr>
        <w:t>Section 8.02(A)</w:t>
      </w:r>
      <w:r>
        <w:rPr>
          <w:rFonts w:ascii="Arial" w:cs="Arial" w:eastAsia="Arial" w:hAnsi="Arial"/>
          <w:sz w:val="17"/>
          <w:szCs w:val="17"/>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65" w:lineRule="exact"/>
        <w:rPr>
          <w:sz w:val="20"/>
          <w:szCs w:val="20"/>
          <w:color w:val="auto"/>
        </w:rPr>
      </w:pPr>
    </w:p>
    <w:p>
      <w:pPr>
        <w:ind w:firstLine="656"/>
        <w:spacing w:after="0" w:line="282" w:lineRule="auto"/>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Holders Need Not Approve the Particular Form of any Amendment</w:t>
      </w:r>
      <w:r>
        <w:rPr>
          <w:rFonts w:ascii="Arial" w:cs="Arial" w:eastAsia="Arial" w:hAnsi="Arial"/>
          <w:sz w:val="18"/>
          <w:szCs w:val="18"/>
          <w:color w:val="auto"/>
        </w:rPr>
        <w:t>. A consent of any Holder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8.02</w:t>
      </w:r>
      <w:r>
        <w:rPr>
          <w:rFonts w:ascii="Arial" w:cs="Arial" w:eastAsia="Arial" w:hAnsi="Arial"/>
          <w:sz w:val="18"/>
          <w:szCs w:val="18"/>
          <w:i w:val="1"/>
          <w:iCs w:val="1"/>
          <w:color w:val="auto"/>
        </w:rPr>
        <w:t xml:space="preserve"> </w:t>
      </w:r>
      <w:r>
        <w:rPr>
          <w:rFonts w:ascii="Arial" w:cs="Arial" w:eastAsia="Arial" w:hAnsi="Arial"/>
          <w:sz w:val="18"/>
          <w:szCs w:val="18"/>
          <w:color w:val="auto"/>
        </w:rPr>
        <w:t>need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only the substance, and not necessarily the particular form, of the proposed amendment, supplement or waiver.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8.03.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UPPLEMENTS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As soon as reasonably practicable after any amendment, supplement or waiver pursuant to </w:t>
      </w:r>
      <w:r>
        <w:rPr>
          <w:rFonts w:ascii="Arial" w:cs="Arial" w:eastAsia="Arial" w:hAnsi="Arial"/>
          <w:sz w:val="16"/>
          <w:szCs w:val="16"/>
          <w:b w:val="1"/>
          <w:bCs w:val="1"/>
          <w:color w:val="auto"/>
        </w:rPr>
        <w:t>Section 8.01</w:t>
      </w:r>
      <w:r>
        <w:rPr>
          <w:rFonts w:ascii="Arial" w:cs="Arial" w:eastAsia="Arial" w:hAnsi="Arial"/>
          <w:sz w:val="16"/>
          <w:szCs w:val="16"/>
          <w:color w:val="auto"/>
        </w:rPr>
        <w:t xml:space="preserve"> or </w:t>
      </w:r>
      <w:r>
        <w:rPr>
          <w:rFonts w:ascii="Arial" w:cs="Arial" w:eastAsia="Arial" w:hAnsi="Arial"/>
          <w:sz w:val="16"/>
          <w:szCs w:val="16"/>
          <w:b w:val="1"/>
          <w:bCs w:val="1"/>
          <w:color w:val="auto"/>
        </w:rPr>
        <w:t>8.02</w:t>
      </w:r>
      <w:r>
        <w:rPr>
          <w:rFonts w:ascii="Arial" w:cs="Arial" w:eastAsia="Arial" w:hAnsi="Arial"/>
          <w:sz w:val="16"/>
          <w:szCs w:val="16"/>
          <w:color w:val="auto"/>
        </w:rPr>
        <w:t xml:space="preserve"> becomes effective, the Company will send to the Holders and the Trustee notice that (A) describes the substance of such amendment, supplement or waiver in reasonable detail and (B) states the effective date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8.04. R</w:t>
      </w:r>
      <w:r>
        <w:rPr>
          <w:rFonts w:ascii="Arial" w:cs="Arial" w:eastAsia="Arial" w:hAnsi="Arial"/>
          <w:sz w:val="12"/>
          <w:szCs w:val="12"/>
          <w:b w:val="1"/>
          <w:bCs w:val="1"/>
          <w:color w:val="auto"/>
        </w:rPr>
        <w:t>EVOCATION</w:t>
      </w:r>
      <w:r>
        <w:rPr>
          <w:rFonts w:ascii="Arial" w:cs="Arial" w:eastAsia="Arial" w:hAnsi="Arial"/>
          <w:sz w:val="18"/>
          <w:szCs w:val="18"/>
          <w:b w:val="1"/>
          <w:bCs w:val="1"/>
          <w:color w:val="auto"/>
        </w:rPr>
        <w:t>, E</w:t>
      </w:r>
      <w:r>
        <w:rPr>
          <w:rFonts w:ascii="Arial" w:cs="Arial" w:eastAsia="Arial" w:hAnsi="Arial"/>
          <w:sz w:val="12"/>
          <w:szCs w:val="12"/>
          <w:b w:val="1"/>
          <w:bCs w:val="1"/>
          <w:color w:val="auto"/>
        </w:rPr>
        <w:t>FFECT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OLICITATION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52"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The consent of a Holder of a Note to an amendment, supplement or waiver will bind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constitute the consent of) each subsequent Holder of any Note to the extent the same evidences any portion of the same indebtedness as the consenting Holder’s Note, subject to the right of any Holder of a Note to revoke (if not prohibited pursuant to </w:t>
      </w:r>
      <w:r>
        <w:rPr>
          <w:rFonts w:ascii="Arial" w:cs="Arial" w:eastAsia="Arial" w:hAnsi="Arial"/>
          <w:sz w:val="17"/>
          <w:szCs w:val="17"/>
          <w:b w:val="1"/>
          <w:bCs w:val="1"/>
          <w:color w:val="auto"/>
        </w:rPr>
        <w:t>Section 8.04(B)</w:t>
      </w:r>
      <w:r>
        <w:rPr>
          <w:rFonts w:ascii="Arial" w:cs="Arial" w:eastAsia="Arial" w:hAnsi="Arial"/>
          <w:sz w:val="17"/>
          <w:szCs w:val="17"/>
          <w:color w:val="auto"/>
        </w:rPr>
        <w:t>) any such consent with respect to such Note by delivering notice of revocation to the Trustee before the time such amendment, supplement or waiver becomes effective.</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571"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Special Record Dates</w:t>
      </w:r>
      <w:r>
        <w:rPr>
          <w:rFonts w:ascii="Arial" w:cs="Arial" w:eastAsia="Arial" w:hAnsi="Arial"/>
          <w:sz w:val="18"/>
          <w:szCs w:val="18"/>
          <w:color w:val="auto"/>
        </w:rPr>
        <w:t>. The Company may, but is not required to, fix a record date for the purpose of determining the Holders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consent or take any other action in connection with any amendment, supplement or waiver pursuant to this </w:t>
      </w:r>
      <w:r>
        <w:rPr>
          <w:rFonts w:ascii="Arial" w:cs="Arial" w:eastAsia="Arial" w:hAnsi="Arial"/>
          <w:sz w:val="18"/>
          <w:szCs w:val="18"/>
          <w:b w:val="1"/>
          <w:bCs w:val="1"/>
          <w:color w:val="auto"/>
        </w:rPr>
        <w:t>Article 8</w:t>
      </w:r>
      <w:r>
        <w:rPr>
          <w:rFonts w:ascii="Arial" w:cs="Arial" w:eastAsia="Arial" w:hAnsi="Arial"/>
          <w:sz w:val="18"/>
          <w:szCs w:val="18"/>
          <w:color w:val="auto"/>
        </w:rPr>
        <w:t xml:space="preserve">. If a record date is fixed, then, notwithstanding anything to the contrary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consent will be valid or effective for more than one hundred and twenty (120) calendar days after such record date.</w:t>
      </w:r>
    </w:p>
    <w:p>
      <w:pPr>
        <w:spacing w:after="0" w:line="192" w:lineRule="exact"/>
        <w:rPr>
          <w:rFonts w:ascii="Arial" w:cs="Arial" w:eastAsia="Arial" w:hAnsi="Arial"/>
          <w:sz w:val="18"/>
          <w:szCs w:val="18"/>
          <w:color w:val="auto"/>
        </w:rPr>
      </w:pPr>
    </w:p>
    <w:p>
      <w:pPr>
        <w:ind w:firstLine="656"/>
        <w:spacing w:after="0" w:line="277" w:lineRule="auto"/>
        <w:tabs>
          <w:tab w:leader="none" w:pos="159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Solicitation of Consents</w:t>
      </w:r>
      <w:r>
        <w:rPr>
          <w:rFonts w:ascii="Arial" w:cs="Arial" w:eastAsia="Arial" w:hAnsi="Arial"/>
          <w:sz w:val="18"/>
          <w:szCs w:val="18"/>
          <w:color w:val="auto"/>
        </w:rPr>
        <w:t>. For the avoidance of doubt, each reference in this Indenture or the Notes to the consent of a Holder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include any such consent obtained in connection with a repurchase of, or tender or exchange offer for, any Notes.</w:t>
      </w:r>
    </w:p>
    <w:p>
      <w:pPr>
        <w:spacing w:after="0" w:line="166" w:lineRule="exact"/>
        <w:rPr>
          <w:rFonts w:ascii="Arial" w:cs="Arial" w:eastAsia="Arial" w:hAnsi="Arial"/>
          <w:sz w:val="18"/>
          <w:szCs w:val="18"/>
          <w:color w:val="auto"/>
        </w:rPr>
      </w:pPr>
    </w:p>
    <w:p>
      <w:pPr>
        <w:jc w:val="both"/>
        <w:ind w:firstLine="656"/>
        <w:spacing w:after="0" w:line="266" w:lineRule="auto"/>
        <w:tabs>
          <w:tab w:leader="none" w:pos="18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Effectiveness and Binding Effect</w:t>
      </w:r>
      <w:r>
        <w:rPr>
          <w:rFonts w:ascii="Arial" w:cs="Arial" w:eastAsia="Arial" w:hAnsi="Arial"/>
          <w:sz w:val="18"/>
          <w:szCs w:val="18"/>
          <w:color w:val="auto"/>
        </w:rPr>
        <w:t>. Each amendment, supplement or waiver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8</w:t>
      </w:r>
      <w:r>
        <w:rPr>
          <w:rFonts w:ascii="Arial" w:cs="Arial" w:eastAsia="Arial" w:hAnsi="Arial"/>
          <w:sz w:val="18"/>
          <w:szCs w:val="18"/>
          <w:i w:val="1"/>
          <w:iCs w:val="1"/>
          <w:color w:val="auto"/>
        </w:rPr>
        <w:t xml:space="preserve"> </w:t>
      </w:r>
      <w:r>
        <w:rPr>
          <w:rFonts w:ascii="Arial" w:cs="Arial" w:eastAsia="Arial" w:hAnsi="Arial"/>
          <w:sz w:val="18"/>
          <w:szCs w:val="18"/>
          <w:color w:val="auto"/>
        </w:rPr>
        <w:t>will become effective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and, when it becomes effective with respect to any Note (or any portion thereof), will thereafter bind every Holder of such Note (or such portion).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8.05. N</w:t>
      </w:r>
      <w:r>
        <w:rPr>
          <w:rFonts w:ascii="Arial" w:cs="Arial" w:eastAsia="Arial" w:hAnsi="Arial"/>
          <w:sz w:val="12"/>
          <w:szCs w:val="12"/>
          <w:b w:val="1"/>
          <w:bCs w:val="1"/>
          <w:color w:val="auto"/>
        </w:rPr>
        <w:t>OTATIONS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a new Note that reflects the changed terms. The failure to make any appropriate notation or issue a new Note pursuant to this </w:t>
      </w:r>
      <w:r>
        <w:rPr>
          <w:rFonts w:ascii="Arial" w:cs="Arial" w:eastAsia="Arial" w:hAnsi="Arial"/>
          <w:sz w:val="17"/>
          <w:szCs w:val="17"/>
          <w:b w:val="1"/>
          <w:bCs w:val="1"/>
          <w:color w:val="auto"/>
        </w:rPr>
        <w:t>Section 8.05</w:t>
      </w:r>
      <w:r>
        <w:rPr>
          <w:rFonts w:ascii="Arial" w:cs="Arial" w:eastAsia="Arial" w:hAnsi="Arial"/>
          <w:sz w:val="17"/>
          <w:szCs w:val="17"/>
          <w:color w:val="auto"/>
        </w:rPr>
        <w:t xml:space="preserve"> will not impair or affect the validity of such amendment, supplement or waiver.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8.06. T</w:t>
      </w:r>
      <w:r>
        <w:rPr>
          <w:rFonts w:ascii="Arial" w:cs="Arial" w:eastAsia="Arial" w:hAnsi="Arial"/>
          <w:sz w:val="12"/>
          <w:szCs w:val="12"/>
          <w:b w:val="1"/>
          <w:bCs w:val="1"/>
          <w:color w:val="auto"/>
        </w:rPr>
        <w:t>RUSTEE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NDENTURES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Trustee will execute and deliver any amendment or supplemental indenture authorized pursuant to this </w:t>
      </w:r>
      <w:r>
        <w:rPr>
          <w:rFonts w:ascii="Arial" w:cs="Arial" w:eastAsia="Arial" w:hAnsi="Arial"/>
          <w:sz w:val="16"/>
          <w:szCs w:val="16"/>
          <w:b w:val="1"/>
          <w:bCs w:val="1"/>
          <w:color w:val="auto"/>
        </w:rPr>
        <w:t>Article 8</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Arial" w:cs="Arial" w:eastAsia="Arial" w:hAnsi="Arial"/>
          <w:sz w:val="16"/>
          <w:szCs w:val="16"/>
          <w:b w:val="1"/>
          <w:bCs w:val="1"/>
          <w:color w:val="auto"/>
        </w:rPr>
        <w:t>Sections 10.01</w:t>
      </w:r>
      <w:r>
        <w:rPr>
          <w:rFonts w:ascii="Arial" w:cs="Arial" w:eastAsia="Arial" w:hAnsi="Arial"/>
          <w:sz w:val="16"/>
          <w:szCs w:val="16"/>
          <w:color w:val="auto"/>
        </w:rPr>
        <w:t xml:space="preserve"> and </w:t>
      </w:r>
      <w:r>
        <w:rPr>
          <w:rFonts w:ascii="Arial" w:cs="Arial" w:eastAsia="Arial" w:hAnsi="Arial"/>
          <w:sz w:val="16"/>
          <w:szCs w:val="16"/>
          <w:b w:val="1"/>
          <w:bCs w:val="1"/>
          <w:color w:val="auto"/>
        </w:rPr>
        <w:t>10.02</w:t>
      </w:r>
      <w:r>
        <w:rPr>
          <w:rFonts w:ascii="Arial" w:cs="Arial" w:eastAsia="Arial" w:hAnsi="Arial"/>
          <w:sz w:val="16"/>
          <w:szCs w:val="16"/>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3420"/>
        <w:spacing w:after="0"/>
        <w:tabs>
          <w:tab w:leader="none" w:pos="492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 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jc w:val="both"/>
        <w:ind w:firstLine="656"/>
        <w:spacing w:after="0" w:line="266" w:lineRule="auto"/>
        <w:tabs>
          <w:tab w:leader="none" w:pos="150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all Notes then outstanding (other than Notes replaced pursuant to </w:t>
      </w:r>
      <w:r>
        <w:rPr>
          <w:rFonts w:ascii="Arial" w:cs="Arial" w:eastAsia="Arial" w:hAnsi="Arial"/>
          <w:sz w:val="18"/>
          <w:szCs w:val="18"/>
          <w:b w:val="1"/>
          <w:bCs w:val="1"/>
          <w:color w:val="auto"/>
        </w:rPr>
        <w:t>Section 2.12</w:t>
      </w:r>
      <w:r>
        <w:rPr>
          <w:rFonts w:ascii="Arial" w:cs="Arial" w:eastAsia="Arial" w:hAnsi="Arial"/>
          <w:sz w:val="18"/>
          <w:szCs w:val="18"/>
          <w:color w:val="auto"/>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spacing w:after="0" w:line="179" w:lineRule="exact"/>
        <w:rPr>
          <w:rFonts w:ascii="Arial" w:cs="Arial" w:eastAsia="Arial" w:hAnsi="Arial"/>
          <w:sz w:val="18"/>
          <w:szCs w:val="18"/>
          <w:color w:val="auto"/>
        </w:rPr>
      </w:pPr>
    </w:p>
    <w:p>
      <w:pPr>
        <w:jc w:val="both"/>
        <w:ind w:firstLine="656"/>
        <w:spacing w:after="0" w:line="259" w:lineRule="auto"/>
        <w:tabs>
          <w:tab w:leader="none" w:pos="15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Arial" w:cs="Arial" w:eastAsia="Arial" w:hAnsi="Arial"/>
          <w:sz w:val="18"/>
          <w:szCs w:val="18"/>
          <w:b w:val="1"/>
          <w:bCs w:val="1"/>
          <w:color w:val="auto"/>
        </w:rPr>
        <w:t>Section 2.12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paid all other amounts payable by it under this Indenture; and</w:t>
      </w:r>
    </w:p>
    <w:p>
      <w:pPr>
        <w:spacing w:after="0" w:line="225" w:lineRule="exact"/>
        <w:rPr>
          <w:rFonts w:ascii="Arial" w:cs="Arial" w:eastAsia="Arial" w:hAnsi="Arial"/>
          <w:sz w:val="18"/>
          <w:szCs w:val="18"/>
          <w:color w:val="auto"/>
        </w:rPr>
      </w:pPr>
    </w:p>
    <w:p>
      <w:pPr>
        <w:ind w:firstLine="656"/>
        <w:spacing w:after="0" w:line="277" w:lineRule="auto"/>
        <w:tabs>
          <w:tab w:leader="none" w:pos="148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conditions precedent to the discharge of this Indenture have been satisfied;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2.10(E)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10</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11.01</w:t>
      </w:r>
      <w:r>
        <w:rPr>
          <w:rFonts w:ascii="Arial" w:cs="Arial" w:eastAsia="Arial" w:hAnsi="Arial"/>
          <w:sz w:val="18"/>
          <w:szCs w:val="18"/>
          <w:i w:val="1"/>
          <w:iCs w:val="1"/>
          <w:color w:val="auto"/>
        </w:rPr>
        <w:t xml:space="preserve"> </w:t>
      </w:r>
      <w:r>
        <w:rPr>
          <w:rFonts w:ascii="Arial" w:cs="Arial" w:eastAsia="Arial" w:hAnsi="Arial"/>
          <w:sz w:val="18"/>
          <w:szCs w:val="18"/>
          <w:color w:val="auto"/>
        </w:rPr>
        <w:t>will survive such discharge and, until no Notes remain outstanding,</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2.14</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obligations of the Trustee, the Paying Agent and the Conversion Agent with respect to money or other property deposited with them will survive such discharge.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9.02. R</w:t>
      </w:r>
      <w:r>
        <w:rPr>
          <w:rFonts w:ascii="Arial" w:cs="Arial" w:eastAsia="Arial" w:hAnsi="Arial"/>
          <w:sz w:val="12"/>
          <w:szCs w:val="12"/>
          <w:b w:val="1"/>
          <w:bCs w:val="1"/>
          <w:color w:val="auto"/>
        </w:rPr>
        <w:t>EPAYMENT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9.03. R</w:t>
      </w:r>
      <w:r>
        <w:rPr>
          <w:rFonts w:ascii="Arial" w:cs="Arial" w:eastAsia="Arial" w:hAnsi="Arial"/>
          <w:sz w:val="12"/>
          <w:szCs w:val="12"/>
          <w:b w:val="1"/>
          <w:bCs w:val="1"/>
          <w:color w:val="auto"/>
        </w:rPr>
        <w:t>EINSTATEMENT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If the Trustee, the Paying Agent or the Conversion Agent is unable to apply any cash or other property deposited with it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will be rescinded;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4480"/>
        <w:spacing w:after="0"/>
        <w:tabs>
          <w:tab w:leader="none" w:pos="59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D</w:t>
      </w:r>
      <w:r>
        <w:rPr>
          <w:rFonts w:ascii="Arial" w:cs="Arial" w:eastAsia="Arial" w:hAnsi="Arial"/>
          <w:sz w:val="12"/>
          <w:szCs w:val="12"/>
          <w:b w:val="1"/>
          <w:bCs w:val="1"/>
          <w:color w:val="auto"/>
        </w:rPr>
        <w:t>UTIES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69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an Event of Default has occurred and is continuing of which a Responsible Officer of the Trustee has written notice or actual knowledge, the Trustee will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will be under no obligation to exercise any of the rights or powers under this Indenture at the request or direction of any of the Holder unless such Holders have offered, and if requested, provided, to the Trustee indemnity or security satisfactory to Trustee against any loss, liability or expense that might be incurred by it in compliance with such request or direction.</w:t>
      </w:r>
    </w:p>
    <w:p>
      <w:pPr>
        <w:spacing w:after="0" w:line="192" w:lineRule="exact"/>
        <w:rPr>
          <w:rFonts w:ascii="Arial" w:cs="Arial" w:eastAsia="Arial" w:hAnsi="Arial"/>
          <w:sz w:val="18"/>
          <w:szCs w:val="18"/>
          <w:color w:val="auto"/>
        </w:rPr>
      </w:pPr>
    </w:p>
    <w:p>
      <w:pPr>
        <w:ind w:left="1520" w:hanging="864"/>
        <w:spacing w:after="0"/>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28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245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7" w:lineRule="exact"/>
        <w:rPr>
          <w:rFonts w:ascii="Arial" w:cs="Arial" w:eastAsia="Arial" w:hAnsi="Arial"/>
          <w:sz w:val="18"/>
          <w:szCs w:val="18"/>
          <w:color w:val="auto"/>
        </w:rPr>
      </w:pPr>
    </w:p>
    <w:p>
      <w:pPr>
        <w:ind w:firstLine="656"/>
        <w:spacing w:after="0" w:line="277" w:lineRule="auto"/>
        <w:tabs>
          <w:tab w:leader="none" w:pos="15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negligence or willful misconduct as determined by a final non-appealable order of a court of competent jurisdiction, except that:</w:t>
      </w:r>
    </w:p>
    <w:p>
      <w:pPr>
        <w:spacing w:after="0" w:line="166" w:lineRule="exact"/>
        <w:rPr>
          <w:rFonts w:ascii="Arial" w:cs="Arial" w:eastAsia="Arial" w:hAnsi="Arial"/>
          <w:sz w:val="18"/>
          <w:szCs w:val="18"/>
          <w:color w:val="auto"/>
        </w:rPr>
      </w:pPr>
    </w:p>
    <w:p>
      <w:pPr>
        <w:ind w:left="2240" w:hanging="936"/>
        <w:spacing w:after="0"/>
        <w:tabs>
          <w:tab w:leader="none" w:pos="22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this paragraph will not limit the effect of </w:t>
      </w:r>
      <w:r>
        <w:rPr>
          <w:rFonts w:ascii="Arial" w:cs="Arial" w:eastAsia="Arial" w:hAnsi="Arial"/>
          <w:sz w:val="18"/>
          <w:szCs w:val="18"/>
          <w:b w:val="1"/>
          <w:bCs w:val="1"/>
          <w:color w:val="auto"/>
        </w:rPr>
        <w:t>Section 10.01(B)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4"/>
        <w:spacing w:after="0" w:line="277" w:lineRule="auto"/>
        <w:tabs>
          <w:tab w:leader="none" w:pos="223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219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Trustee will not be liable with respect to any action it takes or omits to take in good faith in accordance with a direction received by it pursuant to </w:t>
      </w:r>
      <w:r>
        <w:rPr>
          <w:rFonts w:ascii="Arial" w:cs="Arial" w:eastAsia="Arial" w:hAnsi="Arial"/>
          <w:sz w:val="18"/>
          <w:szCs w:val="18"/>
          <w:b w:val="1"/>
          <w:bCs w:val="1"/>
          <w:color w:val="auto"/>
        </w:rPr>
        <w:t>Section 7.06</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1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179" w:lineRule="exact"/>
        <w:rPr>
          <w:rFonts w:ascii="Arial" w:cs="Arial" w:eastAsia="Arial" w:hAnsi="Arial"/>
          <w:sz w:val="18"/>
          <w:szCs w:val="18"/>
          <w:color w:val="auto"/>
        </w:rPr>
      </w:pPr>
    </w:p>
    <w:p>
      <w:pPr>
        <w:ind w:firstLine="656"/>
        <w:spacing w:after="0" w:line="282" w:lineRule="auto"/>
        <w:tabs>
          <w:tab w:leader="none" w:pos="15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Each provision of this Indenture that in any way relates to the Trustee is subject to paragraphs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10.01</w:t>
      </w:r>
      <w:r>
        <w:rPr>
          <w:rFonts w:ascii="Arial" w:cs="Arial" w:eastAsia="Arial" w:hAnsi="Arial"/>
          <w:sz w:val="18"/>
          <w:szCs w:val="18"/>
          <w:color w:val="auto"/>
        </w:rPr>
        <w:t>, regardless of whether such provision so expressly provides.</w:t>
      </w:r>
    </w:p>
    <w:p>
      <w:pPr>
        <w:spacing w:after="0" w:line="165" w:lineRule="exact"/>
        <w:rPr>
          <w:rFonts w:ascii="Arial" w:cs="Arial" w:eastAsia="Arial" w:hAnsi="Arial"/>
          <w:sz w:val="18"/>
          <w:szCs w:val="18"/>
          <w:color w:val="auto"/>
        </w:rPr>
      </w:pPr>
    </w:p>
    <w:p>
      <w:pPr>
        <w:ind w:firstLine="656"/>
        <w:spacing w:after="0" w:line="277" w:lineRule="auto"/>
        <w:tabs>
          <w:tab w:leader="none" w:pos="15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or in the exercise of any of its rights or powers.</w:t>
      </w:r>
    </w:p>
    <w:p>
      <w:pPr>
        <w:spacing w:after="0" w:line="386" w:lineRule="exact"/>
        <w:rPr>
          <w:rFonts w:ascii="Arial" w:cs="Arial" w:eastAsia="Arial" w:hAnsi="Arial"/>
          <w:sz w:val="18"/>
          <w:szCs w:val="18"/>
          <w:color w:val="auto"/>
        </w:rPr>
      </w:pPr>
    </w:p>
    <w:p>
      <w:pPr>
        <w:ind w:left="5520" w:hanging="113"/>
        <w:spacing w:after="0"/>
        <w:tabs>
          <w:tab w:leader="none" w:pos="552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firstLine="656"/>
        <w:spacing w:after="0" w:line="277" w:lineRule="auto"/>
        <w:tabs>
          <w:tab w:leader="none" w:pos="155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6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Whether or not therein provided, every provision of this Indenture relating to the conduct or affecting the liability of, or affording protection to, the Trustee will be subject to the provisions of this </w:t>
      </w:r>
      <w:r>
        <w:rPr>
          <w:rFonts w:ascii="Arial" w:cs="Arial" w:eastAsia="Arial" w:hAnsi="Arial"/>
          <w:sz w:val="18"/>
          <w:szCs w:val="18"/>
          <w:b w:val="1"/>
          <w:bCs w:val="1"/>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6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will not be liable in respect of any payment (as to the correctness of amount, entitlement to receive or any other matters relating to payment) or notice effected by the Company or any Paying Agent (except in its capacity as Paying Agent pursuant to the terms of this Indenture) or any records maintained by any co-Note Registrar with respect to the Notes.</w:t>
      </w:r>
    </w:p>
    <w:p>
      <w:pPr>
        <w:spacing w:after="0" w:line="183" w:lineRule="exact"/>
        <w:rPr>
          <w:rFonts w:ascii="Arial" w:cs="Arial" w:eastAsia="Arial" w:hAnsi="Arial"/>
          <w:sz w:val="18"/>
          <w:szCs w:val="18"/>
          <w:color w:val="auto"/>
        </w:rPr>
      </w:pPr>
    </w:p>
    <w:p>
      <w:pPr>
        <w:ind w:left="1560" w:hanging="904"/>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no circumstances will the Trustee be liable in its individual capacity for the obligations evidenced by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86" w:lineRule="exact"/>
        <w:rPr>
          <w:rFonts w:ascii="Arial" w:cs="Arial" w:eastAsia="Arial" w:hAnsi="Arial"/>
          <w:sz w:val="18"/>
          <w:szCs w:val="18"/>
          <w:color w:val="auto"/>
        </w:rPr>
      </w:pPr>
    </w:p>
    <w:p>
      <w:pPr>
        <w:ind w:firstLine="656"/>
        <w:spacing w:after="0" w:line="277" w:lineRule="auto"/>
        <w:tabs>
          <w:tab w:leader="none" w:pos="15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such agent appointed with due care.</w:t>
      </w:r>
    </w:p>
    <w:p>
      <w:pPr>
        <w:spacing w:after="0" w:line="170" w:lineRule="exact"/>
        <w:rPr>
          <w:rFonts w:ascii="Arial" w:cs="Arial" w:eastAsia="Arial" w:hAnsi="Arial"/>
          <w:sz w:val="18"/>
          <w:szCs w:val="18"/>
          <w:color w:val="auto"/>
        </w:rPr>
      </w:pPr>
    </w:p>
    <w:p>
      <w:pPr>
        <w:ind w:firstLine="656"/>
        <w:spacing w:after="0" w:line="277" w:lineRule="auto"/>
        <w:tabs>
          <w:tab w:leader="none" w:pos="15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and that it believes to be authorized or within the rights or powers vested in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5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83" w:lineRule="exact"/>
        <w:rPr>
          <w:rFonts w:ascii="Arial" w:cs="Arial" w:eastAsia="Arial" w:hAnsi="Arial"/>
          <w:sz w:val="18"/>
          <w:szCs w:val="18"/>
          <w:color w:val="auto"/>
        </w:rPr>
      </w:pPr>
    </w:p>
    <w:p>
      <w:pPr>
        <w:ind w:firstLine="656"/>
        <w:spacing w:after="0" w:line="277"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will not be responsible or liable for any punitive, special, indirect, incidental or consequential loss or damage (including lost profits), even if the Trustee has been advised of the likelihood of such loss or damage and regardless of the form of action.</w:t>
      </w:r>
    </w:p>
    <w:p>
      <w:pPr>
        <w:spacing w:after="0" w:line="386" w:lineRule="exact"/>
        <w:rPr>
          <w:rFonts w:ascii="Arial" w:cs="Arial" w:eastAsia="Arial" w:hAnsi="Arial"/>
          <w:sz w:val="18"/>
          <w:szCs w:val="18"/>
          <w:color w:val="auto"/>
        </w:rPr>
      </w:pPr>
    </w:p>
    <w:p>
      <w:pPr>
        <w:ind w:left="5520" w:hanging="113"/>
        <w:spacing w:after="0"/>
        <w:tabs>
          <w:tab w:leader="none" w:pos="55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56"/>
        <w:spacing w:after="0" w:line="259" w:lineRule="auto"/>
        <w:tabs>
          <w:tab w:leader="none" w:pos="17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6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will not be deemed to have notice of any Default or Event of Default unless written notice of any event that is a Default or Event of Default is received by a Responsible Officer of the Trustee at the corporate trust office of the Trustee, and such notice references the Notes and this Indenture and states that it is a “Notice of Default.”</w:t>
      </w:r>
    </w:p>
    <w:p>
      <w:pPr>
        <w:spacing w:after="0" w:line="183" w:lineRule="exact"/>
        <w:rPr>
          <w:rFonts w:ascii="Arial" w:cs="Arial" w:eastAsia="Arial" w:hAnsi="Arial"/>
          <w:sz w:val="18"/>
          <w:szCs w:val="18"/>
          <w:color w:val="auto"/>
        </w:rPr>
      </w:pPr>
    </w:p>
    <w:p>
      <w:pPr>
        <w:ind w:firstLine="656"/>
        <w:spacing w:after="0" w:line="277" w:lineRule="auto"/>
        <w:tabs>
          <w:tab w:leader="none" w:pos="162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70" w:lineRule="exact"/>
        <w:rPr>
          <w:rFonts w:ascii="Arial" w:cs="Arial" w:eastAsia="Arial" w:hAnsi="Arial"/>
          <w:sz w:val="18"/>
          <w:szCs w:val="18"/>
          <w:color w:val="auto"/>
        </w:rPr>
      </w:pPr>
    </w:p>
    <w:p>
      <w:pPr>
        <w:ind w:firstLine="656"/>
        <w:spacing w:after="0" w:line="277" w:lineRule="auto"/>
        <w:tabs>
          <w:tab w:leader="none" w:pos="15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70" w:lineRule="exact"/>
        <w:rPr>
          <w:rFonts w:ascii="Arial" w:cs="Arial" w:eastAsia="Arial" w:hAnsi="Arial"/>
          <w:sz w:val="18"/>
          <w:szCs w:val="18"/>
          <w:color w:val="auto"/>
        </w:rPr>
      </w:pPr>
    </w:p>
    <w:p>
      <w:pPr>
        <w:ind w:right="20" w:firstLine="656"/>
        <w:spacing w:after="0" w:line="277" w:lineRule="auto"/>
        <w:tabs>
          <w:tab w:leader="none" w:pos="15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left="1480" w:hanging="824"/>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will not be construed as duties.</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Trustee will not be required to give any bond or surety in respect of the execution of the trusts and powers under this Indenture.</w:t>
      </w:r>
    </w:p>
    <w:p>
      <w:pPr>
        <w:spacing w:after="0" w:line="248" w:lineRule="exact"/>
        <w:rPr>
          <w:rFonts w:ascii="Arial" w:cs="Arial" w:eastAsia="Arial" w:hAnsi="Arial"/>
          <w:sz w:val="16"/>
          <w:szCs w:val="16"/>
          <w:color w:val="auto"/>
        </w:rPr>
      </w:pPr>
    </w:p>
    <w:p>
      <w:pPr>
        <w:ind w:left="1500" w:hanging="844"/>
        <w:spacing w:after="0"/>
        <w:tabs>
          <w:tab w:leader="none" w:pos="15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Neither the Trustee nor any Note Agent will have any responsibility or liability for any actions taken or not taken by the Depositary.</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5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I</w:t>
      </w:r>
      <w:r>
        <w:rPr>
          <w:rFonts w:ascii="Arial" w:cs="Arial" w:eastAsia="Arial" w:hAnsi="Arial"/>
          <w:sz w:val="12"/>
          <w:szCs w:val="12"/>
          <w:b w:val="1"/>
          <w:bCs w:val="1"/>
          <w:color w:val="auto"/>
        </w:rPr>
        <w:t>NDIVIDUAL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Arial" w:cs="Arial" w:eastAsia="Arial" w:hAnsi="Arial"/>
          <w:sz w:val="18"/>
          <w:szCs w:val="18"/>
          <w:b w:val="1"/>
          <w:bCs w:val="1"/>
          <w:color w:val="auto"/>
        </w:rPr>
        <w:t>Section 10.03</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ISCLAIMER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Section 10.05.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 Default or Event of Default occurs and is continuing of which a Responsible Officer of the Trustee has received written notice, then the Trustee will send Holders a notice of such Default or Event of Default within ninety (90) days after it occurs or, if it is not known to the Trustee at such time, promptly (and in any event within twenty (20) Business Days) after it becomes known to a Responsible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or Event of Default in the payment of the principal of, or interest on, any Note, or a default in the payment or delivery of the Conversion Consideration, the Trustee may withhold such notice if and for so long as it in good faith determines that withholding such notice is in the interests of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10.06. 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73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will, from time to time, pay the Trustee and the Note Agents reasonable compensation for its acceptance of this Indenture and services under this Indenture as the Company shall from time to time agree in writing.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65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The Company will indemnify the Trustee (in each of its capacities)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Arial" w:cs="Arial" w:eastAsia="Arial" w:hAnsi="Arial"/>
          <w:sz w:val="17"/>
          <w:szCs w:val="17"/>
          <w:b w:val="1"/>
          <w:bCs w:val="1"/>
          <w:color w:val="auto"/>
        </w:rPr>
        <w:t>Section 10.06</w:t>
      </w:r>
      <w:r>
        <w:rPr>
          <w:rFonts w:ascii="Arial" w:cs="Arial" w:eastAsia="Arial" w:hAnsi="Arial"/>
          <w:sz w:val="17"/>
          <w:szCs w:val="17"/>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or willful misconduct, as determined by a final, non-appealable order of a court of competent jurisdiction. The Trustee will promptly notify the Company of any claim for which it may seek indemnity, but the Trustee’s failure to so notify the Company will not relieve the Company of its obligations under this </w:t>
      </w:r>
      <w:r>
        <w:rPr>
          <w:rFonts w:ascii="Arial" w:cs="Arial" w:eastAsia="Arial" w:hAnsi="Arial"/>
          <w:sz w:val="17"/>
          <w:szCs w:val="17"/>
          <w:b w:val="1"/>
          <w:bCs w:val="1"/>
          <w:color w:val="auto"/>
        </w:rPr>
        <w:t>Section 10.06(B)</w:t>
      </w:r>
      <w:r>
        <w:rPr>
          <w:rFonts w:ascii="Arial" w:cs="Arial" w:eastAsia="Arial" w:hAnsi="Arial"/>
          <w:sz w:val="17"/>
          <w:szCs w:val="17"/>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74" w:lineRule="exact"/>
        <w:rPr>
          <w:rFonts w:ascii="Arial" w:cs="Arial" w:eastAsia="Arial" w:hAnsi="Arial"/>
          <w:sz w:val="17"/>
          <w:szCs w:val="17"/>
          <w:color w:val="auto"/>
        </w:rPr>
      </w:pPr>
    </w:p>
    <w:p>
      <w:pPr>
        <w:ind w:left="1600" w:hanging="944"/>
        <w:spacing w:after="0"/>
        <w:tabs>
          <w:tab w:leader="none" w:pos="16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obligations of the Company under this </w:t>
      </w:r>
      <w:r>
        <w:rPr>
          <w:rFonts w:ascii="Arial" w:cs="Arial" w:eastAsia="Arial" w:hAnsi="Arial"/>
          <w:sz w:val="16"/>
          <w:szCs w:val="16"/>
          <w:b w:val="1"/>
          <w:bCs w:val="1"/>
          <w:color w:val="auto"/>
        </w:rPr>
        <w:t>Section 10.06</w:t>
      </w:r>
      <w:r>
        <w:rPr>
          <w:rFonts w:ascii="Arial" w:cs="Arial" w:eastAsia="Arial" w:hAnsi="Arial"/>
          <w:sz w:val="16"/>
          <w:szCs w:val="16"/>
          <w:color w:val="auto"/>
        </w:rPr>
        <w:t xml:space="preserve"> will survive the resignation or removal of the Trustee and the discharge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Indenture.</w:t>
      </w:r>
    </w:p>
    <w:p>
      <w:pPr>
        <w:spacing w:after="0" w:line="206" w:lineRule="exact"/>
        <w:rPr>
          <w:rFonts w:ascii="Arial" w:cs="Arial" w:eastAsia="Arial" w:hAnsi="Arial"/>
          <w:sz w:val="16"/>
          <w:szCs w:val="16"/>
          <w:color w:val="auto"/>
        </w:rPr>
      </w:pPr>
    </w:p>
    <w:p>
      <w:pPr>
        <w:jc w:val="both"/>
        <w:ind w:firstLine="656"/>
        <w:spacing w:after="0" w:line="266" w:lineRule="auto"/>
        <w:tabs>
          <w:tab w:leader="none" w:pos="16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To secure the Company’s payment obligations in this </w:t>
      </w:r>
      <w:r>
        <w:rPr>
          <w:rFonts w:ascii="Arial" w:cs="Arial" w:eastAsia="Arial" w:hAnsi="Arial"/>
          <w:sz w:val="18"/>
          <w:szCs w:val="18"/>
          <w:b w:val="1"/>
          <w:bCs w:val="1"/>
          <w:color w:val="auto"/>
        </w:rPr>
        <w:t>Section 10.06</w:t>
      </w:r>
      <w:r>
        <w:rPr>
          <w:rFonts w:ascii="Arial" w:cs="Arial" w:eastAsia="Arial" w:hAnsi="Arial"/>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5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the Trustee incurs expenses or renders services after an Event of Default pursuant to </w:t>
      </w:r>
      <w:r>
        <w:rPr>
          <w:rFonts w:ascii="Arial" w:cs="Arial" w:eastAsia="Arial" w:hAnsi="Arial"/>
          <w:sz w:val="18"/>
          <w:szCs w:val="18"/>
          <w:b w:val="1"/>
          <w:bCs w:val="1"/>
          <w:color w:val="auto"/>
        </w:rPr>
        <w:t>clause (viii)</w:t>
      </w:r>
      <w:r>
        <w:rPr>
          <w:rFonts w:ascii="Arial" w:cs="Arial" w:eastAsia="Arial" w:hAnsi="Arial"/>
          <w:sz w:val="18"/>
          <w:szCs w:val="18"/>
          <w:color w:val="auto"/>
        </w:rPr>
        <w:t xml:space="preserve"> or </w:t>
      </w:r>
      <w:r>
        <w:rPr>
          <w:rFonts w:ascii="Arial" w:cs="Arial" w:eastAsia="Arial" w:hAnsi="Arial"/>
          <w:sz w:val="18"/>
          <w:szCs w:val="18"/>
          <w:b w:val="1"/>
          <w:bCs w:val="1"/>
          <w:color w:val="auto"/>
        </w:rPr>
        <w:t>(ix)</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395" w:lineRule="exact"/>
        <w:rPr>
          <w:rFonts w:ascii="Arial" w:cs="Arial" w:eastAsia="Arial" w:hAnsi="Arial"/>
          <w:sz w:val="18"/>
          <w:szCs w:val="18"/>
          <w:color w:val="auto"/>
        </w:rPr>
      </w:pPr>
    </w:p>
    <w:p>
      <w:pPr>
        <w:ind w:left="5520" w:hanging="113"/>
        <w:spacing w:after="0"/>
        <w:tabs>
          <w:tab w:leader="none" w:pos="55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10.07. R</w:t>
      </w:r>
      <w:r>
        <w:rPr>
          <w:rFonts w:ascii="Arial" w:cs="Arial" w:eastAsia="Arial" w:hAnsi="Arial"/>
          <w:sz w:val="12"/>
          <w:szCs w:val="12"/>
          <w:b w:val="1"/>
          <w:bCs w:val="1"/>
          <w:color w:val="auto"/>
        </w:rPr>
        <w:t>EPLACEMENT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312" w:lineRule="auto"/>
        <w:tabs>
          <w:tab w:leader="none" w:pos="165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Section 10.07</w:t>
      </w:r>
      <w:r>
        <w:rPr>
          <w:rFonts w:ascii="Arial" w:cs="Arial" w:eastAsia="Arial" w:hAnsi="Arial"/>
          <w:sz w:val="17"/>
          <w:szCs w:val="17"/>
          <w:color w:val="auto"/>
        </w:rPr>
        <w:t xml:space="preserve">, a resignation or removal of the Trustee, and the appointment of a successor Trustee, will become effective only upon such successor Trustee’s acceptance of appointment as provided in this </w:t>
      </w:r>
      <w:r>
        <w:rPr>
          <w:rFonts w:ascii="Arial" w:cs="Arial" w:eastAsia="Arial" w:hAnsi="Arial"/>
          <w:sz w:val="17"/>
          <w:szCs w:val="17"/>
          <w:b w:val="1"/>
          <w:bCs w:val="1"/>
          <w:color w:val="auto"/>
        </w:rPr>
        <w:t>Section 10.07</w:t>
      </w:r>
      <w:r>
        <w:rPr>
          <w:rFonts w:ascii="Arial" w:cs="Arial" w:eastAsia="Arial" w:hAnsi="Arial"/>
          <w:sz w:val="17"/>
          <w:szCs w:val="17"/>
          <w:color w:val="auto"/>
        </w:rPr>
        <w:t>.</w:t>
      </w:r>
    </w:p>
    <w:p>
      <w:pPr>
        <w:spacing w:after="0" w:line="143" w:lineRule="exact"/>
        <w:rPr>
          <w:rFonts w:ascii="Arial" w:cs="Arial" w:eastAsia="Arial" w:hAnsi="Arial"/>
          <w:sz w:val="17"/>
          <w:szCs w:val="17"/>
          <w:color w:val="auto"/>
        </w:rPr>
      </w:pPr>
    </w:p>
    <w:p>
      <w:pPr>
        <w:jc w:val="both"/>
        <w:ind w:firstLine="656"/>
        <w:spacing w:after="0" w:line="263" w:lineRule="auto"/>
        <w:tabs>
          <w:tab w:leader="none" w:pos="16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320" w:hanging="1016"/>
        <w:spacing w:after="0"/>
        <w:tabs>
          <w:tab w:leader="none" w:pos="23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Trustee is adjudged to be bankrupt or insolvent or an order for relief is entered with respect to the Trustee under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6"/>
          <w:szCs w:val="16"/>
          <w:color w:val="auto"/>
        </w:rPr>
      </w:pPr>
    </w:p>
    <w:p>
      <w:pPr>
        <w:ind w:left="2120" w:hanging="816"/>
        <w:spacing w:after="0"/>
        <w:tabs>
          <w:tab w:leader="none" w:pos="2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311" w:lineRule="auto"/>
        <w:tabs>
          <w:tab w:leader="none" w:pos="1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6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the Trustee, after written request by a Holder of at least six (6) months (or, such lesser period since the Issue Date),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 then such Holder may petition any court of competent jurisdiction for the removal of the Trustee and the appointment of a successor Trustee.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5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Arial" w:cs="Arial" w:eastAsia="Arial" w:hAnsi="Arial"/>
          <w:sz w:val="18"/>
          <w:szCs w:val="18"/>
          <w:b w:val="1"/>
          <w:bCs w:val="1"/>
          <w:color w:val="auto"/>
        </w:rPr>
        <w:t>Section 10.06(D)</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10.08.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organization or entity shall be otherwise qualified and eligible under this Article 10, without the execution or filing of any paper or any further act on the part of any of the parties hereto.</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Section 10.09. 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 D</w:t>
      </w:r>
      <w:r>
        <w:rPr>
          <w:rFonts w:ascii="Arial" w:cs="Arial" w:eastAsia="Arial" w:hAnsi="Arial"/>
          <w:sz w:val="12"/>
          <w:szCs w:val="12"/>
          <w:b w:val="1"/>
          <w:bCs w:val="1"/>
          <w:color w:val="auto"/>
        </w:rPr>
        <w:t>ISQUALIFICATION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3" w:lineRule="exact"/>
        <w:rPr>
          <w:sz w:val="20"/>
          <w:szCs w:val="20"/>
          <w:color w:val="auto"/>
        </w:rPr>
      </w:pPr>
    </w:p>
    <w:p>
      <w:pPr>
        <w:ind w:left="4120"/>
        <w:spacing w:after="0"/>
        <w:tabs>
          <w:tab w:leader="none" w:pos="552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Emily Roberts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ind w:left="1300"/>
        <w:spacing w:after="0" w:line="202" w:lineRule="auto"/>
        <w:rPr>
          <w:sz w:val="20"/>
          <w:szCs w:val="20"/>
          <w:color w:val="auto"/>
        </w:rPr>
      </w:pPr>
      <w:r>
        <w:rPr>
          <w:rFonts w:ascii="Arial" w:cs="Arial" w:eastAsia="Arial" w:hAnsi="Arial"/>
          <w:sz w:val="18"/>
          <w:szCs w:val="18"/>
          <w:color w:val="auto"/>
        </w:rPr>
        <w:t>633 W. Fifth Street,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 Scarbrough (Lucid Group)</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(including facsimile numbers and electronic addresses) for subsequent notices or communications.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96" w:lineRule="auto"/>
        <w:rPr>
          <w:sz w:val="20"/>
          <w:szCs w:val="20"/>
          <w:color w:val="auto"/>
        </w:rPr>
      </w:pPr>
      <w:r>
        <w:rPr>
          <w:rFonts w:ascii="Arial" w:cs="Arial" w:eastAsia="Arial" w:hAnsi="Arial"/>
          <w:sz w:val="16"/>
          <w:szCs w:val="16"/>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will be deemed to have been duly given, whether or not the addressee receives 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D</w:t>
      </w:r>
      <w:r>
        <w:rPr>
          <w:rFonts w:ascii="Arial" w:cs="Arial" w:eastAsia="Arial" w:hAnsi="Arial"/>
          <w:sz w:val="12"/>
          <w:szCs w:val="12"/>
          <w:b w:val="1"/>
          <w:bCs w:val="1"/>
          <w:color w:val="auto"/>
        </w:rPr>
        <w:t>ELIVERY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 AS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(other than the initial authentication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under this Indenture), the Company will furnish to the Trustee:</w:t>
      </w:r>
    </w:p>
    <w:p>
      <w:pPr>
        <w:spacing w:after="0" w:line="207" w:lineRule="exact"/>
        <w:rPr>
          <w:sz w:val="20"/>
          <w:szCs w:val="20"/>
          <w:color w:val="auto"/>
        </w:rPr>
      </w:pPr>
    </w:p>
    <w:p>
      <w:pPr>
        <w:ind w:firstLine="656"/>
        <w:spacing w:after="0" w:line="347" w:lineRule="auto"/>
        <w:tabs>
          <w:tab w:leader="none" w:pos="148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an Officer’s Certificate in form reasonably satisfactory to the Trustee that complies with </w:t>
      </w:r>
      <w:r>
        <w:rPr>
          <w:rFonts w:ascii="Arial" w:cs="Arial" w:eastAsia="Arial" w:hAnsi="Arial"/>
          <w:sz w:val="16"/>
          <w:szCs w:val="16"/>
          <w:b w:val="1"/>
          <w:bCs w:val="1"/>
          <w:color w:val="auto"/>
        </w:rPr>
        <w:t>Section 11.03</w:t>
      </w:r>
      <w:r>
        <w:rPr>
          <w:rFonts w:ascii="Arial" w:cs="Arial" w:eastAsia="Arial" w:hAnsi="Arial"/>
          <w:sz w:val="16"/>
          <w:szCs w:val="16"/>
          <w:color w:val="auto"/>
        </w:rPr>
        <w:t xml:space="preserve"> and states that, in the opinion of the signatory thereto, all conditions precedent and covenants, if any, provided for in this Indenture relating to such action have been satisfied; and</w:t>
      </w:r>
    </w:p>
    <w:p>
      <w:pPr>
        <w:spacing w:after="0" w:line="115" w:lineRule="exact"/>
        <w:rPr>
          <w:rFonts w:ascii="Arial" w:cs="Arial" w:eastAsia="Arial" w:hAnsi="Arial"/>
          <w:sz w:val="16"/>
          <w:szCs w:val="16"/>
          <w:color w:val="auto"/>
        </w:rPr>
      </w:pPr>
    </w:p>
    <w:p>
      <w:pPr>
        <w:ind w:firstLine="656"/>
        <w:spacing w:after="0" w:line="282" w:lineRule="auto"/>
        <w:tabs>
          <w:tab w:leader="none" w:pos="15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an Opinion of Counsel in form reasonably satisfactory to the Trustee that complies with </w:t>
      </w:r>
      <w:r>
        <w:rPr>
          <w:rFonts w:ascii="Arial" w:cs="Arial" w:eastAsia="Arial" w:hAnsi="Arial"/>
          <w:sz w:val="18"/>
          <w:szCs w:val="18"/>
          <w:b w:val="1"/>
          <w:bCs w:val="1"/>
          <w:color w:val="auto"/>
        </w:rPr>
        <w:t>Section 11.03</w:t>
      </w:r>
      <w:r>
        <w:rPr>
          <w:rFonts w:ascii="Arial" w:cs="Arial" w:eastAsia="Arial" w:hAnsi="Arial"/>
          <w:sz w:val="18"/>
          <w:szCs w:val="18"/>
          <w:color w:val="auto"/>
        </w:rPr>
        <w:t xml:space="preserve"> and states that, in the opinion of such counsel, all such conditions precedent and covenants, if any, have been satisfied.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11.03. S</w:t>
      </w:r>
      <w:r>
        <w:rPr>
          <w:rFonts w:ascii="Arial" w:cs="Arial" w:eastAsia="Arial" w:hAnsi="Arial"/>
          <w:sz w:val="12"/>
          <w:szCs w:val="12"/>
          <w:b w:val="1"/>
          <w:bCs w:val="1"/>
          <w:color w:val="auto"/>
        </w:rPr>
        <w:t>TATEMENTS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Each Officer’s Certificate (other than an Officer’s Certificate pursuant to </w:t>
      </w:r>
      <w:r>
        <w:rPr>
          <w:rFonts w:ascii="Arial" w:cs="Arial" w:eastAsia="Arial" w:hAnsi="Arial"/>
          <w:sz w:val="18"/>
          <w:szCs w:val="18"/>
          <w:b w:val="1"/>
          <w:bCs w:val="1"/>
          <w:color w:val="auto"/>
        </w:rPr>
        <w:t>Section 3.05</w:t>
      </w:r>
      <w:r>
        <w:rPr>
          <w:rFonts w:ascii="Arial" w:cs="Arial" w:eastAsia="Arial" w:hAnsi="Arial"/>
          <w:sz w:val="18"/>
          <w:szCs w:val="18"/>
          <w:color w:val="auto"/>
        </w:rPr>
        <w:t>) or Opinion of Counsel with respect to compliance with a covenant or condition provided for in this Indenture will include:</w:t>
      </w:r>
    </w:p>
    <w:p>
      <w:pPr>
        <w:spacing w:after="0" w:line="166" w:lineRule="exact"/>
        <w:rPr>
          <w:sz w:val="20"/>
          <w:szCs w:val="20"/>
          <w:color w:val="auto"/>
        </w:rPr>
      </w:pPr>
    </w:p>
    <w:p>
      <w:pPr>
        <w:ind w:left="1500" w:hanging="844"/>
        <w:spacing w:after="0"/>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that the signatory thereto has read such covenant or condition;</w:t>
      </w:r>
    </w:p>
    <w:p>
      <w:pPr>
        <w:spacing w:after="0" w:line="225" w:lineRule="exact"/>
        <w:rPr>
          <w:rFonts w:ascii="Arial" w:cs="Arial" w:eastAsia="Arial" w:hAnsi="Arial"/>
          <w:sz w:val="18"/>
          <w:szCs w:val="18"/>
          <w:color w:val="auto"/>
        </w:rPr>
      </w:pPr>
    </w:p>
    <w:p>
      <w:pPr>
        <w:ind w:left="1720" w:hanging="1064"/>
        <w:spacing w:after="0"/>
        <w:tabs>
          <w:tab w:leader="none" w:pos="17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or opinions contained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 are based;</w:t>
      </w:r>
    </w:p>
    <w:p>
      <w:pPr>
        <w:spacing w:after="0" w:line="210" w:lineRule="exact"/>
        <w:rPr>
          <w:rFonts w:ascii="Arial" w:cs="Arial" w:eastAsia="Arial" w:hAnsi="Arial"/>
          <w:sz w:val="16"/>
          <w:szCs w:val="16"/>
          <w:color w:val="auto"/>
        </w:rPr>
      </w:pPr>
    </w:p>
    <w:p>
      <w:pPr>
        <w:ind w:firstLine="656"/>
        <w:spacing w:after="0" w:line="277" w:lineRule="auto"/>
        <w:tabs>
          <w:tab w:leader="none" w:pos="16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statement as to whether, in the opinion of such signatory, such covenant or condition has been satisfied.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20" w:hanging="113"/>
        <w:spacing w:after="0"/>
        <w:tabs>
          <w:tab w:leader="none" w:pos="55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Section 11.04. R</w:t>
      </w:r>
      <w:r>
        <w:rPr>
          <w:rFonts w:ascii="Arial" w:cs="Arial" w:eastAsia="Arial" w:hAnsi="Arial"/>
          <w:sz w:val="12"/>
          <w:szCs w:val="12"/>
          <w:b w:val="1"/>
          <w:bCs w:val="1"/>
          <w:color w:val="auto"/>
        </w:rPr>
        <w:t>ULES BY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O</w:t>
      </w:r>
      <w:r>
        <w:rPr>
          <w:rFonts w:ascii="Arial" w:cs="Arial" w:eastAsia="Arial" w:hAnsi="Arial"/>
          <w:sz w:val="12"/>
          <w:szCs w:val="12"/>
          <w:b w:val="1"/>
          <w:bCs w:val="1"/>
          <w:color w:val="auto"/>
        </w:rPr>
        <w:t>FFICERS</w:t>
      </w:r>
      <w:r>
        <w:rPr>
          <w:rFonts w:ascii="Arial" w:cs="Arial" w:eastAsia="Arial" w:hAnsi="Arial"/>
          <w:sz w:val="18"/>
          <w:szCs w:val="18"/>
          <w:b w:val="1"/>
          <w:bCs w:val="1"/>
          <w:color w:val="auto"/>
        </w:rPr>
        <w:t>, E</w:t>
      </w:r>
      <w:r>
        <w:rPr>
          <w:rFonts w:ascii="Arial" w:cs="Arial" w:eastAsia="Arial" w:hAnsi="Arial"/>
          <w:sz w:val="12"/>
          <w:szCs w:val="12"/>
          <w:b w:val="1"/>
          <w:bCs w:val="1"/>
          <w:color w:val="auto"/>
        </w:rPr>
        <w:t>MPLOYEES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11.06.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w:t>
      </w:r>
      <w:r>
        <w:rPr>
          <w:rFonts w:ascii="Arial" w:cs="Arial" w:eastAsia="Arial" w:hAnsi="Arial"/>
          <w:sz w:val="12"/>
          <w:szCs w:val="12"/>
          <w:b w:val="1"/>
          <w:bCs w:val="1"/>
          <w:color w:val="auto"/>
        </w:rPr>
        <w:t>UBMISSION TO</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URISDICTION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Arial" w:cs="Arial" w:eastAsia="Arial" w:hAnsi="Arial"/>
          <w:sz w:val="17"/>
          <w:szCs w:val="17"/>
          <w:b w:val="1"/>
          <w:bCs w:val="1"/>
          <w:color w:val="auto"/>
        </w:rPr>
        <w:t>Section 11.01</w:t>
      </w:r>
      <w:r>
        <w:rPr>
          <w:rFonts w:ascii="Arial" w:cs="Arial" w:eastAsia="Arial" w:hAnsi="Arial"/>
          <w:sz w:val="17"/>
          <w:szCs w:val="17"/>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DVERSE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11.09. S</w:t>
      </w:r>
      <w:r>
        <w:rPr>
          <w:rFonts w:ascii="Arial" w:cs="Arial" w:eastAsia="Arial" w:hAnsi="Arial"/>
          <w:sz w:val="12"/>
          <w:szCs w:val="12"/>
          <w:b w:val="1"/>
          <w:bCs w:val="1"/>
          <w:color w:val="auto"/>
        </w:rPr>
        <w:t>UCCESSORS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in this Indenture will bind its successors.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Section 11.10. F</w:t>
      </w:r>
      <w:r>
        <w:rPr>
          <w:rFonts w:ascii="Arial" w:cs="Arial" w:eastAsia="Arial" w:hAnsi="Arial"/>
          <w:sz w:val="12"/>
          <w:szCs w:val="12"/>
          <w:b w:val="1"/>
          <w:bCs w:val="1"/>
          <w:color w:val="auto"/>
        </w:rPr>
        <w:t>ORCE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AJEURE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pandemic, act of God or war, civil unrest, local or national disturbance or disaster, act of terrorism or unavailability of the Federal Reserve Bank wire or facsimile or other wire or communication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11.11. U.S.A. PATRIOT A</w:t>
      </w:r>
      <w:r>
        <w:rPr>
          <w:rFonts w:ascii="Arial" w:cs="Arial" w:eastAsia="Arial" w:hAnsi="Arial"/>
          <w:sz w:val="12"/>
          <w:szCs w:val="12"/>
          <w:b w:val="1"/>
          <w:bCs w:val="1"/>
          <w:color w:val="auto"/>
        </w:rPr>
        <w:t>CT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11.12. C</w:t>
      </w:r>
      <w:r>
        <w:rPr>
          <w:rFonts w:ascii="Arial" w:cs="Arial" w:eastAsia="Arial" w:hAnsi="Arial"/>
          <w:sz w:val="12"/>
          <w:szCs w:val="12"/>
          <w:b w:val="1"/>
          <w:bCs w:val="1"/>
          <w:color w:val="auto"/>
        </w:rPr>
        <w:t>ALCULATIONS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Trading Price of the Notes, the Daily VWAPs, accrued interest on the Notes, the Conversion Rate (including any adjustments to the Conversion Rate) and the Redemption Price.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avoidance of doubt, neither the Trustee nor the Conversion Agent will have any responsibility to make or confirm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11.13.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Section 11.14. C</w:t>
      </w:r>
      <w:r>
        <w:rPr>
          <w:rFonts w:ascii="Arial" w:cs="Arial" w:eastAsia="Arial" w:hAnsi="Arial"/>
          <w:sz w:val="12"/>
          <w:szCs w:val="12"/>
          <w:b w:val="1"/>
          <w:bCs w:val="1"/>
          <w:color w:val="auto"/>
        </w:rPr>
        <w:t>OUNTERPARTS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or electronically executed counterpart. 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11.15. 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r>
        <w:rPr>
          <w:rFonts w:ascii="Arial" w:cs="Arial" w:eastAsia="Arial" w:hAnsi="Arial"/>
          <w:sz w:val="18"/>
          <w:szCs w:val="18"/>
          <w:b w:val="1"/>
          <w:bCs w:val="1"/>
          <w:color w:val="auto"/>
        </w:rPr>
        <w:t>, H</w:t>
      </w:r>
      <w:r>
        <w:rPr>
          <w:rFonts w:ascii="Arial" w:cs="Arial" w:eastAsia="Arial" w:hAnsi="Arial"/>
          <w:sz w:val="12"/>
          <w:szCs w:val="12"/>
          <w:b w:val="1"/>
          <w:bCs w:val="1"/>
          <w:color w:val="auto"/>
        </w:rPr>
        <w:t>EADINGS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11.16.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to this Indenture have caused this Indenture to be duly executed as of the date first written above.</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UCID</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Name:Sherry House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 xml:space="preserve">, </w:t>
      </w:r>
      <w:r>
        <w:rPr>
          <w:rFonts w:ascii="Arial" w:cs="Arial" w:eastAsia="Arial" w:hAnsi="Arial"/>
          <w:sz w:val="12"/>
          <w:szCs w:val="12"/>
          <w:color w:val="auto"/>
        </w:rPr>
        <w:t>AS</w:t>
      </w:r>
      <w:r>
        <w:rPr>
          <w:rFonts w:ascii="Arial" w:cs="Arial" w:eastAsia="Arial" w:hAnsi="Arial"/>
          <w:sz w:val="18"/>
          <w:szCs w:val="18"/>
          <w:color w:val="auto"/>
        </w:rPr>
        <w:t xml:space="preserve"> T</w:t>
      </w:r>
      <w:r>
        <w:rPr>
          <w:rFonts w:ascii="Arial" w:cs="Arial" w:eastAsia="Arial" w:hAnsi="Arial"/>
          <w:sz w:val="12"/>
          <w:szCs w:val="12"/>
          <w:color w:val="auto"/>
        </w:rPr>
        <w:t>RUSTEE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Name:Bradley E. Scarbrough</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Global Note Legend, if applicable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Restricted Note Legend, if applicable</w:t>
      </w:r>
      <w:r>
        <w:rPr>
          <w:rFonts w:ascii="Arial" w:cs="Arial" w:eastAsia="Arial" w:hAnsi="Arial"/>
          <w:sz w:val="16"/>
          <w:szCs w:val="16"/>
          <w:color w:val="auto"/>
        </w:rPr>
        <w: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Non-Affiliate Legend</w:t>
      </w: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1.25% Convertible Senior Note due 2026</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CUSIP No.: [___]</w:t>
      </w:r>
    </w:p>
    <w:p>
      <w:pPr>
        <w:spacing w:after="0" w:line="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ISIN No.:</w:t>
      </w:r>
      <w:r>
        <w:rPr>
          <w:sz w:val="20"/>
          <w:szCs w:val="20"/>
          <w:color w:val="auto"/>
        </w:rPr>
        <w:tab/>
      </w: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Certificate No. [___]</w:t>
      </w:r>
    </w:p>
    <w:p>
      <w:pPr>
        <w:spacing w:after="0" w:line="453" w:lineRule="exact"/>
        <w:rPr>
          <w:sz w:val="20"/>
          <w:szCs w:val="20"/>
          <w:color w:val="auto"/>
        </w:rPr>
      </w:pPr>
    </w:p>
    <w:p>
      <w:pPr>
        <w:sectPr>
          <w:pgSz w:w="11900" w:h="16838" w:orient="portrait"/>
          <w:cols w:equalWidth="0" w:num="2">
            <w:col w:w="9020" w:space="720"/>
            <w:col w:w="1500"/>
          </w:cols>
          <w:pgMar w:left="320" w:top="904" w:right="339" w:bottom="1440" w:gutter="0" w:footer="0" w:header="0"/>
          <w:type w:val="continuous"/>
        </w:sectPr>
      </w:pPr>
    </w:p>
    <w:p>
      <w:pPr>
        <w:spacing w:after="0" w:line="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Lucid Group, Inc., a Delaware corporation, for value received, promises to pay to [Cede &amp; Co.], or its registered assigns, the principal sum of [___] dollars ($[___]) [(as revised by the attached Schedule of Exchanges of Interests in the Global Note)]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on December 15, 2026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904"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June 15 and December 15 of each year, commencing on [</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720" w:space="440"/>
            <w:col w:w="9080"/>
          </w:cols>
          <w:pgMar w:left="320" w:top="9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Regular Record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1 and December 1.</w:t>
      </w:r>
    </w:p>
    <w:p>
      <w:pPr>
        <w:spacing w:after="0" w:line="211" w:lineRule="exact"/>
        <w:rPr>
          <w:sz w:val="20"/>
          <w:szCs w:val="20"/>
          <w:color w:val="auto"/>
        </w:rPr>
      </w:pPr>
    </w:p>
    <w:p>
      <w:pPr>
        <w:sectPr>
          <w:pgSz w:w="11900" w:h="16838" w:orient="portrait"/>
          <w:cols w:equalWidth="0" w:num="2">
            <w:col w:w="1640" w:space="520"/>
            <w:col w:w="9080"/>
          </w:cols>
          <w:pgMar w:left="320" w:top="904"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The Remainder of This Page Intentionally Left Blank; 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8" w:lineRule="exact"/>
        <w:rPr>
          <w:sz w:val="20"/>
          <w:szCs w:val="20"/>
          <w:color w:val="auto"/>
        </w:rPr>
      </w:pPr>
    </w:p>
    <w:p>
      <w:pPr>
        <w:ind w:left="160" w:hanging="152"/>
        <w:spacing w:after="0"/>
        <w:tabs>
          <w:tab w:leader="none" w:pos="16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Insert bracketed language for Global Notes only.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5" w:name="page96"/>
    <w:bookmarkEnd w:id="9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Lucid Group, Inc. has caused this instrument to be duly executed as of the date set forth below.</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UCID</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6" w:name="page97"/>
    <w:bookmarkEnd w:id="96"/>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 certifies that this is one of the Notes referred to in the within-mentioned Indenture.</w:t>
      </w:r>
    </w:p>
    <w:p>
      <w:pPr>
        <w:spacing w:after="0" w:line="248"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Convertible Senior Note due 2026</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Note is one of a duly authorized issue of notes of 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designated as its 1.25% Convertible Senior Notes due 2026 (the “</w:t>
      </w:r>
      <w:r>
        <w:rPr>
          <w:rFonts w:ascii="Arial" w:cs="Arial" w:eastAsia="Arial" w:hAnsi="Arial"/>
          <w:sz w:val="18"/>
          <w:szCs w:val="18"/>
          <w:b w:val="1"/>
          <w:bCs w:val="1"/>
          <w:color w:val="auto"/>
        </w:rPr>
        <w:t>Notes</w:t>
      </w:r>
      <w:r>
        <w:rPr>
          <w:rFonts w:ascii="Arial" w:cs="Arial" w:eastAsia="Arial" w:hAnsi="Arial"/>
          <w:sz w:val="18"/>
          <w:szCs w:val="18"/>
          <w:color w:val="auto"/>
        </w:rPr>
        <w:t>”), all issued or to be issued pursuant to an indenture, dated as of December 14, 2021 (as the same may be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in this Note without definition have the respective meanings ascribed to them in the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80" w:lineRule="exact"/>
        <w:rPr>
          <w:sz w:val="20"/>
          <w:szCs w:val="20"/>
          <w:color w:val="auto"/>
        </w:rPr>
      </w:pPr>
    </w:p>
    <w:p>
      <w:pPr>
        <w:ind w:right="20" w:firstLine="656"/>
        <w:spacing w:after="0" w:line="282" w:lineRule="auto"/>
        <w:tabs>
          <w:tab w:leader="none" w:pos="17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This Note will accrue interest at a rate and in the manner set forth in Section 2.05 of the Indenture. Stated Interest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begin to accrue from, and including,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600" w:hanging="944"/>
        <w:spacing w:after="0"/>
        <w:tabs>
          <w:tab w:leader="none" w:pos="16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 This Note will mature on December 15, 2026, unless earlier repurchased, redeemed or converted.</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Method of Payment</w:t>
      </w:r>
      <w:r>
        <w:rPr>
          <w:rFonts w:ascii="Arial" w:cs="Arial" w:eastAsia="Arial" w:hAnsi="Arial"/>
          <w:sz w:val="17"/>
          <w:szCs w:val="17"/>
          <w:color w:val="auto"/>
        </w:rPr>
        <w:t>. Cash amounts due on this Note will be paid in the manner set forth in Section 2.04 of the Indenture.</w:t>
      </w:r>
    </w:p>
    <w:p>
      <w:pPr>
        <w:spacing w:after="0" w:line="236" w:lineRule="exact"/>
        <w:rPr>
          <w:rFonts w:ascii="Arial" w:cs="Arial" w:eastAsia="Arial" w:hAnsi="Arial"/>
          <w:sz w:val="17"/>
          <w:szCs w:val="17"/>
          <w:color w:val="auto"/>
        </w:rPr>
      </w:pPr>
    </w:p>
    <w:p>
      <w:pPr>
        <w:ind w:left="1600" w:hanging="944"/>
        <w:spacing w:after="0"/>
        <w:tabs>
          <w:tab w:leader="none" w:pos="16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Persons Deemed Owners</w:t>
      </w:r>
      <w:r>
        <w:rPr>
          <w:rFonts w:ascii="Arial" w:cs="Arial" w:eastAsia="Arial" w:hAnsi="Arial"/>
          <w:sz w:val="18"/>
          <w:szCs w:val="18"/>
          <w:color w:val="auto"/>
        </w:rPr>
        <w:t>. The Holder of this Note will be treated as the owner of this Note for all purposes.</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592"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Denominations; Transfers and Exchanges</w:t>
      </w:r>
      <w:r>
        <w:rPr>
          <w:rFonts w:ascii="Arial" w:cs="Arial" w:eastAsia="Arial" w:hAnsi="Arial"/>
          <w:sz w:val="18"/>
          <w:szCs w:val="18"/>
          <w:color w:val="auto"/>
        </w:rPr>
        <w:t>. All Notes will be in registered form, without coupons, in principal amounts equal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606"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Right of Holders to Require the Company to Repurchase Notes upon a Fundamental Change</w:t>
      </w:r>
      <w:r>
        <w:rPr>
          <w:rFonts w:ascii="Arial" w:cs="Arial" w:eastAsia="Arial" w:hAnsi="Arial"/>
          <w:sz w:val="18"/>
          <w:szCs w:val="18"/>
          <w:color w:val="auto"/>
        </w:rPr>
        <w:t>. If a Fundamental Change occurs,</w:t>
      </w:r>
      <w:r>
        <w:rPr>
          <w:rFonts w:ascii="Arial" w:cs="Arial" w:eastAsia="Arial" w:hAnsi="Arial"/>
          <w:sz w:val="18"/>
          <w:szCs w:val="18"/>
          <w:b w:val="1"/>
          <w:bCs w:val="1"/>
          <w:color w:val="auto"/>
        </w:rPr>
        <w:t xml:space="preserve"> </w:t>
      </w:r>
      <w:r>
        <w:rPr>
          <w:rFonts w:ascii="Arial" w:cs="Arial" w:eastAsia="Arial" w:hAnsi="Arial"/>
          <w:sz w:val="18"/>
          <w:szCs w:val="18"/>
          <w:color w:val="auto"/>
        </w:rPr>
        <w:t>then each Holder will have the right to require the Company to repurchase such Holder’s Notes (or any portion thereof in an Authorized Denomination) for cash in the manner, and subject to the terms, set forth in Section 4.02 of the Indenture.</w:t>
      </w:r>
    </w:p>
    <w:p>
      <w:pPr>
        <w:spacing w:after="0" w:line="175" w:lineRule="exact"/>
        <w:rPr>
          <w:rFonts w:ascii="Arial" w:cs="Arial" w:eastAsia="Arial" w:hAnsi="Arial"/>
          <w:sz w:val="18"/>
          <w:szCs w:val="18"/>
          <w:color w:val="auto"/>
        </w:rPr>
      </w:pPr>
    </w:p>
    <w:p>
      <w:pPr>
        <w:ind w:firstLine="656"/>
        <w:spacing w:after="0" w:line="282" w:lineRule="auto"/>
        <w:tabs>
          <w:tab w:leader="none" w:pos="1741"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Right of the Company to Redeem the Notes</w:t>
      </w:r>
      <w:r>
        <w:rPr>
          <w:rFonts w:ascii="Arial" w:cs="Arial" w:eastAsia="Arial" w:hAnsi="Arial"/>
          <w:sz w:val="18"/>
          <w:szCs w:val="18"/>
          <w:color w:val="auto"/>
        </w:rPr>
        <w:t>. The Company will have the right to redeem the Notes for cash in the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set forth in Section 4.03 of the Indenture.</w:t>
      </w:r>
    </w:p>
    <w:p>
      <w:pPr>
        <w:spacing w:after="0" w:line="161" w:lineRule="exact"/>
        <w:rPr>
          <w:rFonts w:ascii="Arial" w:cs="Arial" w:eastAsia="Arial" w:hAnsi="Arial"/>
          <w:sz w:val="18"/>
          <w:szCs w:val="18"/>
          <w:color w:val="auto"/>
        </w:rPr>
      </w:pPr>
    </w:p>
    <w:p>
      <w:pPr>
        <w:ind w:right="20" w:firstLine="656"/>
        <w:spacing w:after="0" w:line="282" w:lineRule="auto"/>
        <w:tabs>
          <w:tab w:leader="none" w:pos="1673"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 The Holder of this Note may convert this Note into Conversion Consideration in the manner,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Article 5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firstLine="656"/>
        <w:spacing w:after="0" w:line="282" w:lineRule="auto"/>
        <w:tabs>
          <w:tab w:leader="none" w:pos="1592"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When the Company May Merge, Etc</w:t>
      </w:r>
      <w:r>
        <w:rPr>
          <w:rFonts w:ascii="Arial" w:cs="Arial" w:eastAsia="Arial" w:hAnsi="Arial"/>
          <w:sz w:val="18"/>
          <w:szCs w:val="18"/>
          <w:color w:val="auto"/>
        </w:rPr>
        <w:t>. Article 6 of the Indenture places limited restrictions on the Company’s ability to be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 Business Combination Event.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543"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Defaults and Remedies</w:t>
      </w:r>
      <w:r>
        <w:rPr>
          <w:rFonts w:ascii="Arial" w:cs="Arial" w:eastAsia="Arial" w:hAnsi="Arial"/>
          <w:sz w:val="18"/>
          <w:szCs w:val="18"/>
          <w:color w:val="auto"/>
        </w:rPr>
        <w:t>. If an Event of Default occurs, then the principal amount of, and all accrued and unpaid interest 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then outstanding may (and, in certain circumstances, will automatically) become due and payable in the manner, and subject to the terms, set forth in Article 7 of the Indenture.</w:t>
      </w:r>
    </w:p>
    <w:p>
      <w:pPr>
        <w:spacing w:after="0" w:line="175" w:lineRule="exact"/>
        <w:rPr>
          <w:rFonts w:ascii="Arial" w:cs="Arial" w:eastAsia="Arial" w:hAnsi="Arial"/>
          <w:sz w:val="18"/>
          <w:szCs w:val="18"/>
          <w:color w:val="auto"/>
        </w:rPr>
      </w:pPr>
    </w:p>
    <w:p>
      <w:pPr>
        <w:jc w:val="both"/>
        <w:ind w:firstLine="656"/>
        <w:spacing w:after="0" w:line="266" w:lineRule="auto"/>
        <w:tabs>
          <w:tab w:leader="none" w:pos="1617"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Amendments, Supplements and Waivers</w:t>
      </w:r>
      <w:r>
        <w:rPr>
          <w:rFonts w:ascii="Arial" w:cs="Arial" w:eastAsia="Arial" w:hAnsi="Arial"/>
          <w:sz w:val="18"/>
          <w:szCs w:val="18"/>
          <w:color w:val="auto"/>
        </w:rPr>
        <w:t>. The Company and the Trustee may amend or supplement the Indenture or the Notes or</w:t>
      </w:r>
      <w:r>
        <w:rPr>
          <w:rFonts w:ascii="Arial" w:cs="Arial" w:eastAsia="Arial" w:hAnsi="Arial"/>
          <w:sz w:val="18"/>
          <w:szCs w:val="18"/>
          <w:b w:val="1"/>
          <w:bCs w:val="1"/>
          <w:color w:val="auto"/>
        </w:rPr>
        <w:t xml:space="preserve"> </w:t>
      </w:r>
      <w:r>
        <w:rPr>
          <w:rFonts w:ascii="Arial" w:cs="Arial" w:eastAsia="Arial" w:hAnsi="Arial"/>
          <w:sz w:val="18"/>
          <w:szCs w:val="18"/>
          <w:color w:val="auto"/>
        </w:rPr>
        <w:t>waive compliance with any provision of the Indenture or the Notes in the manner, and subject to the terms, set forth in Section 7.05 and Article 8 of the Indenture.</w:t>
      </w:r>
    </w:p>
    <w:p>
      <w:pPr>
        <w:spacing w:after="0" w:line="175" w:lineRule="exact"/>
        <w:rPr>
          <w:rFonts w:ascii="Arial" w:cs="Arial" w:eastAsia="Arial" w:hAnsi="Arial"/>
          <w:sz w:val="18"/>
          <w:szCs w:val="18"/>
          <w:color w:val="auto"/>
        </w:rPr>
      </w:pPr>
    </w:p>
    <w:p>
      <w:pPr>
        <w:jc w:val="both"/>
        <w:ind w:firstLine="656"/>
        <w:spacing w:after="0" w:line="261" w:lineRule="auto"/>
        <w:tabs>
          <w:tab w:leader="none" w:pos="1597"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No Personal Liability of Directors, Officers, Employees and Stockholders</w:t>
      </w:r>
      <w:r>
        <w:rPr>
          <w:rFonts w:ascii="Arial" w:cs="Arial" w:eastAsia="Arial" w:hAnsi="Arial"/>
          <w:sz w:val="18"/>
          <w:szCs w:val="18"/>
          <w:color w:val="auto"/>
        </w:rPr>
        <w:t>. No past, present or future director,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9" w:lineRule="exact"/>
        <w:rPr>
          <w:rFonts w:ascii="Arial" w:cs="Arial" w:eastAsia="Arial" w:hAnsi="Arial"/>
          <w:sz w:val="18"/>
          <w:szCs w:val="18"/>
          <w:color w:val="auto"/>
        </w:rPr>
      </w:pPr>
    </w:p>
    <w:p>
      <w:pPr>
        <w:ind w:right="20" w:firstLine="656"/>
        <w:spacing w:after="0" w:line="347" w:lineRule="auto"/>
        <w:tabs>
          <w:tab w:leader="none" w:pos="1611"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Authentication</w:t>
      </w:r>
      <w:r>
        <w:rPr>
          <w:rFonts w:ascii="Arial" w:cs="Arial" w:eastAsia="Arial" w:hAnsi="Arial"/>
          <w:sz w:val="16"/>
          <w:szCs w:val="16"/>
          <w:color w:val="auto"/>
        </w:rPr>
        <w:t>. No Note will be valid until it is authenticated by the Trustee. A Note will be deemed to be duly authenticated only</w:t>
      </w:r>
      <w:r>
        <w:rPr>
          <w:rFonts w:ascii="Arial" w:cs="Arial" w:eastAsia="Arial" w:hAnsi="Arial"/>
          <w:sz w:val="16"/>
          <w:szCs w:val="16"/>
          <w:b w:val="1"/>
          <w:bCs w:val="1"/>
          <w:color w:val="auto"/>
        </w:rPr>
        <w:t xml:space="preserve"> </w:t>
      </w:r>
      <w:r>
        <w:rPr>
          <w:rFonts w:ascii="Arial" w:cs="Arial" w:eastAsia="Arial" w:hAnsi="Arial"/>
          <w:sz w:val="16"/>
          <w:szCs w:val="16"/>
          <w:color w:val="auto"/>
        </w:rPr>
        <w:t>when an authorized signatory of the Trustee (or a duly appointed authenticating agent) manually signs the certificate of authentication of such Note.</w:t>
      </w:r>
    </w:p>
    <w:p>
      <w:pPr>
        <w:spacing w:after="0" w:line="115" w:lineRule="exact"/>
        <w:rPr>
          <w:rFonts w:ascii="Arial" w:cs="Arial" w:eastAsia="Arial" w:hAnsi="Arial"/>
          <w:sz w:val="16"/>
          <w:szCs w:val="16"/>
          <w:color w:val="auto"/>
        </w:rPr>
      </w:pPr>
    </w:p>
    <w:p>
      <w:pPr>
        <w:jc w:val="both"/>
        <w:ind w:firstLine="656"/>
        <w:spacing w:after="0" w:line="266"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Abbreviations</w:t>
      </w:r>
      <w:r>
        <w:rPr>
          <w:rFonts w:ascii="Arial" w:cs="Arial" w:eastAsia="Arial" w:hAnsi="Arial"/>
          <w:sz w:val="18"/>
          <w:szCs w:val="18"/>
          <w:color w:val="auto"/>
        </w:rPr>
        <w:t>. Customary abbreviations may be used in the name of a Holder or its assignee, such as TEN COM (tenants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common), TEN ENT (tenants by the entireties), JT TEN (joint tenants with right of survivorship and not as tenants in common), CUST (custodian), and U/G/M/A (Uniform Gift to Minors Act).</w:t>
      </w:r>
    </w:p>
    <w:p>
      <w:pPr>
        <w:spacing w:after="0" w:line="175" w:lineRule="exact"/>
        <w:rPr>
          <w:rFonts w:ascii="Arial" w:cs="Arial" w:eastAsia="Arial" w:hAnsi="Arial"/>
          <w:sz w:val="18"/>
          <w:szCs w:val="18"/>
          <w:color w:val="auto"/>
        </w:rPr>
      </w:pPr>
    </w:p>
    <w:p>
      <w:pPr>
        <w:ind w:firstLine="656"/>
        <w:spacing w:after="0" w:line="282" w:lineRule="auto"/>
        <w:tabs>
          <w:tab w:leader="none" w:pos="157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NOTE, AND ANY CLAIM, CONTROVERSY OR DISPUTE ARISING UNDER OR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 GOVERNED BY AND CONSTRUED IN ACCORDANCE WITH THE LAWS OF THE STATE OF NEW YORK.</w:t>
      </w:r>
    </w:p>
    <w:p>
      <w:pPr>
        <w:spacing w:after="0" w:line="16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request a copy of the Indenture, which the Company will provide to any Holder at no charge, please send a written request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SCHEDULE OF EXCHANGES OF INTERESTS IN THE GLOBAL NOTE</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Increase (Decrease)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 Amount of this Global</w:t>
            </w:r>
          </w:p>
        </w:tc>
        <w:tc>
          <w:tcPr>
            <w:tcW w:w="2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Principal Amount of this</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 After Such Increase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 of Authorized</w:t>
            </w:r>
          </w:p>
        </w:tc>
      </w:tr>
      <w:tr>
        <w:trPr>
          <w:trHeight w:val="234"/>
        </w:trPr>
        <w:tc>
          <w:tcPr>
            <w:tcW w:w="2820" w:type="dxa"/>
            <w:vAlign w:val="bottom"/>
            <w:gridSpan w:val="2"/>
          </w:tcPr>
          <w:p>
            <w:pPr>
              <w:ind w:left="1180"/>
              <w:spacing w:after="0"/>
              <w:rPr>
                <w:sz w:val="20"/>
                <w:szCs w:val="20"/>
                <w:color w:val="auto"/>
              </w:rPr>
            </w:pPr>
            <w:r>
              <w:rPr>
                <w:rFonts w:ascii="Arial" w:cs="Arial" w:eastAsia="Arial" w:hAnsi="Arial"/>
                <w:sz w:val="18"/>
                <w:szCs w:val="18"/>
                <w:b w:val="1"/>
                <w:bCs w:val="1"/>
                <w:color w:val="auto"/>
              </w:rPr>
              <w:t>Date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Global Note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(Decrease)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 Trustee</w:t>
            </w:r>
          </w:p>
        </w:tc>
      </w:tr>
      <w:tr>
        <w:trPr>
          <w:trHeight w:val="209"/>
        </w:trPr>
        <w:tc>
          <w:tcPr>
            <w:tcW w:w="27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63"/>
        </w:trPr>
        <w:tc>
          <w:tcPr>
            <w:tcW w:w="2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tcPr>
          <w:p>
            <w:pPr>
              <w:spacing w:after="0"/>
              <w:rPr>
                <w:sz w:val="22"/>
                <w:szCs w:val="22"/>
                <w:color w:val="auto"/>
              </w:rPr>
            </w:pPr>
          </w:p>
        </w:tc>
      </w:tr>
    </w:tbl>
    <w:p>
      <w:pPr>
        <w:ind w:left="160" w:hanging="152"/>
        <w:spacing w:after="0" w:line="197" w:lineRule="auto"/>
        <w:tabs>
          <w:tab w:leader="none" w:pos="160" w:val="left"/>
        </w:tabs>
        <w:numPr>
          <w:ilvl w:val="0"/>
          <w:numId w:val="127"/>
        </w:numPr>
        <w:rPr>
          <w:rFonts w:ascii="Arial" w:cs="Arial" w:eastAsia="Arial" w:hAnsi="Arial"/>
          <w:sz w:val="30"/>
          <w:szCs w:val="30"/>
          <w:color w:val="auto"/>
          <w:vertAlign w:val="superscript"/>
        </w:rPr>
      </w:pPr>
      <w:r>
        <w:rPr>
          <w:rFonts w:ascii="Arial" w:cs="Arial" w:eastAsia="Arial" w:hAnsi="Arial"/>
          <w:sz w:val="18"/>
          <w:szCs w:val="18"/>
          <w:color w:val="auto"/>
        </w:rPr>
        <w:t>Insert for Global Notes only.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Indenture, by executing and delivering this Conversion Notice, the undersigned Holder of the Note identified below directs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convert (check one):</w:t>
      </w:r>
    </w:p>
    <w:p>
      <w:pPr>
        <w:spacing w:after="0" w:line="211" w:lineRule="exact"/>
        <w:rPr>
          <w:sz w:val="20"/>
          <w:szCs w:val="20"/>
          <w:color w:val="auto"/>
        </w:rPr>
      </w:pPr>
    </w:p>
    <w:p>
      <w:pPr>
        <w:ind w:left="340" w:hanging="332"/>
        <w:spacing w:after="0"/>
        <w:tabs>
          <w:tab w:leader="none" w:pos="340" w:val="left"/>
        </w:tabs>
        <w:numPr>
          <w:ilvl w:val="0"/>
          <w:numId w:val="128"/>
        </w:numPr>
        <w:rPr>
          <w:rFonts w:ascii="MS PGothic" w:cs="MS PGothic" w:eastAsia="MS PGothic" w:hAnsi="MS PGothic"/>
          <w:sz w:val="18"/>
          <w:szCs w:val="18"/>
          <w:color w:val="auto"/>
        </w:rPr>
      </w:pPr>
      <w:r>
        <w:rPr>
          <w:rFonts w:ascii="Arial" w:cs="Arial" w:eastAsia="Arial" w:hAnsi="Arial"/>
          <w:sz w:val="18"/>
          <w:szCs w:val="18"/>
          <w:color w:val="auto"/>
        </w:rPr>
        <w:t>the entire principal amount of</w:t>
      </w:r>
    </w:p>
    <w:p>
      <w:pPr>
        <w:spacing w:after="0" w:line="192" w:lineRule="exact"/>
        <w:rPr>
          <w:sz w:val="20"/>
          <w:szCs w:val="20"/>
          <w:color w:val="auto"/>
        </w:rPr>
      </w:pPr>
    </w:p>
    <w:p>
      <w:pPr>
        <w:spacing w:after="0" w:line="403" w:lineRule="exact"/>
        <w:tabs>
          <w:tab w:leader="none" w:pos="320" w:val="left"/>
          <w:tab w:leader="none" w:pos="1340" w:val="left"/>
          <w:tab w:leader="none" w:pos="7100" w:val="left"/>
          <w:tab w:leader="none" w:pos="9420" w:val="left"/>
        </w:tabs>
        <w:rPr>
          <w:sz w:val="20"/>
          <w:szCs w:val="20"/>
          <w:color w:val="auto"/>
        </w:rPr>
      </w:pPr>
      <w:r>
        <w:rPr>
          <w:rFonts w:ascii="MS PGothic" w:cs="MS PGothic" w:eastAsia="MS PGothic" w:hAnsi="MS PGothic"/>
          <w:sz w:val="35"/>
          <w:szCs w:val="35"/>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30"/>
          <w:szCs w:val="30"/>
          <w:color w:val="auto"/>
          <w:vertAlign w:val="superscript"/>
        </w:rPr>
        <w:t xml:space="preserve">* </w:t>
      </w:r>
      <w:r>
        <w:rPr>
          <w:rFonts w:ascii="Arial" w:cs="Arial" w:eastAsia="Arial" w:hAnsi="Arial"/>
          <w:sz w:val="17"/>
          <w:szCs w:val="17"/>
          <w:color w:val="auto"/>
        </w:rPr>
        <w:t>aggregate principal amount of the Note identified by CUSIP No.</w:t>
      </w:r>
      <w:r>
        <w:rPr>
          <w:sz w:val="20"/>
          <w:szCs w:val="20"/>
          <w:color w:val="auto"/>
        </w:rPr>
        <w:tab/>
      </w:r>
      <w:r>
        <w:rPr>
          <w:rFonts w:ascii="Arial" w:cs="Arial" w:eastAsia="Arial" w:hAnsi="Arial"/>
          <w:sz w:val="18"/>
          <w:szCs w:val="18"/>
          <w:color w:val="auto"/>
        </w:rPr>
        <w:t>and Certificate No.</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-87630</wp:posOffset>
            </wp:positionV>
            <wp:extent cx="600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-87630</wp:posOffset>
            </wp:positionV>
            <wp:extent cx="571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-87630</wp:posOffset>
            </wp:positionV>
            <wp:extent cx="571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29"/>
        </w:numPr>
        <w:rPr>
          <w:rFonts w:ascii="Arial" w:cs="Arial" w:eastAsia="Arial" w:hAnsi="Arial"/>
          <w:sz w:val="30"/>
          <w:szCs w:val="30"/>
          <w:color w:val="auto"/>
          <w:vertAlign w:val="superscript"/>
        </w:rPr>
      </w:pPr>
      <w:r>
        <w:rPr>
          <w:rFonts w:ascii="Arial" w:cs="Arial" w:eastAsia="Arial" w:hAnsi="Arial"/>
          <w:sz w:val="18"/>
          <w:szCs w:val="18"/>
          <w:color w:val="auto"/>
        </w:rPr>
        <w:t>Must be an Authorized Denomination.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70" w:lineRule="exact"/>
        <w:rPr>
          <w:sz w:val="20"/>
          <w:szCs w:val="20"/>
          <w:color w:val="auto"/>
        </w:rPr>
      </w:pPr>
    </w:p>
    <w:p>
      <w:pPr>
        <w:ind w:left="340" w:hanging="332"/>
        <w:spacing w:after="0"/>
        <w:tabs>
          <w:tab w:leader="none" w:pos="340" w:val="left"/>
        </w:tabs>
        <w:numPr>
          <w:ilvl w:val="0"/>
          <w:numId w:val="130"/>
        </w:numPr>
        <w:rPr>
          <w:rFonts w:ascii="MS PGothic" w:cs="MS PGothic" w:eastAsia="MS PGothic" w:hAnsi="MS PGothic"/>
          <w:sz w:val="18"/>
          <w:szCs w:val="18"/>
          <w:color w:val="auto"/>
        </w:rPr>
      </w:pPr>
      <w:r>
        <w:rPr>
          <w:rFonts w:ascii="Arial" w:cs="Arial" w:eastAsia="Arial" w:hAnsi="Arial"/>
          <w:sz w:val="18"/>
          <w:szCs w:val="18"/>
          <w:color w:val="auto"/>
        </w:rPr>
        <w:t>the entire principal amount of</w:t>
      </w:r>
    </w:p>
    <w:p>
      <w:pPr>
        <w:spacing w:after="0" w:line="192" w:lineRule="exact"/>
        <w:rPr>
          <w:sz w:val="20"/>
          <w:szCs w:val="20"/>
          <w:color w:val="auto"/>
        </w:rPr>
      </w:pPr>
    </w:p>
    <w:p>
      <w:pPr>
        <w:spacing w:after="0" w:line="403" w:lineRule="exact"/>
        <w:tabs>
          <w:tab w:leader="none" w:pos="320" w:val="left"/>
          <w:tab w:leader="none" w:pos="1340" w:val="left"/>
          <w:tab w:leader="none" w:pos="7100" w:val="left"/>
          <w:tab w:leader="none" w:pos="9420" w:val="left"/>
        </w:tabs>
        <w:rPr>
          <w:sz w:val="20"/>
          <w:szCs w:val="20"/>
          <w:color w:val="auto"/>
        </w:rPr>
      </w:pPr>
      <w:r>
        <w:rPr>
          <w:rFonts w:ascii="MS PGothic" w:cs="MS PGothic" w:eastAsia="MS PGothic" w:hAnsi="MS PGothic"/>
          <w:sz w:val="35"/>
          <w:szCs w:val="35"/>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30"/>
          <w:szCs w:val="30"/>
          <w:color w:val="auto"/>
          <w:vertAlign w:val="superscript"/>
        </w:rPr>
        <w:t xml:space="preserve">* </w:t>
      </w:r>
      <w:r>
        <w:rPr>
          <w:rFonts w:ascii="Arial" w:cs="Arial" w:eastAsia="Arial" w:hAnsi="Arial"/>
          <w:sz w:val="17"/>
          <w:szCs w:val="17"/>
          <w:color w:val="auto"/>
        </w:rPr>
        <w:t>aggregate principal amount of the Note identified by CUSIP No.</w:t>
      </w:r>
      <w:r>
        <w:rPr>
          <w:sz w:val="20"/>
          <w:szCs w:val="20"/>
          <w:color w:val="auto"/>
        </w:rPr>
        <w:tab/>
      </w:r>
      <w:r>
        <w:rPr>
          <w:rFonts w:ascii="Arial" w:cs="Arial" w:eastAsia="Arial" w:hAnsi="Arial"/>
          <w:sz w:val="18"/>
          <w:szCs w:val="18"/>
          <w:color w:val="auto"/>
        </w:rPr>
        <w:t>and Certificate No.</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-87630</wp:posOffset>
            </wp:positionV>
            <wp:extent cx="6000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-87630</wp:posOffset>
            </wp:positionV>
            <wp:extent cx="571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-87630</wp:posOffset>
            </wp:positionV>
            <wp:extent cx="571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undersigned acknowledges that this Note, duly endorsed for transfer, must be delivered to the Paying Agent before the Fundamental Change Repurchase Price will be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31"/>
        </w:numPr>
        <w:rPr>
          <w:rFonts w:ascii="Arial" w:cs="Arial" w:eastAsia="Arial" w:hAnsi="Arial"/>
          <w:sz w:val="30"/>
          <w:szCs w:val="30"/>
          <w:color w:val="auto"/>
          <w:vertAlign w:val="superscript"/>
        </w:rPr>
      </w:pPr>
      <w:r>
        <w:rPr>
          <w:rFonts w:ascii="Arial" w:cs="Arial" w:eastAsia="Arial" w:hAnsi="Arial"/>
          <w:sz w:val="18"/>
          <w:szCs w:val="18"/>
          <w:color w:val="auto"/>
        </w:rPr>
        <w:t>Must be an Authorized Denomination.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ind w:right="-1100"/>
        <w:spacing w:after="0"/>
        <w:rPr>
          <w:sz w:val="20"/>
          <w:szCs w:val="20"/>
          <w:color w:val="auto"/>
        </w:rPr>
      </w:pPr>
      <w:r>
        <w:rPr>
          <w:rFonts w:ascii="Arial" w:cs="Arial" w:eastAsia="Arial" w:hAnsi="Arial"/>
          <w:sz w:val="18"/>
          <w:szCs w:val="18"/>
          <w:b w:val="1"/>
          <w:bCs w:val="1"/>
          <w:color w:val="auto"/>
        </w:rPr>
        <w:t>ASSIGNMENT FORM</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Indenture, the undersigned Holder of the within Note assigns . .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6350</wp:posOffset>
            </wp:positionV>
            <wp:extent cx="55632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6350</wp:posOffset>
            </wp:positionV>
            <wp:extent cx="55632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-1905</wp:posOffset>
            </wp:positionV>
            <wp:extent cx="55632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within Note bears a Restricted Note Legend, the undersigned further certifies that (check one):</w:t>
      </w:r>
    </w:p>
    <w:p>
      <w:pPr>
        <w:spacing w:after="0" w:line="192" w:lineRule="exact"/>
        <w:rPr>
          <w:sz w:val="20"/>
          <w:szCs w:val="20"/>
          <w:color w:val="auto"/>
        </w:rPr>
      </w:pPr>
    </w:p>
    <w:p>
      <w:pPr>
        <w:ind w:left="340" w:hanging="332"/>
        <w:spacing w:after="0" w:line="207" w:lineRule="exact"/>
        <w:tabs>
          <w:tab w:leader="none" w:pos="340" w:val="left"/>
        </w:tabs>
        <w:numPr>
          <w:ilvl w:val="0"/>
          <w:numId w:val="1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to the Company or a Subsidiary of the Company.</w:t>
      </w:r>
    </w:p>
    <w:p>
      <w:pPr>
        <w:spacing w:after="0" w:line="225" w:lineRule="exact"/>
        <w:rPr>
          <w:rFonts w:ascii="Arial" w:cs="Arial" w:eastAsia="Arial" w:hAnsi="Arial"/>
          <w:sz w:val="18"/>
          <w:szCs w:val="18"/>
          <w:color w:val="auto"/>
        </w:rPr>
      </w:pPr>
    </w:p>
    <w:p>
      <w:pPr>
        <w:ind w:left="800" w:hanging="792"/>
        <w:spacing w:after="0" w:line="239" w:lineRule="exact"/>
        <w:tabs>
          <w:tab w:leader="none" w:pos="341" w:val="left"/>
        </w:tabs>
        <w:numPr>
          <w:ilvl w:val="0"/>
          <w:numId w:val="1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pursuant to, and in accordance with, a registration statement that is effective under the Securities Act at the time of the Transfer.</w:t>
      </w:r>
    </w:p>
    <w:p>
      <w:pPr>
        <w:spacing w:after="0" w:line="170" w:lineRule="exact"/>
        <w:rPr>
          <w:rFonts w:ascii="Arial" w:cs="Arial" w:eastAsia="Arial" w:hAnsi="Arial"/>
          <w:sz w:val="18"/>
          <w:szCs w:val="18"/>
          <w:color w:val="auto"/>
        </w:rPr>
      </w:pPr>
    </w:p>
    <w:p>
      <w:pPr>
        <w:ind w:left="800" w:hanging="792"/>
        <w:spacing w:after="0" w:line="226" w:lineRule="exact"/>
        <w:tabs>
          <w:tab w:leader="none" w:pos="341" w:val="left"/>
        </w:tabs>
        <w:numPr>
          <w:ilvl w:val="0"/>
          <w:numId w:val="13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Arial" w:cs="Arial" w:eastAsia="Arial" w:hAnsi="Arial"/>
          <w:sz w:val="16"/>
          <w:szCs w:val="16"/>
          <w:b w:val="1"/>
          <w:bCs w:val="1"/>
          <w:color w:val="auto"/>
        </w:rPr>
        <w:t>If this item is checked, then the transferee must complete and execute the acknowledgment contained on the next page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800" w:right="20" w:hanging="792"/>
        <w:spacing w:after="0" w:line="239" w:lineRule="exact"/>
        <w:tabs>
          <w:tab w:leader="none" w:pos="341" w:val="left"/>
        </w:tabs>
        <w:numPr>
          <w:ilvl w:val="0"/>
          <w:numId w:val="1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TRANSFEREE ACKNOWLEDGMENT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RESTRICTED NOTE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jc w:val="both"/>
        <w:ind w:left="660" w:hanging="652"/>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NOTE OR ANY BENEFICIAL INTEREST HEREIN, EXCEPT ONLY: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PURSUANT TO A REGISTRATION STATEMENT THAT IS EFFECTIVE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PURSUANT TO RULE 144 UNDER THE SECURITIES ACT;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PURSUANT TO ANY OTHER EXEMPTION FROM, OR IN A TRANSACTION NOT SUBJECT TO, THE REGISTRATION REQUIREMENTS OF THE SECURITIES ACT.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FOR THE COMPANY TO DETERMINE THAT THE PROPOSED SALE OR TRANSFER IS BEING MADE IN COMPLIANCE WITH THE SECURITIES ACT AND APPLICABLE STATE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 LEGEND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NON-AFFILIATE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 Prices $1,750,000,000 Convertible Senior Notes Offering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NEWARK, CALIFORNIA—(PRNewswire)—December 9, 2021—Lucid Group, Inc. (“Lucid”)(Nasdaq: LCID) today announced the pricing of its offering of $1,750,000,000 aggregate principal amount of 1.25% convertible senior notes due 2026 (the “notes”) in a private offering to persons reasonably believed to be qualified institutional buyers pursuant to Rule 144A under the Securities Act of 1933, as amended (the “Securities Act”). The issuance and sale of the notes are scheduled to settle on or about December 14, 2021, subject to the satisfaction of customary closing conditions. Lucid also granted the initial purchasers of the notes an option, for settlement within a period of 13 days from, and including, the date the notes are first issued, to purchase up to an additional $262,500,000 principal amount of notes.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notes will be senior, unsecured obligations of Lucid and will accrue interest at a rate of 1.25% per annum, payable semi-annually in arrears on June 15 and December 15 of each year, beginning on June 15, 2022. The notes will mature on December 15, 2026, unless earlier repurchased, redeemed or converted. Before September 15, 2026, noteholders will have the right to convert their notes only upon the occurrence of certain events and during specified periods. From and after September 15, 2026, noteholders may convert their notes at any time at their election until the close of business on the second scheduled trading day immediately before the maturity date. Lucid will settle conversions of notes by paying or delivering, as applicable, cash, shares of its Class A common stock (the “common stock”) or a combination thereof, at Lucid’s election. The initial conversion rate is 18.2548 shares of common stock per $1,000 principal amount of notes, which represents an initial conversion price of approximately $54.78 per share of common stock. The initial conversion price represents a premium of approximately 50.00% over the last reported sale price on The Nasdaq Global Select Market of $36.52 per share of Lucid’s common stock on December 9, 2021. The conversion rate and conversion price will be subject to adjustment upon the occurrence of certain events. If a “make-whole fundamental change” (as defined in the indenture for the notes) occurs, Lucid will, in certain circumstances, increase the conversion rate for a specified time for holders who convert their notes in connection with that make-whole fundamental change.</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notes will be redeemable, in whole or in part (subject to certain limitations), for cash at Lucid’s option at any time, and from time to time, on or after December 20, 2024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If Lucid calls any or all notes for redemption, holders of notes called for redemption may convert their notes during the related redemption conversion period, and any such conversion will also constitute a “make-whole fundamental change” with respect to the notes so converted.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“fundamental change” (as defined in the indenture for the notes) occurs, then, subject to limited exceptions, holders may require Lucid to repurchase their notes for cash. The repurchase price will be equal to the principal amount of the notes to be repurchased, plus accrued and unpaid interest, if any, to, but excluding, the applicable repurchase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9" w:name="page110"/>
    <w:bookmarkEnd w:id="109"/>
    <w:p>
      <w:pPr>
        <w:jc w:val="both"/>
        <w:spacing w:after="0" w:line="271" w:lineRule="auto"/>
        <w:rPr>
          <w:sz w:val="20"/>
          <w:szCs w:val="20"/>
          <w:color w:val="auto"/>
        </w:rPr>
      </w:pPr>
      <w:r>
        <w:rPr>
          <w:rFonts w:ascii="Arial" w:cs="Arial" w:eastAsia="Arial" w:hAnsi="Arial"/>
          <w:sz w:val="17"/>
          <w:szCs w:val="17"/>
          <w:color w:val="auto"/>
        </w:rPr>
        <w:t>Lucid estimates that the net proceeds from the offering will be approximately $1,727 million (or approximately $1,987 million if the initial purchasers fully exercise their option to purchase additional notes), after deducting the initial purchasers’ discounts and commissions and estimated offering expenses. 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 Pending such allocation, Lucid intends to use the net proceeds of the offering for business expansion and general corporate purposes, which may include investing in our manufacturing capabilities, expanding and improving operations such as our retail and service network, investing in research and development, and supporting other potential growth opportunities.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electric vehicles centered around the human experience. The company’s first car, Lucid Air, is a state-of-the-art luxury sedan with a California-inspired design underpinned by race-proven technology. The Lucid Air was recently named the 2022 MotorTrend Car of the year and the Lucid Air has achieved EPA certification for 450+ miles of range on a single charge from the EPA, including up to 520 miles in the Lucid Air Dream Edition Range. The vehicle features a luxurious full-size interior space in a mid-sized exterior footprint. Customer deliveries of Lucid Air, which is produced at Lucid’s new factory in Casa Grande, Arizona, are underway.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includes forward-looking statements, including statements regarding the completion of the offering and the expected amount and intended use of the net proceeds. Forward-looking statements represent Lucid’s current expectations regarding future events and are subject to known and unknown risks and uncertainties that could cause actual results to differ materially from those implied by the forward-looking statements. Among those risks and uncertainties are market conditions, the satisfaction of the closing conditions related to the offering and risks relating to Lucid’s business, including those described in periodic reports that Lucid files from time to time with the SEC. Lucid may not consummate the offering described in this press release and, if the offering is consummated, cannot provide any assurances regarding its ability to effectively apply the net proceeds as described above. The forward-looking statements included in this press release speak only as of the date of this press release, and Lucid does not undertake to update the statements included in this press release for subsequent developments, except as may be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lowerRoman"/>
      <w:start w:val="1"/>
    </w:lvl>
    <w:lvl w:ilvl="1">
      <w:lvlJc w:val="left"/>
      <w:lvlText w:val="(%2)"/>
      <w:numFmt w:val="upperLetter"/>
      <w:start w:val="1"/>
    </w:lvl>
  </w:abstractNum>
  <w:abstractNum w:abstractNumId="3">
    <w:nsid w:val="100F8FCA"/>
    <w:multiLevelType w:val="hybridMultilevel"/>
    <w:lvl w:ilvl="0">
      <w:lvlJc w:val="left"/>
      <w:lvlText w:val="(%1)"/>
      <w:numFmt w:val="lowerRoman"/>
      <w:start w:val="2"/>
    </w:lvl>
    <w:lvl w:ilvl="1">
      <w:lvlJc w:val="left"/>
      <w:lvlText w:val="(%2)"/>
      <w:numFmt w:val="upperLetter"/>
      <w:start w:val="3"/>
    </w:lvl>
  </w:abstractNum>
  <w:abstractNum w:abstractNumId="4">
    <w:nsid w:val="6590700B"/>
    <w:multiLevelType w:val="hybridMultilevel"/>
    <w:lvl w:ilvl="0">
      <w:lvlJc w:val="left"/>
      <w:lvlText w:val="(%1)"/>
      <w:numFmt w:val="lowerLetter"/>
      <w:start w:val="25"/>
    </w:lvl>
    <w:lvl w:ilvl="1">
      <w:lvlJc w:val="left"/>
      <w:lvlText w:val="-"/>
      <w:numFmt w:val="bullet"/>
      <w:start w:val="1"/>
    </w:lvl>
  </w:abstractNum>
  <w:abstractNum w:abstractNumId="5">
    <w:nsid w:val="15014ACB"/>
    <w:multiLevelType w:val="hybridMultilevel"/>
    <w:lvl w:ilvl="0">
      <w:lvlJc w:val="left"/>
      <w:lvlText w:val="(%1)"/>
      <w:numFmt w:val="upperLetter"/>
      <w:start w:val="4"/>
    </w:lvl>
  </w:abstractNum>
  <w:abstractNum w:abstractNumId="6">
    <w:nsid w:val="5F5E7FD0"/>
    <w:multiLevelType w:val="hybridMultilevel"/>
    <w:lvl w:ilvl="0">
      <w:lvlJc w:val="left"/>
      <w:lvlText w:val="(%1)"/>
      <w:numFmt w:val="upperLetter"/>
      <w:start w:val="1"/>
    </w:lvl>
    <w:lvl w:ilvl="1">
      <w:lvlJc w:val="left"/>
      <w:lvlText w:val="-"/>
      <w:numFmt w:val="bullet"/>
      <w:start w:val="1"/>
    </w:lvl>
  </w:abstractNum>
  <w:abstractNum w:abstractNumId="7">
    <w:nsid w:val="98A3148"/>
    <w:multiLevelType w:val="hybridMultilevel"/>
    <w:lvl w:ilvl="0">
      <w:lvlJc w:val="left"/>
      <w:lvlText w:val="(%1)"/>
      <w:numFmt w:val="upperLetter"/>
      <w:start w:val="1"/>
    </w:lvl>
  </w:abstractNum>
  <w:abstractNum w:abstractNumId="8">
    <w:nsid w:val="799D0247"/>
    <w:multiLevelType w:val="hybridMultilevel"/>
    <w:lvl w:ilvl="0">
      <w:lvlJc w:val="left"/>
      <w:lvlText w:val="(%1)"/>
      <w:numFmt w:val="upperLetter"/>
      <w:start w:val="1"/>
    </w:lvl>
    <w:lvl w:ilvl="1">
      <w:lvlJc w:val="left"/>
      <w:lvlText w:val="-"/>
      <w:numFmt w:val="bullet"/>
      <w:start w:val="1"/>
    </w:lvl>
  </w:abstractNum>
  <w:abstractNum w:abstractNumId="9">
    <w:nsid w:val="6B94764"/>
    <w:multiLevelType w:val="hybridMultilevel"/>
    <w:lvl w:ilvl="0">
      <w:lvlJc w:val="left"/>
      <w:lvlText w:val="(%1)"/>
      <w:numFmt w:val="upperLetter"/>
      <w:start w:val="5"/>
    </w:lvl>
  </w:abstractNum>
  <w:abstractNum w:abstractNumId="10">
    <w:nsid w:val="42C296BD"/>
    <w:multiLevelType w:val="hybridMultilevel"/>
    <w:lvl w:ilvl="0">
      <w:lvlJc w:val="left"/>
      <w:lvlText w:val="(%1)"/>
      <w:numFmt w:val="upperLetter"/>
      <w:start w:val="1"/>
    </w:lvl>
    <w:lvl w:ilvl="1">
      <w:lvlJc w:val="left"/>
      <w:lvlText w:val="(%2)"/>
      <w:numFmt w:val="lowerRoman"/>
      <w:start w:val="1"/>
    </w:lvl>
  </w:abstractNum>
  <w:abstractNum w:abstractNumId="11">
    <w:nsid w:val="168E121F"/>
    <w:multiLevelType w:val="hybridMultilevel"/>
    <w:lvl w:ilvl="0">
      <w:lvlJc w:val="left"/>
      <w:lvlText w:val="(%1)"/>
      <w:numFmt w:val="upperLetter"/>
      <w:start w:val="1"/>
    </w:lvl>
    <w:lvl w:ilvl="1">
      <w:lvlJc w:val="left"/>
      <w:lvlText w:val="-"/>
      <w:numFmt w:val="bullet"/>
      <w:start w:val="1"/>
    </w:lvl>
  </w:abstractNum>
  <w:abstractNum w:abstractNumId="12">
    <w:nsid w:val="1EBA5D23"/>
    <w:multiLevelType w:val="hybridMultilevel"/>
    <w:lvl w:ilvl="0">
      <w:lvlJc w:val="left"/>
      <w:lvlText w:val="(%1)"/>
      <w:numFmt w:val="upperLetter"/>
      <w:start w:val="1"/>
    </w:lvl>
  </w:abstractNum>
  <w:abstractNum w:abstractNumId="13">
    <w:nsid w:val="661E3F1E"/>
    <w:multiLevelType w:val="hybridMultilevel"/>
    <w:lvl w:ilvl="0">
      <w:lvlJc w:val="left"/>
      <w:lvlText w:val="(%1)"/>
      <w:numFmt w:val="upperLetter"/>
      <w:start w:val="1"/>
    </w:lvl>
    <w:lvl w:ilvl="1">
      <w:lvlJc w:val="left"/>
      <w:lvlText w:val="-"/>
      <w:numFmt w:val="bullet"/>
      <w:start w:val="1"/>
    </w:lvl>
  </w:abstractNum>
  <w:abstractNum w:abstractNumId="14">
    <w:nsid w:val="5DC79EA8"/>
    <w:multiLevelType w:val="hybridMultilevel"/>
    <w:lvl w:ilvl="0">
      <w:lvlJc w:val="left"/>
      <w:lvlText w:val="(%1)"/>
      <w:numFmt w:val="upperLetter"/>
      <w:start w:val="2"/>
    </w:lvl>
  </w:abstractNum>
  <w:abstractNum w:abstractNumId="15">
    <w:nsid w:val="540A471C"/>
    <w:multiLevelType w:val="hybridMultilevel"/>
    <w:lvl w:ilvl="0">
      <w:lvlJc w:val="left"/>
      <w:lvlText w:val="(%1)"/>
      <w:numFmt w:val="upperLetter"/>
      <w:start w:val="1"/>
    </w:lvl>
    <w:lvl w:ilvl="1">
      <w:lvlJc w:val="left"/>
      <w:lvlText w:val="-"/>
      <w:numFmt w:val="bullet"/>
      <w:start w:val="1"/>
    </w:lvl>
  </w:abstractNum>
  <w:abstractNum w:abstractNumId="16">
    <w:nsid w:val="7BD3EE7B"/>
    <w:multiLevelType w:val="hybridMultilevel"/>
    <w:lvl w:ilvl="0">
      <w:lvlJc w:val="left"/>
      <w:lvlText w:val="(%1)"/>
      <w:numFmt w:val="upperLetter"/>
      <w:start w:val="3"/>
    </w:lvl>
  </w:abstractNum>
  <w:abstractNum w:abstractNumId="17">
    <w:nsid w:val="51D9C56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8">
    <w:nsid w:val="613EFDC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9">
    <w:nsid w:val="BF72B1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0">
    <w:nsid w:val="11447B7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21">
    <w:nsid w:val="42963E5A"/>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22">
    <w:nsid w:val="A0382C5"/>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3">
    <w:nsid w:val="8F2B15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4">
    <w:nsid w:val="1A32234B"/>
    <w:multiLevelType w:val="hybridMultilevel"/>
    <w:lvl w:ilvl="0">
      <w:lvlJc w:val="left"/>
      <w:lvlText w:val="(%1)"/>
      <w:numFmt w:val="upperLetter"/>
      <w:start w:val="4"/>
    </w:lvl>
    <w:lvl w:ilvl="1">
      <w:lvlJc w:val="left"/>
      <w:lvlText w:val="(%2)"/>
      <w:numFmt w:val="lowerRoman"/>
      <w:start w:val="1"/>
    </w:lvl>
  </w:abstractNum>
  <w:abstractNum w:abstractNumId="25">
    <w:nsid w:val="3B0FD379"/>
    <w:multiLevelType w:val="hybridMultilevel"/>
    <w:lvl w:ilvl="0">
      <w:lvlJc w:val="left"/>
      <w:lvlText w:val="(%1)"/>
      <w:numFmt w:val="upperLetter"/>
      <w:start w:val="5"/>
    </w:lvl>
    <w:lvl w:ilvl="1">
      <w:lvlJc w:val="left"/>
      <w:lvlText w:val="-"/>
      <w:numFmt w:val="bullet"/>
      <w:start w:val="1"/>
    </w:lvl>
  </w:abstractNum>
  <w:abstractNum w:abstractNumId="26">
    <w:nsid w:val="68EB2F63"/>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7">
    <w:nsid w:val="4962813B"/>
    <w:multiLevelType w:val="hybridMultilevel"/>
    <w:lvl w:ilvl="0">
      <w:lvlJc w:val="left"/>
      <w:lvlText w:val="(%1)"/>
      <w:numFmt w:val="upperLetter"/>
      <w:start w:val="1"/>
    </w:lvl>
    <w:lvl w:ilvl="1">
      <w:lvlJc w:val="left"/>
      <w:lvlText w:val="-"/>
      <w:numFmt w:val="bullet"/>
      <w:start w:val="1"/>
    </w:lvl>
  </w:abstractNum>
  <w:abstractNum w:abstractNumId="28">
    <w:nsid w:val="60B6DF70"/>
    <w:multiLevelType w:val="hybridMultilevel"/>
    <w:lvl w:ilvl="0">
      <w:lvlJc w:val="left"/>
      <w:lvlText w:val="(%1)"/>
      <w:numFmt w:val="upperLetter"/>
      <w:start w:val="5"/>
    </w:lvl>
  </w:abstractNum>
  <w:abstractNum w:abstractNumId="29">
    <w:nsid w:val="6A5EE64"/>
    <w:multiLevelType w:val="hybridMultilevel"/>
    <w:lvl w:ilvl="0">
      <w:lvlJc w:val="left"/>
      <w:lvlText w:val="(%1)"/>
      <w:numFmt w:val="upperLetter"/>
      <w:start w:val="1"/>
    </w:lvl>
  </w:abstractNum>
  <w:abstractNum w:abstractNumId="30">
    <w:nsid w:val="14330624"/>
    <w:multiLevelType w:val="hybridMultilevel"/>
    <w:lvl w:ilvl="0">
      <w:lvlJc w:val="left"/>
      <w:lvlText w:val="(%1)"/>
      <w:numFmt w:val="upperLetter"/>
      <w:start w:val="1"/>
    </w:lvl>
    <w:lvl w:ilvl="1">
      <w:lvlJc w:val="left"/>
      <w:lvlText w:val="-"/>
      <w:numFmt w:val="bullet"/>
      <w:start w:val="1"/>
    </w:lvl>
  </w:abstractNum>
  <w:abstractNum w:abstractNumId="31">
    <w:nsid w:val="7FFFCA11"/>
    <w:multiLevelType w:val="hybridMultilevel"/>
    <w:lvl w:ilvl="0">
      <w:lvlJc w:val="left"/>
      <w:lvlText w:val="(%1)"/>
      <w:numFmt w:val="upperLetter"/>
      <w:start w:val="2"/>
    </w:lvl>
  </w:abstractNum>
  <w:abstractNum w:abstractNumId="32">
    <w:nsid w:val="1A27709E"/>
    <w:multiLevelType w:val="hybridMultilevel"/>
    <w:lvl w:ilvl="0">
      <w:lvlJc w:val="left"/>
      <w:lvlText w:val="(%1)"/>
      <w:numFmt w:val="upperLetter"/>
      <w:start w:val="1"/>
    </w:lvl>
    <w:lvl w:ilvl="1">
      <w:lvlJc w:val="left"/>
      <w:lvlText w:val="(%2)"/>
      <w:numFmt w:val="lowerRoman"/>
      <w:start w:val="1"/>
    </w:lvl>
  </w:abstractNum>
  <w:abstractNum w:abstractNumId="33">
    <w:nsid w:val="71EA1109"/>
    <w:multiLevelType w:val="hybridMultilevel"/>
    <w:lvl w:ilvl="0">
      <w:lvlJc w:val="left"/>
      <w:lvlText w:val="(%1)"/>
      <w:numFmt w:val="upperLetter"/>
      <w:start w:val="2"/>
    </w:lvl>
  </w:abstractNum>
  <w:abstractNum w:abstractNumId="34">
    <w:nsid w:val="100F59DC"/>
    <w:multiLevelType w:val="hybridMultilevel"/>
    <w:lvl w:ilvl="0">
      <w:lvlJc w:val="left"/>
      <w:lvlText w:val="(%1)"/>
      <w:numFmt w:val="upperLetter"/>
      <w:start w:val="1"/>
    </w:lvl>
  </w:abstractNum>
  <w:abstractNum w:abstractNumId="35">
    <w:nsid w:val="7FB7E0AA"/>
    <w:multiLevelType w:val="hybridMultilevel"/>
    <w:lvl w:ilvl="0">
      <w:lvlJc w:val="left"/>
      <w:lvlText w:val="(%1)"/>
      <w:numFmt w:val="upperLetter"/>
      <w:start w:val="1"/>
    </w:lvl>
    <w:lvl w:ilvl="1">
      <w:lvlJc w:val="left"/>
      <w:lvlText w:val="-"/>
      <w:numFmt w:val="bullet"/>
      <w:start w:val="1"/>
    </w:lvl>
  </w:abstractNum>
  <w:abstractNum w:abstractNumId="36">
    <w:nsid w:val="6EB5BD4"/>
    <w:multiLevelType w:val="hybridMultilevel"/>
    <w:lvl w:ilvl="0">
      <w:lvlJc w:val="left"/>
      <w:lvlText w:val="(%1)"/>
      <w:numFmt w:val="upperLetter"/>
      <w:start w:val="4"/>
    </w:lvl>
  </w:abstractNum>
  <w:abstractNum w:abstractNumId="37">
    <w:nsid w:val="6F6DD9AC"/>
    <w:multiLevelType w:val="hybridMultilevel"/>
    <w:lvl w:ilvl="0">
      <w:lvlJc w:val="left"/>
      <w:lvlText w:val="(%1)"/>
      <w:numFmt w:val="lowerRoman"/>
      <w:start w:val="1"/>
    </w:lvl>
    <w:lvl w:ilvl="1">
      <w:lvlJc w:val="left"/>
      <w:lvlText w:val="-"/>
      <w:numFmt w:val="bullet"/>
      <w:start w:val="1"/>
    </w:lvl>
  </w:abstractNum>
  <w:abstractNum w:abstractNumId="38">
    <w:nsid w:val="94211F2"/>
    <w:multiLevelType w:val="hybridMultilevel"/>
    <w:lvl w:ilvl="0">
      <w:lvlJc w:val="left"/>
      <w:lvlText w:val="(%1)"/>
      <w:numFmt w:val="lowerRoman"/>
      <w:start w:val="8"/>
    </w:lvl>
  </w:abstractNum>
  <w:abstractNum w:abstractNumId="39">
    <w:nsid w:val="885E1B"/>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0">
    <w:nsid w:val="76272110"/>
    <w:multiLevelType w:val="hybridMultilevel"/>
    <w:lvl w:ilvl="0">
      <w:lvlJc w:val="left"/>
      <w:lvlText w:val="(%1)"/>
      <w:numFmt w:val="lowerRoman"/>
      <w:start w:val="2"/>
    </w:lvl>
    <w:lvl w:ilvl="1">
      <w:lvlJc w:val="left"/>
      <w:lvlText w:val="(%2)"/>
      <w:numFmt w:val="decimal"/>
      <w:start w:val="1"/>
    </w:lvl>
  </w:abstractNum>
  <w:abstractNum w:abstractNumId="41">
    <w:nsid w:val="4C04A8AF"/>
    <w:multiLevelType w:val="hybridMultilevel"/>
    <w:lvl w:ilvl="0">
      <w:lvlJc w:val="left"/>
      <w:lvlText w:val="(%1)"/>
      <w:numFmt w:val="lowerRoman"/>
      <w:start w:val="3"/>
    </w:lvl>
    <w:lvl w:ilvl="1">
      <w:lvlJc w:val="left"/>
      <w:lvlText w:val="(%2)"/>
      <w:numFmt w:val="decimal"/>
      <w:start w:val="1"/>
    </w:lvl>
  </w:abstractNum>
  <w:abstractNum w:abstractNumId="42">
    <w:nsid w:val="1716703B"/>
    <w:multiLevelType w:val="hybridMultilevel"/>
    <w:lvl w:ilvl="0">
      <w:lvlJc w:val="left"/>
      <w:lvlText w:val="(%1)"/>
      <w:numFmt w:val="upperLetter"/>
      <w:start w:val="7"/>
    </w:lvl>
    <w:lvl w:ilvl="1">
      <w:lvlJc w:val="left"/>
      <w:lvlText w:val="-"/>
      <w:numFmt w:val="bullet"/>
      <w:start w:val="1"/>
    </w:lvl>
  </w:abstractNum>
  <w:abstractNum w:abstractNumId="43">
    <w:nsid w:val="14E17E33"/>
    <w:multiLevelType w:val="hybridMultilevel"/>
    <w:lvl w:ilvl="0">
      <w:lvlJc w:val="left"/>
      <w:lvlText w:val="(%1)"/>
      <w:numFmt w:val="upperLetter"/>
      <w:start w:val="8"/>
    </w:lvl>
    <w:lvl w:ilvl="1">
      <w:lvlJc w:val="left"/>
      <w:lvlText w:val="-"/>
      <w:numFmt w:val="bullet"/>
      <w:start w:val="1"/>
    </w:lvl>
  </w:abstractNum>
  <w:abstractNum w:abstractNumId="44">
    <w:nsid w:val="3222E7CD"/>
    <w:multiLevelType w:val="hybridMultilevel"/>
    <w:lvl w:ilvl="0">
      <w:lvlJc w:val="left"/>
      <w:lvlText w:val="(%1)"/>
      <w:numFmt w:val="upperLetter"/>
      <w:start w:val="11"/>
    </w:lvl>
  </w:abstractNum>
  <w:abstractNum w:abstractNumId="45">
    <w:nsid w:val="74DE0EE3"/>
    <w:multiLevelType w:val="hybridMultilevel"/>
    <w:lvl w:ilvl="0">
      <w:lvlJc w:val="left"/>
      <w:lvlText w:val="(%1)"/>
      <w:numFmt w:val="upperLetter"/>
      <w:start w:val="1"/>
    </w:lvl>
    <w:lvl w:ilvl="1">
      <w:lvlJc w:val="left"/>
      <w:lvlText w:val="-"/>
      <w:numFmt w:val="bullet"/>
      <w:start w:val="1"/>
    </w:lvl>
  </w:abstractNum>
  <w:abstractNum w:abstractNumId="46">
    <w:nsid w:val="68EBC550"/>
    <w:multiLevelType w:val="hybridMultilevel"/>
    <w:lvl w:ilvl="0">
      <w:lvlJc w:val="left"/>
      <w:lvlText w:val="(%1)"/>
      <w:numFmt w:val="upperLetter"/>
      <w:start w:val="6"/>
    </w:lvl>
  </w:abstractNum>
  <w:abstractNum w:abstractNumId="47">
    <w:nsid w:val="2DF6D648"/>
    <w:multiLevelType w:val="hybridMultilevel"/>
    <w:lvl w:ilvl="0">
      <w:lvlJc w:val="left"/>
      <w:lvlText w:val="(%1)"/>
      <w:numFmt w:val="lowerRoman"/>
      <w:start w:val="1"/>
    </w:lvl>
    <w:lvl w:ilvl="1">
      <w:lvlJc w:val="left"/>
      <w:lvlText w:val="-"/>
      <w:numFmt w:val="bullet"/>
      <w:start w:val="1"/>
    </w:lvl>
  </w:abstractNum>
  <w:abstractNum w:abstractNumId="48">
    <w:nsid w:val="46B7D447"/>
    <w:multiLevelType w:val="hybridMultilevel"/>
    <w:lvl w:ilvl="0">
      <w:lvlJc w:val="left"/>
      <w:lvlText w:val="(%1)"/>
      <w:numFmt w:val="lowerRoman"/>
      <w:start w:val="6"/>
    </w:lvl>
  </w:abstractNum>
  <w:abstractNum w:abstractNumId="49">
    <w:nsid w:val="4A2AC315"/>
    <w:multiLevelType w:val="hybridMultilevel"/>
    <w:lvl w:ilvl="0">
      <w:lvlJc w:val="left"/>
      <w:lvlText w:val="(%1)"/>
      <w:numFmt w:val="upperLetter"/>
      <w:start w:val="8"/>
    </w:lvl>
  </w:abstractNum>
  <w:abstractNum w:abstractNumId="50">
    <w:nsid w:val="39EE015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1">
    <w:nsid w:val="57FC4FBB"/>
    <w:multiLevelType w:val="hybridMultilevel"/>
    <w:lvl w:ilvl="0">
      <w:lvlJc w:val="left"/>
      <w:lvlText w:val="(%1)"/>
      <w:numFmt w:val="upperLetter"/>
      <w:start w:val="9"/>
    </w:lvl>
    <w:lvl w:ilvl="1">
      <w:lvlJc w:val="left"/>
      <w:lvlText w:val="%2"/>
      <w:numFmt w:val="lowerRoman"/>
      <w:start w:val="1"/>
    </w:lvl>
    <w:lvl w:ilvl="2">
      <w:lvlJc w:val="left"/>
      <w:lvlText w:val="-"/>
      <w:numFmt w:val="bullet"/>
      <w:start w:val="1"/>
    </w:lvl>
  </w:abstractNum>
  <w:abstractNum w:abstractNumId="52">
    <w:nsid w:val="CC1016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53">
    <w:nsid w:val="43F18422"/>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lvl w:ilvl="3">
      <w:lvlJc w:val="left"/>
      <w:lvlText w:val="-"/>
      <w:numFmt w:val="bullet"/>
      <w:start w:val="1"/>
    </w:lvl>
  </w:abstractNum>
  <w:abstractNum w:abstractNumId="54">
    <w:nsid w:val="60EF0119"/>
    <w:multiLevelType w:val="hybridMultilevel"/>
    <w:lvl w:ilvl="0">
      <w:lvlJc w:val="left"/>
      <w:lvlText w:val="(%1)"/>
      <w:numFmt w:val="upperLetter"/>
      <w:start w:val="35"/>
    </w:lvl>
  </w:abstractNum>
  <w:abstractNum w:abstractNumId="55">
    <w:nsid w:val="26F324BA"/>
    <w:multiLevelType w:val="hybridMultilevel"/>
    <w:lvl w:ilvl="0">
      <w:lvlJc w:val="left"/>
      <w:lvlText w:val="%1"/>
      <w:numFmt w:val="decimal"/>
      <w:start w:val="1"/>
    </w:lvl>
    <w:lvl w:ilvl="1">
      <w:lvlJc w:val="left"/>
      <w:lvlText w:val="(%2)"/>
      <w:numFmt w:val="lowerLetter"/>
      <w:start w:val="2"/>
    </w:lvl>
  </w:abstractNum>
  <w:abstractNum w:abstractNumId="56">
    <w:nsid w:val="7F01579B"/>
    <w:multiLevelType w:val="hybridMultilevel"/>
    <w:lvl w:ilvl="0">
      <w:lvlJc w:val="left"/>
      <w:lvlText w:val="(%1)"/>
      <w:numFmt w:val="decimal"/>
      <w:start w:val="4"/>
    </w:lvl>
    <w:lvl w:ilvl="1">
      <w:lvlJc w:val="left"/>
      <w:lvlText w:val="%2"/>
      <w:numFmt w:val="lowerLetter"/>
      <w:start w:val="1"/>
    </w:lvl>
  </w:abstractNum>
  <w:abstractNum w:abstractNumId="57">
    <w:nsid w:val="49DA307D"/>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8">
    <w:nsid w:val="7055A5F5"/>
    <w:multiLevelType w:val="hybridMultilevel"/>
    <w:lvl w:ilvl="0">
      <w:lvlJc w:val="left"/>
      <w:lvlText w:val="(%1)"/>
      <w:numFmt w:val="decimal"/>
      <w:start w:val="3"/>
    </w:lvl>
  </w:abstractNum>
  <w:abstractNum w:abstractNumId="59">
    <w:nsid w:val="5FB8370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0">
    <w:nsid w:val="50801EE1"/>
    <w:multiLevelType w:val="hybridMultilevel"/>
    <w:lvl w:ilvl="0">
      <w:lvlJc w:val="left"/>
      <w:lvlText w:val="(%1)"/>
      <w:numFmt w:val="upperLetter"/>
      <w:start w:val="4"/>
    </w:lvl>
    <w:lvl w:ilvl="1">
      <w:lvlJc w:val="left"/>
      <w:lvlText w:val="-"/>
      <w:numFmt w:val="bullet"/>
      <w:start w:val="1"/>
    </w:lvl>
  </w:abstractNum>
  <w:abstractNum w:abstractNumId="61">
    <w:nsid w:val="488AC1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2">
    <w:nsid w:val="5FB8011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7"/>
    </w:lvl>
    <w:lvl w:ilvl="3">
      <w:lvlJc w:val="left"/>
      <w:lvlText w:val="-"/>
      <w:numFmt w:val="bullet"/>
      <w:start w:val="1"/>
    </w:lvl>
  </w:abstractNum>
  <w:abstractNum w:abstractNumId="63">
    <w:nsid w:val="6AA78F7F"/>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64">
    <w:nsid w:val="7672BD23"/>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5">
    <w:nsid w:val="6FC75AF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lvl w:ilvl="3">
      <w:lvlJc w:val="left"/>
      <w:lvlText w:val="-"/>
      <w:numFmt w:val="bullet"/>
      <w:start w:val="1"/>
    </w:lvl>
  </w:abstractNum>
  <w:abstractNum w:abstractNumId="66">
    <w:nsid w:val="6A5F7029"/>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67">
    <w:nsid w:val="7D5E18F8"/>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8">
    <w:nsid w:val="5F3534A4"/>
    <w:multiLevelType w:val="hybridMultilevel"/>
    <w:lvl w:ilvl="0">
      <w:lvlJc w:val="left"/>
      <w:lvlText w:val="(%1)"/>
      <w:numFmt w:val="upperLetter"/>
      <w:start w:val="4"/>
    </w:lvl>
  </w:abstractNum>
  <w:abstractNum w:abstractNumId="69">
    <w:nsid w:val="73A1821B"/>
    <w:multiLevelType w:val="hybridMultilevel"/>
    <w:lvl w:ilvl="0">
      <w:lvlJc w:val="left"/>
      <w:lvlText w:val="(%1)"/>
      <w:numFmt w:val="upperLetter"/>
      <w:start w:val="1"/>
    </w:lvl>
    <w:lvl w:ilvl="1">
      <w:lvlJc w:val="left"/>
      <w:lvlText w:val="-"/>
      <w:numFmt w:val="bullet"/>
      <w:start w:val="1"/>
    </w:lvl>
  </w:abstractNum>
  <w:abstractNum w:abstractNumId="70">
    <w:nsid w:val="7DE67713"/>
    <w:multiLevelType w:val="hybridMultilevel"/>
    <w:lvl w:ilvl="0">
      <w:lvlJc w:val="left"/>
      <w:lvlText w:val="(%1)"/>
      <w:numFmt w:val="upperLetter"/>
      <w:start w:val="1"/>
    </w:lvl>
    <w:lvl w:ilvl="1">
      <w:lvlJc w:val="left"/>
      <w:lvlText w:val="(%2)"/>
      <w:numFmt w:val="lowerRoman"/>
      <w:start w:val="1"/>
    </w:lvl>
  </w:abstractNum>
  <w:abstractNum w:abstractNumId="71">
    <w:nsid w:val="555C55B5"/>
    <w:multiLevelType w:val="hybridMultilevel"/>
    <w:lvl w:ilvl="0">
      <w:lvlJc w:val="left"/>
      <w:lvlText w:val="(%1)"/>
      <w:numFmt w:val="lowerRoman"/>
      <w:start w:val="2"/>
    </w:lvl>
    <w:lvl w:ilvl="1">
      <w:lvlJc w:val="left"/>
      <w:lvlText w:val="-"/>
      <w:numFmt w:val="bullet"/>
      <w:start w:val="1"/>
    </w:lvl>
  </w:abstractNum>
  <w:abstractNum w:abstractNumId="72">
    <w:nsid w:val="3FA62ACA"/>
    <w:multiLevelType w:val="hybridMultilevel"/>
    <w:lvl w:ilvl="0">
      <w:lvlJc w:val="left"/>
      <w:lvlText w:val="X"/>
      <w:numFmt w:val="bullet"/>
      <w:start w:val="1"/>
    </w:lvl>
  </w:abstractNum>
  <w:abstractNum w:abstractNumId="73">
    <w:nsid w:val="14FCE74E"/>
    <w:multiLevelType w:val="hybridMultilevel"/>
    <w:lvl w:ilvl="0">
      <w:lvlJc w:val="left"/>
      <w:lvlText w:val="Y"/>
      <w:numFmt w:val="bullet"/>
      <w:start w:val="1"/>
    </w:lvl>
  </w:abstractNum>
  <w:abstractNum w:abstractNumId="74">
    <w:nsid w:val="6A3DD3E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75">
    <w:nsid w:val="71C91298"/>
    <w:multiLevelType w:val="hybridMultilevel"/>
    <w:lvl w:ilvl="0">
      <w:lvlJc w:val="left"/>
      <w:lvlText w:val="(%1)"/>
      <w:numFmt w:val="decimal"/>
      <w:start w:val="2"/>
    </w:lvl>
  </w:abstractNum>
  <w:abstractNum w:abstractNumId="76">
    <w:nsid w:val="9DAF632"/>
    <w:multiLevelType w:val="hybridMultilevel"/>
    <w:lvl w:ilvl="0">
      <w:lvlJc w:val="left"/>
      <w:lvlText w:val="(%1)"/>
      <w:numFmt w:val="lowerRoman"/>
      <w:start w:val="4"/>
    </w:lvl>
  </w:abstractNum>
  <w:abstractNum w:abstractNumId="77">
    <w:nsid w:val="53299938"/>
    <w:multiLevelType w:val="hybridMultilevel"/>
    <w:lvl w:ilvl="0">
      <w:lvlJc w:val="left"/>
      <w:lvlText w:val="D"/>
      <w:numFmt w:val="bullet"/>
      <w:start w:val="1"/>
    </w:lvl>
  </w:abstractNum>
  <w:abstractNum w:abstractNumId="78">
    <w:nsid w:val="1FBFE8E0"/>
    <w:multiLevelType w:val="hybridMultilevel"/>
    <w:lvl w:ilvl="0">
      <w:lvlJc w:val="left"/>
      <w:lvlText w:val="(%1)"/>
      <w:numFmt w:val="lowerRoman"/>
      <w:start w:val="5"/>
    </w:lvl>
  </w:abstractNum>
  <w:abstractNum w:abstractNumId="79">
    <w:nsid w:val="5092CA79"/>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80">
    <w:nsid w:val="1D545C4D"/>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81">
    <w:nsid w:val="59ADEA3D"/>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2">
    <w:nsid w:val="288F1A34"/>
    <w:multiLevelType w:val="hybridMultilevel"/>
    <w:lvl w:ilvl="0">
      <w:lvlJc w:val="left"/>
      <w:lvlText w:val="(%1)"/>
      <w:numFmt w:val="upperLetter"/>
      <w:start w:val="4"/>
    </w:lvl>
    <w:lvl w:ilvl="1">
      <w:lvlJc w:val="left"/>
      <w:lvlText w:val="(%2)"/>
      <w:numFmt w:val="lowerRoman"/>
      <w:start w:val="1"/>
    </w:lvl>
  </w:abstractNum>
  <w:abstractNum w:abstractNumId="83">
    <w:nsid w:val="2A155DBC"/>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84">
    <w:nsid w:val="1D9F6E5F"/>
    <w:multiLevelType w:val="hybridMultilevel"/>
    <w:lvl w:ilvl="0">
      <w:lvlJc w:val="left"/>
      <w:lvlText w:val="(%1)"/>
      <w:numFmt w:val="lowerRoman"/>
      <w:start w:val="5"/>
    </w:lvl>
  </w:abstractNum>
  <w:abstractNum w:abstractNumId="85">
    <w:nsid w:val="97E1B4E"/>
    <w:multiLevelType w:val="hybridMultilevel"/>
    <w:lvl w:ilvl="0">
      <w:lvlJc w:val="left"/>
      <w:lvlText w:val="(%1)"/>
      <w:numFmt w:val="upperLetter"/>
      <w:start w:val="6"/>
    </w:lvl>
    <w:lvl w:ilvl="1">
      <w:lvlJc w:val="left"/>
      <w:lvlText w:val="-"/>
      <w:numFmt w:val="bullet"/>
      <w:start w:val="1"/>
    </w:lvl>
  </w:abstractNum>
  <w:abstractNum w:abstractNumId="86">
    <w:nsid w:val="51088277"/>
    <w:multiLevelType w:val="hybridMultilevel"/>
    <w:lvl w:ilvl="0">
      <w:lvlJc w:val="left"/>
      <w:lvlText w:val="(%1)"/>
      <w:numFmt w:val="upperLetter"/>
      <w:start w:val="10"/>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upperLetter"/>
      <w:start w:val="1"/>
    </w:lvl>
    <w:lvl w:ilvl="1">
      <w:lvlJc w:val="left"/>
      <w:lvlText w:val="-"/>
      <w:numFmt w:val="bullet"/>
      <w:start w:val="1"/>
    </w:lvl>
  </w:abstractNum>
  <w:abstractNum w:abstractNumId="89">
    <w:nsid w:val="415E286C"/>
    <w:multiLevelType w:val="hybridMultilevel"/>
    <w:lvl w:ilvl="0">
      <w:lvlJc w:val="left"/>
      <w:lvlText w:val="(%1)"/>
      <w:numFmt w:val="lowerRoman"/>
      <w:start w:val="1"/>
    </w:lvl>
  </w:abstractNum>
  <w:abstractNum w:abstractNumId="90">
    <w:nsid w:val="7C58FD05"/>
    <w:multiLevelType w:val="hybridMultilevel"/>
    <w:lvl w:ilvl="0">
      <w:lvlJc w:val="left"/>
      <w:lvlText w:val="(%1)"/>
      <w:numFmt w:val="upperLetter"/>
      <w:start w:val="2"/>
    </w:lvl>
    <w:lvl w:ilvl="1">
      <w:lvlJc w:val="left"/>
      <w:lvlText w:val="-"/>
      <w:numFmt w:val="bullet"/>
      <w:start w:val="1"/>
    </w:lvl>
  </w:abstractNum>
  <w:abstractNum w:abstractNumId="91">
    <w:nsid w:val="23D86AAC"/>
    <w:multiLevelType w:val="hybridMultilevel"/>
    <w:lvl w:ilvl="0">
      <w:lvlJc w:val="left"/>
      <w:lvlText w:val="(%1)"/>
      <w:numFmt w:val="upperLetter"/>
      <w:start w:val="3"/>
    </w:lvl>
  </w:abstractNum>
  <w:abstractNum w:abstractNumId="92">
    <w:nsid w:val="45E6D486"/>
    <w:multiLevelType w:val="hybridMultilevel"/>
    <w:lvl w:ilvl="0">
      <w:lvlJc w:val="left"/>
      <w:lvlText w:val="(%1)"/>
      <w:numFmt w:val="upperLetter"/>
      <w:start w:val="1"/>
    </w:lvl>
  </w:abstractNum>
  <w:abstractNum w:abstractNumId="93">
    <w:nsid w:val="5C10FE21"/>
    <w:multiLevelType w:val="hybridMultilevel"/>
    <w:lvl w:ilvl="0">
      <w:lvlJc w:val="left"/>
      <w:lvlText w:val="(%1)"/>
      <w:numFmt w:val="upperLetter"/>
      <w:start w:val="1"/>
    </w:lvl>
    <w:lvl w:ilvl="1">
      <w:lvlJc w:val="left"/>
      <w:lvlText w:val="(%2)"/>
      <w:numFmt w:val="lowerRoman"/>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2"/>
    </w:lvl>
    <w:lvl w:ilvl="1">
      <w:lvlJc w:val="left"/>
      <w:lvlText w:val="-"/>
      <w:numFmt w:val="bullet"/>
      <w:start w:val="1"/>
    </w:lvl>
  </w:abstractNum>
  <w:abstractNum w:abstractNumId="96">
    <w:nsid w:val="4BD8591A"/>
    <w:multiLevelType w:val="hybridMultilevel"/>
    <w:lvl w:ilvl="0">
      <w:lvlJc w:val="left"/>
      <w:lvlText w:val="(%1)"/>
      <w:numFmt w:val="decimal"/>
      <w:start w:val="3"/>
    </w:lvl>
  </w:abstractNum>
  <w:abstractNum w:abstractNumId="97">
    <w:nsid w:val="78DF6A55"/>
    <w:multiLevelType w:val="hybridMultilevel"/>
    <w:lvl w:ilvl="0">
      <w:lvlJc w:val="left"/>
      <w:lvlText w:val="(%1)"/>
      <w:numFmt w:val="upperLetter"/>
      <w:start w:val="2"/>
    </w:lvl>
    <w:lvl w:ilvl="1">
      <w:lvlJc w:val="left"/>
      <w:lvlText w:val="-"/>
      <w:numFmt w:val="bullet"/>
      <w:start w:val="1"/>
    </w:lvl>
  </w:abstractNum>
  <w:abstractNum w:abstractNumId="98">
    <w:nsid w:val="39B7AAA2"/>
    <w:multiLevelType w:val="hybridMultilevel"/>
    <w:lvl w:ilvl="0">
      <w:lvlJc w:val="left"/>
      <w:lvlText w:val="(%1)"/>
      <w:numFmt w:val="upperLetter"/>
      <w:start w:val="1"/>
    </w:lvl>
    <w:lvl w:ilvl="1">
      <w:lvlJc w:val="left"/>
      <w:lvlText w:val="(%2)"/>
      <w:numFmt w:val="lowerRoman"/>
      <w:start w:val="1"/>
    </w:lvl>
  </w:abstractNum>
  <w:abstractNum w:abstractNumId="99">
    <w:nsid w:val="2B0D8DB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0">
    <w:nsid w:val="6C80EC70"/>
    <w:multiLevelType w:val="hybridMultilevel"/>
    <w:lvl w:ilvl="0">
      <w:lvlJc w:val="left"/>
      <w:lvlText w:val="(%1)"/>
      <w:numFmt w:val="lowerRoman"/>
      <w:start w:val="8"/>
    </w:lvl>
    <w:lvl w:ilvl="1">
      <w:lvlJc w:val="left"/>
      <w:lvlText w:val="(%2)"/>
      <w:numFmt w:val="decimal"/>
      <w:start w:val="1"/>
    </w:lvl>
  </w:abstractNum>
  <w:abstractNum w:abstractNumId="101">
    <w:nsid w:val="379E21B5"/>
    <w:multiLevelType w:val="hybridMultilevel"/>
    <w:lvl w:ilvl="0">
      <w:lvlJc w:val="left"/>
      <w:lvlText w:val="(%1)"/>
      <w:numFmt w:val="upperLetter"/>
      <w:start w:val="2"/>
    </w:lvl>
    <w:lvl w:ilvl="1">
      <w:lvlJc w:val="left"/>
      <w:lvlText w:val="-"/>
      <w:numFmt w:val="bullet"/>
      <w:start w:val="1"/>
    </w:lvl>
  </w:abstractNum>
  <w:abstractNum w:abstractNumId="102">
    <w:nsid w:val="69E373"/>
    <w:multiLevelType w:val="hybridMultilevel"/>
    <w:lvl w:ilvl="0">
      <w:lvlJc w:val="left"/>
      <w:lvlText w:val="%1"/>
      <w:numFmt w:val="lowerRoman"/>
      <w:start w:val="1"/>
    </w:lvl>
    <w:lvl w:ilvl="1">
      <w:lvlJc w:val="left"/>
      <w:lvlText w:val="(%2)"/>
      <w:numFmt w:val="upperLetter"/>
      <w:start w:val="1"/>
    </w:lvl>
  </w:abstractNum>
  <w:abstractNum w:abstractNumId="103">
    <w:nsid w:val="2C27173B"/>
    <w:multiLevelType w:val="hybridMultilevel"/>
    <w:lvl w:ilvl="0">
      <w:lvlJc w:val="left"/>
      <w:lvlText w:val="(%1)"/>
      <w:numFmt w:val="lowerRoman"/>
      <w:start w:val="8"/>
    </w:lvl>
    <w:lvl w:ilvl="1">
      <w:lvlJc w:val="left"/>
      <w:lvlText w:val="(%2)"/>
      <w:numFmt w:val="upperLetter"/>
      <w:start w:val="3"/>
    </w:lvl>
  </w:abstractNum>
  <w:abstractNum w:abstractNumId="104">
    <w:nsid w:val="4C9B0904"/>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05">
    <w:nsid w:val="6AA7B75C"/>
    <w:multiLevelType w:val="hybridMultilevel"/>
    <w:lvl w:ilvl="0">
      <w:lvlJc w:val="left"/>
      <w:lvlText w:val="(%1)"/>
      <w:numFmt w:val="lowerRoman"/>
      <w:start w:val="2"/>
    </w:lvl>
    <w:lvl w:ilvl="1">
      <w:lvlJc w:val="left"/>
      <w:lvlText w:val="(%2)"/>
      <w:numFmt w:val="upperLetter"/>
      <w:start w:val="2"/>
    </w:lvl>
    <w:lvl w:ilvl="2">
      <w:lvlJc w:val="left"/>
      <w:lvlText w:val="-"/>
      <w:numFmt w:val="bullet"/>
      <w:start w:val="1"/>
    </w:lvl>
  </w:abstractNum>
  <w:abstractNum w:abstractNumId="106">
    <w:nsid w:val="1DF029D3"/>
    <w:multiLevelType w:val="hybridMultilevel"/>
    <w:lvl w:ilvl="0">
      <w:lvlJc w:val="left"/>
      <w:lvlText w:val="(%1)"/>
      <w:numFmt w:val="upperLetter"/>
      <w:start w:val="3"/>
    </w:lvl>
  </w:abstractNum>
  <w:abstractNum w:abstractNumId="107">
    <w:nsid w:val="5675FF36"/>
    <w:multiLevelType w:val="hybridMultilevel"/>
    <w:lvl w:ilvl="0">
      <w:lvlJc w:val="left"/>
      <w:lvlText w:val="(%1)"/>
      <w:numFmt w:val="upperLetter"/>
      <w:start w:val="1"/>
    </w:lvl>
  </w:abstractNum>
  <w:abstractNum w:abstractNumId="108">
    <w:nsid w:val="3DD15094"/>
    <w:multiLevelType w:val="hybridMultilevel"/>
    <w:lvl w:ilvl="0">
      <w:lvlJc w:val="left"/>
      <w:lvlText w:val="(%1)"/>
      <w:numFmt w:val="upperLetter"/>
      <w:start w:val="1"/>
    </w:lvl>
  </w:abstractNum>
  <w:abstractNum w:abstractNumId="109">
    <w:nsid w:val="3DB012B3"/>
    <w:multiLevelType w:val="hybridMultilevel"/>
    <w:lvl w:ilvl="0">
      <w:lvlJc w:val="left"/>
      <w:lvlText w:val="(%1)"/>
      <w:numFmt w:val="upperLetter"/>
      <w:start w:val="1"/>
    </w:lvl>
    <w:lvl w:ilvl="1">
      <w:lvlJc w:val="left"/>
      <w:lvlText w:val="-"/>
      <w:numFmt w:val="bullet"/>
      <w:start w:val="1"/>
    </w:lvl>
  </w:abstractNum>
  <w:abstractNum w:abstractNumId="110">
    <w:nsid w:val="2708C9AF"/>
    <w:multiLevelType w:val="hybridMultilevel"/>
    <w:lvl w:ilvl="0">
      <w:lvlJc w:val="left"/>
      <w:lvlText w:val="(%1)"/>
      <w:numFmt w:val="upperLetter"/>
      <w:start w:val="4"/>
    </w:lvl>
  </w:abstractNum>
  <w:abstractNum w:abstractNumId="111">
    <w:nsid w:val="5B25ACE2"/>
    <w:multiLevelType w:val="hybridMultilevel"/>
    <w:lvl w:ilvl="0">
      <w:lvlJc w:val="left"/>
      <w:lvlText w:val="(%1)"/>
      <w:numFmt w:val="upperLetter"/>
      <w:start w:val="1"/>
    </w:lvl>
    <w:lvl w:ilvl="1">
      <w:lvlJc w:val="left"/>
      <w:lvlText w:val="(%2)"/>
      <w:numFmt w:val="lowerRoman"/>
      <w:start w:val="1"/>
    </w:lvl>
  </w:abstractNum>
  <w:abstractNum w:abstractNumId="112">
    <w:nsid w:val="175DFCF0"/>
    <w:multiLevelType w:val="hybridMultilevel"/>
    <w:lvl w:ilvl="0">
      <w:lvlJc w:val="left"/>
      <w:lvlText w:val="(%1)"/>
      <w:numFmt w:val="upperLetter"/>
      <w:start w:val="2"/>
    </w:lvl>
  </w:abstractNum>
  <w:abstractNum w:abstractNumId="113">
    <w:nsid w:val="4F97E3E4"/>
    <w:multiLevelType w:val="hybridMultilevel"/>
    <w:lvl w:ilvl="0">
      <w:lvlJc w:val="left"/>
      <w:lvlText w:val="(%1)"/>
      <w:numFmt w:val="upperLetter"/>
      <w:start w:val="1"/>
    </w:lvl>
  </w:abstractNum>
  <w:abstractNum w:abstractNumId="114">
    <w:nsid w:val="53B0A9E"/>
    <w:multiLevelType w:val="hybridMultilevel"/>
    <w:lvl w:ilvl="0">
      <w:lvlJc w:val="left"/>
      <w:lvlText w:val="(%1)"/>
      <w:numFmt w:val="upperLetter"/>
      <w:start w:val="1"/>
    </w:lvl>
  </w:abstractNum>
  <w:abstractNum w:abstractNumId="115">
    <w:nsid w:val="34FD6B4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6">
    <w:nsid w:val="5915FF32"/>
    <w:multiLevelType w:val="hybridMultilevel"/>
    <w:lvl w:ilvl="0">
      <w:lvlJc w:val="left"/>
      <w:lvlText w:val="(%1)"/>
      <w:numFmt w:val="upperLetter"/>
      <w:start w:val="6"/>
    </w:lvl>
  </w:abstractNum>
  <w:abstractNum w:abstractNumId="117">
    <w:nsid w:val="56438D15"/>
    <w:multiLevelType w:val="hybridMultilevel"/>
    <w:lvl w:ilvl="0">
      <w:lvlJc w:val="left"/>
      <w:lvlText w:val="(%1)"/>
      <w:numFmt w:val="upperLetter"/>
      <w:start w:val="1"/>
    </w:lvl>
    <w:lvl w:ilvl="1">
      <w:lvlJc w:val="left"/>
      <w:lvlText w:val="-"/>
      <w:numFmt w:val="bullet"/>
      <w:start w:val="1"/>
    </w:lvl>
  </w:abstractNum>
  <w:abstractNum w:abstractNumId="118">
    <w:nsid w:val="519E3149"/>
    <w:multiLevelType w:val="hybridMultilevel"/>
    <w:lvl w:ilvl="0">
      <w:lvlJc w:val="left"/>
      <w:lvlText w:val="(%1)"/>
      <w:numFmt w:val="upperLetter"/>
      <w:start w:val="8"/>
    </w:lvl>
  </w:abstractNum>
  <w:abstractNum w:abstractNumId="119">
    <w:nsid w:val="2C6E4AFD"/>
    <w:multiLevelType w:val="hybridMultilevel"/>
    <w:lvl w:ilvl="0">
      <w:lvlJc w:val="left"/>
      <w:lvlText w:val="(%1)"/>
      <w:numFmt w:val="upperLetter"/>
      <w:start w:val="1"/>
    </w:lvl>
    <w:lvl w:ilvl="1">
      <w:lvlJc w:val="left"/>
      <w:lvlText w:val="-"/>
      <w:numFmt w:val="bullet"/>
      <w:start w:val="1"/>
    </w:lvl>
  </w:abstractNum>
  <w:abstractNum w:abstractNumId="120">
    <w:nsid w:val="17A1B582"/>
    <w:multiLevelType w:val="hybridMultilevel"/>
    <w:lvl w:ilvl="0">
      <w:lvlJc w:val="left"/>
      <w:lvlText w:val="(%1)"/>
      <w:numFmt w:val="upperLetter"/>
      <w:start w:val="1"/>
    </w:lvl>
    <w:lvl w:ilvl="1">
      <w:lvlJc w:val="left"/>
      <w:lvlText w:val="(%2)"/>
      <w:numFmt w:val="lowerRoman"/>
      <w:start w:val="1"/>
    </w:lvl>
  </w:abstractNum>
  <w:abstractNum w:abstractNumId="121">
    <w:nsid w:val="4DF72E4E"/>
    <w:multiLevelType w:val="hybridMultilevel"/>
    <w:lvl w:ilvl="0">
      <w:lvlJc w:val="left"/>
      <w:lvlText w:val="(%1)"/>
      <w:numFmt w:val="upperLetter"/>
      <w:start w:val="1"/>
    </w:lvl>
  </w:abstractNum>
  <w:abstractNum w:abstractNumId="122">
    <w:nsid w:val="5046B5A9"/>
    <w:multiLevelType w:val="hybridMultilevel"/>
    <w:lvl w:ilvl="0">
      <w:lvlJc w:val="left"/>
      <w:lvlText w:val="(%1)"/>
      <w:numFmt w:val="upperLetter"/>
      <w:start w:val="1"/>
    </w:lvl>
    <w:lvl w:ilvl="1">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decimal"/>
      <w:start w:val="9"/>
    </w:lvl>
    <w:lvl w:ilvl="1">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2021-12-14T15:50:57Z</dcterms:created>
  <dcterms:modified xsi:type="dcterms:W3CDTF">2021-12-14T15:50:57Z</dcterms:modified>
</cp:coreProperties>
</file>