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Rawlinson Peter Dore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LCID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Chief Technology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466,751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29,692,538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7,515,168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22,177,370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 shares that have been withheld by the issuer to satisfy income tax withholding and remittance obligations in connection with the vesting of restricted stock units reported on a Form 4 filed on July 27, 2021.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 shares that have been withheld by the issuer to satisfy income tax withholding and remittance obligations in connection with the vesting of performance stock units reported on a Form 4 filed on July 27, 2021.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Peter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Rawlinson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3374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2022-03-09T20:17:59Z</dcterms:created>
  <dcterms:modified xsi:type="dcterms:W3CDTF">2022-03-09T20:17:59Z</dcterms:modified>
</cp:coreProperties>
</file>