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advertisement was posted via social media outlets on 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3126740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2614295" cy="2237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22371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373737"/>
        </w:rPr>
        <w:t>Additional Information About the Proposed Transactions and Where to Find It</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373737"/>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7"/>
          <w:szCs w:val="17"/>
          <w:color w:val="00837E"/>
        </w:rPr>
        <w:t>www.sec.gov</w:t>
      </w:r>
      <w:r>
        <w:rPr>
          <w:rFonts w:ascii="Arial" w:cs="Arial" w:eastAsia="Arial" w:hAnsi="Arial"/>
          <w:sz w:val="17"/>
          <w:szCs w:val="17"/>
          <w:color w:val="373737"/>
        </w:rPr>
        <w:t>. The documents filed by CCIV with the SEC also may be obtained free of charge at CCIV's website at: https://iv.churchillcapitalcorp.com/# or upon written request to 640 Fifth Avenue, 12th Floor New York, NY 10019.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Participants in the Solicitation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373737"/>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Forward-Looking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373737"/>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2021-07-20T15:02:31Z</dcterms:created>
  <dcterms:modified xsi:type="dcterms:W3CDTF">2021-07-20T15:02:31Z</dcterms:modified>
</cp:coreProperties>
</file>