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October 7, 2024</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Lucid Group, Inc.</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174" w:lineRule="exact"/>
        <w:rPr>
          <w:sz w:val="24"/>
          <w:szCs w:val="24"/>
          <w:color w:val="auto"/>
        </w:rPr>
      </w:pPr>
    </w:p>
    <w:tbl>
      <w:tblPr>
        <w:tblLayout w:type="fixed"/>
        <w:tblInd w:w="400" w:type="dxa"/>
        <w:tblCellMar>
          <w:top w:w="0" w:type="dxa"/>
          <w:left w:w="0" w:type="dxa"/>
          <w:bottom w:w="0" w:type="dxa"/>
          <w:right w:w="0" w:type="dxa"/>
        </w:tblCellMar>
      </w:tblPr>
      <w:tr>
        <w:trPr>
          <w:trHeight w:val="238"/>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001-39408</w:t>
            </w:r>
          </w:p>
        </w:tc>
        <w:tc>
          <w:tcPr>
            <w:tcW w:w="35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85-0891392</w:t>
            </w:r>
          </w:p>
        </w:tc>
      </w:tr>
      <w:tr>
        <w:trPr>
          <w:trHeight w:val="252"/>
        </w:trPr>
        <w:tc>
          <w:tcPr>
            <w:tcW w:w="374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3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(Commission File</w:t>
            </w:r>
          </w:p>
        </w:tc>
        <w:tc>
          <w:tcPr>
            <w:tcW w:w="35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w:t>
            </w:r>
          </w:p>
        </w:tc>
        <w:tc>
          <w:tcPr>
            <w:tcW w:w="3540" w:type="dxa"/>
            <w:vAlign w:val="bottom"/>
          </w:tcPr>
          <w:p>
            <w:pPr>
              <w:spacing w:after="0"/>
              <w:rPr>
                <w:sz w:val="20"/>
                <w:szCs w:val="20"/>
                <w:color w:val="auto"/>
              </w:rPr>
            </w:pPr>
          </w:p>
        </w:tc>
      </w:tr>
      <w:tr>
        <w:trPr>
          <w:trHeight w:val="410"/>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rPr>
              <w:t>7373 Gateway Boulevard</w:t>
            </w:r>
          </w:p>
        </w:tc>
        <w:tc>
          <w:tcPr>
            <w:tcW w:w="300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38"/>
        </w:trPr>
        <w:tc>
          <w:tcPr>
            <w:tcW w:w="374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9"/>
              </w:rPr>
              <w:t>Newark, CA</w:t>
            </w:r>
          </w:p>
        </w:tc>
        <w:tc>
          <w:tcPr>
            <w:tcW w:w="3000" w:type="dxa"/>
            <w:vAlign w:val="bottom"/>
          </w:tcPr>
          <w:p>
            <w:pPr>
              <w:spacing w:after="0"/>
              <w:rPr>
                <w:sz w:val="20"/>
                <w:szCs w:val="20"/>
                <w:color w:val="auto"/>
              </w:rPr>
            </w:pPr>
          </w:p>
        </w:tc>
        <w:tc>
          <w:tcPr>
            <w:tcW w:w="354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94560</w:t>
            </w:r>
          </w:p>
        </w:tc>
      </w:tr>
      <w:tr>
        <w:trPr>
          <w:trHeight w:val="270"/>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00" w:type="dxa"/>
            <w:vAlign w:val="bottom"/>
          </w:tcPr>
          <w:p>
            <w:pPr>
              <w:spacing w:after="0"/>
              <w:rPr>
                <w:sz w:val="23"/>
                <w:szCs w:val="23"/>
                <w:color w:val="auto"/>
              </w:rPr>
            </w:pPr>
          </w:p>
        </w:tc>
        <w:tc>
          <w:tcPr>
            <w:tcW w:w="354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648-3553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31F20"/>
        </w:rPr>
        <w:t>(Former name or former address, if changed since last report.)</w:t>
      </w:r>
    </w:p>
    <w:p>
      <w:pPr>
        <w:spacing w:after="0" w:line="126" w:lineRule="exact"/>
        <w:rPr>
          <w:sz w:val="24"/>
          <w:szCs w:val="24"/>
          <w:color w:val="auto"/>
        </w:rPr>
      </w:pPr>
    </w:p>
    <w:p>
      <w:pPr>
        <w:ind w:right="680"/>
        <w:spacing w:after="0" w:line="25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378"/>
        </w:trPr>
        <w:tc>
          <w:tcPr>
            <w:tcW w:w="340" w:type="dxa"/>
            <w:vAlign w:val="bottom"/>
          </w:tcPr>
          <w:p>
            <w:pPr>
              <w:spacing w:after="0"/>
              <w:rPr>
                <w:sz w:val="24"/>
                <w:szCs w:val="24"/>
                <w:color w:val="auto"/>
              </w:rPr>
            </w:pPr>
          </w:p>
        </w:tc>
        <w:tc>
          <w:tcPr>
            <w:tcW w:w="4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3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36"/>
        </w:trPr>
        <w:tc>
          <w:tcPr>
            <w:tcW w:w="340" w:type="dxa"/>
            <w:vAlign w:val="bottom"/>
          </w:tcPr>
          <w:p>
            <w:pPr>
              <w:spacing w:after="0"/>
              <w:rPr>
                <w:sz w:val="20"/>
                <w:szCs w:val="20"/>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LCID</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52"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231F20"/>
        </w:rPr>
        <w:t xml:space="preserve">Emerging growth company </w:t>
      </w:r>
      <w:r>
        <w:rPr>
          <w:rFonts w:ascii="MS PGothic" w:cs="MS PGothic" w:eastAsia="MS PGothic" w:hAnsi="MS PGothic"/>
          <w:sz w:val="17"/>
          <w:szCs w:val="17"/>
          <w:color w:val="000000"/>
        </w:rPr>
        <w:t>☐</w:t>
      </w:r>
    </w:p>
    <w:p>
      <w:pPr>
        <w:spacing w:after="0" w:line="156" w:lineRule="exact"/>
        <w:rPr>
          <w:sz w:val="24"/>
          <w:szCs w:val="24"/>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jc w:val="right"/>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0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On October 7, 2024, Lucid Group, Inc. issued a press release announcing its production and delivery totals for the quarter ended September 30, 2024. A copy of the press release is attached as Exhibit 99.1 to this Current Report on Form 8-K and is incorporated by reference herein.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information in this Current Report on Form 8-K and the exhibits attached hereto shall not be deemed “filed” for purposes of Section 18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314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38"/>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31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Lucid Press Release Dated October 7, 2024</w:t>
            </w:r>
          </w:p>
        </w:tc>
        <w:tc>
          <w:tcPr>
            <w:tcW w:w="6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060"/>
        </w:trPr>
        <w:tc>
          <w:tcPr>
            <w:tcW w:w="124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68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October 7, 2024</w:t>
      </w:r>
    </w:p>
    <w:p>
      <w:pPr>
        <w:spacing w:after="0" w:line="3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Lucid Group, Inc.</w:t>
      </w:r>
    </w:p>
    <w:p>
      <w:pPr>
        <w:spacing w:after="0" w:line="333" w:lineRule="exact"/>
        <w:rPr>
          <w:sz w:val="20"/>
          <w:szCs w:val="20"/>
          <w:color w:val="auto"/>
        </w:rPr>
      </w:pPr>
    </w:p>
    <w:p>
      <w:pPr>
        <w:ind w:left="5400"/>
        <w:spacing w:after="0"/>
        <w:tabs>
          <w:tab w:leader="none" w:pos="58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Gagan Dhingra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43180</wp:posOffset>
            </wp:positionV>
            <wp:extent cx="34207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0745" cy="8255"/>
                    </a:xfrm>
                    <a:prstGeom prst="rect">
                      <a:avLst/>
                    </a:prstGeom>
                    <a:noFill/>
                  </pic:spPr>
                </pic:pic>
              </a:graphicData>
            </a:graphic>
          </wp:anchor>
        </w:drawing>
      </w:r>
    </w:p>
    <w:p>
      <w:pPr>
        <w:spacing w:after="0" w:line="7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Gagan Dhingra</w:t>
      </w:r>
    </w:p>
    <w:p>
      <w:pPr>
        <w:spacing w:after="0" w:line="7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Interim Chief Financial Officer</w:t>
      </w:r>
    </w:p>
    <w:p>
      <w:pPr>
        <w:sectPr>
          <w:pgSz w:w="11900" w:h="16838" w:orient="portrait"/>
          <w:cols w:equalWidth="0" w:num="1">
            <w:col w:w="11240"/>
          </w:cols>
          <w:pgMar w:left="320" w:top="110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525905" cy="2146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525905" cy="214630"/>
                    </a:xfrm>
                    <a:prstGeom prst="rect">
                      <a:avLst/>
                    </a:prstGeom>
                    <a:noFill/>
                  </pic:spPr>
                </pic:pic>
              </a:graphicData>
            </a:graphic>
          </wp:anchor>
        </w:drawing>
        <w:t>Exhibit 99.1</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Lucid Announces Q3 Production &amp; Deliveries, Sets Date for Third Quarter 2024 Results</w:t>
      </w:r>
    </w:p>
    <w:p>
      <w:pPr>
        <w:spacing w:after="0" w:line="215"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20"/>
          <w:szCs w:val="20"/>
          <w:color w:val="auto"/>
        </w:rPr>
        <w:t>NEWARK, Calif., October 7, 2024 -- Lucid Group, Inc. (NASDAQ: LCID), maker of the world’s most advanced electric vehicles, today announced production and delivery totals for the quarter ended September 30, 2024. During this period, Lucid produced 1,805 vehicles and delivered 2,781 vehicles, of which approximately 8% were subject to operating lease accounting.</w:t>
      </w:r>
      <w:r>
        <w:rPr>
          <w:rFonts w:ascii="Times New Roman" w:cs="Times New Roman" w:eastAsia="Times New Roman" w:hAnsi="Times New Roman"/>
          <w:sz w:val="25"/>
          <w:szCs w:val="25"/>
          <w:color w:val="auto"/>
          <w:vertAlign w:val="superscript"/>
        </w:rPr>
        <w:t>1</w:t>
      </w:r>
    </w:p>
    <w:p>
      <w:pPr>
        <w:spacing w:after="0" w:line="9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20"/>
          <w:szCs w:val="20"/>
          <w:color w:val="auto"/>
        </w:rPr>
        <w:t xml:space="preserve">Lucid will host a conference call to discuss its third quarter 2024 financial results on Thursday, November 7, 2024, at 2:30 pm PT / 5:30 pm ET. Prior to the conference call, the company will issue an earnings press release with a link to the live webcast on its investor relations website, </w:t>
      </w:r>
      <w:r>
        <w:rPr>
          <w:rFonts w:ascii="Times New Roman" w:cs="Times New Roman" w:eastAsia="Times New Roman" w:hAnsi="Times New Roman"/>
          <w:sz w:val="20"/>
          <w:szCs w:val="20"/>
          <w:u w:val="single" w:color="auto"/>
          <w:color w:val="0E32E1"/>
        </w:rPr>
        <w:t>https://ir.lucidmotors.com</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20"/>
          <w:szCs w:val="20"/>
          <w:color w:val="auto"/>
        </w:rPr>
        <w:t>To enhance engagement with the company’s shareholder base and facilitate connections with its investors, Lucid is partnering with Say Technologies to allow retail and institutional shareholders to submit and upvote questions, a selection of which will be answered by Lucid management during the earnings call.</w:t>
      </w:r>
    </w:p>
    <w:p>
      <w:pPr>
        <w:spacing w:after="0" w:line="18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20"/>
          <w:szCs w:val="20"/>
          <w:color w:val="auto"/>
        </w:rPr>
        <w:t xml:space="preserve">Starting on October 24, 2024, at 2:30 pm PT / 5:30 pm ET, shareholders can submit questions by visiting: </w:t>
      </w:r>
      <w:r>
        <w:rPr>
          <w:rFonts w:ascii="Times New Roman" w:cs="Times New Roman" w:eastAsia="Times New Roman" w:hAnsi="Times New Roman"/>
          <w:sz w:val="20"/>
          <w:szCs w:val="20"/>
          <w:u w:val="single" w:color="auto"/>
          <w:color w:val="0E32E1"/>
        </w:rPr>
        <w:t>https://app.saytechnologies.com/lucid-group-2024-q3</w:t>
      </w:r>
      <w:r>
        <w:rPr>
          <w:rFonts w:ascii="Times New Roman" w:cs="Times New Roman" w:eastAsia="Times New Roman" w:hAnsi="Times New Roman"/>
          <w:sz w:val="20"/>
          <w:szCs w:val="20"/>
          <w:color w:val="000000"/>
        </w:rPr>
        <w:t>. This Q&amp;A platform will remain open until 2:30 pm PT / 5:30 pm ET on November 5,</w:t>
      </w:r>
      <w:r>
        <w:rPr>
          <w:rFonts w:ascii="Times New Roman" w:cs="Times New Roman" w:eastAsia="Times New Roman" w:hAnsi="Times New Roman"/>
          <w:sz w:val="20"/>
          <w:szCs w:val="20"/>
          <w:color w:val="0E32E1"/>
        </w:rPr>
        <w:t xml:space="preserve"> </w:t>
      </w:r>
      <w:r>
        <w:rPr>
          <w:rFonts w:ascii="Times New Roman" w:cs="Times New Roman" w:eastAsia="Times New Roman" w:hAnsi="Times New Roman"/>
          <w:sz w:val="20"/>
          <w:szCs w:val="20"/>
          <w:color w:val="000000"/>
        </w:rPr>
        <w:t xml:space="preserve">2024. Shareholders can email </w:t>
      </w:r>
      <w:r>
        <w:rPr>
          <w:rFonts w:ascii="Times New Roman" w:cs="Times New Roman" w:eastAsia="Times New Roman" w:hAnsi="Times New Roman"/>
          <w:sz w:val="20"/>
          <w:szCs w:val="20"/>
          <w:u w:val="single" w:color="auto"/>
          <w:color w:val="0E32E1"/>
        </w:rPr>
        <w:t>support@saytechnologies.com</w:t>
      </w:r>
      <w:r>
        <w:rPr>
          <w:rFonts w:ascii="Times New Roman" w:cs="Times New Roman" w:eastAsia="Times New Roman" w:hAnsi="Times New Roman"/>
          <w:sz w:val="20"/>
          <w:szCs w:val="20"/>
          <w:color w:val="000000"/>
        </w:rPr>
        <w:t xml:space="preserve"> for any support inquiries.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Earnings Call Details: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Date: </w:t>
      </w:r>
      <w:r>
        <w:rPr>
          <w:rFonts w:ascii="Times New Roman" w:cs="Times New Roman" w:eastAsia="Times New Roman" w:hAnsi="Times New Roman"/>
          <w:sz w:val="20"/>
          <w:szCs w:val="20"/>
          <w:color w:val="auto"/>
        </w:rPr>
        <w:t>Thursday, November 7,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Time: </w:t>
      </w:r>
      <w:r>
        <w:rPr>
          <w:rFonts w:ascii="Times New Roman" w:cs="Times New Roman" w:eastAsia="Times New Roman" w:hAnsi="Times New Roman"/>
          <w:sz w:val="20"/>
          <w:szCs w:val="20"/>
          <w:color w:val="auto"/>
        </w:rPr>
        <w:t>2:30 pm PT / 5:30 pm ET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Webcast: </w:t>
      </w:r>
      <w:r>
        <w:rPr>
          <w:rFonts w:ascii="Times New Roman" w:cs="Times New Roman" w:eastAsia="Times New Roman" w:hAnsi="Times New Roman"/>
          <w:sz w:val="20"/>
          <w:szCs w:val="20"/>
          <w:u w:val="single" w:color="auto"/>
          <w:color w:val="0E32E1"/>
        </w:rPr>
        <w:t>https://ir.lucidmotors.com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(live and replay)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right="260" w:firstLine="8"/>
        <w:spacing w:after="0" w:line="231" w:lineRule="auto"/>
        <w:tabs>
          <w:tab w:leader="none" w:pos="96" w:val="left"/>
        </w:tabs>
        <w:numPr>
          <w:ilvl w:val="0"/>
          <w:numId w:val="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Lucid’s net income and cash flow results will be announced along with the rest of its financial performance when Lucid announces third quarter earnings. Lucid vehicle production and delivery numbers represent only one measure of the company’s operating performance and should not be relied on as sole indicators of quarterly financial results, which depend on a variety of factors.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Lucid Group</w:t>
      </w:r>
    </w:p>
    <w:p>
      <w:pPr>
        <w:spacing w:after="0" w:line="229" w:lineRule="exact"/>
        <w:rPr>
          <w:sz w:val="20"/>
          <w:szCs w:val="20"/>
          <w:color w:val="auto"/>
        </w:rPr>
      </w:pPr>
    </w:p>
    <w:p>
      <w:pPr>
        <w:ind w:right="420"/>
        <w:spacing w:after="0" w:line="260" w:lineRule="auto"/>
        <w:rPr>
          <w:sz w:val="20"/>
          <w:szCs w:val="20"/>
          <w:color w:val="auto"/>
        </w:rPr>
      </w:pPr>
      <w:r>
        <w:rPr>
          <w:rFonts w:ascii="Times New Roman" w:cs="Times New Roman" w:eastAsia="Times New Roman" w:hAnsi="Times New Roman"/>
          <w:sz w:val="20"/>
          <w:szCs w:val="20"/>
          <w:color w:val="373737"/>
        </w:rPr>
        <w:t xml:space="preserve">Lucid (NASDAQ: </w:t>
      </w:r>
      <w:r>
        <w:rPr>
          <w:rFonts w:ascii="Times New Roman" w:cs="Times New Roman" w:eastAsia="Times New Roman" w:hAnsi="Times New Roman"/>
          <w:sz w:val="20"/>
          <w:szCs w:val="20"/>
          <w:b w:val="1"/>
          <w:bCs w:val="1"/>
          <w:color w:val="000000"/>
        </w:rPr>
        <w:t>LCID</w:t>
      </w:r>
      <w:r>
        <w:rPr>
          <w:rFonts w:ascii="Times New Roman" w:cs="Times New Roman" w:eastAsia="Times New Roman" w:hAnsi="Times New Roman"/>
          <w:sz w:val="20"/>
          <w:szCs w:val="20"/>
          <w:color w:val="373737"/>
        </w:rPr>
        <w:t>) is a Silicon Valley-based technology company focused on creating the most advanced EVs in the world. The flagship vehicle, Lucid Air, delivers best-in-class performance and efficiency starting at $69,900*. Lucid is preparing its state-of-the-art, vertically integrated factory in Arizona to begin production of the Lucid Gravity SUV. The company’s goal is to accelerate humanity’s transition to sustainable transportation and energy.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373737"/>
        </w:rPr>
        <w:t>*Excludes tax, title, license, options, destination, and documentation fees. For U.S. market only.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Relations Contact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E32E1"/>
        </w:rPr>
        <w:t>investor@lucidmotors.com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Sign up for investor email alerts: </w:t>
      </w:r>
      <w:r>
        <w:rPr>
          <w:rFonts w:ascii="Times New Roman" w:cs="Times New Roman" w:eastAsia="Times New Roman" w:hAnsi="Times New Roman"/>
          <w:sz w:val="20"/>
          <w:szCs w:val="20"/>
          <w:u w:val="single" w:color="auto"/>
          <w:color w:val="0E32E1"/>
        </w:rPr>
        <w:t>https://ir.lucidmotors.com/ir-resources/email-alerts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 Contact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E32E1"/>
        </w:rPr>
        <w:t>media@lucidmotors.com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20"/>
          </w:cols>
          <w:pgMar w:left="320" w:top="315"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color w:val="auto"/>
        </w:rPr>
        <w:t>Trademarks</w:t>
      </w:r>
    </w:p>
    <w:p>
      <w:pPr>
        <w:spacing w:after="0" w:line="233" w:lineRule="exact"/>
        <w:rPr>
          <w:sz w:val="20"/>
          <w:szCs w:val="20"/>
          <w:color w:val="auto"/>
        </w:rPr>
      </w:pPr>
    </w:p>
    <w:p>
      <w:pPr>
        <w:ind w:right="460"/>
        <w:spacing w:after="0" w:line="283" w:lineRule="auto"/>
        <w:rPr>
          <w:sz w:val="20"/>
          <w:szCs w:val="20"/>
          <w:color w:val="auto"/>
        </w:rPr>
      </w:pPr>
      <w:r>
        <w:rPr>
          <w:rFonts w:ascii="Times New Roman" w:cs="Times New Roman" w:eastAsia="Times New Roman" w:hAnsi="Times New Roman"/>
          <w:sz w:val="20"/>
          <w:szCs w:val="20"/>
          <w:color w:val="auto"/>
        </w:rPr>
        <w:t>This communication contains trademarks, service marks, trade names and copyrights of Lucid Group, Inc. and its subsidiaries and other companies, which are the property of their respective owners.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33"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9"/>
          <w:szCs w:val="19"/>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Lucid’s expectations related to production and delivery volume outlook and Lucid’s finalized production and delivery totals for the quarter ended September 30, 2024. These statements are based on various assumptions, whether or not identified in this communication, and on the current expectations of Lucid’s management. These forward-looking statements are not intended to serve as, and must not be relied on by any investor as, a guarantee, an assurance, or a definitive statement of fact or probability. Actual events and circumstances are difficult or impossible to predict and may differ from these forward-looking statements. Many actual events and circumstances are beyond the control of Lucid. These forward-looking statements are subject to a number of risks and uncertainties, including those factors discussed under the heading “Risk Factors” in Part II, Item 1A of Lucid’s Quarterly Report on Form 10-Q for the quarter ended June 30, 2024, as well as other documents Lucid has filed or will file with the Securities and Exchange Commission. If any of these risks materialize or Lucid’s assumptions prove incorrect, actual results could differ materially from the results implied by these forward-looking statements. There may be additional risks that Lucid currently does not know or that Lucid currently believes are immaterial that could also cause actual results to differ from those contained in the forward-looking statements. In addition, forward-looking statements reflect Lucid’s expectations, plans or forecasts of future events and views as of the date of this communication. Lucid anticipates that subsequent events and developments will cause Lucid’s assessments to change. However, while Lucid may elect to update these forward-looking statements at some point in the future, Lucid specifically disclaims any obligation to do so. These forward-looking statements should not be relied upon as representing Lucid’s assessments as of any date subsequent to the date of this communication. Accordingly, undue reliance should not be placed upon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w:t>
      </w:r>
    </w:p>
    <w:sectPr>
      <w:pgSz w:w="11900" w:h="16838" w:orient="portrait"/>
      <w:cols w:equalWidth="0" w:num="1">
        <w:col w:w="11220"/>
      </w:cols>
      <w:pgMar w:left="320" w:top="131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2024-10-07T08:06:42Z</dcterms:created>
  <dcterms:modified xsi:type="dcterms:W3CDTF">2024-10-07T08:06:42Z</dcterms:modified>
</cp:coreProperties>
</file>