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20, 2022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697"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8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8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001-39408</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w:t>
      </w:r>
    </w:p>
    <w:p>
      <w:pPr>
        <w:spacing w:after="0" w:line="32"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85-0891392</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 Identification No.)</w:t>
      </w:r>
    </w:p>
    <w:p>
      <w:pPr>
        <w:spacing w:after="0" w:line="404" w:lineRule="exact"/>
        <w:rPr>
          <w:sz w:val="24"/>
          <w:szCs w:val="24"/>
          <w:color w:val="auto"/>
        </w:rPr>
      </w:pPr>
    </w:p>
    <w:p>
      <w:pPr>
        <w:sectPr>
          <w:pgSz w:w="11900" w:h="16838" w:orient="portrait"/>
          <w:cols w:equalWidth="0" w:num="3">
            <w:col w:w="4320" w:space="720"/>
            <w:col w:w="2280" w:space="720"/>
            <w:col w:w="3200"/>
          </w:cols>
          <w:pgMar w:left="320" w:top="697" w:right="339" w:bottom="1440" w:gutter="0" w:footer="0" w:header="0"/>
          <w:type w:val="continuous"/>
        </w:sectPr>
      </w:pPr>
    </w:p>
    <w:p>
      <w:pPr>
        <w:jc w:val="center"/>
        <w:ind w:right="1660"/>
        <w:spacing w:after="0"/>
        <w:rPr>
          <w:sz w:val="20"/>
          <w:szCs w:val="20"/>
          <w:color w:val="auto"/>
        </w:rPr>
      </w:pPr>
      <w:r>
        <w:rPr>
          <w:rFonts w:ascii="Arial" w:cs="Arial" w:eastAsia="Arial" w:hAnsi="Arial"/>
          <w:sz w:val="18"/>
          <w:szCs w:val="18"/>
          <w:b w:val="1"/>
          <w:bCs w:val="1"/>
          <w:color w:val="auto"/>
        </w:rPr>
        <w:t>7373 Gateway Boulevard</w:t>
      </w:r>
    </w:p>
    <w:p>
      <w:pPr>
        <w:spacing w:after="0" w:line="27" w:lineRule="exact"/>
        <w:rPr>
          <w:sz w:val="24"/>
          <w:szCs w:val="24"/>
          <w:color w:val="auto"/>
        </w:rPr>
      </w:pPr>
    </w:p>
    <w:p>
      <w:pPr>
        <w:jc w:val="center"/>
        <w:ind w:right="1660"/>
        <w:spacing w:after="0"/>
        <w:rPr>
          <w:sz w:val="20"/>
          <w:szCs w:val="20"/>
          <w:color w:val="auto"/>
        </w:rPr>
      </w:pPr>
      <w:r>
        <w:rPr>
          <w:rFonts w:ascii="Arial" w:cs="Arial" w:eastAsia="Arial" w:hAnsi="Arial"/>
          <w:sz w:val="18"/>
          <w:szCs w:val="18"/>
          <w:b w:val="1"/>
          <w:bCs w:val="1"/>
          <w:color w:val="auto"/>
        </w:rPr>
        <w:t>Newark, CA</w:t>
      </w:r>
    </w:p>
    <w:p>
      <w:pPr>
        <w:spacing w:after="0" w:line="9" w:lineRule="exact"/>
        <w:rPr>
          <w:sz w:val="24"/>
          <w:szCs w:val="24"/>
          <w:color w:val="auto"/>
        </w:rPr>
      </w:pPr>
    </w:p>
    <w:p>
      <w:pPr>
        <w:jc w:val="center"/>
        <w:ind w:right="1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94560</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20" w:space="720"/>
            <w:col w:w="3200"/>
          </w:cols>
          <w:pgMar w:left="320" w:top="697" w:right="339" w:bottom="1440" w:gutter="0" w:footer="0" w:header="0"/>
          <w:type w:val="continuous"/>
        </w:sect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8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Item 1.01 – Entry into a Material Definitive Agreement</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April 20, 2022, Lucid LLC, a wholly owned subsidiary of Lucid Group, Inc. (collectively, the “Company”), entered into a binding letter of undertaking (the “Letter of Undertaking”) with the Ministry of Finance of the Kingdom of Saudi Arabia (“KSA”).</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terms of the Letter of Undertaking, the Government of KSA and its entities and corporate subsidiaries (collectively, the “Kingdom”) undertake to purchase up to 100,000 vehicles from the Company over a ten-year period, with an initial commitment to purchase 50,000 vehicles and an option to purchase up to an additional 50,000 vehicles during such ten-year period.</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purchase price is determined by the lower of (i) the standard retail price for the applicable vehicle in the KSA; and (ii) the standard retail price for the applicable vehicle in the United States, plus actual cost of logistics, importing, and other actual costs of delivering and homologating vehicles to KSA regulations. The order quantity by the Kingdom will initially range from 1,000 and 2,000 vehicles annually and increase to between 4,000 and 7,000 vehicles annually starting in 2025 unless otherwise agreed by the Kingdom and the Company. The delivery of the vehicles is required to commence no later than the second quarter of 2023. The foregoing description does not constitute a complete summary of the terms of the Letter of Undertaking and is qualified in its entirety by reference to the copy of the Letter of Undertaking, which will be filed as an exhibit to the Company’s Quarterly Report on Form 10-Q for the quarter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2022</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Sherry House</w:t>
      </w:r>
    </w:p>
    <w:p>
      <w:pPr>
        <w:spacing w:after="0" w:line="7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2022-04-26T16:03:40Z</dcterms:created>
  <dcterms:modified xsi:type="dcterms:W3CDTF">2022-04-26T16:03:40Z</dcterms:modified>
</cp:coreProperties>
</file>