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pPr>
      <w:r>
        <w:rPr>
          <w:rFonts w:ascii="Times New Roman;sans-serif" w:hAnsi="Times New Roman;sans-serif"/>
          <w:b w:val="false"/>
          <w:color w:val="000000"/>
          <w:sz w:val="20"/>
        </w:rPr>
        <w:t>Date of Report (date of earliest event reported): August 5, 2024</w:t>
      </w:r>
      <w:r>
        <w:rPr>
          <w:color w:val="000000"/>
        </w:rPr>
        <w:t xml:space="preserve"> </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5, 2024, Lucid Group, Inc. (“Lucid” or the “Company”) issued a press release announcing its results for the second quarter ended June 30, 2024.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4ex991earnings.htm">
              <w:r>
                <w:rPr>
                  <w:rStyle w:val="InternetLink"/>
                  <w:rFonts w:ascii="Times New Roman;sans-serif" w:hAnsi="Times New Roman;sans-serif"/>
                  <w:b w:val="false"/>
                  <w:color w:val="000080"/>
                  <w:sz w:val="20"/>
                  <w:u w:val="single"/>
                </w:rPr>
                <w:t xml:space="preserve">Lucid Press Release Dated </w:t>
              </w:r>
            </w:hyperlink>
            <w:hyperlink w:anchor="q2fy24ex991earnings.htm">
              <w:r>
                <w:rPr>
                  <w:rStyle w:val="InternetLink"/>
                  <w:rFonts w:ascii="Times New Roman;sans-serif" w:hAnsi="Times New Roman;sans-serif"/>
                  <w:b w:val="false"/>
                  <w:color w:val="000080"/>
                  <w:sz w:val="20"/>
                  <w:u w:val="single"/>
                </w:rPr>
                <w:t>Au</w:t>
              </w:r>
            </w:hyperlink>
            <w:hyperlink w:anchor="q2fy24ex991earnings.htm">
              <w:r>
                <w:rPr>
                  <w:rStyle w:val="InternetLink"/>
                  <w:rFonts w:ascii="Times New Roman;sans-serif" w:hAnsi="Times New Roman;sans-serif"/>
                  <w:b w:val="false"/>
                  <w:color w:val="000080"/>
                  <w:sz w:val="20"/>
                  <w:u w:val="single"/>
                </w:rPr>
                <w:t xml:space="preserve">gust </w:t>
              </w:r>
            </w:hyperlink>
            <w:hyperlink w:anchor="q2fy24ex991earnings.htm">
              <w:r>
                <w:rPr>
                  <w:rStyle w:val="InternetLink"/>
                  <w:rFonts w:ascii="Times New Roman;sans-serif" w:hAnsi="Times New Roman;sans-serif"/>
                  <w:b w:val="false"/>
                  <w:color w:val="000080"/>
                  <w:sz w:val="20"/>
                  <w:u w:val="single"/>
                </w:rPr>
                <w:t>5</w:t>
              </w:r>
            </w:hyperlink>
            <w:hyperlink w:anchor="q2fy24ex991earnings.htm">
              <w:r>
                <w:rPr>
                  <w:rStyle w:val="InternetLink"/>
                  <w:rFonts w:ascii="Times New Roman;sans-serif" w:hAnsi="Times New Roman;sans-serif"/>
                  <w:b w:val="false"/>
                  <w:color w:val="000080"/>
                  <w:sz w:val="20"/>
                  <w:u w:val="single"/>
                </w:rPr>
                <w:t>,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323" w:type="dxa"/>
        <w:jc w:val="left"/>
        <w:tblInd w:w="0" w:type="dxa"/>
        <w:tblLayout w:type="fixed"/>
        <w:tblCellMar>
          <w:top w:w="28" w:type="dxa"/>
          <w:left w:w="28" w:type="dxa"/>
          <w:bottom w:w="28" w:type="dxa"/>
          <w:right w:w="28" w:type="dxa"/>
        </w:tblCellMar>
      </w:tblPr>
      <w:tblGrid>
        <w:gridCol w:w="705"/>
        <w:gridCol w:w="619"/>
        <w:gridCol w:w="625"/>
        <w:gridCol w:w="245"/>
        <w:gridCol w:w="245"/>
        <w:gridCol w:w="245"/>
        <w:gridCol w:w="771"/>
        <w:gridCol w:w="771"/>
        <w:gridCol w:w="109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Second Quarter 2024 Financial Results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Produced 2,110 vehicles in Q2; on track for annual production of approximately 9,000 vehicles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Delivered 2,394 vehicles in Q2; up 70.5% compared to Q2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Q2 revenue of $200.6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Ended the quarter with approximately $4.28 billion of total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Separately, announced a commitment of $1.5 billion today from an affiliate of the Public Investment Fund (PIF)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NEWARK, Calif. — August 5, 2024 — Lucid Group, Inc. (NASDAQ: LCID), maker of the world’s most advanced electric vehicles, today announced financial results for its second quarter ended June 30, 2024. The earnings presentation is available on its investor relations website (https://ir.lucidmotors.com).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reported Q2 revenue of $200.6 million on deliveries of 2,394 vehicles and expects to manufacture approximately 9,000 vehicles in 2024. Lucid ended the second quarter with approximately $4.28 billion of total liquidity.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2"/>
        </w:rPr>
        <w:t xml:space="preserve">I’m very encouraged by our sales and market share momentum we’re experiencing, the benefits we’re realizing from our cost optimization programs, and the excitement that’s been building into the Lucid Gravity launch, setting a strong foundation for the rest of the year,” said Peter Rawlinson, CEO and CTO of Lucid. “The tremendous financial value potential our technology enables is now becoming better recognized, and our achievement of a landmark efficiency of 5.0 miles per kilowatt hour, ahead of where we anticipated, is a further proof point of our leadership as a technology company.”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2"/>
        </w:rPr>
        <w:t>Our Q2 financial performance reflects the positive momentum of increased sales of Lucid Air and the results of our cost reduction efforts, which contribute to the journey toward improving gross margin,” said Gagan Dhingra, Interim Chief Financial Officer and Principal Accounting Officer at Lucid. “We ended the second quarter with $4.28 billion in total liquidity and remain committed to maintaining a healthy balance sheet to execute on our strategic vision. The additional $1.5 billion commitment by an affiliate of the PIF announced today is expected to provide sufficient liquidity into at least the fourth quarter of 2025.”</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August 5, 2024.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pPr>
      <w:r>
        <w:rPr>
          <w:rFonts w:ascii="Times New Roman;sans-serif" w:hAnsi="Times New Roman;sans-serif"/>
          <w:b w:val="false"/>
          <w:color w:val="000000"/>
          <w:sz w:val="22"/>
        </w:rPr>
        <w:t xml:space="preserve">Lucid (NASDAQ: </w:t>
      </w:r>
      <w:r>
        <w:rPr>
          <w:rFonts w:ascii="Times New Roman;sans-serif" w:hAnsi="Times New Roman;sans-serif"/>
          <w:b/>
          <w:color w:val="000000"/>
          <w:sz w:val="22"/>
        </w:rPr>
        <w:t>LCID</w:t>
      </w:r>
      <w:r>
        <w:rPr>
          <w:rFonts w:ascii="Times New Roman;sans-serif" w:hAnsi="Times New Roman;sans-serif"/>
          <w:b w:val="false"/>
          <w:color w:val="000000"/>
          <w:sz w:val="22"/>
        </w:rPr>
        <w:t>) is a Silicon Valley-based technology company focused on creating the most advanced EVs in the world. The flagship vehicle, Lucid Air, delivers best-in-class performance and efficiency starting at $69,900*. Lucid is preparing its state-of-the-art, vertically integrated factory in Arizona to begin production of the Lucid Gravity SUV. The company’s goal is to accelerate humanity’s transition to sustainable transportation and energy.</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*Excludes tax, title, license, options, destination, and documentation fees. For U.S. market only.</w: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283"/>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Lucid Gravity SUV and Midsize program, production and delivery volumes, expectations regarding market opportunities and demand for Lucid’s products, the range and performance of Lucid’s vehicles, plans and expectations regarding the Lucid Gravity SUV, including performance, driving range, features, specifications, and potential impact on markets, plans and expectations regarding Lucid’s software, plans and expectations regarding Lucid’s systems approach to the design of the vehicles, estimate of Lucid’s technology lead over competitors, plans and expectations regarding Lucid’s integration with North American Charging Standard, including timing and benefits, estimate of the length of time Lucid’s existing cash, cash equivalents and investments will be sufficient to fund planned operations, plans and expectations regarding its future capital raises and funding strategy, the timing of vehicle deliveries, plans and expectations regarding future manufacturing capabilities and facilities, studio and service center openings, ability to mitigate supply chain and logistics risks, plans and expectations regarding Lucid’s AMP-1 and AMP-2 manufacturing facilities, including potential benefits, ability to vertically integrate production processes, future sales channels and strategies, future market launches and international expansion, plans and expectations regarding the purchase agreement with the government of Saudi Arabia, including the total number of vehicles that may be purchased under the agreement, expected order quantities, and the quantity and timing of vehicle deliveries, Lucid’s ability to grow its brand awareness, the potential success of Lucid’s direct-to-consumer sales strategy and future vehicle programs, potential automotive partnerships, including plans and expectations regarding Lucid’s strategic technology arrangement with Aston Martin,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risks related to changes in overall demand for Lucid’s products and services and cancellation of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Lucid’s 2024 reduction in force; risks related to potential vehicle recalls and buybacks; Lucid’s ability to establish and </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2"/>
        </w:rPr>
        <w:t>expand its brand, and capture additional market share, and the risks associated with negative press or reputational harm; Lucid’s ability to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those factors discussed under the heading “Risk Factors” in Part II, Item 1A of Lucid’s Quarterly</w:t>
      </w:r>
      <w:r>
        <w:rPr>
          <w:color w:val="000000"/>
        </w:rPr>
        <w:t xml:space="preserve"> </w:t>
      </w:r>
      <w:r>
        <w:rPr>
          <w:rFonts w:ascii="Times New Roman;sans-serif" w:hAnsi="Times New Roman;sans-serif"/>
          <w:b w:val="false"/>
          <w:color w:val="000000"/>
          <w:sz w:val="22"/>
        </w:rPr>
        <w:t>Report on Form 10-Q for the quarter ended June 30,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financial information has been presented in accordance with US GAAP (“GAAP”) as well as on a non-GAAP basis to supplement our condensed consolidated financial results. Lucid’s non-GAAP financial measures include Adjusted EBITDA, Adjusted Net Loss Attributable to Common Stockholders, Adjusted Net Loss Per Share Attributable to Common Stockholders,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attributable to common stockholders before (1) interest expense, (2) interest income, (3) provision for (benefit from) income taxes, (4) depreciation and amortization, (5) stock-based compensation, (6) restructuring charges, (7) change in fair value of common stock warrant liability, (8) change in fair value of equity securities of a related party, (9) change in fair value of derivative liability associated with Series A redeemable convertible preferred stock (related party), and (10) accretion of Series A redeemable convertible preferred stock (related party).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Net Loss Attributable to Common Stockholders is defined as net loss attributable to common stockholders excluding (1) stock-based compensation, (2) restructuring charges, (3) change in fair value of common stock warrant liability, (4) change in fair value of equity securities of a related party, (5) change in fair value of derivative liability associated with Series A redeemable convertible preferred stock (related party), and (6) accretion of Series A redeemable convertible preferred stock (related party).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defines and calculates Adjusted Net Loss Per Share Attributable to Common Stockholders as Adjusted Net Loss Attributable to Common Stockholders divided by weighted-average shares outstanding attributable to common stockholders.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believes that Adjusted Net Loss Attributable to Common Stockholders and Adjusted Net Loss Per Share Attributable to Common Stockholders financial measures provide investors with useful information to evaluate performance of its business excluding items not reflecting ongoing operating activities.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9"/>
        <w:gridCol w:w="2006"/>
        <w:gridCol w:w="1968"/>
        <w:gridCol w:w="109"/>
        <w:gridCol w:w="109"/>
        <w:gridCol w:w="109"/>
        <w:gridCol w:w="211"/>
        <w:gridCol w:w="991"/>
        <w:gridCol w:w="109"/>
        <w:gridCol w:w="109"/>
        <w:gridCol w:w="109"/>
        <w:gridCol w:w="109"/>
        <w:gridCol w:w="211"/>
        <w:gridCol w:w="991"/>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$77,808 and $35,526 from a related party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8,223,268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$79,735 and $92,258 associated with related parties as of June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(including $148,121 and $178,311 associated with related parties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associated with Series A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convertible preferred stock, par value $0.0001; 10,000,000 shares authorized as of June 30, 2024 and December 31, 2023; 100,000 and 0 shares issued and outstanding as of June 30, 2024 and December 31, 2023,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June 30, 2024 and December 31, 2023; 2,319,543,729 and 2,300,111,489 shares issued and 2,318,685,904 and 2,299,253,664 shares outstanding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June 30,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8,223,268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83"/>
        <w:gridCol w:w="906"/>
        <w:gridCol w:w="909"/>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58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(including revenue of $36,470 and $0 from a related party for the three months ended June 30, 2024 and 2023, and $87,836 and $0 for the six months ended June 30,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(benefit from)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attributable to common stockholders, basic and 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2,310,360,525 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2,306,209,050 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LUCID GROUP,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center"/>
        <w:rPr/>
      </w:pPr>
      <w:r>
        <w:rPr>
          <w:rFonts w:ascii="Times New Roman;sans-serif" w:hAnsi="Times New Roman;sans-serif"/>
          <w:b/>
          <w:color w:val="000000"/>
          <w:sz w:val="18"/>
        </w:rPr>
        <w:t>(in thousands</w:t>
      </w:r>
      <w:r>
        <w:rPr>
          <w:rFonts w:ascii="Times New Roman;sans-serif" w:hAnsi="Times New Roman;sans-serif"/>
          <w:b w:val="false"/>
          <w:color w:val="000000"/>
          <w:sz w:val="18"/>
        </w:rPr>
        <w:t>)</w:t>
      </w:r>
    </w:p>
    <w:tbl>
      <w:tblPr>
        <w:tblW w:w="10205" w:type="dxa"/>
        <w:jc w:val="center"/>
        <w:tblInd w:w="0" w:type="dxa"/>
        <w:tblLayout w:type="fixed"/>
        <w:tblCellMar>
          <w:top w:w="28" w:type="dxa"/>
          <w:left w:w="28" w:type="dxa"/>
          <w:bottom w:w="28" w:type="dxa"/>
          <w:right w:w="28" w:type="dxa"/>
        </w:tblCellMar>
      </w:tblPr>
      <w:tblGrid>
        <w:gridCol w:w="1599"/>
        <w:gridCol w:w="1170"/>
        <w:gridCol w:w="1177"/>
        <w:gridCol w:w="211"/>
        <w:gridCol w:w="976"/>
        <w:gridCol w:w="109"/>
        <w:gridCol w:w="109"/>
        <w:gridCol w:w="109"/>
        <w:gridCol w:w="109"/>
        <w:gridCol w:w="211"/>
        <w:gridCol w:w="976"/>
        <w:gridCol w:w="109"/>
        <w:gridCol w:w="109"/>
        <w:gridCol w:w="109"/>
        <w:gridCol w:w="109"/>
        <w:gridCol w:w="211"/>
        <w:gridCol w:w="999"/>
        <w:gridCol w:w="109"/>
        <w:gridCol w:w="109"/>
        <w:gridCol w:w="109"/>
        <w:gridCol w:w="109"/>
        <w:gridCol w:w="211"/>
        <w:gridCol w:w="999"/>
        <w:gridCol w:w="157"/>
      </w:tblGrid>
      <w:tr>
        <w:trPr/>
        <w:tc>
          <w:tcPr>
            <w:tcW w:w="159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insurance premium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and firm purchase commitments write-downs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accretion of investment discounts/premiums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(including $7,076 and $0 from a related party for the three months ended June 30, 2024 and 2023, and $(42,282) and $0 for the six months ended June 30, 2024 and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(1,501,622)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(including $(28,042) and $(20,497) from a related party for the three months ended June 30, 2024 and 2023, and $(34,068) and $(40,918) for the six months ended June 30, 2024 and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(2,147,253)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Underwriting Agreement, net of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2023 Subscription Agreement to a related party,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A redeemable convertible preferred stock to a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issuance costs for Series A redeemable convertible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from a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borrowings from a related party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for net settlement of employee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cash equivalents, and 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2,776,880 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EBITDA</w:t>
      </w:r>
    </w:p>
    <w:tbl>
      <w:tblPr>
        <w:tblW w:w="10205" w:type="dxa"/>
        <w:jc w:val="left"/>
        <w:tblInd w:w="0" w:type="dxa"/>
        <w:tblLayout w:type="fixed"/>
        <w:tblCellMar>
          <w:top w:w="28" w:type="dxa"/>
          <w:left w:w="28" w:type="dxa"/>
          <w:bottom w:w="28" w:type="dxa"/>
          <w:right w:w="28" w:type="dxa"/>
        </w:tblCellMar>
      </w:tblPr>
      <w:tblGrid>
        <w:gridCol w:w="1518"/>
        <w:gridCol w:w="1316"/>
        <w:gridCol w:w="1320"/>
        <w:gridCol w:w="211"/>
        <w:gridCol w:w="861"/>
        <w:gridCol w:w="109"/>
        <w:gridCol w:w="109"/>
        <w:gridCol w:w="109"/>
        <w:gridCol w:w="109"/>
        <w:gridCol w:w="211"/>
        <w:gridCol w:w="861"/>
        <w:gridCol w:w="109"/>
        <w:gridCol w:w="109"/>
        <w:gridCol w:w="109"/>
        <w:gridCol w:w="109"/>
        <w:gridCol w:w="211"/>
        <w:gridCol w:w="1011"/>
        <w:gridCol w:w="109"/>
        <w:gridCol w:w="109"/>
        <w:gridCol w:w="109"/>
        <w:gridCol w:w="109"/>
        <w:gridCol w:w="211"/>
        <w:gridCol w:w="1011"/>
        <w:gridCol w:w="155"/>
      </w:tblGrid>
      <w:tr>
        <w:trPr/>
        <w:tc>
          <w:tcPr>
            <w:tcW w:w="151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(790,251)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(1,475,011)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(1,543,760)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(647,580)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(710,342)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(1,245,968)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(1,354,240)</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511"/>
        <w:gridCol w:w="1310"/>
        <w:gridCol w:w="1314"/>
        <w:gridCol w:w="211"/>
        <w:gridCol w:w="860"/>
        <w:gridCol w:w="109"/>
        <w:gridCol w:w="115"/>
        <w:gridCol w:w="115"/>
        <w:gridCol w:w="116"/>
        <w:gridCol w:w="211"/>
        <w:gridCol w:w="860"/>
        <w:gridCol w:w="109"/>
        <w:gridCol w:w="109"/>
        <w:gridCol w:w="109"/>
        <w:gridCol w:w="109"/>
        <w:gridCol w:w="211"/>
        <w:gridCol w:w="1010"/>
        <w:gridCol w:w="109"/>
        <w:gridCol w:w="109"/>
        <w:gridCol w:w="109"/>
        <w:gridCol w:w="109"/>
        <w:gridCol w:w="211"/>
        <w:gridCol w:w="1010"/>
        <w:gridCol w:w="159"/>
      </w:tblGrid>
      <w:tr>
        <w:trPr/>
        <w:tc>
          <w:tcPr>
            <w:tcW w:w="151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(790,251)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(1,475,011)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(1,543,760)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Adjusted net loss attributable to common stockholders, basic and diluted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(665,818)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(733,457)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(1,290,102)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(1,394,425)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438"/>
        <w:gridCol w:w="948"/>
        <w:gridCol w:w="951"/>
        <w:gridCol w:w="386"/>
        <w:gridCol w:w="965"/>
        <w:gridCol w:w="109"/>
        <w:gridCol w:w="109"/>
        <w:gridCol w:w="109"/>
        <w:gridCol w:w="109"/>
        <w:gridCol w:w="386"/>
        <w:gridCol w:w="965"/>
        <w:gridCol w:w="109"/>
        <w:gridCol w:w="109"/>
        <w:gridCol w:w="109"/>
        <w:gridCol w:w="109"/>
        <w:gridCol w:w="386"/>
        <w:gridCol w:w="965"/>
        <w:gridCol w:w="109"/>
        <w:gridCol w:w="109"/>
        <w:gridCol w:w="109"/>
        <w:gridCol w:w="109"/>
        <w:gridCol w:w="386"/>
        <w:gridCol w:w="965"/>
        <w:gridCol w:w="156"/>
      </w:tblGrid>
      <w:tr>
        <w:trPr/>
        <w:tc>
          <w:tcPr>
            <w:tcW w:w="143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basic and diluted (GAAP)</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 of a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associated with Series A redeemable convertible preferred stock (related party)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Series A redeemable convertible preferred stock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Adjusted net loss per share attributable to common stockholders, basic and diluted (non-GAAP)</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(0.74)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Weighted-average shares outstanding attributable to common stockholders, basic and diluted</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2,310,360,525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1,912,459,833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2,306,209,050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1,871,884,313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050" w:type="dxa"/>
        <w:jc w:val="left"/>
        <w:tblInd w:w="0" w:type="dxa"/>
        <w:tblLayout w:type="fixed"/>
        <w:tblCellMar>
          <w:top w:w="28" w:type="dxa"/>
          <w:left w:w="28" w:type="dxa"/>
          <w:bottom w:w="28" w:type="dxa"/>
          <w:right w:w="28" w:type="dxa"/>
        </w:tblCellMar>
      </w:tblPr>
      <w:tblGrid>
        <w:gridCol w:w="1388"/>
        <w:gridCol w:w="1222"/>
        <w:gridCol w:w="1230"/>
        <w:gridCol w:w="211"/>
        <w:gridCol w:w="90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(506,987)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(700,358)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(1,023,732)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(1,501,622)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(741,302)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(904,073)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(1,456,244)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(1,947,107)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4371</Words>
  <Characters>26444</Characters>
  <CharactersWithSpaces>30347</CharactersWithSpaces>
  <Paragraphs>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