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Churchill Capital Corp IV</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2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56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0"/>
              </w:rPr>
              <w:t>(State or other</w:t>
            </w:r>
          </w:p>
        </w:tc>
        <w:tc>
          <w:tcPr>
            <w:tcW w:w="38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2560" w:type="dxa"/>
            <w:vAlign w:val="bottom"/>
          </w:tcPr>
          <w:p>
            <w:pPr>
              <w:jc w:val="center"/>
              <w:ind w:left="1130"/>
              <w:spacing w:after="0"/>
              <w:rPr>
                <w:sz w:val="20"/>
                <w:szCs w:val="20"/>
                <w:color w:val="auto"/>
              </w:rPr>
            </w:pPr>
            <w:r>
              <w:rPr>
                <w:rFonts w:ascii="Arial" w:cs="Arial" w:eastAsia="Arial" w:hAnsi="Arial"/>
                <w:sz w:val="18"/>
                <w:szCs w:val="18"/>
                <w:color w:val="auto"/>
                <w:w w:val="92"/>
              </w:rPr>
              <w:t>(I.R.S. Employer</w:t>
            </w:r>
          </w:p>
        </w:tc>
      </w:tr>
      <w:tr>
        <w:trPr>
          <w:trHeight w:val="216"/>
        </w:trPr>
        <w:tc>
          <w:tcPr>
            <w:tcW w:w="2340" w:type="dxa"/>
            <w:vAlign w:val="bottom"/>
          </w:tcPr>
          <w:p>
            <w:pPr>
              <w:jc w:val="center"/>
              <w:ind w:right="1190"/>
              <w:spacing w:after="0"/>
              <w:rPr>
                <w:sz w:val="20"/>
                <w:szCs w:val="20"/>
                <w:color w:val="auto"/>
              </w:rPr>
            </w:pPr>
            <w:r>
              <w:rPr>
                <w:rFonts w:ascii="Arial" w:cs="Arial" w:eastAsia="Arial" w:hAnsi="Arial"/>
                <w:sz w:val="18"/>
                <w:szCs w:val="18"/>
                <w:color w:val="auto"/>
                <w:w w:val="97"/>
              </w:rPr>
              <w:t>jurisdiction of</w:t>
            </w: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2560" w:type="dxa"/>
            <w:vAlign w:val="bottom"/>
          </w:tcPr>
          <w:p>
            <w:pPr>
              <w:jc w:val="center"/>
              <w:ind w:left="113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4"/>
              </w:rPr>
              <w:t>incorporation)</w:t>
            </w:r>
          </w:p>
        </w:tc>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976" w:right="499" w:bottom="887" w:gutter="0" w:footer="0" w:header="0"/>
        </w:sectPr>
      </w:pPr>
    </w:p>
    <w:p>
      <w:pPr>
        <w:spacing w:after="0" w:line="1"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976" w:right="499" w:bottom="887"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8"/>
              </w:rPr>
              <w:t>Title of each class</w:t>
            </w:r>
          </w:p>
        </w:tc>
        <w:tc>
          <w:tcPr>
            <w:tcW w:w="326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Units, each consisting of one share of Class A</w:t>
            </w:r>
          </w:p>
        </w:tc>
        <w:tc>
          <w:tcPr>
            <w:tcW w:w="620" w:type="dxa"/>
            <w:vAlign w:val="bottom"/>
          </w:tcPr>
          <w:p>
            <w:pPr>
              <w:spacing w:after="0"/>
              <w:rPr>
                <w:sz w:val="19"/>
                <w:szCs w:val="19"/>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CCIV.U</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$0.0001 par value, and one-fifth of</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8"/>
              </w:rPr>
              <w:t>one warrant</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32"/>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Shares of Class A common Stock</w:t>
            </w:r>
          </w:p>
        </w:tc>
        <w:tc>
          <w:tcPr>
            <w:tcW w:w="62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7"/>
              </w:rPr>
              <w:t>CCIV</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32"/>
        </w:trPr>
        <w:tc>
          <w:tcPr>
            <w:tcW w:w="1180" w:type="dxa"/>
            <w:vAlign w:val="bottom"/>
          </w:tcPr>
          <w:p>
            <w:pPr>
              <w:spacing w:after="0"/>
              <w:rPr>
                <w:sz w:val="24"/>
                <w:szCs w:val="24"/>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7"/>
              </w:rPr>
              <w:t>Warrants</w:t>
            </w:r>
          </w:p>
        </w:tc>
        <w:tc>
          <w:tcPr>
            <w:tcW w:w="62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6"/>
              </w:rPr>
              <w:t>CCIV WS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76" w:right="499" w:bottom="887"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9, 2021, Churchill Capital Corp IV (“CCIV”) and Atieva, Inc. d/b/a Lucid Motors (“Lucid”) issued a joint press release, which is attached as Exhibit 99.1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Litigation Reform Act of 1995. Forward-looking statements may be identified by the use of words such as “estimate,” “plan,” “project,” “forecast,”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“intend,” “will,” “expect,” “anticipate,” “believe,” “seek,” “target,” “continue,” “could,” “may,” “might,” “possible,” “potential,” “predict” 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expressions that predict or indicate future events or trends or that are not statements of historical matters. These forward-looking statements include, but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limited to, statements regarding expectations and timing related to commercial product launches, including the start of production and launch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Lucid Air and any future products, the performance, range and other features of the Lucid Air, future manufacturing capabilities and facilities,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 of Lucid’s go-to-market strategy and expectations related to the terms and timing of the proposed transactions, including the timing of Lucid’s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planned public listing. These statements are based on various assumptions, whether or not identified in this communication, and on the current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Lucid’s and CCIV’s management and are not predictions of actual performance. These forward-looking statements are provided for illustrative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and are not intended to serve as, and must not be relied on by any investor as, a guarantee, an assurance, a prediction or a definitive statement of fact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probability. Actual events and circumstances are difficult or impossible to predict and will differ from assumptions. Many actual events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circumstances are beyond the control of Lucid and CCIV. These forward-looking statements are subject to a number of risks and uncertainties,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domestic and foreign business, market, financial, political and legal conditions; the inability of the parties to successfully or timely consummate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transactions, including the risk that any required regulatory approvals are not obtained, are delayed or are subject to unanticipated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could adversely affect the combined company or the expected benefits of the proposed transactions or that the approval of the shareholders of CCIV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Lucid is not obtained; the outcome of any legal proceedings that have been or may be instituted against Lucid or CCIV following announcement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proposed transactions; failure to realize the anticipated benefits of the proposed transactions; risks related to the timing of expected business milestones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 launch, including Lucid’s ability to mass produce the Lucid Air and complete the tooling of its manufacturing facility; risks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expansion of Lucid’s manufacturing facility and the increase of Lucid’s production capacity; risks related to future market adoption of Lucid’s offerings;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competition and the pace and depth of electric vehicle adoption generally on Lucid’s future business; changes in regulatory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governmental incentives and fuel and energy prices; Lucid’s ability to rapidly innovate; Lucid’s ability to deliver Environmental Protection Agency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(“EPA”) estimated driving ranges that match or exceed its pre-production projected driving ranges; future changes to vehicle specifications which may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impact performance, pricing, and other expectations; Lucid’s ability to enter into or maintain partnerships with original equipment manufacturers, vendors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technology providers; Lucid’s ability to effectively manage its growth and recruit and retain key employees, including its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team; Lucid’s ability to establish its brand and capture additional market share, and the risks associated with negative press or reputational harm;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Lucid’s ability to manage expenses; the outcome of any potential litigation, government and regulatory proceedings, investigations and inquiries;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 of the global COVID-19 pandemic on Lucid, CCIV, the combined company’s projected results of operations, financial performance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metrics, or on any of the foregoing risks; and those factors discussed under the heading “Risk Factors” in the Registration Statement and CCIV’s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2020, as well as other documents of CCIV filed, or to be filed, with the SEC. If any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materialize or our assumptions prove incorrect, actual results could differ materially from the results implied by these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may be additional risks that neither Lucid nor CCIV presently know or that Lucid and CCIV currently believe are immaterial that could also cause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actual results to differ from those contained in the forward-looking statements. In addition, forward-looking statements reflect Lucid’s and CCIV’s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expectations, plans or forecasts of future events and views as of the date of this communication. Lucid and CCIV anticipate that subsequent events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developments will cause Lucid’s and CCIV’s assessments to change. However, while Lucid and CCIV may elect to update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at some point in the future, Lucid and CCIV specifically disclaim any obligation to do so. These forward-looking statements should not be relied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as representing Lucid’s and CCIV’s assessments as of any date subsequent to the date of this communication. Accordingly, undue reliance should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placed upon the forward-looking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7" w:lineRule="exact"/>
        <w:rPr>
          <w:sz w:val="20"/>
          <w:szCs w:val="20"/>
          <w:color w:val="auto"/>
        </w:rPr>
      </w:pPr>
    </w:p>
    <w:p>
      <w:pPr>
        <w:ind w:left="1460" w:hanging="1398"/>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is incorporated by reference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2021</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Lucid Motors and Churchill Capital Corp IV to Host Investor Call</w:t>
      </w:r>
    </w:p>
    <w:p>
      <w:pPr>
        <w:spacing w:after="0" w:line="31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NEWARK, Calif. and NEW YORK, NY — July 9,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Lucid Motors</w:t>
      </w:r>
      <w:r>
        <w:rPr>
          <w:rFonts w:ascii="Arial" w:cs="Arial" w:eastAsia="Arial" w:hAnsi="Arial"/>
          <w:sz w:val="18"/>
          <w:szCs w:val="18"/>
          <w:b w:val="1"/>
          <w:bCs w:val="1"/>
          <w:color w:val="auto"/>
        </w:rPr>
        <w:t xml:space="preserve"> </w:t>
      </w:r>
      <w:r>
        <w:rPr>
          <w:rFonts w:ascii="Arial" w:cs="Arial" w:eastAsia="Arial" w:hAnsi="Arial"/>
          <w:sz w:val="18"/>
          <w:szCs w:val="18"/>
          <w:color w:val="auto"/>
        </w:rPr>
        <w:t>(“Lucid”), which is setting new standards for sustainable mobility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luxury EVs, and Churchill Capital Corp IV (NYSE: CCIV), a special purpose acquisition company, announced today that Lucid’s management team will host an investor call on Tuesday, July 13, 2021 at 1:30 pm PT / 4:30 pm ET.</w:t>
      </w:r>
    </w:p>
    <w:p>
      <w:pPr>
        <w:spacing w:after="0" w:line="18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Peter Rawlinson, CEO and CTO of Lucid, and Sherry House, CFO of Lucid, will provide a business update together with an overview of the company. The live call will be presentation only, and there will be no question and answer session. Lucid and CCIV encourage all CCIV shareholders to participate in the investor call ahead of the CCIV shareholder meeting on July 22, 2021.</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Parties in the United States can access the call by dialing </w:t>
      </w:r>
      <w:r>
        <w:rPr>
          <w:rFonts w:ascii="Arial" w:cs="Arial" w:eastAsia="Arial" w:hAnsi="Arial"/>
          <w:sz w:val="18"/>
          <w:szCs w:val="18"/>
          <w:u w:val="single" w:color="auto"/>
          <w:color w:val="auto"/>
        </w:rPr>
        <w:t>+1-833-470-1428</w:t>
      </w:r>
      <w:r>
        <w:rPr>
          <w:rFonts w:ascii="Arial" w:cs="Arial" w:eastAsia="Arial" w:hAnsi="Arial"/>
          <w:sz w:val="18"/>
          <w:szCs w:val="18"/>
          <w:color w:val="auto"/>
        </w:rPr>
        <w:t xml:space="preserve">, using conference code </w:t>
      </w:r>
      <w:r>
        <w:rPr>
          <w:rFonts w:ascii="Arial" w:cs="Arial" w:eastAsia="Arial" w:hAnsi="Arial"/>
          <w:sz w:val="18"/>
          <w:szCs w:val="18"/>
          <w:u w:val="single" w:color="auto"/>
          <w:color w:val="auto"/>
        </w:rPr>
        <w:t>731 370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International parties can access the call by dialing </w:t>
      </w:r>
      <w:r>
        <w:rPr>
          <w:rFonts w:ascii="Arial" w:cs="Arial" w:eastAsia="Arial" w:hAnsi="Arial"/>
          <w:sz w:val="18"/>
          <w:szCs w:val="18"/>
          <w:u w:val="single" w:color="auto"/>
          <w:color w:val="auto"/>
        </w:rPr>
        <w:t>+1-404-975-4839</w:t>
      </w:r>
      <w:r>
        <w:rPr>
          <w:rFonts w:ascii="Arial" w:cs="Arial" w:eastAsia="Arial" w:hAnsi="Arial"/>
          <w:sz w:val="18"/>
          <w:szCs w:val="18"/>
          <w:color w:val="auto"/>
        </w:rPr>
        <w:t xml:space="preserve">, using conference code </w:t>
      </w:r>
      <w:r>
        <w:rPr>
          <w:rFonts w:ascii="Arial" w:cs="Arial" w:eastAsia="Arial" w:hAnsi="Arial"/>
          <w:sz w:val="18"/>
          <w:szCs w:val="18"/>
          <w:u w:val="single" w:color="auto"/>
          <w:color w:val="auto"/>
        </w:rPr>
        <w:t>731 370</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www.sec.gov. The documents filed by CCIV with the SEC also may be obtained free of charge at CCIV’s website at: https://iv.churchillcapitalcorp.com/# or upon written request to 640 Fifth Avenue, 12th Floor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2021-07-09T07:52:11Z</dcterms:created>
  <dcterms:modified xsi:type="dcterms:W3CDTF">2021-07-09T07:52:11Z</dcterms:modified>
</cp:coreProperties>
</file>