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23,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18"/>
                <w:szCs w:val="18"/>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24, 2024,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a restructuring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intended to optimize the Company’s operating expenses in response to evolving business needs and productivity improvements through a reduction of the Company’s current employee workforce by approximately 400 employees, or approximately 6%. The Company expects to substantially complete the Plan by the end of the third quarter of 2024, subject to local law and consultation requirements.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that it will incur a total of approximately $21 million to $25 million in charges in connection with the Plan, which consist primarily of charges related to severance payments, employee benefits, employee transition, and stock-based compensation. The Company expects that charges of approximately $19 million to $23 million will be recognized primarily in the second quarter of 2024, with the majority of such charges anticipated to be paid by the end of the third quarter of 2024. Substantially all of these charges are expected to result in cash expenditures. The charges related to stock-based compensation are not expected to be material.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of the charges and expenditures that the Company expects to incur in connection with the Plan, and the timing thereof, are subject to a number of assumptions, including local law requirements in various jurisdictions, and actual amounts may differ materially from estimates. The Company may also incur other charges or cash expenditures not currently contemplated due to unanticipated events that may occur, including in connection with the implementation of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24, 2024, Peter Rawlinson, the Company’s Chief Executive Officer and Chief Technology Officer, sent an email to the Company’s employees regarding the Plan. An excerpt of the email is attached as Exhibit 99.1 to this Current Report on Form 8-K and is incorporated by reference 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is being furnished and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shall not be deemed incorporated by reference in any filing under the Securities Act of 1933, as amended, or the Exchange Act, except as expressly set forth by specific reference in such filing.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regarding the Plan, including timing of implementation and completion, estimates of the charges and expenditures, the estimated timing of incurrence of such charges and expenditures, the Company’s business plans, expectations regarding the Company’s total addressable market, statements relating to the future development and production capacity, demand and market growth, deliveries, and timing of commercial product launches, including Lucid’s SUV and midsized programs, the Company’s intentions, beliefs or current expectations concerning, among other things, results of operations, financial condition, liquidity, capital expenditures, prospects, growth, production volumes, strategies and the markets in which the Company operates, the Company’s ability to manage costs and expenses, and the promise of the Company’s technology. These statements are based on various assumptions, whether or not identified in this report, and on the current expectations of the Company’s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the Company. These forward-looking statements are subject to a number of risks and uncertainties, including among other things, the risk that the charges and expenditures may be greater than anticipated; the risk that the Plan may adversely affect the Company’s internal programs and initiatives and the Company’s ability to recruit and retain skilled and motivated personnel; the risk that the Plan may be distracting to employees and management; the risk that the Plan may negatively impact the Company’s business operations and reputation with or ability to serve customers; the risk that the Plan may not generate their intended benefits to the extent or as quickly as anticipated; and other factors discussed under the heading “Risk Factors” in Part II, Item 1A of the Company’s Quarterly Report on Form 10-Q for the quarter ended March 31, 2024, as well as other documents the Company has filed or will file with the Securities and Exchange Commission. If any of these risks materialize or the Company’s assumptions prove incorrect, actual results could differ materially from the results implied by these forward-looking statements. There may be additional risks that the Company currently does not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report.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report.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7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7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2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Excerpt of email to Lucid employees from Peter Rawlinson dated May 24, 2024</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57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4320" w:type="dxa"/>
            <w:vAlign w:val="bottom"/>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24, 2024</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Peter Rawlinson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Lucid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Important Lucid Announcement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Today, we are announcing a reduction to our US employee and contract workforce, impacting employees at all levels, including leadership and mid-level management. The reduction in force will not impact our hourly manufacturing and logistics workforce.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Letting go of our talented team members is difficult and a decision we did not take lightly. We are thankful to everyone who has helped Lucid at every step of our journey. Accordingly, we have extended severance and health benefits to the impacted employees, and we are offering them outplacement services. Please provide empathy and support to colleagues beginning their search for new employment.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 confident Lucid will deliver the world’s best SUV and dramatically expand our total addressable market, but we aren’t generating revenue from the program yet. As always we must remain vigilant about costs. We are optimizing our resources in a way we believe will best position the company for future success and growth opportunities as we focus on achieving our ambitious goals.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appreciate that we are asking more of everyone at Lucid today. As such, we want all employees, from longstanding team members to new colleagues who will join us in the next phase of Lucid’s evolution, to focus relentlessly on the three factors that will determine our success as a business: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     Sell Lucid Air sedans: Despite slowing sales in the broader EV segment, we achieved an all-time delivery record last quarter and have seen that momentum continue into Q2. We must continue accelerating new customer acquisition and expanding awareness for our flagship vehicle.</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     Stay on track for the Gravity SUV program to start production at the end of 2024 and our midsize program in late 2026. I expect that our SUV and our midsized vehicles will be the best in their segments, and the journey to production will be thrilling.</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     Be responsible with our resources: While our funding will get us to the next phase of our business, we must continue to exercise strong cost discipline, a message reiterated in our recent earnings call.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want to stress that the future is bright at Lucid. We are making the world’s most advanced electric vehicles. Our superior technology, design, and performance continue to be embraced by consumers and awarded by industry critics. I can’t think of any other company that has gotten this far this fast, and we continue to innovate for the future.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Today’s decision is about positioning us for future growth. I’m proud of the work this team is accomplishing and am confident that we will only continue to grow stronger. I will address this topic more during a town hall meeting later this morning.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2024-05-24T06:10:17Z</dcterms:created>
  <dcterms:modified xsi:type="dcterms:W3CDTF">2024-05-24T06:10:17Z</dcterms:modified>
</cp:coreProperties>
</file>