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s telephone number, including area code: </w:t>
      </w:r>
      <w:r>
        <w:rPr>
          <w:rFonts w:ascii="Times New Roman" w:cs="Times New Roman" w:eastAsia="Times New Roman" w:hAnsi="Times New Roman"/>
          <w:sz w:val="18"/>
          <w:szCs w:val="18"/>
          <w:b w:val="1"/>
          <w:bCs w:val="1"/>
          <w:color w:val="auto"/>
        </w:rPr>
        <w:t>(510) 648-3553</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38"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6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42"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4, 2026, at the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Company’s stockholders approved the Lucid Group, Inc. Amended and Restated 2021 Stock Incentive Plan (including the Lucid Group, Inc. Amended and Restated 2021 Employee Stock Purchase Plan attached thereto)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Under the Plan as approved by the Company’s stockholders at the Annual Meeting, the number of shares of Class A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available for issuance has been increased by 23,500,000 shares effective as of the date of the Annual Meeting. A summary of the material terms of the Plan is set forth in the Company’s definitive proxy statement on Schedule 14A filed with the U.S. Securities and Exchange Commission on April 23,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which summary is incorporated by reference herein. The foregoing and the summary in the Proxy Statement are qualified in their entirety by reference to the full text of the Plan, a copy of which was previously filed as Annex A to the Proxy Statement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Securities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held its Annual Meeting on June 4, 2026. Proxies for the Annual Meeting were solicited pursuant to Regulation 14A of the Securities Exchange Act of 1934, as amended. At the close of business on April 6, 2026, the record date for the Annual Meeting, there were 330,144,675 shares of Common Stock outstanding and entitled to vote, and 100,000 shares of series A convertible preferred stock and 75,000 shares of series B convertible preferred stock outstanding and entitled to vote, which are convertible, in the aggregate, into 53,132,446 shares of Common Stock.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the following four proposals, each of which is described in more detail in the Proxy Statement. The number of votes cast with respect to each proposal was as indicated below.</w:t>
      </w:r>
    </w:p>
    <w:p>
      <w:pPr>
        <w:spacing w:after="0" w:line="158" w:lineRule="exact"/>
        <w:rPr>
          <w:sz w:val="20"/>
          <w:szCs w:val="20"/>
          <w:color w:val="auto"/>
        </w:rPr>
      </w:pPr>
    </w:p>
    <w:p>
      <w:pPr>
        <w:ind w:left="340" w:right="8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following nine nominees were elected to serve as directors until the Company’s 2027 Annual Meeting of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their successors are duly elected and qualified, subject to earlier resignation or removal, based on the following results of voting: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0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6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Turqi Alnowaiser</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255,206,437</w:t>
            </w:r>
          </w:p>
        </w:tc>
        <w:tc>
          <w:tcPr>
            <w:tcW w:w="15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6,409,224</w:t>
            </w:r>
          </w:p>
        </w:tc>
        <w:tc>
          <w:tcPr>
            <w:tcW w:w="16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42,419,586</w:t>
            </w:r>
          </w:p>
        </w:tc>
      </w:tr>
      <w:tr>
        <w:trPr>
          <w:trHeight w:val="24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Douglas Grimm</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260,283,817</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1,331,844</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42,419,586</w:t>
            </w:r>
          </w:p>
        </w:tc>
      </w:tr>
      <w:tr>
        <w:trPr>
          <w:trHeight w:val="40"/>
        </w:trPr>
        <w:tc>
          <w:tcPr>
            <w:tcW w:w="6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3"/>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Sachin Kansal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260,382,491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1,233,170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42,419,586</w:t>
            </w:r>
          </w:p>
        </w:tc>
      </w:tr>
      <w:tr>
        <w:trPr>
          <w:trHeight w:val="24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M. Lambert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260,264,427</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1,351,234</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42,419,586</w:t>
            </w:r>
          </w:p>
        </w:tc>
      </w:tr>
      <w:tr>
        <w:trPr>
          <w:trHeight w:val="40"/>
        </w:trPr>
        <w:tc>
          <w:tcPr>
            <w:tcW w:w="6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680" w:type="dxa"/>
            <w:vAlign w:val="bottom"/>
            <w:gridSpan w:val="2"/>
          </w:tcPr>
          <w:p>
            <w:pPr>
              <w:spacing w:after="0"/>
              <w:rPr>
                <w:sz w:val="3"/>
                <w:szCs w:val="3"/>
                <w:color w:val="auto"/>
              </w:rPr>
            </w:pPr>
          </w:p>
        </w:tc>
      </w:tr>
      <w:tr>
        <w:trPr>
          <w:trHeight w:val="264"/>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Liveris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259,931,381</w:t>
            </w:r>
          </w:p>
        </w:tc>
        <w:tc>
          <w:tcPr>
            <w:tcW w:w="15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1,684,280</w:t>
            </w:r>
          </w:p>
        </w:tc>
        <w:tc>
          <w:tcPr>
            <w:tcW w:w="16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42,419,586</w:t>
            </w:r>
          </w:p>
        </w:tc>
      </w:tr>
      <w:tr>
        <w:trPr>
          <w:trHeight w:val="24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Nichelle Maynard-Elliott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259,647,419</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1,968,242</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42,419,586</w:t>
            </w:r>
          </w:p>
        </w:tc>
      </w:tr>
      <w:tr>
        <w:trPr>
          <w:trHeight w:val="40"/>
        </w:trPr>
        <w:tc>
          <w:tcPr>
            <w:tcW w:w="6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680" w:type="dxa"/>
            <w:vAlign w:val="bottom"/>
            <w:gridSpan w:val="2"/>
          </w:tcPr>
          <w:p>
            <w:pPr>
              <w:spacing w:after="0"/>
              <w:rPr>
                <w:sz w:val="3"/>
                <w:szCs w:val="3"/>
                <w:color w:val="auto"/>
              </w:rPr>
            </w:pPr>
          </w:p>
        </w:tc>
      </w:tr>
      <w:tr>
        <w:trPr>
          <w:trHeight w:val="263"/>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Silvio Napoli</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260,168,978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1,446,683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42,419,586</w:t>
            </w:r>
          </w:p>
        </w:tc>
      </w:tr>
      <w:tr>
        <w:trPr>
          <w:trHeight w:val="24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Chabi Nouri</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259,828,130</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1,787,531</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42,419,586</w:t>
            </w:r>
          </w:p>
        </w:tc>
      </w:tr>
      <w:tr>
        <w:trPr>
          <w:trHeight w:val="40"/>
        </w:trPr>
        <w:tc>
          <w:tcPr>
            <w:tcW w:w="6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680" w:type="dxa"/>
            <w:vAlign w:val="bottom"/>
            <w:gridSpan w:val="2"/>
          </w:tcPr>
          <w:p>
            <w:pPr>
              <w:spacing w:after="0"/>
              <w:rPr>
                <w:sz w:val="3"/>
                <w:szCs w:val="3"/>
                <w:color w:val="auto"/>
              </w:rPr>
            </w:pPr>
          </w:p>
        </w:tc>
      </w:tr>
      <w:tr>
        <w:trPr>
          <w:trHeight w:val="24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 Winitzer</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260,142,676</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1,472,985</w:t>
            </w:r>
          </w:p>
        </w:tc>
        <w:tc>
          <w:tcPr>
            <w:tcW w:w="1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42,419,586</w:t>
            </w:r>
          </w:p>
        </w:tc>
      </w:tr>
      <w:tr>
        <w:trPr>
          <w:trHeight w:val="40"/>
        </w:trPr>
        <w:tc>
          <w:tcPr>
            <w:tcW w:w="6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bl>
    <w:p>
      <w:pPr>
        <w:spacing w:after="0" w:line="275" w:lineRule="exact"/>
        <w:rPr>
          <w:sz w:val="20"/>
          <w:szCs w:val="20"/>
          <w:color w:val="auto"/>
        </w:rPr>
      </w:pPr>
    </w:p>
    <w:p>
      <w:pPr>
        <w:ind w:left="340" w:right="40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of the Selection of the Independent Registered Public Accounting Firm. </w:t>
      </w:r>
      <w:r>
        <w:rPr>
          <w:rFonts w:ascii="Times New Roman" w:cs="Times New Roman" w:eastAsia="Times New Roman" w:hAnsi="Times New Roman"/>
          <w:sz w:val="18"/>
          <w:szCs w:val="18"/>
          <w:color w:val="auto"/>
        </w:rPr>
        <w:t>The ratification of the selection of KPMG LLP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registered public accounting firm for the Company for the fiscal year ending December 31, 2026, was ratified based on the following results of voting: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37"/>
        </w:trPr>
        <w:tc>
          <w:tcPr>
            <w:tcW w:w="26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300,971,935</w:t>
            </w:r>
          </w:p>
        </w:tc>
        <w:tc>
          <w:tcPr>
            <w:tcW w:w="80" w:type="dxa"/>
            <w:vAlign w:val="bottom"/>
            <w:shd w:val="clear" w:color="auto" w:fill="CCEEFF"/>
          </w:tcPr>
          <w:p>
            <w:pPr>
              <w:spacing w:after="0"/>
              <w:rPr>
                <w:sz w:val="20"/>
                <w:szCs w:val="20"/>
                <w:color w:val="auto"/>
              </w:rPr>
            </w:pPr>
          </w:p>
        </w:tc>
        <w:tc>
          <w:tcPr>
            <w:tcW w:w="26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1,906,185</w:t>
            </w: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1,157,127</w:t>
            </w: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40"/>
        </w:trPr>
        <w:tc>
          <w:tcPr>
            <w:tcW w:w="2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r>
    </w:tbl>
    <w:p>
      <w:pPr>
        <w:spacing w:after="0" w:line="288" w:lineRule="exact"/>
        <w:rPr>
          <w:sz w:val="20"/>
          <w:szCs w:val="20"/>
          <w:color w:val="auto"/>
        </w:rPr>
      </w:pPr>
    </w:p>
    <w:p>
      <w:pPr>
        <w:ind w:left="340" w:right="8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on an Advisory Basis, of the Compensation of Our Named Executive Officers. </w:t>
      </w:r>
      <w:r>
        <w:rPr>
          <w:rFonts w:ascii="Times New Roman" w:cs="Times New Roman" w:eastAsia="Times New Roman" w:hAnsi="Times New Roman"/>
          <w:sz w:val="18"/>
          <w:szCs w:val="18"/>
          <w:color w:val="auto"/>
        </w:rPr>
        <w:t>The results of the advisory vote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2025 executive compensation as disclosed in the Proxy Statement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57"/>
        </w:trPr>
        <w:tc>
          <w:tcPr>
            <w:tcW w:w="266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255,952,612</w:t>
            </w:r>
          </w:p>
        </w:tc>
        <w:tc>
          <w:tcPr>
            <w:tcW w:w="8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5,411,173</w:t>
            </w:r>
          </w:p>
        </w:tc>
        <w:tc>
          <w:tcPr>
            <w:tcW w:w="10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251,876</w:t>
            </w:r>
          </w:p>
        </w:tc>
        <w:tc>
          <w:tcPr>
            <w:tcW w:w="10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42,419,586</w:t>
            </w:r>
          </w:p>
        </w:tc>
        <w:tc>
          <w:tcPr>
            <w:tcW w:w="320" w:type="dxa"/>
            <w:vAlign w:val="bottom"/>
          </w:tcPr>
          <w:p>
            <w:pPr>
              <w:spacing w:after="0"/>
              <w:rPr>
                <w:sz w:val="22"/>
                <w:szCs w:val="22"/>
                <w:color w:val="auto"/>
              </w:rPr>
            </w:pPr>
          </w:p>
        </w:tc>
      </w:tr>
      <w:tr>
        <w:trPr>
          <w:trHeight w:val="1020"/>
        </w:trPr>
        <w:tc>
          <w:tcPr>
            <w:tcW w:w="2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Amendment and Restatement of the Lucid Group, Inc. Amended and Restated 2021 Stock Incentive Plan. </w:t>
      </w:r>
      <w:r>
        <w:rPr>
          <w:rFonts w:ascii="Times New Roman" w:cs="Times New Roman" w:eastAsia="Times New Roman" w:hAnsi="Times New Roman"/>
          <w:sz w:val="18"/>
          <w:szCs w:val="18"/>
          <w:color w:val="auto"/>
        </w:rPr>
        <w:t>The amendment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restatement of the Lucid Group, Inc. Amended and Restated 2021 Stock Incentive Plan was approved, based on the following results of voting: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37"/>
        </w:trPr>
        <w:tc>
          <w:tcPr>
            <w:tcW w:w="26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253,997,107</w:t>
            </w:r>
          </w:p>
        </w:tc>
        <w:tc>
          <w:tcPr>
            <w:tcW w:w="80" w:type="dxa"/>
            <w:vAlign w:val="bottom"/>
            <w:shd w:val="clear" w:color="auto" w:fill="CCEEFF"/>
          </w:tcPr>
          <w:p>
            <w:pPr>
              <w:spacing w:after="0"/>
              <w:rPr>
                <w:sz w:val="20"/>
                <w:szCs w:val="20"/>
                <w:color w:val="auto"/>
              </w:rPr>
            </w:pPr>
          </w:p>
        </w:tc>
        <w:tc>
          <w:tcPr>
            <w:tcW w:w="26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7,435,259</w:t>
            </w: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183,295</w:t>
            </w: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42,419,586</w:t>
            </w:r>
          </w:p>
        </w:tc>
      </w:tr>
      <w:tr>
        <w:trPr>
          <w:trHeight w:val="41"/>
        </w:trPr>
        <w:tc>
          <w:tcPr>
            <w:tcW w:w="2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64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4"/>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Lucid Group, Inc. Amended and Restated 2021 Stock Incentive Plan (including the Lucid Group, Inc. Amended and Restated 2021</w:t>
              </w:r>
            </w:hyperlink>
          </w:p>
        </w:tc>
      </w:tr>
      <w:tr>
        <w:trPr>
          <w:trHeight w:val="20"/>
        </w:trPr>
        <w:tc>
          <w:tcPr>
            <w:tcW w:w="1240" w:type="dxa"/>
            <w:vAlign w:val="bottom"/>
          </w:tcPr>
          <w:p>
            <w:pPr>
              <w:spacing w:after="0" w:line="20" w:lineRule="exact"/>
              <w:rPr>
                <w:sz w:val="1"/>
                <w:szCs w:val="1"/>
                <w:color w:val="auto"/>
              </w:rPr>
            </w:pPr>
          </w:p>
        </w:tc>
        <w:tc>
          <w:tcPr>
            <w:tcW w:w="640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10000" w:type="dxa"/>
            <w:vAlign w:val="bottom"/>
            <w:gridSpan w:val="4"/>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Employee Stock Purchase Plan, attached thereto) (previously filed as Annex A to the Registrant’s Definitive Proxy Statement on Schedule</w:t>
              </w:r>
            </w:hyperlink>
          </w:p>
        </w:tc>
      </w:tr>
      <w:tr>
        <w:trPr>
          <w:trHeight w:val="209"/>
        </w:trPr>
        <w:tc>
          <w:tcPr>
            <w:tcW w:w="1240" w:type="dxa"/>
            <w:vAlign w:val="bottom"/>
          </w:tcPr>
          <w:p>
            <w:pPr>
              <w:spacing w:after="0"/>
              <w:rPr>
                <w:sz w:val="18"/>
                <w:szCs w:val="18"/>
                <w:color w:val="auto"/>
              </w:rPr>
            </w:pPr>
          </w:p>
        </w:tc>
        <w:tc>
          <w:tcPr>
            <w:tcW w:w="640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14A filed with the Commission on April 23, 2026 and incorporated herein by reference).</w:t>
              </w:r>
            </w:hyperlink>
          </w:p>
        </w:tc>
        <w:tc>
          <w:tcPr>
            <w:tcW w:w="3560" w:type="dxa"/>
            <w:vAlign w:val="bottom"/>
            <w:tcBorders>
              <w:top w:val="single" w:sz="8" w:color="0000FF"/>
            </w:tcBorders>
            <w:gridSpan w:val="2"/>
          </w:tcPr>
          <w:p>
            <w:pPr>
              <w:spacing w:after="0"/>
              <w:rPr>
                <w:sz w:val="18"/>
                <w:szCs w:val="18"/>
                <w:color w:val="auto"/>
              </w:rPr>
            </w:pPr>
          </w:p>
        </w:tc>
        <w:tc>
          <w:tcPr>
            <w:tcW w:w="40" w:type="dxa"/>
            <w:vAlign w:val="bottom"/>
          </w:tcPr>
          <w:p>
            <w:pPr>
              <w:spacing w:after="0"/>
              <w:rPr>
                <w:sz w:val="18"/>
                <w:szCs w:val="18"/>
                <w:color w:val="auto"/>
              </w:rPr>
            </w:pPr>
          </w:p>
        </w:tc>
      </w:tr>
      <w:tr>
        <w:trPr>
          <w:trHeight w:val="29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60"/>
        </w:trPr>
        <w:tc>
          <w:tcPr>
            <w:tcW w:w="124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June 5, 2026</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s://www.sec.gov/ix?doc=/Archives/edgar/data/0001811210/000162828026026842/lcid-20260423.htm#i8e46ffef7ba64d5685b12ae81aaaa434_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2026-06-05T15:20:51Z</dcterms:created>
  <dcterms:modified xsi:type="dcterms:W3CDTF">2026-06-05T15:20:51Z</dcterms:modified>
</cp:coreProperties>
</file>