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256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2564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House Sherry Ann</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780" w:type="dxa"/>
            <w:vAlign w:val="bottom"/>
            <w:tcBorders>
              <w:top w:val="single" w:sz="8" w:color="0000EE"/>
              <w:bottom w:val="single" w:sz="8" w:color="9A9A9A"/>
            </w:tcBorders>
          </w:tcPr>
          <w:p>
            <w:pPr>
              <w:spacing w:after="0"/>
              <w:rPr>
                <w:sz w:val="17"/>
                <w:szCs w:val="17"/>
                <w:color w:val="auto"/>
              </w:rPr>
            </w:pPr>
          </w:p>
        </w:tc>
        <w:tc>
          <w:tcPr>
            <w:tcW w:w="100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07/23/2021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Lucid Group,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LCID</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42"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C/O LUCID GROUP, INC.</w:t>
      </w:r>
    </w:p>
    <w:p>
      <w:pPr>
        <w:spacing w:after="0" w:line="70"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7373 GATEWAY BLVD,</w:t>
      </w:r>
    </w:p>
    <w:p>
      <w:pPr>
        <w:spacing w:after="0" w:line="334"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700" w:type="dxa"/>
            <w:vAlign w:val="bottom"/>
          </w:tcPr>
          <w:p>
            <w:pPr>
              <w:spacing w:after="0"/>
              <w:rPr>
                <w:sz w:val="20"/>
                <w:szCs w:val="20"/>
                <w:color w:val="auto"/>
              </w:rPr>
            </w:pPr>
            <w:r>
              <w:rPr>
                <w:rFonts w:ascii="Arial" w:cs="Arial" w:eastAsia="Arial" w:hAnsi="Arial"/>
                <w:sz w:val="15"/>
                <w:szCs w:val="15"/>
                <w:color w:val="auto"/>
              </w:rPr>
              <w:t>(Street)</w:t>
            </w:r>
          </w:p>
        </w:tc>
        <w:tc>
          <w:tcPr>
            <w:tcW w:w="880" w:type="dxa"/>
            <w:vAlign w:val="bottom"/>
          </w:tcPr>
          <w:p>
            <w:pPr>
              <w:spacing w:after="0"/>
              <w:rPr>
                <w:sz w:val="15"/>
                <w:szCs w:val="15"/>
                <w:color w:val="auto"/>
              </w:rPr>
            </w:pPr>
          </w:p>
        </w:tc>
      </w:tr>
      <w:tr>
        <w:trPr>
          <w:trHeight w:val="269"/>
        </w:trPr>
        <w:tc>
          <w:tcPr>
            <w:tcW w:w="1700" w:type="dxa"/>
            <w:vAlign w:val="bottom"/>
          </w:tcPr>
          <w:p>
            <w:pPr>
              <w:ind w:left="40"/>
              <w:spacing w:after="0"/>
              <w:rPr>
                <w:sz w:val="20"/>
                <w:szCs w:val="20"/>
                <w:color w:val="auto"/>
              </w:rPr>
            </w:pPr>
            <w:r>
              <w:rPr>
                <w:rFonts w:ascii="Arial" w:cs="Arial" w:eastAsia="Arial" w:hAnsi="Arial"/>
                <w:sz w:val="20"/>
                <w:szCs w:val="20"/>
                <w:color w:val="0000FF"/>
              </w:rPr>
              <w:t>NEWARK  CA</w:t>
            </w:r>
          </w:p>
        </w:tc>
        <w:tc>
          <w:tcPr>
            <w:tcW w:w="880" w:type="dxa"/>
            <w:vAlign w:val="bottom"/>
          </w:tcPr>
          <w:p>
            <w:pPr>
              <w:jc w:val="right"/>
              <w:spacing w:after="0"/>
              <w:rPr>
                <w:sz w:val="20"/>
                <w:szCs w:val="20"/>
                <w:color w:val="auto"/>
              </w:rPr>
            </w:pPr>
            <w:r>
              <w:rPr>
                <w:rFonts w:ascii="Arial" w:cs="Arial" w:eastAsia="Arial" w:hAnsi="Arial"/>
                <w:sz w:val="20"/>
                <w:szCs w:val="20"/>
                <w:color w:val="0000FF"/>
              </w:rPr>
              <w:t>94560</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tbl>
      <w:tblPr>
        <w:tblLayout w:type="fixed"/>
        <w:tblInd w:w="18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1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643"/>
        <w:spacing w:after="0"/>
        <w:rPr>
          <w:sz w:val="20"/>
          <w:szCs w:val="20"/>
          <w:color w:val="auto"/>
        </w:rPr>
      </w:pPr>
      <w:r>
        <w:rPr>
          <w:rFonts w:ascii="Arial" w:cs="Arial" w:eastAsia="Arial" w:hAnsi="Arial"/>
          <w:sz w:val="20"/>
          <w:szCs w:val="20"/>
          <w:color w:val="0000FF"/>
        </w:rPr>
        <w:t>Chief Financial Officer</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7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24 - Power of Attorney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92" w:lineRule="exact"/>
        <w:rPr>
          <w:sz w:val="24"/>
          <w:szCs w:val="24"/>
          <w:color w:val="auto"/>
        </w:rPr>
      </w:pPr>
    </w:p>
    <w:p>
      <w:pPr>
        <w:ind w:left="6580"/>
        <w:spacing w:after="0"/>
        <w:rPr>
          <w:sz w:val="20"/>
          <w:szCs w:val="20"/>
          <w:color w:val="auto"/>
        </w:rPr>
      </w:pPr>
      <w:r>
        <w:rPr>
          <w:rFonts w:ascii="Arial" w:cs="Arial" w:eastAsia="Arial" w:hAnsi="Arial"/>
          <w:sz w:val="20"/>
          <w:szCs w:val="20"/>
          <w:color w:val="0000FF"/>
        </w:rPr>
        <w:t>/s/ Jonathan Butler,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-15240</wp:posOffset>
            </wp:positionV>
            <wp:extent cx="1089025"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089025" cy="952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20"/>
          <w:szCs w:val="20"/>
          <w:color w:val="0000FF"/>
        </w:rPr>
        <w:t>attorney-in-fact for Sherry  07/27/2021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19558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955800" cy="952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20"/>
          <w:szCs w:val="20"/>
          <w:color w:val="0000FF"/>
        </w:rPr>
        <w:t>House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31623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316230" cy="9525"/>
                    </a:xfrm>
                    <a:prstGeom prst="rect">
                      <a:avLst/>
                    </a:prstGeom>
                    <a:noFill/>
                  </pic:spPr>
                </pic:pic>
              </a:graphicData>
            </a:graphic>
          </wp:anchor>
        </w:drawing>
      </w:r>
    </w:p>
    <w:p>
      <w:pPr>
        <w:spacing w:after="0" w:line="44"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4"/>
          <w:szCs w:val="24"/>
          <w:b w:val="1"/>
          <w:bCs w:val="1"/>
          <w:color w:val="auto"/>
        </w:rPr>
        <w:t>Exhibit 24</w:t>
      </w:r>
    </w:p>
    <w:p>
      <w:pPr>
        <w:spacing w:after="0" w:line="274" w:lineRule="exact"/>
        <w:rPr>
          <w:sz w:val="20"/>
          <w:szCs w:val="20"/>
          <w:color w:val="auto"/>
        </w:rPr>
      </w:pPr>
    </w:p>
    <w:p>
      <w:pPr>
        <w:ind w:left="4700"/>
        <w:spacing w:after="0"/>
        <w:rPr>
          <w:sz w:val="20"/>
          <w:szCs w:val="20"/>
          <w:color w:val="auto"/>
        </w:rPr>
      </w:pPr>
      <w:r>
        <w:rPr>
          <w:rFonts w:ascii="Arial" w:cs="Arial" w:eastAsia="Arial" w:hAnsi="Arial"/>
          <w:sz w:val="20"/>
          <w:szCs w:val="20"/>
          <w:b w:val="1"/>
          <w:bCs w:val="1"/>
          <w:color w:val="auto"/>
        </w:rPr>
        <w:t>POWER OF ATTORNEY</w:t>
      </w:r>
    </w:p>
    <w:p>
      <w:pPr>
        <w:spacing w:after="0" w:line="254" w:lineRule="exact"/>
        <w:rPr>
          <w:sz w:val="20"/>
          <w:szCs w:val="20"/>
          <w:color w:val="auto"/>
        </w:rPr>
      </w:pPr>
    </w:p>
    <w:p>
      <w:pPr>
        <w:spacing w:after="0" w:line="277" w:lineRule="auto"/>
        <w:rPr>
          <w:sz w:val="20"/>
          <w:szCs w:val="20"/>
          <w:color w:val="auto"/>
        </w:rPr>
      </w:pPr>
      <w:r>
        <w:rPr>
          <w:rFonts w:ascii="Arial" w:cs="Arial" w:eastAsia="Arial" w:hAnsi="Arial"/>
          <w:sz w:val="20"/>
          <w:szCs w:val="20"/>
          <w:color w:val="auto"/>
        </w:rPr>
        <w:t>Know all by these presents, that the undersigned hereby constitutes and appoints each of Jonathan Butler and Ben Uy as the undersigned’s true and lawful attorneys-in-fact to:</w:t>
      </w:r>
    </w:p>
    <w:p>
      <w:pPr>
        <w:spacing w:after="0" w:line="189" w:lineRule="exact"/>
        <w:rPr>
          <w:sz w:val="20"/>
          <w:szCs w:val="20"/>
          <w:color w:val="auto"/>
        </w:rPr>
      </w:pPr>
    </w:p>
    <w:p>
      <w:pPr>
        <w:jc w:val="both"/>
        <w:spacing w:after="0" w:line="284" w:lineRule="auto"/>
        <w:tabs>
          <w:tab w:leader="none" w:pos="309" w:val="left"/>
        </w:tabs>
        <w:numPr>
          <w:ilvl w:val="0"/>
          <w:numId w:val="5"/>
        </w:numPr>
        <w:rPr>
          <w:rFonts w:ascii="Arial" w:cs="Arial" w:eastAsia="Arial" w:hAnsi="Arial"/>
          <w:sz w:val="19"/>
          <w:szCs w:val="19"/>
          <w:color w:val="auto"/>
        </w:rPr>
      </w:pPr>
      <w:r>
        <w:rPr>
          <w:rFonts w:ascii="Arial" w:cs="Arial" w:eastAsia="Arial" w:hAnsi="Arial"/>
          <w:sz w:val="19"/>
          <w:szCs w:val="19"/>
          <w:color w:val="auto"/>
        </w:rPr>
        <w:t>execute for and on behalf of the undersigned, in the undersigned’s capacity as a reporting person pursuant to Section 16 of the Securities Exchange Act of 1934, as amended (the “</w:t>
      </w:r>
      <w:r>
        <w:rPr>
          <w:rFonts w:ascii="Arial" w:cs="Arial" w:eastAsia="Arial" w:hAnsi="Arial"/>
          <w:sz w:val="19"/>
          <w:szCs w:val="19"/>
          <w:b w:val="1"/>
          <w:bCs w:val="1"/>
          <w:color w:val="auto"/>
        </w:rPr>
        <w:t>Exchange Act</w:t>
      </w:r>
      <w:r>
        <w:rPr>
          <w:rFonts w:ascii="Arial" w:cs="Arial" w:eastAsia="Arial" w:hAnsi="Arial"/>
          <w:sz w:val="19"/>
          <w:szCs w:val="19"/>
          <w:color w:val="auto"/>
        </w:rPr>
        <w:t>”), and the rules thereunder of Lucid Group, Inc. (the “</w:t>
      </w:r>
      <w:r>
        <w:rPr>
          <w:rFonts w:ascii="Arial" w:cs="Arial" w:eastAsia="Arial" w:hAnsi="Arial"/>
          <w:sz w:val="19"/>
          <w:szCs w:val="19"/>
          <w:b w:val="1"/>
          <w:bCs w:val="1"/>
          <w:color w:val="auto"/>
        </w:rPr>
        <w:t>Company</w:t>
      </w:r>
      <w:r>
        <w:rPr>
          <w:rFonts w:ascii="Arial" w:cs="Arial" w:eastAsia="Arial" w:hAnsi="Arial"/>
          <w:sz w:val="19"/>
          <w:szCs w:val="19"/>
          <w:color w:val="auto"/>
        </w:rPr>
        <w:t>”), Forms 3, 4 and 5, including any amendments thereto, in accordance with Section 16(a) of the Exchange Act;</w:t>
      </w:r>
    </w:p>
    <w:p>
      <w:pPr>
        <w:spacing w:after="0" w:line="184" w:lineRule="exact"/>
        <w:rPr>
          <w:rFonts w:ascii="Arial" w:cs="Arial" w:eastAsia="Arial" w:hAnsi="Arial"/>
          <w:sz w:val="19"/>
          <w:szCs w:val="19"/>
          <w:color w:val="auto"/>
        </w:rPr>
      </w:pPr>
    </w:p>
    <w:p>
      <w:pPr>
        <w:jc w:val="both"/>
        <w:spacing w:after="0" w:line="284" w:lineRule="auto"/>
        <w:tabs>
          <w:tab w:leader="none" w:pos="291" w:val="left"/>
        </w:tabs>
        <w:numPr>
          <w:ilvl w:val="0"/>
          <w:numId w:val="5"/>
        </w:numPr>
        <w:rPr>
          <w:rFonts w:ascii="Arial" w:cs="Arial" w:eastAsia="Arial" w:hAnsi="Arial"/>
          <w:sz w:val="19"/>
          <w:szCs w:val="19"/>
          <w:color w:val="auto"/>
        </w:rPr>
      </w:pPr>
      <w:r>
        <w:rPr>
          <w:rFonts w:ascii="Arial" w:cs="Arial" w:eastAsia="Arial" w:hAnsi="Arial"/>
          <w:sz w:val="19"/>
          <w:szCs w:val="19"/>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the applicable stock exchange or similar authority; and</w:t>
      </w:r>
    </w:p>
    <w:p>
      <w:pPr>
        <w:spacing w:after="0" w:line="184" w:lineRule="exact"/>
        <w:rPr>
          <w:rFonts w:ascii="Arial" w:cs="Arial" w:eastAsia="Arial" w:hAnsi="Arial"/>
          <w:sz w:val="19"/>
          <w:szCs w:val="19"/>
          <w:color w:val="auto"/>
        </w:rPr>
      </w:pPr>
    </w:p>
    <w:p>
      <w:pPr>
        <w:jc w:val="both"/>
        <w:spacing w:after="0" w:line="297" w:lineRule="auto"/>
        <w:tabs>
          <w:tab w:leader="none" w:pos="285" w:val="left"/>
        </w:tabs>
        <w:numPr>
          <w:ilvl w:val="0"/>
          <w:numId w:val="5"/>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any of such attorneys-in-fact, may be of benefit to, in the best interest of, or legally required by, the undersigned, it being understood that the documents executed by any of such attorneys-in-fact on behalf of the undersigned pursuant to this Power of Attorney shall be in such form and shall contain such terms and conditions as any of such attorneys-in-fact may approve in the discretion of any of such attorneys-in-fact.</w:t>
      </w:r>
    </w:p>
    <w:p>
      <w:pPr>
        <w:spacing w:after="0" w:line="17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undersigned hereby grants to each such attorney-in-fact full power and authority to act separately and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5" w:lineRule="exact"/>
        <w:rPr>
          <w:sz w:val="20"/>
          <w:szCs w:val="20"/>
          <w:color w:val="auto"/>
        </w:rPr>
      </w:pPr>
    </w:p>
    <w:p>
      <w:pPr>
        <w:spacing w:after="0"/>
        <w:rPr>
          <w:sz w:val="20"/>
          <w:szCs w:val="20"/>
          <w:color w:val="auto"/>
        </w:rPr>
      </w:pPr>
      <w:r>
        <w:rPr>
          <w:rFonts w:ascii="Arial" w:cs="Arial" w:eastAsia="Arial" w:hAnsi="Arial"/>
          <w:sz w:val="19"/>
          <w:szCs w:val="19"/>
          <w:color w:val="auto"/>
        </w:rPr>
        <w:t>IN WITNESS WHEREOF, the undersigned has caused this Power of Attorney to be executed as of this 12</w:t>
      </w:r>
      <w:r>
        <w:rPr>
          <w:rFonts w:ascii="Arial" w:cs="Arial" w:eastAsia="Arial" w:hAnsi="Arial"/>
          <w:sz w:val="31"/>
          <w:szCs w:val="31"/>
          <w:color w:val="auto"/>
          <w:vertAlign w:val="superscript"/>
        </w:rPr>
        <w:t>th</w:t>
      </w:r>
      <w:r>
        <w:rPr>
          <w:rFonts w:ascii="Arial" w:cs="Arial" w:eastAsia="Arial" w:hAnsi="Arial"/>
          <w:sz w:val="19"/>
          <w:szCs w:val="19"/>
          <w:color w:val="auto"/>
        </w:rPr>
        <w:t xml:space="preserve"> day of July, 2021.</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760" w:type="dxa"/>
            <w:vAlign w:val="bottom"/>
          </w:tcPr>
          <w:p>
            <w:pPr>
              <w:spacing w:after="0"/>
              <w:rPr>
                <w:sz w:val="20"/>
                <w:szCs w:val="20"/>
                <w:color w:val="auto"/>
              </w:rPr>
            </w:pPr>
            <w:r>
              <w:rPr>
                <w:rFonts w:ascii="Arial" w:cs="Arial" w:eastAsia="Arial" w:hAnsi="Arial"/>
                <w:sz w:val="20"/>
                <w:szCs w:val="20"/>
                <w:color w:val="auto"/>
              </w:rPr>
              <w:t>Signature:</w:t>
            </w:r>
          </w:p>
        </w:tc>
        <w:tc>
          <w:tcPr>
            <w:tcW w:w="918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Sherry House</w:t>
            </w:r>
          </w:p>
        </w:tc>
      </w:tr>
      <w:tr>
        <w:trPr>
          <w:trHeight w:val="251"/>
        </w:trPr>
        <w:tc>
          <w:tcPr>
            <w:tcW w:w="1760" w:type="dxa"/>
            <w:vAlign w:val="bottom"/>
          </w:tcPr>
          <w:p>
            <w:pPr>
              <w:spacing w:after="0"/>
              <w:rPr>
                <w:sz w:val="20"/>
                <w:szCs w:val="20"/>
                <w:color w:val="auto"/>
              </w:rPr>
            </w:pPr>
            <w:r>
              <w:rPr>
                <w:rFonts w:ascii="Arial" w:cs="Arial" w:eastAsia="Arial" w:hAnsi="Arial"/>
                <w:sz w:val="20"/>
                <w:szCs w:val="20"/>
                <w:color w:val="auto"/>
              </w:rPr>
              <w:t>Name:</w:t>
            </w:r>
          </w:p>
        </w:tc>
        <w:tc>
          <w:tcPr>
            <w:tcW w:w="9180" w:type="dxa"/>
            <w:vAlign w:val="bottom"/>
          </w:tcPr>
          <w:p>
            <w:pPr>
              <w:spacing w:after="0"/>
              <w:rPr>
                <w:sz w:val="20"/>
                <w:szCs w:val="20"/>
                <w:color w:val="auto"/>
              </w:rPr>
            </w:pPr>
            <w:r>
              <w:rPr>
                <w:rFonts w:ascii="Arial" w:cs="Arial" w:eastAsia="Arial" w:hAnsi="Arial"/>
                <w:sz w:val="20"/>
                <w:szCs w:val="20"/>
                <w:color w:val="auto"/>
              </w:rPr>
              <w:t>Sherry House</w:t>
            </w:r>
          </w:p>
        </w:tc>
      </w:tr>
      <w:tr>
        <w:trPr>
          <w:trHeight w:val="314"/>
        </w:trPr>
        <w:tc>
          <w:tcPr>
            <w:tcW w:w="1760" w:type="dxa"/>
            <w:vAlign w:val="bottom"/>
            <w:tcBorders>
              <w:bottom w:val="single" w:sz="8" w:color="auto"/>
            </w:tcBorders>
          </w:tcPr>
          <w:p>
            <w:pPr>
              <w:spacing w:after="0"/>
              <w:rPr>
                <w:sz w:val="24"/>
                <w:szCs w:val="24"/>
                <w:color w:val="auto"/>
              </w:rPr>
            </w:pPr>
          </w:p>
        </w:tc>
        <w:tc>
          <w:tcPr>
            <w:tcW w:w="91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0940"/>
      </w:cols>
      <w:pgMar w:left="480" w:top="11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1872887" TargetMode="External"/><Relationship Id="rId11" Type="http://schemas.openxmlformats.org/officeDocument/2006/relationships/hyperlink" Target="http://www.sec.gov/cgi-bin/browse-edgar?action=getcompany&amp;CIK=000181121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2021-07-27T16:44:50Z</dcterms:created>
  <dcterms:modified xsi:type="dcterms:W3CDTF">2021-07-27T16:44:50Z</dcterms:modified>
</cp:coreProperties>
</file>