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549498202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549498202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3,439,889.00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3,450,865.00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3,450,865.00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Amendment to Schedule 13G supersedes and replaces the original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filed on November 14, 2025 to correct and update the information previously reported with respect to Shared Voting Power, Shared Dispositive Power, Aggregate Amount Beneficially Owned by Each Reporting Person, and Percent of Class. The Issuer effected a 1 for 10 reverse stock split on September 2, 2025, which was not reflected in the original calculation of beneficial ownership, particularly with respect to securities convertible into Class A Common Stock. Beneficial ownership reported herein has been recalculated, using 324,164,267 shares of Class A Common Stock outstanding as of September 30, 2025, as disclosed in Exhibit 99.1 to the Issuer's Form 8-K filed on November 5, 2025. At no time has the Reporting Person's beneficial ownership exceeded five percent of the Issuer's outstanding Class A Common Stock.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Lucid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7373 GATEWAY BLVD., NEWARK, CALIFORNIA, 94560.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549498202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1">
            <w:col w:w="11220"/>
          </w:cols>
          <w:pgMar w:left="320" w:top="166" w:right="35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3,450,865.00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3,439,889.00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3,450,865.00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74"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1"/>
          <w:szCs w:val="21"/>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Pierce Fenner</w:t>
      </w:r>
    </w:p>
    <w:p>
      <w:pPr>
        <w:spacing w:after="0" w:line="1" w:lineRule="exact"/>
        <w:rPr>
          <w:sz w:val="20"/>
          <w:szCs w:val="20"/>
          <w:color w:val="auto"/>
        </w:rPr>
      </w:pPr>
    </w:p>
    <w:p>
      <w:pPr>
        <w:ind w:right="220" w:firstLine="6"/>
        <w:spacing w:after="0" w:line="235" w:lineRule="auto"/>
        <w:tabs>
          <w:tab w:leader="none" w:pos="22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Smith, Inc., a broker dealer registered under section 15 of the Act (15 U.S.C. 78o); Merrill Lynch International, a non-U.S. institution in accordance with section 240.13d-1(b)(1)(ii)(J); and BofA Securities Europe SA, a non-U.S. institution in accordance with section 240.13d-1(b)(1)(ii)(J).</w:t>
      </w:r>
    </w:p>
    <w:p>
      <w:pPr>
        <w:spacing w:after="0" w:line="16" w:lineRule="exact"/>
        <w:rPr>
          <w:sz w:val="20"/>
          <w:szCs w:val="20"/>
          <w:color w:val="auto"/>
        </w:rPr>
      </w:pPr>
    </w:p>
    <w:p>
      <w:pPr>
        <w:sectPr>
          <w:pgSz w:w="11900" w:h="16874"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74"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Andres Ortiz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sectPr>
      <w:pgSz w:w="11900" w:h="16838" w:orient="portrait"/>
      <w:cols w:equalWidth="0" w:num="1">
        <w:col w:w="11140"/>
      </w:cols>
      <w:pgMar w:left="360" w:top="40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2026-01-13T08:12:50Z</dcterms:created>
  <dcterms:modified xsi:type="dcterms:W3CDTF">2026-01-13T08:12:50Z</dcterms:modified>
</cp:coreProperties>
</file>