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4860"/>
        <w:spacing w:after="0"/>
        <w:rPr>
          <w:sz w:val="20"/>
          <w:szCs w:val="20"/>
          <w:color w:val="auto"/>
        </w:rPr>
      </w:pPr>
      <w:r>
        <w:rPr>
          <w:rFonts w:ascii="Arial" w:cs="Arial" w:eastAsia="Arial" w:hAnsi="Arial"/>
          <w:sz w:val="18"/>
          <w:szCs w:val="18"/>
          <w:color w:val="auto"/>
        </w:rPr>
        <w:t>_________________</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34" w:lineRule="exact"/>
        <w:rPr>
          <w:sz w:val="24"/>
          <w:szCs w:val="24"/>
          <w:color w:val="auto"/>
        </w:rPr>
      </w:pPr>
    </w:p>
    <w:p>
      <w:pPr>
        <w:ind w:left="4860"/>
        <w:spacing w:after="0"/>
        <w:rPr>
          <w:sz w:val="20"/>
          <w:szCs w:val="20"/>
          <w:color w:val="auto"/>
        </w:rPr>
      </w:pPr>
      <w:r>
        <w:rPr>
          <w:rFonts w:ascii="Arial" w:cs="Arial" w:eastAsia="Arial" w:hAnsi="Arial"/>
          <w:sz w:val="18"/>
          <w:szCs w:val="18"/>
          <w:color w:val="auto"/>
        </w:rPr>
        <w:t>_________________</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August 3, 2020</w:t>
      </w:r>
    </w:p>
    <w:p>
      <w:pPr>
        <w:spacing w:after="0" w:line="50" w:lineRule="exact"/>
        <w:rPr>
          <w:sz w:val="24"/>
          <w:szCs w:val="24"/>
          <w:color w:val="auto"/>
        </w:rPr>
      </w:pPr>
    </w:p>
    <w:p>
      <w:pPr>
        <w:ind w:left="4860"/>
        <w:spacing w:after="0"/>
        <w:rPr>
          <w:sz w:val="20"/>
          <w:szCs w:val="20"/>
          <w:color w:val="auto"/>
        </w:rPr>
      </w:pPr>
      <w:r>
        <w:rPr>
          <w:rFonts w:ascii="Arial" w:cs="Arial" w:eastAsia="Arial" w:hAnsi="Arial"/>
          <w:sz w:val="18"/>
          <w:szCs w:val="18"/>
          <w:color w:val="auto"/>
        </w:rPr>
        <w:t>_________________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Churchill Capital Corp IV</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7" w:lineRule="exact"/>
        <w:rPr>
          <w:sz w:val="24"/>
          <w:szCs w:val="24"/>
          <w:color w:val="auto"/>
        </w:rPr>
      </w:pPr>
    </w:p>
    <w:p>
      <w:pPr>
        <w:ind w:left="4860"/>
        <w:spacing w:after="0"/>
        <w:rPr>
          <w:sz w:val="20"/>
          <w:szCs w:val="20"/>
          <w:color w:val="auto"/>
        </w:rPr>
      </w:pPr>
      <w:r>
        <w:rPr>
          <w:rFonts w:ascii="Arial" w:cs="Arial" w:eastAsia="Arial" w:hAnsi="Arial"/>
          <w:sz w:val="18"/>
          <w:szCs w:val="18"/>
          <w:color w:val="auto"/>
        </w:rPr>
        <w:t>_________________</w:t>
      </w:r>
    </w:p>
    <w:p>
      <w:pPr>
        <w:sectPr>
          <w:pgSz w:w="11900" w:h="16838" w:orient="portrait"/>
          <w:cols w:equalWidth="0" w:num="1">
            <w:col w:w="11240"/>
          </w:cols>
          <w:pgMar w:left="320" w:top="702" w:right="339" w:bottom="1440" w:gutter="0" w:footer="0" w:header="0"/>
        </w:sectPr>
      </w:pPr>
    </w:p>
    <w:p>
      <w:pPr>
        <w:spacing w:after="0" w:line="207"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i w:val="1"/>
          <w:iCs w:val="1"/>
          <w:color w:val="auto"/>
        </w:rPr>
        <w:t>(State or other jurisdiction</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i w:val="1"/>
          <w:iCs w:val="1"/>
          <w:color w:val="auto"/>
        </w:rPr>
        <w:t>of 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001-39408</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i w:val="1"/>
          <w:iCs w:val="1"/>
          <w:color w:val="auto"/>
        </w:rPr>
        <w:t>(Commission</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6"/>
          <w:szCs w:val="16"/>
          <w:i w:val="1"/>
          <w:iCs w:val="1"/>
          <w:color w:val="auto"/>
        </w:rPr>
        <w:t>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85-0891392</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i w:val="1"/>
          <w:iCs w:val="1"/>
          <w:color w:val="auto"/>
        </w:rPr>
        <w:t>(I.R.S. Employer</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i w:val="1"/>
          <w:iCs w:val="1"/>
          <w:color w:val="auto"/>
        </w:rPr>
        <w:t>Identification No.)</w:t>
      </w:r>
    </w:p>
    <w:p>
      <w:pPr>
        <w:spacing w:after="0" w:line="211" w:lineRule="exact"/>
        <w:rPr>
          <w:sz w:val="24"/>
          <w:szCs w:val="24"/>
          <w:color w:val="auto"/>
        </w:rPr>
      </w:pPr>
    </w:p>
    <w:p>
      <w:pPr>
        <w:sectPr>
          <w:pgSz w:w="11900" w:h="16838" w:orient="portrait"/>
          <w:cols w:equalWidth="0" w:num="3">
            <w:col w:w="4460" w:space="720"/>
            <w:col w:w="2820" w:space="720"/>
            <w:col w:w="2520"/>
          </w:cols>
          <w:pgMar w:left="320" w:top="702" w:right="339" w:bottom="1440" w:gutter="0" w:footer="0" w:header="0"/>
          <w:type w:val="continuous"/>
        </w:sectPr>
      </w:pPr>
    </w:p>
    <w:p>
      <w:pPr>
        <w:spacing w:after="0" w:line="10"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640 Fifth Avenue, 12</w:t>
      </w:r>
      <w:r>
        <w:rPr>
          <w:rFonts w:ascii="Arial" w:cs="Arial" w:eastAsia="Arial" w:hAnsi="Arial"/>
          <w:sz w:val="14"/>
          <w:szCs w:val="14"/>
          <w:b w:val="1"/>
          <w:bCs w:val="1"/>
          <w:color w:val="auto"/>
        </w:rPr>
        <w:t>th</w:t>
      </w:r>
      <w:r>
        <w:rPr>
          <w:rFonts w:ascii="Arial" w:cs="Arial" w:eastAsia="Arial" w:hAnsi="Arial"/>
          <w:sz w:val="18"/>
          <w:szCs w:val="18"/>
          <w:b w:val="1"/>
          <w:bCs w:val="1"/>
          <w:color w:val="auto"/>
        </w:rPr>
        <w:t xml:space="preserve"> Floor</w:t>
      </w:r>
    </w:p>
    <w:p>
      <w:pPr>
        <w:spacing w:after="0" w:line="64"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New York, NY</w:t>
      </w:r>
    </w:p>
    <w:p>
      <w:pPr>
        <w:spacing w:after="0" w:line="9" w:lineRule="exact"/>
        <w:rPr>
          <w:sz w:val="24"/>
          <w:szCs w:val="24"/>
          <w:color w:val="auto"/>
        </w:rPr>
      </w:pPr>
    </w:p>
    <w:p>
      <w:pPr>
        <w:jc w:val="center"/>
        <w:ind w:right="168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jc w:val="center"/>
        <w:ind w:right="2420"/>
        <w:spacing w:after="0"/>
        <w:rPr>
          <w:sz w:val="20"/>
          <w:szCs w:val="20"/>
          <w:color w:val="auto"/>
        </w:rPr>
      </w:pPr>
      <w:r>
        <w:rPr>
          <w:rFonts w:ascii="Arial" w:cs="Arial" w:eastAsia="Arial" w:hAnsi="Arial"/>
          <w:sz w:val="18"/>
          <w:szCs w:val="18"/>
          <w:b w:val="1"/>
          <w:bCs w:val="1"/>
          <w:color w:val="auto"/>
        </w:rPr>
        <w:t>10019</w:t>
      </w:r>
    </w:p>
    <w:p>
      <w:pPr>
        <w:spacing w:after="0" w:line="27" w:lineRule="exact"/>
        <w:rPr>
          <w:sz w:val="24"/>
          <w:szCs w:val="24"/>
          <w:color w:val="auto"/>
        </w:rPr>
      </w:pPr>
    </w:p>
    <w:p>
      <w:pPr>
        <w:jc w:val="center"/>
        <w:ind w:right="242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20" w:space="720"/>
            <w:col w:w="3200"/>
          </w:cols>
          <w:pgMar w:left="320" w:top="702" w:right="3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380-7500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(Registrant’s telephone number, including area code)</w:t>
      </w:r>
    </w:p>
    <w:p>
      <w:pPr>
        <w:sectPr>
          <w:pgSz w:w="11900" w:h="16838" w:orient="portrait"/>
          <w:cols w:equalWidth="0" w:num="1">
            <w:col w:w="11240"/>
          </w:cols>
          <w:pgMar w:left="320" w:top="702" w:right="339" w:bottom="144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9" w:lineRule="exact"/>
        <w:rPr>
          <w:sz w:val="24"/>
          <w:szCs w:val="24"/>
          <w:color w:val="auto"/>
        </w:rPr>
      </w:pPr>
    </w:p>
    <w:p>
      <w:pPr>
        <w:ind w:left="4860"/>
        <w:spacing w:after="0"/>
        <w:rPr>
          <w:sz w:val="20"/>
          <w:szCs w:val="20"/>
          <w:color w:val="auto"/>
        </w:rPr>
      </w:pPr>
      <w:r>
        <w:rPr>
          <w:rFonts w:ascii="Arial" w:cs="Arial" w:eastAsia="Arial" w:hAnsi="Arial"/>
          <w:sz w:val="18"/>
          <w:szCs w:val="18"/>
          <w:color w:val="auto"/>
        </w:rPr>
        <w:t>_________________</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80" w:right="2800" w:hanging="3572"/>
        <w:spacing w:after="0" w:line="560" w:lineRule="auto"/>
        <w:tabs>
          <w:tab w:leader="none" w:pos="33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3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1"/>
        </w:trPr>
        <w:tc>
          <w:tcPr>
            <w:tcW w:w="3940" w:type="dxa"/>
            <w:vAlign w:val="bottom"/>
            <w:tcBorders>
              <w:top w:val="single" w:sz="8" w:color="auto"/>
            </w:tcBorders>
          </w:tcPr>
          <w:p>
            <w:pPr>
              <w:ind w:left="520"/>
              <w:spacing w:after="0" w:line="191" w:lineRule="exact"/>
              <w:rPr>
                <w:sz w:val="20"/>
                <w:szCs w:val="20"/>
                <w:color w:val="auto"/>
              </w:rPr>
            </w:pPr>
            <w:r>
              <w:rPr>
                <w:rFonts w:ascii="Arial" w:cs="Arial" w:eastAsia="Arial" w:hAnsi="Arial"/>
                <w:sz w:val="18"/>
                <w:szCs w:val="18"/>
                <w:b w:val="1"/>
                <w:bCs w:val="1"/>
                <w:color w:val="auto"/>
              </w:rPr>
              <w:t>Units, each consisting of one share of</w:t>
            </w:r>
          </w:p>
        </w:tc>
        <w:tc>
          <w:tcPr>
            <w:tcW w:w="240" w:type="dxa"/>
            <w:vAlign w:val="bottom"/>
          </w:tcPr>
          <w:p>
            <w:pPr>
              <w:spacing w:after="0"/>
              <w:rPr>
                <w:sz w:val="16"/>
                <w:szCs w:val="16"/>
                <w:color w:val="auto"/>
              </w:rPr>
            </w:pPr>
          </w:p>
        </w:tc>
        <w:tc>
          <w:tcPr>
            <w:tcW w:w="29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CCIV.U</w:t>
            </w:r>
          </w:p>
        </w:tc>
        <w:tc>
          <w:tcPr>
            <w:tcW w:w="220" w:type="dxa"/>
            <w:vAlign w:val="bottom"/>
          </w:tcPr>
          <w:p>
            <w:pPr>
              <w:spacing w:after="0"/>
              <w:rPr>
                <w:sz w:val="16"/>
                <w:szCs w:val="16"/>
                <w:color w:val="auto"/>
              </w:rPr>
            </w:pPr>
          </w:p>
        </w:tc>
        <w:tc>
          <w:tcPr>
            <w:tcW w:w="39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New York Stock Exchange</w:t>
            </w:r>
          </w:p>
        </w:tc>
      </w:tr>
      <w:tr>
        <w:trPr>
          <w:trHeight w:val="216"/>
        </w:trPr>
        <w:tc>
          <w:tcPr>
            <w:tcW w:w="4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Class A common stock,</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34"/>
        </w:trPr>
        <w:tc>
          <w:tcPr>
            <w:tcW w:w="4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$0.0001 par value, and one-fifth of one warrant</w:t>
            </w: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32"/>
        </w:trPr>
        <w:tc>
          <w:tcPr>
            <w:tcW w:w="4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 of Class A common stock</w:t>
            </w:r>
          </w:p>
        </w:tc>
        <w:tc>
          <w:tcPr>
            <w:tcW w:w="3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CCIV</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432"/>
        </w:trPr>
        <w:tc>
          <w:tcPr>
            <w:tcW w:w="4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Warrants included as part of the units</w:t>
            </w:r>
          </w:p>
        </w:tc>
        <w:tc>
          <w:tcPr>
            <w:tcW w:w="3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CCIV WS</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August 3, 2020, Churchill Capital Corp IV (the “</w:t>
      </w:r>
      <w:r>
        <w:rPr>
          <w:rFonts w:ascii="Arial" w:cs="Arial" w:eastAsia="Arial" w:hAnsi="Arial"/>
          <w:sz w:val="17"/>
          <w:szCs w:val="17"/>
          <w:u w:val="single" w:color="auto"/>
          <w:color w:val="auto"/>
        </w:rPr>
        <w:t>Company</w:t>
      </w:r>
      <w:r>
        <w:rPr>
          <w:rFonts w:ascii="Arial" w:cs="Arial" w:eastAsia="Arial" w:hAnsi="Arial"/>
          <w:sz w:val="17"/>
          <w:szCs w:val="17"/>
          <w:color w:val="auto"/>
        </w:rPr>
        <w:t>”) consummated its initial public offering (the “</w:t>
      </w:r>
      <w:r>
        <w:rPr>
          <w:rFonts w:ascii="Arial" w:cs="Arial" w:eastAsia="Arial" w:hAnsi="Arial"/>
          <w:sz w:val="17"/>
          <w:szCs w:val="17"/>
          <w:u w:val="single" w:color="auto"/>
          <w:color w:val="auto"/>
        </w:rPr>
        <w:t>IPO</w:t>
      </w:r>
      <w:r>
        <w:rPr>
          <w:rFonts w:ascii="Arial" w:cs="Arial" w:eastAsia="Arial" w:hAnsi="Arial"/>
          <w:sz w:val="17"/>
          <w:szCs w:val="17"/>
          <w:color w:val="auto"/>
        </w:rPr>
        <w:t>”) of 207,000,000 units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Units</w:t>
      </w:r>
      <w:r>
        <w:rPr>
          <w:rFonts w:ascii="Arial" w:cs="Arial" w:eastAsia="Arial" w:hAnsi="Arial"/>
          <w:sz w:val="16"/>
          <w:szCs w:val="16"/>
          <w:color w:val="auto"/>
        </w:rPr>
        <w:t>”), including the issuance of 27,000,000 Units as a result of the underwriters’ exercise of their over-allotment option. Each Unit consists of one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Company’s Class A common stock, par value $0.0001 per share (the “</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and one-fifth of one warrant of the Company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Warrants</w:t>
      </w:r>
      <w:r>
        <w:rPr>
          <w:rFonts w:ascii="Arial" w:cs="Arial" w:eastAsia="Arial" w:hAnsi="Arial"/>
          <w:sz w:val="16"/>
          <w:szCs w:val="16"/>
          <w:color w:val="auto"/>
        </w:rPr>
        <w:t>”), each whole warrant entitling the holder thereof to purchase one whole share of Class A Common Stock at a price of $11.50 per share, subject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adjustment as provided in the Company’s registration statement on Form S-1, initially filed with the Securities and Exchange Commission on July 14,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2020 (File No. 333-239856). The Units were sold at a price of $10.00 per unit, generating gross proceeds to the Company of $2,070,000,000.</w:t>
      </w:r>
    </w:p>
    <w:p>
      <w:pPr>
        <w:spacing w:after="0" w:line="21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Simultaneously with the closing of the IPO, the Company completed the private sale (the “</w:t>
      </w:r>
      <w:r>
        <w:rPr>
          <w:rFonts w:ascii="Arial" w:cs="Arial" w:eastAsia="Arial" w:hAnsi="Arial"/>
          <w:sz w:val="17"/>
          <w:szCs w:val="17"/>
          <w:u w:val="single" w:color="auto"/>
          <w:color w:val="auto"/>
        </w:rPr>
        <w:t>Private Placement</w:t>
      </w:r>
      <w:r>
        <w:rPr>
          <w:rFonts w:ascii="Arial" w:cs="Arial" w:eastAsia="Arial" w:hAnsi="Arial"/>
          <w:sz w:val="17"/>
          <w:szCs w:val="17"/>
          <w:color w:val="auto"/>
        </w:rPr>
        <w:t>”) of an aggregate of 42,850,000 warrants (the “</w:t>
      </w:r>
      <w:r>
        <w:rPr>
          <w:rFonts w:ascii="Arial" w:cs="Arial" w:eastAsia="Arial" w:hAnsi="Arial"/>
          <w:sz w:val="17"/>
          <w:szCs w:val="17"/>
          <w:u w:val="single" w:color="auto"/>
          <w:color w:val="auto"/>
        </w:rPr>
        <w:t>Private Placement Warrants</w:t>
      </w:r>
      <w:r>
        <w:rPr>
          <w:rFonts w:ascii="Arial" w:cs="Arial" w:eastAsia="Arial" w:hAnsi="Arial"/>
          <w:sz w:val="17"/>
          <w:szCs w:val="17"/>
          <w:color w:val="auto"/>
        </w:rPr>
        <w:t>”) at a purchase price of $1.00 per Private Placement Warrant, to the Company’s sponsor, Churchill Sponsor IV LLC (the “</w:t>
      </w:r>
      <w:r>
        <w:rPr>
          <w:rFonts w:ascii="Arial" w:cs="Arial" w:eastAsia="Arial" w:hAnsi="Arial"/>
          <w:sz w:val="17"/>
          <w:szCs w:val="17"/>
          <w:u w:val="single" w:color="auto"/>
          <w:color w:val="auto"/>
        </w:rPr>
        <w:t>Sponsor</w:t>
      </w:r>
      <w:r>
        <w:rPr>
          <w:rFonts w:ascii="Arial" w:cs="Arial" w:eastAsia="Arial" w:hAnsi="Arial"/>
          <w:sz w:val="17"/>
          <w:szCs w:val="17"/>
          <w:color w:val="auto"/>
        </w:rPr>
        <w:t>”), generating gross proceeds to the Company of $42,850,000. The Private Placement Warrants are identical to the warrants sold as part of the Units in the IPO, except that the Sponsor has agreed not to transfer, assign or sell any of the Private Placement Warrants (except to certain permitted transferees) until 30 days after the completion of the Company’s initial business combination. The Private Placement Warrants are also not redeemable by the Company so long as they are held by the Sponsor or its permitted transferees.</w:t>
      </w:r>
    </w:p>
    <w:p>
      <w:pPr>
        <w:spacing w:after="0" w:line="17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 total of $2,070,000,000 was placed in a U.S.-based trust account with Continental Stock Transfer &amp; Trust Company, acting as trustee. An audited balance sheet as of August 3, 2020 reflecting receipt of the proceeds upon consummation of the IPO and the Private Placement has been issued by the Company and is included as Exhibit 99.1 to this Current Report on Form 8-K.</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180" w:hanging="524"/>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 The following exhibits are filed with this Form 8-K: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0"/>
                <w:szCs w:val="20"/>
                <w:color w:val="auto"/>
              </w:rPr>
            </w:pPr>
          </w:p>
        </w:tc>
        <w:tc>
          <w:tcPr>
            <w:tcW w:w="9880" w:type="dxa"/>
            <w:vAlign w:val="bottom"/>
            <w:tcBorders>
              <w:bottom w:val="single" w:sz="8" w:color="auto"/>
            </w:tcBorders>
          </w:tcPr>
          <w:p>
            <w:pPr>
              <w:ind w:left="4040"/>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1140" w:type="dxa"/>
            <w:vAlign w:val="bottom"/>
          </w:tcPr>
          <w:p>
            <w:pPr>
              <w:jc w:val="right"/>
              <w:ind w:right="31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220" w:type="dxa"/>
            <w:vAlign w:val="bottom"/>
          </w:tcPr>
          <w:p>
            <w:pPr>
              <w:spacing w:after="0"/>
              <w:rPr>
                <w:sz w:val="19"/>
                <w:szCs w:val="19"/>
                <w:color w:val="auto"/>
              </w:rPr>
            </w:pPr>
          </w:p>
        </w:tc>
        <w:tc>
          <w:tcPr>
            <w:tcW w:w="988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Audited Balanced Sheet as of August 3, 2020</w:t>
              </w:r>
            </w:hyperlink>
          </w:p>
        </w:tc>
      </w:tr>
      <w:tr>
        <w:trPr>
          <w:trHeight w:val="661"/>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660" w:type="dxa"/>
            <w:vAlign w:val="bottom"/>
            <w:gridSpan w:val="2"/>
          </w:tcPr>
          <w:p>
            <w:pPr>
              <w:ind w:left="2040"/>
              <w:spacing w:after="0"/>
              <w:rPr>
                <w:sz w:val="20"/>
                <w:szCs w:val="20"/>
                <w:color w:val="auto"/>
              </w:rPr>
            </w:pPr>
            <w:r>
              <w:rPr>
                <w:rFonts w:ascii="Arial" w:cs="Arial" w:eastAsia="Arial" w:hAnsi="Arial"/>
                <w:sz w:val="18"/>
                <w:szCs w:val="18"/>
                <w:color w:val="auto"/>
              </w:rPr>
              <w:t>Churchill Capital Corp IV</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August 7, 2020</w:t>
            </w:r>
          </w:p>
        </w:tc>
        <w:tc>
          <w:tcPr>
            <w:tcW w:w="2600" w:type="dxa"/>
            <w:vAlign w:val="bottom"/>
          </w:tcPr>
          <w:p>
            <w:pPr>
              <w:ind w:left="204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Taragin</w:t>
            </w:r>
          </w:p>
        </w:tc>
      </w:tr>
      <w:tr>
        <w:trPr>
          <w:trHeight w:val="195"/>
        </w:trPr>
        <w:tc>
          <w:tcPr>
            <w:tcW w:w="35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Name: Jay Taragin</w:t>
            </w:r>
          </w:p>
        </w:tc>
      </w:tr>
      <w:tr>
        <w:trPr>
          <w:trHeight w:val="230"/>
        </w:trPr>
        <w:tc>
          <w:tcPr>
            <w:tcW w:w="3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675"/>
        </w:trPr>
        <w:tc>
          <w:tcPr>
            <w:tcW w:w="35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0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22"/>
                <w:szCs w:val="22"/>
                <w:b w:val="1"/>
                <w:bCs w:val="1"/>
                <w:color w:val="auto"/>
                <w:w w:val="91"/>
              </w:rPr>
              <w:t>Exhibit 99.1</w:t>
            </w:r>
          </w:p>
        </w:tc>
      </w:tr>
      <w:tr>
        <w:trPr>
          <w:trHeight w:val="449"/>
        </w:trPr>
        <w:tc>
          <w:tcPr>
            <w:tcW w:w="10120" w:type="dxa"/>
            <w:vAlign w:val="bottom"/>
          </w:tcPr>
          <w:p>
            <w:pPr>
              <w:ind w:left="4020"/>
              <w:spacing w:after="0"/>
              <w:rPr>
                <w:sz w:val="20"/>
                <w:szCs w:val="20"/>
                <w:color w:val="auto"/>
              </w:rPr>
            </w:pPr>
            <w:r>
              <w:rPr>
                <w:rFonts w:ascii="Arial" w:cs="Arial" w:eastAsia="Arial" w:hAnsi="Arial"/>
                <w:sz w:val="18"/>
                <w:szCs w:val="18"/>
                <w:b w:val="1"/>
                <w:bCs w:val="1"/>
                <w:color w:val="auto"/>
              </w:rPr>
              <w:t>INDEX TO FINANCIAL STATEMENTS</w:t>
            </w:r>
          </w:p>
        </w:tc>
        <w:tc>
          <w:tcPr>
            <w:tcW w:w="1120" w:type="dxa"/>
            <w:vAlign w:val="bottom"/>
          </w:tcPr>
          <w:p>
            <w:pPr>
              <w:spacing w:after="0"/>
              <w:rPr>
                <w:sz w:val="24"/>
                <w:szCs w:val="24"/>
                <w:color w:val="auto"/>
              </w:rPr>
            </w:pPr>
          </w:p>
        </w:tc>
      </w:tr>
      <w:tr>
        <w:trPr>
          <w:trHeight w:val="432"/>
        </w:trPr>
        <w:tc>
          <w:tcPr>
            <w:tcW w:w="10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09"/>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F-2</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Balance Sheet</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F-3</w:t>
            </w: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Notes to Balance Sheet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6420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Churchill Capital Corp IV</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w:t>
      </w:r>
    </w:p>
    <w:p>
      <w:pPr>
        <w:spacing w:after="0" w:line="22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We have audited the accompanying balance sheet of Churchill Capital Corp IV (formerly known as Annetta Acquisition Corp) (the “Company”) as of August 3, 2020, and the related notes (collectively referred to as the “financial statement”). In our opinion, the financial statement presents fairly, in all material respects, the financial position of the Company as of August 3, 2020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This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7, 2020</w:t>
      </w:r>
    </w:p>
    <w:p>
      <w:pPr>
        <w:spacing w:after="0" w:line="200" w:lineRule="exact"/>
        <w:rPr>
          <w:sz w:val="20"/>
          <w:szCs w:val="20"/>
          <w:color w:val="auto"/>
        </w:rPr>
      </w:pP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9680" w:type="dxa"/>
            <w:vAlign w:val="bottom"/>
          </w:tcPr>
          <w:p>
            <w:pPr>
              <w:jc w:val="center"/>
              <w:ind w:left="1470"/>
              <w:spacing w:after="0"/>
              <w:rPr>
                <w:sz w:val="20"/>
                <w:szCs w:val="20"/>
                <w:color w:val="auto"/>
              </w:rPr>
            </w:pPr>
            <w:r>
              <w:rPr>
                <w:rFonts w:ascii="Arial" w:cs="Arial" w:eastAsia="Arial" w:hAnsi="Arial"/>
                <w:sz w:val="18"/>
                <w:szCs w:val="18"/>
                <w:b w:val="1"/>
                <w:bCs w:val="1"/>
                <w:color w:val="auto"/>
              </w:rPr>
              <w:t>CHURCHILL CAPITAL CORP IV</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968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BALANCE SHEET</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9680" w:type="dxa"/>
            <w:vAlign w:val="bottom"/>
          </w:tcPr>
          <w:p>
            <w:pPr>
              <w:jc w:val="center"/>
              <w:ind w:left="1490"/>
              <w:spacing w:after="0"/>
              <w:rPr>
                <w:sz w:val="20"/>
                <w:szCs w:val="20"/>
                <w:color w:val="auto"/>
              </w:rPr>
            </w:pPr>
            <w:r>
              <w:rPr>
                <w:rFonts w:ascii="Arial" w:cs="Arial" w:eastAsia="Arial" w:hAnsi="Arial"/>
                <w:sz w:val="18"/>
                <w:szCs w:val="18"/>
                <w:b w:val="1"/>
                <w:bCs w:val="1"/>
                <w:color w:val="auto"/>
                <w:w w:val="94"/>
              </w:rPr>
              <w:t>AUGUST 3, 2020</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6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Cash</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5,587,115</w:t>
            </w:r>
          </w:p>
        </w:tc>
        <w:tc>
          <w:tcPr>
            <w:tcW w:w="80" w:type="dxa"/>
            <w:vAlign w:val="bottom"/>
          </w:tcPr>
          <w:p>
            <w:pPr>
              <w:spacing w:after="0"/>
              <w:rPr>
                <w:sz w:val="18"/>
                <w:szCs w:val="18"/>
                <w:color w:val="auto"/>
              </w:rPr>
            </w:pPr>
          </w:p>
        </w:tc>
      </w:tr>
      <w:tr>
        <w:trPr>
          <w:trHeight w:val="230"/>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22,000</w:t>
            </w:r>
          </w:p>
        </w:tc>
        <w:tc>
          <w:tcPr>
            <w:tcW w:w="80" w:type="dxa"/>
            <w:vAlign w:val="bottom"/>
            <w:shd w:val="clear" w:color="auto" w:fill="CCEEFF"/>
          </w:tcPr>
          <w:p>
            <w:pPr>
              <w:spacing w:after="0"/>
              <w:rPr>
                <w:sz w:val="19"/>
                <w:szCs w:val="19"/>
                <w:color w:val="auto"/>
              </w:rPr>
            </w:pPr>
          </w:p>
        </w:tc>
      </w:tr>
      <w:tr>
        <w:trPr>
          <w:trHeight w:val="209"/>
        </w:trPr>
        <w:tc>
          <w:tcPr>
            <w:tcW w:w="96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5,609,115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Cash held in Trust Account</w:t>
            </w:r>
          </w:p>
        </w:tc>
        <w:tc>
          <w:tcPr>
            <w:tcW w:w="2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2,070,000,000</w:t>
            </w:r>
          </w:p>
        </w:tc>
        <w:tc>
          <w:tcPr>
            <w:tcW w:w="80" w:type="dxa"/>
            <w:vAlign w:val="bottom"/>
          </w:tcPr>
          <w:p>
            <w:pPr>
              <w:spacing w:after="0"/>
              <w:rPr>
                <w:sz w:val="19"/>
                <w:szCs w:val="19"/>
                <w:color w:val="auto"/>
              </w:rPr>
            </w:pPr>
          </w:p>
        </w:tc>
      </w:tr>
      <w:tr>
        <w:trPr>
          <w:trHeight w:val="223"/>
        </w:trPr>
        <w:tc>
          <w:tcPr>
            <w:tcW w:w="9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2,075,609,115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9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Deferred underwriting fee payable</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72,450,000</w:t>
            </w:r>
          </w:p>
        </w:tc>
        <w:tc>
          <w:tcPr>
            <w:tcW w:w="80" w:type="dxa"/>
            <w:vAlign w:val="bottom"/>
          </w:tcPr>
          <w:p>
            <w:pPr>
              <w:spacing w:after="0"/>
              <w:rPr>
                <w:sz w:val="19"/>
                <w:szCs w:val="19"/>
                <w:color w:val="auto"/>
              </w:rPr>
            </w:pPr>
          </w:p>
        </w:tc>
      </w:tr>
      <w:tr>
        <w:trPr>
          <w:trHeight w:val="209"/>
        </w:trPr>
        <w:tc>
          <w:tcPr>
            <w:tcW w:w="9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72,450,000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9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 199,815,911 shares at redemption value</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1,998,159,110</w:t>
            </w:r>
          </w:p>
        </w:tc>
        <w:tc>
          <w:tcPr>
            <w:tcW w:w="8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26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9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A common stock, $0.0001 par value; 400,000,000 shares authorized; 7,184,089 issued and outstanding (excluding</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9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199,815,911 shares subject to possible redemption)</w:t>
            </w:r>
          </w:p>
        </w:tc>
        <w:tc>
          <w:tcPr>
            <w:tcW w:w="2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718</w:t>
            </w:r>
          </w:p>
        </w:tc>
        <w:tc>
          <w:tcPr>
            <w:tcW w:w="80" w:type="dxa"/>
            <w:vAlign w:val="bottom"/>
            <w:shd w:val="clear" w:color="auto" w:fill="CCEEFF"/>
          </w:tcPr>
          <w:p>
            <w:pPr>
              <w:spacing w:after="0"/>
              <w:rPr>
                <w:sz w:val="20"/>
                <w:szCs w:val="20"/>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Class B common stock, $0.0001 par value; 100,000,000 shares authorized; 51,750,000 shares issued and outstanding</w:t>
            </w:r>
          </w:p>
        </w:tc>
        <w:tc>
          <w:tcPr>
            <w:tcW w:w="2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5,175</w:t>
            </w:r>
          </w:p>
        </w:tc>
        <w:tc>
          <w:tcPr>
            <w:tcW w:w="8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4,995,112</w:t>
            </w:r>
          </w:p>
        </w:tc>
        <w:tc>
          <w:tcPr>
            <w:tcW w:w="80" w:type="dxa"/>
            <w:vAlign w:val="bottom"/>
            <w:shd w:val="clear" w:color="auto" w:fill="CCEEFF"/>
          </w:tcPr>
          <w:p>
            <w:pPr>
              <w:spacing w:after="0"/>
              <w:rPr>
                <w:sz w:val="18"/>
                <w:szCs w:val="18"/>
                <w:color w:val="auto"/>
              </w:rPr>
            </w:pPr>
          </w:p>
        </w:tc>
      </w:t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9"/>
                <w:szCs w:val="19"/>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(1,000)</w:t>
            </w:r>
          </w:p>
        </w:tc>
      </w:tr>
      <w:tr>
        <w:trPr>
          <w:trHeight w:val="210"/>
        </w:trPr>
        <w:tc>
          <w:tcPr>
            <w:tcW w:w="9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96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2,075,609,115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The accompanying notes are an integral part of the financial statement.</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229"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Churchill Capital Corp IV (formerly known as Annetta Acquisition Corp) (the “Company”) was incorporated in Delaware on April 30, 2020. The Company was formed for the purpose of effecting a merger, capital stock exchange, asset acquisition, stock purchase, reorganization or similar business combination with one or more businesses (the “Business Combination”).</w:t>
      </w:r>
    </w:p>
    <w:p>
      <w:pPr>
        <w:spacing w:after="0" w:line="18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Company is an early stage and emerging growth company and, as such, the Company is subject to all of the risks associated with early stage and emerging growth companies.</w:t>
      </w:r>
    </w:p>
    <w:p>
      <w:pPr>
        <w:spacing w:after="0" w:line="17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As of August 3, 2020, the Company had not commenced any operations. All activity for the period from April 30, 2020 (inception) through August 3, 2020 relates to the Company’s formation and the initial public offering (“Initial Public Offering”), which is described below.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87" w:lineRule="exact"/>
        <w:rPr>
          <w:sz w:val="20"/>
          <w:szCs w:val="20"/>
          <w:color w:val="auto"/>
        </w:rPr>
      </w:pPr>
    </w:p>
    <w:p>
      <w:pPr>
        <w:jc w:val="both"/>
        <w:ind w:firstLine="363"/>
        <w:spacing w:after="0" w:line="259" w:lineRule="auto"/>
        <w:rPr>
          <w:sz w:val="20"/>
          <w:szCs w:val="20"/>
          <w:color w:val="auto"/>
        </w:rPr>
      </w:pPr>
      <w:r>
        <w:rPr>
          <w:rFonts w:ascii="Arial" w:cs="Arial" w:eastAsia="Arial" w:hAnsi="Arial"/>
          <w:sz w:val="18"/>
          <w:szCs w:val="18"/>
          <w:color w:val="auto"/>
        </w:rPr>
        <w:t>The registration statements for the Company’s Initial Public Offering were declared effective on July 29, 2020. On August 3, 2020, the Company consummated the Initial Public Offering of 207,000,000 units (the “Units” and, with respect to the shares of Class A common stock included in the Units sold, the “Public Shares”), which includes the full exercise by the underwriters of the over-allotment option to purchase an additional 27,000,000 Units, at $10.00 per Unit, generating gross proceeds of $2,070,000,000, which is described in Note 3.</w:t>
      </w:r>
    </w:p>
    <w:p>
      <w:pPr>
        <w:spacing w:after="0" w:line="187" w:lineRule="exact"/>
        <w:rPr>
          <w:sz w:val="20"/>
          <w:szCs w:val="20"/>
          <w:color w:val="auto"/>
        </w:rPr>
      </w:pPr>
    </w:p>
    <w:p>
      <w:pPr>
        <w:jc w:val="both"/>
        <w:ind w:firstLine="363"/>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42,850,000 warrants (the “Private Placement Warrants”) at a price of $1.00 per Private Placement Warrant in a private placement to Churchill Sponsor IV LLC, (the “Sponsor”), generating gross proceeds of $42,850,000 which is described in Note 4.</w:t>
      </w:r>
    </w:p>
    <w:p>
      <w:pPr>
        <w:spacing w:after="0" w:line="184" w:lineRule="exact"/>
        <w:rPr>
          <w:sz w:val="20"/>
          <w:szCs w:val="20"/>
          <w:color w:val="auto"/>
        </w:rPr>
      </w:pPr>
    </w:p>
    <w:p>
      <w:pPr>
        <w:jc w:val="both"/>
        <w:ind w:firstLine="363"/>
        <w:spacing w:after="0" w:line="263" w:lineRule="auto"/>
        <w:rPr>
          <w:sz w:val="20"/>
          <w:szCs w:val="20"/>
          <w:color w:val="auto"/>
        </w:rPr>
      </w:pPr>
      <w:r>
        <w:rPr>
          <w:rFonts w:ascii="Arial" w:cs="Arial" w:eastAsia="Arial" w:hAnsi="Arial"/>
          <w:sz w:val="18"/>
          <w:szCs w:val="18"/>
          <w:color w:val="auto"/>
        </w:rPr>
        <w:t>Transaction costs amounted to $109,714,885, consisting of $36,403,600 of underwriting fees, $72,450,000 of deferred underwriting fees and $861,285 of other offering costs. In addition, cash of $5,587,115 was held outside of the Trust Account (as defined below) and is available for working capital purposes.</w:t>
      </w:r>
    </w:p>
    <w:p>
      <w:pPr>
        <w:spacing w:after="0" w:line="184"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Following the closing of the Initial Public Offering on August 3, 2020, an amount of $2,070,000,000 ($10.00 per Unit) from the net proceeds of the sale of the Units in the Initial Public Offering and the sale of the Private Placement Warrants was placed in a trust account (the “Trust Account”) located in the United States and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the conditions of Rule 2a-7 of the Investment Company Act, as determined by the Company, until the earlier of: (i) the completion of a Business Combination or (ii) the distribution of the Trust Account, as described below, except that interest earned on the Trust Account can be released to the Company to fund working capital requirements, subject to an annual limit of $1,000,000 and/or to pay its tax obligations.</w:t>
      </w:r>
    </w:p>
    <w:p>
      <w:pPr>
        <w:spacing w:after="0" w:line="192"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There is no assurance that the Company will be able to complete a Business Combination successfully. The Company’s initial Business Combination must be with one or more target businesses that together have a fair market value equal to at least 80% of the balance in the Trust Account (excluding taxes payable on interest income earned from the Trust Account and the deferred underwriting commissions) at the time of the agreement to enter into the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78"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8"/>
          <w:szCs w:val="18"/>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$10.00 per Public Share, plus any pro rata interest, net of amounts withdrawn for working capital requirements, subject to an annual limit of $1,000,000 and/or to pay its taxes (“permitted withdrawals”)). The per-share amount to be distributed to public stockholders who redeem their Public Shares will not be reduced by the deferred underwriting commissions the Company will pay to the underwriters (as discussed in Note 6). There will be no redemption rights upon the completion of a Business Combination with respect to the Company’s warrants.</w:t>
      </w: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w:t>
      </w:r>
    </w:p>
    <w:p>
      <w:pPr>
        <w:spacing w:after="0" w:line="200" w:lineRule="exact"/>
        <w:rPr>
          <w:sz w:val="20"/>
          <w:szCs w:val="20"/>
          <w:color w:val="auto"/>
        </w:rPr>
      </w:pPr>
    </w:p>
    <w:p>
      <w:pPr>
        <w:spacing w:after="0" w:line="227"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6"/>
          <w:szCs w:val="16"/>
          <w:color w:val="auto"/>
        </w:rPr>
        <w:t>The Company will proceed with a Business Combination if the Company has net tangible assets of at least $5,000,001 upon such consummation of a Business Combination and, if the Company seeks stockholder approval, a majority of the shares voted are voted in favor of the Business Combination. If a stockholder vote is not required by law or stock exchange requirements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Company’s Sponsor and its permitted transferees will agree to vote their Founder Shares (as defined in Note 5) 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72"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88"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The Sponsor has agreed (a) to waive its redemption rights with respect to its Founder Shares and Public Shares held by it in connection with the completion of a Business Combination, (b) to waive its rights to liquidating distributions from the Trust Account with respect to its Founder Shares if the Company fails to consummate a Business Combination within the Combination Window (as defined below) and (c)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with the opportunity to redeem their shares in conjunction with any such amendment.</w:t>
      </w:r>
    </w:p>
    <w:p>
      <w:pPr>
        <w:spacing w:after="0" w:line="192"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If the Company is unable to complete a Business Combination by August 3, 2022 (or November 3, 2022 if the Company has an executed letter of intent, agreement in principle or definitive agreement for a Business Combination by August 3, 2022) (the “Combination Window”), the Company will</w:t>
      </w:r>
    </w:p>
    <w:p>
      <w:pPr>
        <w:jc w:val="both"/>
        <w:ind w:firstLine="8"/>
        <w:spacing w:after="0" w:line="287" w:lineRule="auto"/>
        <w:tabs>
          <w:tab w:leader="none" w:pos="218" w:val="left"/>
        </w:tabs>
        <w:numPr>
          <w:ilvl w:val="0"/>
          <w:numId w:val="3"/>
        </w:numPr>
        <w:rPr>
          <w:rFonts w:ascii="Arial" w:cs="Arial" w:eastAsia="Arial" w:hAnsi="Arial"/>
          <w:sz w:val="16"/>
          <w:szCs w:val="16"/>
          <w:color w:val="auto"/>
        </w:rPr>
      </w:pPr>
      <w:r>
        <w:rPr>
          <w:rFonts w:ascii="Arial" w:cs="Arial" w:eastAsia="Arial" w:hAnsi="Arial"/>
          <w:sz w:val="16"/>
          <w:szCs w:val="16"/>
          <w:color w:val="auto"/>
        </w:rPr>
        <w:t>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(net of permitted withdrawals and up to $100,000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Window.</w:t>
      </w:r>
    </w:p>
    <w:p>
      <w:pPr>
        <w:spacing w:after="0" w:line="170"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The Sponsor has agreed to waive its right to liquidating distributions from the Trust Account with respect to the Founder Shares if the Company fails to complete a Business Combination within the Combination Window. However, if the Sponsor acquires Public Shares in or after the Initial Public Offering, such Public Shares will be entitled to liquidating distributions from the Trust Account if the Company fails to complete a Business Combination within the Combination Window. The underwriters have agreed to waive their rights to their deferred underwriting commission (see Note 6) held in the Trust Account in the event the Company does not complete a Business Combination within the Combination Window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92"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(other than the Company’s independent registered public accounting firm) for services rendered or products sold to the Company, or a prospective target business with which the Company has entered into a written letter of intent, confidentiality or similar agreement, reduce the amount of funds in the Trust Account to below (i) $10.00 per Public Share or (ii) the amount per Public Share held in the Trust Account as of the liquidation of the Trust Account, if less than $10.00 per Public Share due to reductions in the value of the trust assets, in each case net of permitted withdrawals. This liability will not apply with respect to any claims by a third party who executed a waiver of any and all rights to seek access to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ectPr>
          <w:pgSz w:w="11900" w:h="16838" w:orient="portrait"/>
          <w:cols w:equalWidth="0" w:num="1">
            <w:col w:w="11240"/>
          </w:cols>
          <w:pgMar w:left="320" w:top="229" w:right="339" w:bottom="1440" w:gutter="0" w:footer="0" w:header="0"/>
        </w:sectPr>
      </w:pPr>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accompanying financial statement is presented in in conformity with accounting principles generally accepted in the United States of America (“GAAP”) and pursuant to the rules and regulations of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color w:val="auto"/>
        </w:rPr>
        <w:t>The preparation of the financial statement in conformity with GAAP requires the Company’s management to make estimates and assumptions that affect the reported amounts of assets and liabilities and disclosure of contingent assets and liabilities at the date of the financial statement.</w:t>
      </w:r>
    </w:p>
    <w:p>
      <w:pPr>
        <w:spacing w:after="0" w:line="146" w:lineRule="exact"/>
        <w:rPr>
          <w:sz w:val="20"/>
          <w:szCs w:val="20"/>
          <w:color w:val="auto"/>
        </w:rPr>
      </w:pPr>
    </w:p>
    <w:p>
      <w:pPr>
        <w:jc w:val="both"/>
        <w:ind w:firstLine="360"/>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 which management considered in formulating its estimate, could change in the near term due to one or more future confirming events. Accordingly, the actual results could differ significantly from those estimates.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Held in Trust Account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 August 3, 2020, the assets held in the Trust Account were held in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225" w:lineRule="exact"/>
        <w:rPr>
          <w:sz w:val="20"/>
          <w:szCs w:val="20"/>
          <w:color w:val="auto"/>
        </w:rPr>
      </w:pPr>
    </w:p>
    <w:p>
      <w:pPr>
        <w:jc w:val="both"/>
        <w:ind w:firstLine="363"/>
        <w:spacing w:after="0" w:line="291"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common stock subject to possible redemption is presented at redemption value as temporary equity, outside of the stockholders’ equity section of the Company’s balance sheet.</w:t>
      </w:r>
    </w:p>
    <w:p>
      <w:pPr>
        <w:spacing w:after="0" w:line="37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8"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August 3,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right="20" w:firstLine="360"/>
        <w:spacing w:after="0" w:line="308"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update, if currently adopted, would have a material effect on the Company’s financial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Public Offering</w:t>
      </w:r>
    </w:p>
    <w:p>
      <w:pPr>
        <w:spacing w:after="0" w:line="22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Pursuant to the Initial Public Offering, the Company sold 207,000,000 Units, which includes the full exercise by the underwriters of their option to purchase an additional 27,000,000 Units, at $10.00 per Unit. Each Unit consists of one share of Class A common stock and one-fifth of one redeemable warrant (“Public Warrant”). Each whole Public Warrant entitles the holder to purchase one share of Class A common stock at a price of $11.50 per share, subject to adjustment (see Note 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Private Placement</w:t>
      </w:r>
    </w:p>
    <w:p>
      <w:pPr>
        <w:spacing w:after="0" w:line="229"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Simultaneously with the closing of the Initial Public Offering, the Sponsor purchased an aggregate of 42,850,000 Private Placement Warrants at a price of $1.00 per Private Placement Warrant, for an aggregate purchase price of $42,850,000. Each Private Placement Warrant is exercisable to purchase one share of Class A common stock at a price of $11.50 per share. The proceeds from the Private Placement Warrants were added to the proceeds from the Initial Public Offering held in the Trust Account. If the Company does not complete a Business Combination within the Combination Window, the proceeds of the sale of the Private Placement Warrants will be used to fund the redemption of the Public Shares (subject to the requirements of applicable law) and the Private Placement Warrants will expire worthless. There will be no redemption rights or liquidating distributions from the Trust Account with respect to the Private Placement Warrants.</w:t>
      </w: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ind w:firstLine="363"/>
        <w:spacing w:after="0" w:line="270" w:lineRule="auto"/>
        <w:rPr>
          <w:sz w:val="20"/>
          <w:szCs w:val="20"/>
          <w:color w:val="auto"/>
        </w:rPr>
      </w:pPr>
      <w:r>
        <w:rPr>
          <w:rFonts w:ascii="Arial" w:cs="Arial" w:eastAsia="Arial" w:hAnsi="Arial"/>
          <w:sz w:val="17"/>
          <w:szCs w:val="17"/>
          <w:color w:val="auto"/>
        </w:rPr>
        <w:t>On May 22, 2020, the Sponsor purchased 21,562,500 shares of the Company’s Class B common stock for an aggregate price of $25,000 (the “Founder Shares”). On July 14, 2020, the Company effected a stock dividend of one-third of a share of Class B common stock for each outstanding share of Class B common stock, on July 27, 2020, the Company effected a stock dividend of 0.50 to 1 share of Class B common stock for each outstanding share of Class B common stock and on July 30, 2020, the Company effected a stock dividend of 0.20 to 1 share of Class B common stock for each outstanding share of Class B common stock, resulting in 51,750,000 shares of Class B common stock being issued and outstanding. The Founder Shares include an aggregate of up to 6,750,000 shares subject to forfeiture to the extent that the underwriters’ over-allotment option is not exercised in full or in part, so that the Sponsor will own, on an as-converted basis, 20% of the Company’s issued and outstanding shares after the Initial Public Offering (assuming the Sponsor does not purchase any Public Shares in the Initial Public Offering). As a result of the underwriters’ election to fully exercise their over-allotment option, 6,750,000 Founder Shares are no longer subject to forfeiture.</w:t>
      </w:r>
    </w:p>
    <w:p>
      <w:pPr>
        <w:spacing w:after="0" w:line="181"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The Sponsor has agreed, subject to limited exceptions, not to transfer, assign or sell any of its Founder Shares until the earlier to occur of: (A) one year after the completion of a Business Combination or (B) the date on which the Company completes a liquidation, merger, stock exchange, reorganization or similar transaction after a Business Combination that results in all of the Company’s stockholders having the right to exchange their shares of common stock for cash, securities or other property. Notwithstanding the foregoing, if the closing price of the Class A common stock equals or exceeds $12.00 per share (as adjusted for stock splits, stock dividends, reorganizations, recapitalizations and the like) for any 20 trading days within any 30-trading day period commencing at least 150 days after a Business Combination, the Founder Shares will be released form the lock-up.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22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On May 13, 2020, the Sponsor agreed to loan the Company an aggregate of up to $600,000 to cover expenses related to the Initial Public Offering pursuant to a promissory note (the “Promissory Note”). The Promissory Note was non-interest bearing and payable on the earlier of December 31, 2021 or the completion of the Initial Public Offering. The borrowings outstanding under the note in the amount of $550,000 were repaid upon the consummation of the Initial Public Offering on August 3,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225"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The Company entered into an agreement whereby, commencing on July 30, 2020 through the earlier of the Company’s consummation of a Business Combination and its liquidation, the Company will pay an affiliate of the Sponsor a total of $50,000 per month for office space, administrative and support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Fee</w:t>
      </w:r>
    </w:p>
    <w:p>
      <w:pPr>
        <w:spacing w:after="0" w:line="225"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The Company may engage M. Klein and Company, LLC, an affiliate of the Sponsor, or another affiliate of the Sponsor, as its lead financial advisor in connection with a Business Combination and may pay such affiliate a customary financial advisory fee in an amount that constitutes a market standard financial advisory fee for comparable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In order to finance transaction costs in connection with a Business Combination, the Sponsor, an affiliate of the Sponsor, or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warrants at a price of $1.00 per warrant. The warrants would be identical to the Private Placement Warrants.</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Pursuant to a registration rights agreement entered into on July 29, 2020, the holders of the Founder Shares, Private Placement Warrants and warrants that may be issued upon conversion of Working Capital Loans (and any shares of Class A common stock issuable upon the exercise of the Private Placement Warrants or warrants that may be issued upon conversion of Working Capital Loans and upon conversion of the Founder Shares) will be entitled to registration rights requiring the Company to register such securities for resale (in the case of the Founder Shares, only after conversion to Class A common stock).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The underwriters are entitled to a deferred fee of $0.35 per Unit, or $72,450,000 in the aggregate. The deferred fee will be waived by the underwriters in the event that the Company does not complete a Business Combination, subject to the terms of the underwriting agreement. The underwriters waived the upfront underwriting discount on 19,982,000 Units, resulting in a reduction of the upfront underwriting discount of $3,996,400. In addition, the underwriters reimbursed the Company an aggregate of $1,000,000 for costs incurred in connection with the Initial Public Offering.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At August 3, 2020, there were no shares of preferred stock issued or outstanding.</w:t>
      </w:r>
    </w:p>
    <w:p>
      <w:pPr>
        <w:spacing w:after="0" w:line="184" w:lineRule="exact"/>
        <w:rPr>
          <w:sz w:val="20"/>
          <w:szCs w:val="20"/>
          <w:color w:val="auto"/>
        </w:rPr>
      </w:pPr>
    </w:p>
    <w:p>
      <w:pPr>
        <w:jc w:val="both"/>
        <w:ind w:firstLine="363"/>
        <w:spacing w:after="0" w:line="259"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On July 30, 2020, the Company amended its Amended and Restated Certificate of Incorporation such that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authorized to issue 400,000,000 shares of Class A common stock with a par value of $0.0001 per share. Holders of Class A common stock are entitled to one vote for each share. At August 3, 2020, there were 7,184,089 shares of Class A common stock issued or outstanding, excluding 199,815,911 shares of Class A common stock subject to possible redemption.</w:t>
      </w:r>
    </w:p>
    <w:p>
      <w:pPr>
        <w:spacing w:after="0" w:line="187"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b w:val="1"/>
          <w:bCs w:val="1"/>
          <w:i w:val="1"/>
          <w:iCs w:val="1"/>
          <w:color w:val="auto"/>
        </w:rPr>
        <w:t xml:space="preserve">Class B Common Stock </w:t>
      </w:r>
      <w:r>
        <w:rPr>
          <w:rFonts w:ascii="Arial" w:cs="Arial" w:eastAsia="Arial" w:hAnsi="Arial"/>
          <w:sz w:val="17"/>
          <w:szCs w:val="17"/>
          <w:color w:val="auto"/>
        </w:rPr>
        <w:t>— On July 30, 2020, the Company amended its Amended and Restated Certificate of Incorporation such that the Company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authorized to issue 100,000,000 shares of Class B common stock with a par value of $0.0001 per share. Holders of Class B common stock are entitled to one vote for each share. At August 3, 2020, there were 51,750,000 shares of Class B common stock issued and outstanding.</w:t>
      </w:r>
    </w:p>
    <w:p>
      <w:pPr>
        <w:spacing w:after="0" w:line="165"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Holders of Class B common stock will have the right to elect all of the Company’s directors prior to a Business Combination. Holders of Class A common stock and Class B common stock will vote together as a single class on all other matters submitted to a vote of stockholders except as required by law.</w:t>
      </w:r>
    </w:p>
    <w:p>
      <w:pPr>
        <w:spacing w:after="0" w:line="184"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excess of the amounts offered in the Initial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the Initial Public Offering plus all shares of Class A common stock and equity-linked securities issued or deemed issued in connection with a Business Combination (excluding any shares or equity-linked securities issued, or to be issued, to any seller in a Business Combination in consideration for such seller’s interest in the Business Combination target, any private placement-equivalent warrants issued, or to be issued, to any seller in a Business Combination.</w:t>
      </w:r>
    </w:p>
    <w:p>
      <w:pPr>
        <w:spacing w:after="0" w:line="18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 warrants will be issued upon separation of the Units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only whole warrants will trade. The Public Warrants will become exercisable on the later of (a) 30 days after the completion of a Business Combination or (b) 12 months from the closing of the Initial Public Offering. The Public Warrants will expire five years after the completion of a Business Combination or earlier upon redemption or liquidation.</w:t>
      </w: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w:t>
      </w:r>
    </w:p>
    <w:p>
      <w:pPr>
        <w:spacing w:after="0" w:line="200" w:lineRule="exact"/>
        <w:rPr>
          <w:sz w:val="20"/>
          <w:szCs w:val="20"/>
          <w:color w:val="auto"/>
        </w:rPr>
      </w:pPr>
    </w:p>
    <w:p>
      <w:pPr>
        <w:spacing w:after="0" w:line="227"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the Company satisfying its obligations with respect to registration.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from registration is available.</w:t>
      </w:r>
    </w:p>
    <w:p>
      <w:pPr>
        <w:spacing w:after="0" w:line="178"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the Company will use its best efforts to file with the SEC, and within 60 business days following a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Notwithstanding the above, if the Class A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the Company may redeem the Public Warrants:</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or the 30-day redemption period, to each warrant holder; and</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and only if, the closing price of the Company’s Class A common stock equals or exceeds $18.00 per share for any 20 trading days within a 30-trading day period ending on the third trading day prior to the date on which we send the notice of redemption to the warrant holders.</w:t>
      </w:r>
    </w:p>
    <w:p>
      <w:pPr>
        <w:spacing w:after="0" w:line="146"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70"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warrants will not be adjusted for issuance of Class A common stock at a price below its exercise price. Additionally, in no event will the Company be required to net cash settle the warrants. If the Company is unable to complete a Business Combination within the Combination Window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92"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common stock issuable upon the exercise of the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Subsequent Events</w:t>
      </w:r>
    </w:p>
    <w:p>
      <w:pPr>
        <w:spacing w:after="0" w:line="229" w:lineRule="exact"/>
        <w:rPr>
          <w:sz w:val="20"/>
          <w:szCs w:val="20"/>
          <w:color w:val="auto"/>
        </w:rPr>
      </w:pPr>
    </w:p>
    <w:p>
      <w:pPr>
        <w:jc w:val="both"/>
        <w:ind w:firstLine="363"/>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 was issued. Based upon this review, the Company did not identify any subsequent events that would have required adjustment or disclosure in the financial statement.</w:t>
      </w: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lowerRoman"/>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2020-08-10T06:29:33Z</dcterms:created>
  <dcterms:modified xsi:type="dcterms:W3CDTF">2020-08-10T06:29:33Z</dcterms:modified>
</cp:coreProperties>
</file>