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7779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779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1,195,006,622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April 18, 2022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as amended, with the information contained in our Quarterly Report on Form 10-Q for the quarter ended March 31, 2022, filed with the SEC on May 5, 2022 (the “</w:t>
      </w:r>
      <w:r>
        <w:rPr>
          <w:rFonts w:ascii="Arial" w:cs="Arial" w:eastAsia="Arial" w:hAnsi="Arial"/>
          <w:sz w:val="18"/>
          <w:szCs w:val="18"/>
          <w:i w:val="1"/>
          <w:iCs w:val="1"/>
          <w:color w:val="auto"/>
        </w:rPr>
        <w:t>Quarterly Report</w:t>
      </w:r>
      <w:r>
        <w:rPr>
          <w:rFonts w:ascii="Arial" w:cs="Arial" w:eastAsia="Arial" w:hAnsi="Arial"/>
          <w:sz w:val="18"/>
          <w:szCs w:val="18"/>
          <w:color w:val="auto"/>
        </w:rPr>
        <w:t>”). Accordingly, we have attached the Quarterly Report to this prospectus supplement.</w:t>
      </w:r>
    </w:p>
    <w:p>
      <w:pPr>
        <w:spacing w:after="0" w:line="187" w:lineRule="exact"/>
        <w:rPr>
          <w:sz w:val="24"/>
          <w:szCs w:val="24"/>
          <w:color w:val="auto"/>
        </w:rPr>
      </w:pPr>
    </w:p>
    <w:p>
      <w:pPr>
        <w:ind w:right="140" w:firstLine="324"/>
        <w:spacing w:after="0" w:line="271" w:lineRule="auto"/>
        <w:rPr>
          <w:sz w:val="20"/>
          <w:szCs w:val="20"/>
          <w:color w:val="auto"/>
        </w:rPr>
      </w:pPr>
      <w:r>
        <w:rPr>
          <w:rFonts w:ascii="Arial" w:cs="Arial" w:eastAsia="Arial" w:hAnsi="Arial"/>
          <w:sz w:val="17"/>
          <w:szCs w:val="17"/>
          <w:color w:val="auto"/>
        </w:rPr>
        <w:t>The Prospectus and this prospectus supplement relate to: (1) the issuance by us of an aggregate of up to 44,350,000 shares of our common stock, par value $0.0001 per share (“</w:t>
      </w:r>
      <w:r>
        <w:rPr>
          <w:rFonts w:ascii="Arial" w:cs="Arial" w:eastAsia="Arial" w:hAnsi="Arial"/>
          <w:sz w:val="17"/>
          <w:szCs w:val="17"/>
          <w:i w:val="1"/>
          <w:iCs w:val="1"/>
          <w:color w:val="auto"/>
        </w:rPr>
        <w:t>Class A common stock</w:t>
      </w:r>
      <w:r>
        <w:rPr>
          <w:rFonts w:ascii="Arial" w:cs="Arial" w:eastAsia="Arial" w:hAnsi="Arial"/>
          <w:sz w:val="17"/>
          <w:szCs w:val="17"/>
          <w:color w:val="auto"/>
        </w:rPr>
        <w:t>”), consisting of (a) 42,850,000 shares of Class A common stock issuable upon exercise of the Private Placement Warrants and (b) 1,500,000 shares of Class A common stock issuable upon exercise of the Working Capital Warrants, and (2) the offer and sale from time to time by the selling securityholders named in the Prospectus (the “</w:t>
      </w:r>
      <w:r>
        <w:rPr>
          <w:rFonts w:ascii="Arial" w:cs="Arial" w:eastAsia="Arial" w:hAnsi="Arial"/>
          <w:sz w:val="17"/>
          <w:szCs w:val="17"/>
          <w:i w:val="1"/>
          <w:iCs w:val="1"/>
          <w:color w:val="auto"/>
        </w:rPr>
        <w:t>Selling Securityholders</w:t>
      </w:r>
      <w:r>
        <w:rPr>
          <w:rFonts w:ascii="Arial" w:cs="Arial" w:eastAsia="Arial" w:hAnsi="Arial"/>
          <w:sz w:val="17"/>
          <w:szCs w:val="17"/>
          <w:color w:val="auto"/>
        </w:rPr>
        <w:t>”), or their permitted transferees, of (a) up to 1,195,006,622 shares of Class A common stock, consisting of (i) 1,118,905,164 issued and outstanding shares of Class A common stock, (ii) 31,751,458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78" w:lineRule="exact"/>
        <w:rPr>
          <w:sz w:val="24"/>
          <w:szCs w:val="24"/>
          <w:color w:val="auto"/>
        </w:rPr>
      </w:pPr>
    </w:p>
    <w:p>
      <w:pPr>
        <w:ind w:right="280" w:firstLine="324"/>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ind w:right="660" w:firstLine="324"/>
        <w:spacing w:after="0" w:line="308" w:lineRule="auto"/>
        <w:rPr>
          <w:sz w:val="20"/>
          <w:szCs w:val="20"/>
          <w:color w:val="auto"/>
        </w:rPr>
      </w:pPr>
      <w:r>
        <w:rPr>
          <w:rFonts w:ascii="Arial" w:cs="Arial" w:eastAsia="Arial" w:hAnsi="Arial"/>
          <w:sz w:val="17"/>
          <w:szCs w:val="17"/>
          <w:color w:val="auto"/>
        </w:rPr>
        <w:t>We are a “controlled company” within the meaning of Nasdaq rules and, as a result, qualify for exemptions from certain corporate governance requirements. Ayar, our majority stockholder, also currently has the ability to nominate five of the nine directors to our Board.</w:t>
      </w:r>
    </w:p>
    <w:p>
      <w:pPr>
        <w:spacing w:after="0" w:line="146"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May 5, 2022, the closing price of our Class A common stock was $18.85 per share.</w:t>
      </w:r>
    </w:p>
    <w:p>
      <w:pPr>
        <w:spacing w:after="0" w:line="180" w:lineRule="exact"/>
        <w:rPr>
          <w:sz w:val="24"/>
          <w:szCs w:val="24"/>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Investing in our Class A common stock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7 of the Prospectus and in our other documents subsequently filed with the SEC, including the Quarterly Report.</w:t>
      </w:r>
    </w:p>
    <w:p>
      <w:pPr>
        <w:spacing w:after="0" w:line="162" w:lineRule="exact"/>
        <w:rPr>
          <w:sz w:val="24"/>
          <w:szCs w:val="24"/>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0"/>
          <w:szCs w:val="20"/>
          <w:color w:val="auto"/>
        </w:rPr>
      </w:pPr>
    </w:p>
    <w:p>
      <w:pPr>
        <w:ind w:left="340" w:right="1760" w:hanging="332"/>
        <w:spacing w:after="0" w:line="266"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0"/>
          <w:szCs w:val="20"/>
          <w:color w:val="auto"/>
        </w:rPr>
      </w:pPr>
    </w:p>
    <w:p>
      <w:pPr>
        <w:ind w:left="340"/>
        <w:spacing w:after="0"/>
        <w:tabs>
          <w:tab w:leader="none" w:pos="3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001-39408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83" w:right="339" w:bottom="1440" w:gutter="0" w:footer="0" w:header="0"/>
        </w:sectPr>
      </w:pPr>
    </w:p>
    <w:p>
      <w:pPr>
        <w:spacing w:after="0" w:line="205"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5"/>
          <w:szCs w:val="15"/>
          <w:b w:val="1"/>
          <w:bCs w:val="1"/>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8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1480"/>
        <w:spacing w:after="0"/>
        <w:rPr>
          <w:sz w:val="20"/>
          <w:szCs w:val="20"/>
          <w:color w:val="auto"/>
        </w:rPr>
      </w:pPr>
      <w:r>
        <w:rPr>
          <w:rFonts w:ascii="Arial" w:cs="Arial" w:eastAsia="Arial" w:hAnsi="Arial"/>
          <w:sz w:val="16"/>
          <w:szCs w:val="16"/>
          <w:b w:val="1"/>
          <w:bCs w:val="1"/>
          <w:i w:val="1"/>
          <w:iCs w:val="1"/>
          <w:color w:val="auto"/>
        </w:rPr>
        <w:t>(I.R.S. Employer Identification No.)</w:t>
      </w:r>
    </w:p>
    <w:p>
      <w:pPr>
        <w:spacing w:after="0" w:line="200" w:lineRule="exact"/>
        <w:rPr>
          <w:sz w:val="20"/>
          <w:szCs w:val="20"/>
          <w:color w:val="auto"/>
        </w:rPr>
      </w:pPr>
    </w:p>
    <w:p>
      <w:pPr>
        <w:sectPr>
          <w:pgSz w:w="11900" w:h="16838" w:orient="portrait"/>
          <w:cols w:equalWidth="0" w:num="2">
            <w:col w:w="6380" w:space="720"/>
            <w:col w:w="4140"/>
          </w:cols>
          <w:pgMar w:left="320" w:top="1183" w:right="33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7373 Gateway Boulevard, Newark, CA 94560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(Address of principal executive offices) (Zip code)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 648-3553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(Registrant’s telephone number, including area code)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83" w:right="339" w:bottom="1440" w:gutter="0" w:footer="0" w:header="0"/>
          <w:type w:val="continuous"/>
        </w:sectPr>
      </w:pPr>
    </w:p>
    <w:p>
      <w:pPr>
        <w:spacing w:after="0" w:line="221"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Class A Common Stock, $0.0001 par value per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LCID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Nasdaq Stock Market LLC</w:t>
      </w:r>
    </w:p>
    <w:p>
      <w:pPr>
        <w:spacing w:after="0" w:line="9" w:lineRule="exact"/>
        <w:rPr>
          <w:sz w:val="20"/>
          <w:szCs w:val="20"/>
          <w:color w:val="auto"/>
        </w:rPr>
      </w:pPr>
    </w:p>
    <w:p>
      <w:pPr>
        <w:sectPr>
          <w:pgSz w:w="11900" w:h="16838" w:orient="portrait"/>
          <w:cols w:equalWidth="0" w:num="3">
            <w:col w:w="4160" w:space="720"/>
            <w:col w:w="2060" w:space="720"/>
            <w:col w:w="3580"/>
          </w:cols>
          <w:pgMar w:left="320" w:top="1183" w:right="339" w:bottom="1440" w:gutter="0" w:footer="0" w:header="0"/>
          <w:type w:val="continuous"/>
        </w:sectPr>
      </w:pPr>
    </w:p>
    <w:p>
      <w:pPr>
        <w:ind w:left="1680"/>
        <w:spacing w:after="0"/>
        <w:rPr>
          <w:sz w:val="20"/>
          <w:szCs w:val="20"/>
          <w:color w:val="auto"/>
        </w:rPr>
      </w:pPr>
      <w:r>
        <w:rPr>
          <w:rFonts w:ascii="Arial" w:cs="Arial" w:eastAsia="Arial" w:hAnsi="Arial"/>
          <w:sz w:val="15"/>
          <w:szCs w:val="15"/>
          <w:color w:val="auto"/>
        </w:rPr>
        <w:t>share</w:t>
      </w:r>
    </w:p>
    <w:p>
      <w:pPr>
        <w:sectPr>
          <w:pgSz w:w="11900" w:h="16838" w:orient="portrait"/>
          <w:cols w:equalWidth="0" w:num="1">
            <w:col w:w="11240"/>
          </w:cols>
          <w:pgMar w:left="320" w:top="1183" w:right="339" w:bottom="1440" w:gutter="0" w:footer="0" w:header="0"/>
          <w:type w:val="continuous"/>
        </w:sectPr>
      </w:pPr>
    </w:p>
    <w:p>
      <w:pPr>
        <w:spacing w:after="0" w:line="245"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60" w:type="dxa"/>
            <w:vAlign w:val="bottom"/>
          </w:tcPr>
          <w:p>
            <w:pPr>
              <w:ind w:left="84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at April 29, 2022: 1,667,840,573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160" w:type="dxa"/>
            <w:vAlign w:val="bottom"/>
            <w:gridSpan w:val="10"/>
          </w:tcPr>
          <w:p>
            <w:pPr>
              <w:jc w:val="center"/>
              <w:ind w:right="3500"/>
              <w:spacing w:after="0"/>
              <w:rPr>
                <w:sz w:val="20"/>
                <w:szCs w:val="20"/>
                <w:color w:val="auto"/>
              </w:rPr>
            </w:pPr>
            <w:r>
              <w:rPr>
                <w:rFonts w:ascii="Arial" w:cs="Arial" w:eastAsia="Arial" w:hAnsi="Arial"/>
                <w:sz w:val="18"/>
                <w:szCs w:val="18"/>
                <w:b w:val="1"/>
                <w:bCs w:val="1"/>
                <w:color w:val="auto"/>
              </w:rPr>
              <w:t>INDEX TO FORM 10-Q</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10460" w:type="dxa"/>
            <w:vAlign w:val="bottom"/>
            <w:tcBorders>
              <w:top w:val="single" w:sz="8" w:color="CCEEFF"/>
            </w:tcBorders>
            <w:gridSpan w:val="23"/>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140" w:type="dxa"/>
            <w:vAlign w:val="bottom"/>
            <w:gridSpan w:val="1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Frequently Used Terms</w:t>
              </w:r>
            </w:hyperlink>
          </w:p>
        </w:tc>
        <w:tc>
          <w:tcPr>
            <w:tcW w:w="5280" w:type="dxa"/>
            <w:vAlign w:val="bottom"/>
            <w:gridSpan w:val="9"/>
          </w:tcPr>
          <w:p>
            <w:pPr>
              <w:spacing w:after="0"/>
              <w:rPr>
                <w:sz w:val="15"/>
                <w:szCs w:val="15"/>
                <w:color w:val="auto"/>
              </w:rPr>
            </w:pPr>
          </w:p>
        </w:tc>
        <w:tc>
          <w:tcPr>
            <w:tcW w:w="780" w:type="dxa"/>
            <w:vAlign w:val="bottom"/>
            <w:gridSpan w:val="3"/>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gridSpan w:val="3"/>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Item 1.</w:t>
              </w:r>
            </w:hyperlink>
          </w:p>
        </w:tc>
        <w:tc>
          <w:tcPr>
            <w:tcW w:w="9420" w:type="dxa"/>
            <w:vAlign w:val="bottom"/>
            <w:gridSpan w:val="20"/>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Financial Statements (Unaudited)</w:t>
              </w:r>
            </w:hyperlink>
          </w:p>
        </w:tc>
        <w:tc>
          <w:tcPr>
            <w:tcW w:w="780" w:type="dxa"/>
            <w:vAlign w:val="bottom"/>
            <w:gridSpan w:val="3"/>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2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Balance Sheets as of March 31, 2022 and December 31, 2021 (Unaudited)</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100" w:type="dxa"/>
            <w:vAlign w:val="bottom"/>
            <w:tcBorders>
              <w:bottom w:val="single" w:sz="8" w:color="0000EE"/>
            </w:tcBorders>
            <w:gridSpan w:val="19"/>
          </w:tcPr>
          <w:p>
            <w:pPr>
              <w:spacing w:after="0" w:line="17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Operations and Comprehensive Loss for the Three Months Ended March 31, 2022 and</w:t>
              </w:r>
            </w:hyperlink>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2021 (Unaudited)</w:t>
              </w:r>
            </w:hyperlink>
          </w:p>
        </w:tc>
        <w:tc>
          <w:tcPr>
            <w:tcW w:w="800" w:type="dxa"/>
            <w:vAlign w:val="bottom"/>
            <w:gridSpan w:val="4"/>
          </w:tcPr>
          <w:p>
            <w:pPr>
              <w:jc w:val="right"/>
              <w:ind w:righ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Condensed Consolidated Statements of Convertible Preferred Stock and Stockholders’ Equity (Deficit) for the Three Months</w:t>
              </w:r>
            </w:hyperlink>
          </w:p>
        </w:tc>
        <w:tc>
          <w:tcPr>
            <w:tcW w:w="420" w:type="dxa"/>
            <w:vAlign w:val="bottom"/>
            <w:tcBorders>
              <w:bottom w:val="single" w:sz="8" w:color="CCEEFF"/>
            </w:tcBorders>
            <w:gridSpan w:val="2"/>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20" w:type="dxa"/>
            <w:vAlign w:val="bottom"/>
            <w:gridSpan w:val="20"/>
            <w:shd w:val="clear" w:color="auto" w:fill="CCEEFF"/>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Ended March 31, 2022 and 2021 (Unaudited)</w:t>
              </w:r>
            </w:hyperlink>
          </w:p>
        </w:tc>
        <w:tc>
          <w:tcPr>
            <w:tcW w:w="78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20" w:type="dxa"/>
            <w:vAlign w:val="bottom"/>
            <w:gridSpan w:val="20"/>
          </w:tcPr>
          <w:p>
            <w:pPr>
              <w:spacing w:after="0" w:line="176"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Condensed Consolidated Statements of Cash Flows for the Three Months Ended March 31, 2022 and 2021 (Unaudited)</w:t>
              </w:r>
            </w:hyperlink>
          </w:p>
        </w:tc>
        <w:tc>
          <w:tcPr>
            <w:tcW w:w="780" w:type="dxa"/>
            <w:vAlign w:val="bottom"/>
            <w:gridSpan w:val="3"/>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20" w:type="dxa"/>
            <w:vAlign w:val="bottom"/>
            <w:gridSpan w:val="20"/>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Notes to Condensed Consolidated Financial Statements (Unaudited)</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11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9420" w:type="dxa"/>
            <w:vAlign w:val="bottom"/>
            <w:gridSpan w:val="20"/>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780" w:type="dxa"/>
            <w:vAlign w:val="bottom"/>
            <w:gridSpan w:val="3"/>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5060" w:type="dxa"/>
            <w:vAlign w:val="bottom"/>
            <w:tcBorders>
              <w:bottom w:val="single" w:sz="8" w:color="CCEEFF"/>
            </w:tcBorders>
            <w:gridSpan w:val="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41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0" w:type="dxa"/>
            <w:vAlign w:val="bottom"/>
            <w:gridSpan w:val="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9420" w:type="dxa"/>
            <w:vAlign w:val="bottom"/>
            <w:gridSpan w:val="20"/>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 and Procedures</w:t>
              </w:r>
            </w:hyperlink>
          </w:p>
        </w:tc>
        <w:tc>
          <w:tcPr>
            <w:tcW w:w="780" w:type="dxa"/>
            <w:vAlign w:val="bottom"/>
            <w:gridSpan w:val="3"/>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60" w:type="dxa"/>
            <w:vAlign w:val="bottom"/>
            <w:gridSpan w:val="23"/>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PART II. OTHER INFORMATION</w:t>
              </w:r>
            </w:hyperlink>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gridSpan w:val="3"/>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9420" w:type="dxa"/>
            <w:vAlign w:val="bottom"/>
            <w:gridSpan w:val="20"/>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780" w:type="dxa"/>
            <w:vAlign w:val="bottom"/>
            <w:gridSpan w:val="3"/>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gridSpan w:val="3"/>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9420" w:type="dxa"/>
            <w:vAlign w:val="bottom"/>
            <w:gridSpan w:val="20"/>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 w:type="dxa"/>
            <w:vAlign w:val="bottom"/>
            <w:gridSpan w:val="2"/>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Item 5.</w:t>
              </w:r>
            </w:hyperlink>
          </w:p>
        </w:tc>
        <w:tc>
          <w:tcPr>
            <w:tcW w:w="400" w:type="dxa"/>
            <w:vAlign w:val="bottom"/>
          </w:tcPr>
          <w:p>
            <w:pPr>
              <w:spacing w:after="0"/>
              <w:rPr>
                <w:sz w:val="15"/>
                <w:szCs w:val="15"/>
                <w:color w:val="auto"/>
              </w:rPr>
            </w:pPr>
          </w:p>
        </w:tc>
        <w:tc>
          <w:tcPr>
            <w:tcW w:w="9420" w:type="dxa"/>
            <w:vAlign w:val="bottom"/>
            <w:gridSpan w:val="20"/>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780" w:type="dxa"/>
            <w:vAlign w:val="bottom"/>
            <w:gridSpan w:val="3"/>
          </w:tcPr>
          <w:p>
            <w:pPr>
              <w:jc w:val="right"/>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Item 6.</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Exhibits</w:t>
              </w:r>
            </w:hyperlink>
          </w:p>
        </w:tc>
        <w:tc>
          <w:tcPr>
            <w:tcW w:w="8820" w:type="dxa"/>
            <w:vAlign w:val="bottom"/>
            <w:tcBorders>
              <w:bottom w:val="single" w:sz="8" w:color="CCEEFF"/>
            </w:tcBorders>
            <w:gridSpan w:val="18"/>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60" w:type="dxa"/>
            <w:vAlign w:val="bottom"/>
            <w:gridSpan w:val="23"/>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SIGNATURES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gridSpan w:val="13"/>
          </w:tcPr>
          <w:p>
            <w:pPr>
              <w:jc w:val="right"/>
              <w:ind w:right="280"/>
              <w:spacing w:after="0"/>
              <w:rPr>
                <w:sz w:val="20"/>
                <w:szCs w:val="20"/>
                <w:color w:val="auto"/>
              </w:rPr>
            </w:pPr>
            <w:r>
              <w:rPr>
                <w:rFonts w:ascii="Arial" w:cs="Arial" w:eastAsia="Arial" w:hAnsi="Arial"/>
                <w:sz w:val="18"/>
                <w:szCs w:val="18"/>
                <w:color w:val="auto"/>
              </w:rPr>
              <w:t>2</w:t>
            </w:r>
          </w:p>
        </w:tc>
        <w:tc>
          <w:tcPr>
            <w:tcW w:w="15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4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CAUTIONARY NOTE REGARDING FORWARD-LOOKING STATEMENTS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They appear in a number of places throughout this Quarterly Report on Form 10-Q and include statements regarding our intentions, beliefs or current expectations concerning, among other things,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and production volumes,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and our financial and operating guidance, future capital expenditures and other operating expenses,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182" w:lineRule="exact"/>
        <w:rPr>
          <w:sz w:val="20"/>
          <w:szCs w:val="20"/>
          <w:color w:val="auto"/>
        </w:rPr>
      </w:pPr>
    </w:p>
    <w:p>
      <w:pPr>
        <w:ind w:left="660" w:right="3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 including the ongoing conflict between Russia and Ukraine;</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 including our ability to mass produce the Lucid Air and complete the tooling of our manufacturing facility;</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supply chain and our ability to complete the tooling of our manufacturing facilities over time and scale production of the Lucid Air and other vehicles;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construction of new manufacturing facilities and the increase of our production capacity;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manage our growth and recruit and retain key employees, including our chief executive officer and executive team;</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establish our brand, and capture additional market share, and the risks associated with negative press or reputational harm;</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global COVID-19 pandemic on our supply chain, projected results of operations, financial performance or other financial metrics, or on any of the foregoing risks;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disclosed in this Quarterly Report on Form 10-Q or our other filings with the Securities and Exchange Commission (the “SEC”).</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ind w:right="160"/>
        <w:spacing w:after="0" w:line="271" w:lineRule="auto"/>
        <w:rPr>
          <w:sz w:val="20"/>
          <w:szCs w:val="20"/>
          <w:color w:val="auto"/>
        </w:rPr>
      </w:pPr>
      <w:r>
        <w:rPr>
          <w:rFonts w:ascii="Arial" w:cs="Arial" w:eastAsia="Arial" w:hAnsi="Arial"/>
          <w:sz w:val="17"/>
          <w:szCs w:val="17"/>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Unless otherwise stated in Item I. Financial Statements and accompanying footnotes, or the context otherwise requires, references in this Quarterly Report on Form 10-Q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2009 Plan</w:t>
      </w:r>
      <w:r>
        <w:rPr>
          <w:rFonts w:ascii="Arial" w:cs="Arial" w:eastAsia="Arial" w:hAnsi="Arial"/>
          <w:sz w:val="18"/>
          <w:szCs w:val="18"/>
          <w:color w:val="auto"/>
        </w:rPr>
        <w:t>” are to the Atieva, Inc. 2009 Share Plan duly adopted by the board of directors of Legacy Lucid on December 17,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Plan</w:t>
      </w:r>
      <w:r>
        <w:rPr>
          <w:rFonts w:ascii="Arial" w:cs="Arial" w:eastAsia="Arial" w:hAnsi="Arial"/>
          <w:sz w:val="18"/>
          <w:szCs w:val="18"/>
          <w:color w:val="auto"/>
        </w:rPr>
        <w:t>” are to the Atieva, Inc. 2014 Share Plan duly adopted by the board of directors of Legacy Lucid on May 14, 2014;</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are to the Atieva, Inc. 2021 Stock Incentive Plan duly adopted by the compensation committee of the board of directors of Legacy Lucid on January 13, 2021 and approved by Legacy Lucid’s shareholders on January 21,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w:t>
      </w:r>
      <w:r>
        <w:rPr>
          <w:rFonts w:ascii="Arial" w:cs="Arial" w:eastAsia="Arial" w:hAnsi="Arial"/>
          <w:sz w:val="18"/>
          <w:szCs w:val="18"/>
          <w:color w:val="auto"/>
        </w:rPr>
        <w:t>” are to the 1.25% Convertible Senior Notes due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are, prior to consummation of the Transactions, to the board of directors of Legacy Lucid, and, following consummation of the Transactions, to the board of directors of Lucid Group Inc., a Delaware corporation;</w:t>
      </w:r>
    </w:p>
    <w:p>
      <w:pPr>
        <w:spacing w:after="0" w:line="17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w:t>
      </w:r>
      <w:r>
        <w:rPr>
          <w:rFonts w:ascii="Arial" w:cs="Arial" w:eastAsia="Arial" w:hAnsi="Arial"/>
          <w:sz w:val="16"/>
          <w:szCs w:val="16"/>
          <w:color w:val="auto"/>
        </w:rPr>
        <w:t xml:space="preserve">” or </w:t>
      </w:r>
      <w:r>
        <w:rPr>
          <w:rFonts w:ascii="Arial" w:cs="Arial" w:eastAsia="Arial" w:hAnsi="Arial"/>
          <w:sz w:val="16"/>
          <w:szCs w:val="16"/>
          <w:i w:val="1"/>
          <w:iCs w:val="1"/>
          <w:color w:val="auto"/>
        </w:rPr>
        <w:t>“CCIV”</w:t>
      </w:r>
      <w:r>
        <w:rPr>
          <w:rFonts w:ascii="Arial" w:cs="Arial" w:eastAsia="Arial" w:hAnsi="Arial"/>
          <w:sz w:val="16"/>
          <w:szCs w:val="16"/>
          <w:color w:val="auto"/>
        </w:rPr>
        <w:t xml:space="preserve">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A common stock</w:t>
      </w:r>
      <w:r>
        <w:rPr>
          <w:rFonts w:ascii="Arial" w:cs="Arial" w:eastAsia="Arial" w:hAnsi="Arial"/>
          <w:sz w:val="18"/>
          <w:szCs w:val="18"/>
          <w:color w:val="auto"/>
        </w:rPr>
        <w:t>” are to Churchill’s Class A common stock, par value $0.0001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B common stock</w:t>
      </w:r>
      <w:r>
        <w:rPr>
          <w:rFonts w:ascii="Arial" w:cs="Arial" w:eastAsia="Arial" w:hAnsi="Arial"/>
          <w:sz w:val="18"/>
          <w:szCs w:val="18"/>
          <w:color w:val="auto"/>
        </w:rPr>
        <w:t>” are to Churchill’s Class B common stock, par value $0.0001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are, prior to the consummation of the Transactions, to Churchill’s Class A common stock and Churchill’s Class B common stock and, following the consummation of the Transactions, to the common stock of Lucid Group, Inc., par value $0.0001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are to the date and time when the Merger became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ESG</w:t>
      </w:r>
      <w:r>
        <w:rPr>
          <w:rFonts w:ascii="Arial" w:cs="Arial" w:eastAsia="Arial" w:hAnsi="Arial"/>
          <w:sz w:val="18"/>
          <w:szCs w:val="18"/>
          <w:color w:val="auto"/>
        </w:rPr>
        <w:t>” are to the Environmental, Social and Governance;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w:t>
      </w:r>
      <w:r>
        <w:rPr>
          <w:rFonts w:ascii="Arial" w:cs="Arial" w:eastAsia="Arial" w:hAnsi="Arial"/>
          <w:sz w:val="18"/>
          <w:szCs w:val="18"/>
          <w:color w:val="auto"/>
        </w:rPr>
        <w:t>” are to electric vehicle;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are to the quotient as defined in, and calculated in accordance with, the Merger Agreement, which is 2.644;</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are to the Investor Rights Agreement, dated as of February 22, 2021, by and among the Company, the Sponsor, Ayar and certain other parties thereto;</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 before the Closing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Common Shares</w:t>
      </w:r>
      <w:r>
        <w:rPr>
          <w:rFonts w:ascii="Arial" w:cs="Arial" w:eastAsia="Arial" w:hAnsi="Arial"/>
          <w:sz w:val="18"/>
          <w:szCs w:val="18"/>
          <w:color w:val="auto"/>
        </w:rPr>
        <w:t>” are to the common shares, par value $0.0001 per share, of Legacy Lucid;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Awards</w:t>
      </w:r>
      <w:r>
        <w:rPr>
          <w:rFonts w:ascii="Arial" w:cs="Arial" w:eastAsia="Arial" w:hAnsi="Arial"/>
          <w:sz w:val="18"/>
          <w:szCs w:val="18"/>
          <w:color w:val="auto"/>
        </w:rPr>
        <w:t>” are to all issued and outstanding stock options, restricted stock units or other compensatory equity securities in respect of shares of Legacy Lucid outstanding as of immediately prior to the closing of the Merger, including, without limitation, any Legacy Lucid Options and Legacy Lucid RSUs;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Share Plans</w:t>
      </w:r>
      <w:r>
        <w:rPr>
          <w:rFonts w:ascii="Arial" w:cs="Arial" w:eastAsia="Arial" w:hAnsi="Arial"/>
          <w:sz w:val="16"/>
          <w:szCs w:val="16"/>
          <w:color w:val="auto"/>
        </w:rPr>
        <w:t>” are to the 2009 Plan, the 2014 Plan, the 2021 Plan, in each case as amended from time to time in accordance with their terms;</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Options</w:t>
      </w:r>
      <w:r>
        <w:rPr>
          <w:rFonts w:ascii="Arial" w:cs="Arial" w:eastAsia="Arial" w:hAnsi="Arial"/>
          <w:sz w:val="18"/>
          <w:szCs w:val="18"/>
          <w:color w:val="auto"/>
        </w:rPr>
        <w:t>” are to all issued and outstanding options to purchase or otherwise acquire Legacy Lucid Common Shares (whether or not vested) held by any person, including share options granted under any Legacy Lucid Share Plan;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Preferred Shares</w:t>
      </w:r>
      <w:r>
        <w:rPr>
          <w:rFonts w:ascii="Arial" w:cs="Arial" w:eastAsia="Arial" w:hAnsi="Arial"/>
          <w:sz w:val="18"/>
          <w:szCs w:val="18"/>
          <w:color w:val="auto"/>
        </w:rPr>
        <w:t>” are to, collectively, Legacy Lucid Series A Preferred Shares, Legacy Lucid Series B Preferred Shares, Legacy Lucid Series C Preferred Shares, Legacy Lucid Series D Preferred Shares and Legacy Lucid Series E Preferred Shares;</w:t>
      </w:r>
    </w:p>
    <w:p>
      <w:pPr>
        <w:spacing w:after="0" w:line="170" w:lineRule="exact"/>
        <w:rPr>
          <w:sz w:val="20"/>
          <w:szCs w:val="20"/>
          <w:color w:val="auto"/>
        </w:rPr>
      </w:pPr>
    </w:p>
    <w:p>
      <w:pPr>
        <w:jc w:val="both"/>
        <w:ind w:right="2120"/>
        <w:spacing w:after="0" w:line="5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Series A Preferred Shares</w:t>
      </w:r>
      <w:r>
        <w:rPr>
          <w:rFonts w:ascii="Arial" w:cs="Arial" w:eastAsia="Arial" w:hAnsi="Arial"/>
          <w:sz w:val="16"/>
          <w:szCs w:val="16"/>
          <w:color w:val="auto"/>
        </w:rPr>
        <w:t>” are to the Series A preferred shares, par value $0.0001 per share, of Legacy Lucid; “</w:t>
      </w:r>
      <w:r>
        <w:rPr>
          <w:rFonts w:ascii="Arial" w:cs="Arial" w:eastAsia="Arial" w:hAnsi="Arial"/>
          <w:sz w:val="16"/>
          <w:szCs w:val="16"/>
          <w:i w:val="1"/>
          <w:iCs w:val="1"/>
          <w:color w:val="auto"/>
        </w:rPr>
        <w:t>Legacy Lucid Series B Preferred Shares</w:t>
      </w:r>
      <w:r>
        <w:rPr>
          <w:rFonts w:ascii="Arial" w:cs="Arial" w:eastAsia="Arial" w:hAnsi="Arial"/>
          <w:sz w:val="16"/>
          <w:szCs w:val="16"/>
          <w:color w:val="auto"/>
        </w:rPr>
        <w:t>” are to the Series B preferred shares, par value $0.0001 per share, of Legacy Lucid; “</w:t>
      </w:r>
      <w:r>
        <w:rPr>
          <w:rFonts w:ascii="Arial" w:cs="Arial" w:eastAsia="Arial" w:hAnsi="Arial"/>
          <w:sz w:val="16"/>
          <w:szCs w:val="16"/>
          <w:i w:val="1"/>
          <w:iCs w:val="1"/>
          <w:color w:val="auto"/>
        </w:rPr>
        <w:t>Legacy Lucid Series C Preferred Shares</w:t>
      </w:r>
      <w:r>
        <w:rPr>
          <w:rFonts w:ascii="Arial" w:cs="Arial" w:eastAsia="Arial" w:hAnsi="Arial"/>
          <w:sz w:val="16"/>
          <w:szCs w:val="16"/>
          <w:color w:val="auto"/>
        </w:rPr>
        <w:t>” are to the Series C preferred shares, par value $0.0001 per share, of Legacy Lucid; “</w:t>
      </w:r>
      <w:r>
        <w:rPr>
          <w:rFonts w:ascii="Arial" w:cs="Arial" w:eastAsia="Arial" w:hAnsi="Arial"/>
          <w:sz w:val="16"/>
          <w:szCs w:val="16"/>
          <w:i w:val="1"/>
          <w:iCs w:val="1"/>
          <w:color w:val="auto"/>
        </w:rPr>
        <w:t>Legacy Lucid Series D Preferred Shares</w:t>
      </w:r>
      <w:r>
        <w:rPr>
          <w:rFonts w:ascii="Arial" w:cs="Arial" w:eastAsia="Arial" w:hAnsi="Arial"/>
          <w:sz w:val="16"/>
          <w:szCs w:val="16"/>
          <w:color w:val="auto"/>
        </w:rPr>
        <w:t>” are to the Series D preferred shares, par value $0.0001 per share, of Legacy Lucid; “</w:t>
      </w:r>
      <w:r>
        <w:rPr>
          <w:rFonts w:ascii="Arial" w:cs="Arial" w:eastAsia="Arial" w:hAnsi="Arial"/>
          <w:sz w:val="16"/>
          <w:szCs w:val="16"/>
          <w:i w:val="1"/>
          <w:iCs w:val="1"/>
          <w:color w:val="auto"/>
        </w:rPr>
        <w:t>Legacy Lucid Series E Preferred Shares</w:t>
      </w:r>
      <w:r>
        <w:rPr>
          <w:rFonts w:ascii="Arial" w:cs="Arial" w:eastAsia="Arial" w:hAnsi="Arial"/>
          <w:sz w:val="16"/>
          <w:szCs w:val="16"/>
          <w:color w:val="auto"/>
        </w:rPr>
        <w:t>” are to the Series E preferred shares, par value $0.0001 per share, of Legacy Lucid; “</w:t>
      </w:r>
      <w:r>
        <w:rPr>
          <w:rFonts w:ascii="Arial" w:cs="Arial" w:eastAsia="Arial" w:hAnsi="Arial"/>
          <w:sz w:val="16"/>
          <w:szCs w:val="16"/>
          <w:i w:val="1"/>
          <w:iCs w:val="1"/>
          <w:color w:val="auto"/>
        </w:rPr>
        <w:t>Legacy Lucid Share</w:t>
      </w:r>
      <w:r>
        <w:rPr>
          <w:rFonts w:ascii="Arial" w:cs="Arial" w:eastAsia="Arial" w:hAnsi="Arial"/>
          <w:sz w:val="16"/>
          <w:szCs w:val="16"/>
          <w:color w:val="auto"/>
        </w:rPr>
        <w:t>s” are to the Legacy Lucid Common Shares and Legacy Lucid Preferred Shares;</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RSUs</w:t>
      </w:r>
      <w:r>
        <w:rPr>
          <w:rFonts w:ascii="Arial" w:cs="Arial" w:eastAsia="Arial" w:hAnsi="Arial"/>
          <w:sz w:val="18"/>
          <w:szCs w:val="18"/>
          <w:color w:val="auto"/>
        </w:rPr>
        <w:t>” are to all issued and outstanding restricted stock unit awards with respect to Legacy Lucid Common Shares outstanding under any Legacy Lucid Share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Awards</w:t>
      </w:r>
      <w:r>
        <w:rPr>
          <w:rFonts w:ascii="Arial" w:cs="Arial" w:eastAsia="Arial" w:hAnsi="Arial"/>
          <w:sz w:val="18"/>
          <w:szCs w:val="18"/>
          <w:color w:val="auto"/>
        </w:rPr>
        <w:t>” are to Lucid Options and Lucid RSUs;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Lucid Options</w:t>
      </w:r>
      <w:r>
        <w:rPr>
          <w:rFonts w:ascii="Arial" w:cs="Arial" w:eastAsia="Arial" w:hAnsi="Arial"/>
          <w:sz w:val="17"/>
          <w:szCs w:val="17"/>
          <w:color w:val="auto"/>
        </w:rPr>
        <w:t>” are to all issued and outstanding options to purchase shares of common stock immediately following the closing of the Merger;</w:t>
      </w:r>
    </w:p>
    <w:p>
      <w:pPr>
        <w:spacing w:after="0" w:line="2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RSUs</w:t>
      </w:r>
      <w:r>
        <w:rPr>
          <w:rFonts w:ascii="Arial" w:cs="Arial" w:eastAsia="Arial" w:hAnsi="Arial"/>
          <w:sz w:val="18"/>
          <w:szCs w:val="18"/>
          <w:color w:val="auto"/>
        </w:rPr>
        <w:t>” are to all issued and outstanding restricted stock unit awards with respect to shares of common stock immediately following the closing of the Merger;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are to the merger of a merger subsidiary of Churchill and Atieva, Inc., with Atieva, Inc. surviving such merger as a wholly owned subsidiary of Churchill;</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are to Air Merger Sub, Inc., a Delaware corporation and a direct, wholly-owned subsidiary of Churchill;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February 22, 2021, by and among Churchill, Legacy Lucid and Merger Sub, as the same has been or may be amended, modified, supplemented or waived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PIF</w:t>
      </w:r>
      <w:r>
        <w:rPr>
          <w:rFonts w:ascii="Arial" w:cs="Arial" w:eastAsia="Arial" w:hAnsi="Arial"/>
          <w:sz w:val="18"/>
          <w:szCs w:val="18"/>
          <w:color w:val="auto"/>
        </w:rPr>
        <w:t>” are to the Public Investment Fund;</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Subscription Agreements</w:t>
      </w:r>
      <w:r>
        <w:rPr>
          <w:rFonts w:ascii="Arial" w:cs="Arial" w:eastAsia="Arial" w:hAnsi="Arial"/>
          <w:sz w:val="18"/>
          <w:szCs w:val="18"/>
          <w:color w:val="auto"/>
        </w:rPr>
        <w:t>” are to the common stock subscription agreements entered into by and among Churchill, and the investors party thereto, in each case, dated as of February 22, 2021 and entered into in connection with the PIPE Investment;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are to Churchill’s warrants issued to the Sponsor in a private placement simultaneously with the closing of the Churchill IPO;</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Promissory Note</w:t>
      </w:r>
      <w:r>
        <w:rPr>
          <w:rFonts w:ascii="Arial" w:cs="Arial" w:eastAsia="Arial" w:hAnsi="Arial"/>
          <w:sz w:val="17"/>
          <w:szCs w:val="17"/>
          <w:color w:val="auto"/>
        </w:rPr>
        <w:t>” are to the unsecured promissory note issued by Churchill to the Sponsor in an aggregate principal amount of $1,500,000. The Sponsor has elected to exercise its option to convert the unpaid balance of the Promissory Note of $1,500,000 into Working Capital Warrants;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Churchill’s warrants sold as part of the units in the Churchill IPO (whether they were purchased in the Churchill IPO or thereafter in the open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are to Churchill Sponsor IV LLC, a Delaware limited liability company and an affiliate of M. Klein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are to the Merger, together with the other transactions consummated under the Merger Agreement and the related agreements;</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are to the Warrant Agreement, dated July 29, 2020, entered into in connection with the Churchill IPO by and between Continental Stock Transfer &amp; Trust Company and Churchill; and</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Working Capital Warrants</w:t>
      </w:r>
      <w:r>
        <w:rPr>
          <w:rFonts w:ascii="Arial" w:cs="Arial" w:eastAsia="Arial" w:hAnsi="Arial"/>
          <w:sz w:val="18"/>
          <w:szCs w:val="18"/>
          <w:color w:val="auto"/>
        </w:rPr>
        <w:t>” are to the warrants to purchase Churchill’s Class A common stock pursuant to the terms of the Promissory Note, on terms identical to the terms of the Private Placement Warrants.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34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49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627"/>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5,391,844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6,262,905</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3,148</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333,906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127,250</w:t>
            </w: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70,346</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95,489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43,328</w:t>
            </w:r>
          </w:p>
        </w:tc>
      </w:tr>
      <w:tr>
        <w:trPr>
          <w:trHeight w:val="209"/>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5,864,431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6,506,977</w:t>
            </w: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1,327,544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1,182,153</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166,625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161,974</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43,240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30,609</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7,401,840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-1731010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-1447800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-1173480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-899795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-607695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-325120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60" w:space="720"/>
            <w:col w:w="77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66,440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41,342</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32,364</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4,183</w:t>
            </w: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412,258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318,212</w:t>
            </w:r>
          </w:p>
        </w:tc>
      </w:tr>
      <w:tr>
        <w:trPr>
          <w:trHeight w:val="210"/>
        </w:trPr>
        <w:tc>
          <w:tcPr>
            <w:tcW w:w="83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511,940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396,101</w:t>
            </w: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net of current portion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Common stock warrant liability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871,478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1,394,808</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1,988,047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1,986,791</w:t>
            </w: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194,867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188,575</w:t>
            </w:r>
          </w:p>
        </w:tc>
      </w:tr>
      <w:tr>
        <w:trPr>
          <w:trHeight w:val="210"/>
        </w:trPr>
        <w:tc>
          <w:tcPr>
            <w:tcW w:w="83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3,572,371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Preferred stock, par value $0.0001; 10,000,000 shares authorized as of March 31, 2022 and December 31, 2021; no</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as of March 31, 2022 and December 31, 2021</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80" w:type="dxa"/>
            <w:vAlign w:val="bottom"/>
          </w:tcPr>
          <w:p>
            <w:pPr>
              <w:spacing w:after="0" w:line="201" w:lineRule="exact"/>
              <w:rPr>
                <w:sz w:val="20"/>
                <w:szCs w:val="20"/>
                <w:color w:val="auto"/>
              </w:rPr>
            </w:pPr>
            <w:r>
              <w:rPr>
                <w:rFonts w:ascii="Arial" w:cs="Arial" w:eastAsia="Arial" w:hAnsi="Arial"/>
                <w:sz w:val="18"/>
                <w:szCs w:val="18"/>
                <w:color w:val="auto"/>
                <w:w w:val="94"/>
              </w:rPr>
              <w:t>Common stock, par value $0.0001; 15,000,000,000 shares authorized as of March 31, 2022 and December 31,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w w:val="99"/>
              </w:rPr>
              <w:t>2021; 1,667,597,533 and 1,648,413,415 shares issued and 1,666,739,708 and 1,647,555,590 shares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outstanding as of March 31, 2022 and December 31, 2021, respectively</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9,997,176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9,995,778</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Treasury stock, at cost, 857,825 shares at March 31, 2022 and December 31, 2021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(20,716)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(20,716)</w:t>
            </w:r>
          </w:p>
        </w:tc>
      </w:tr>
      <w:tr>
        <w:trPr>
          <w:trHeight w:val="23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(6,147,158)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(6,065,872)</w:t>
            </w:r>
          </w:p>
        </w:tc>
      </w:tr>
      <w:tr>
        <w:trPr>
          <w:trHeight w:val="210"/>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3,829,469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3,909,355</w:t>
            </w:r>
          </w:p>
        </w:tc>
        <w:tc>
          <w:tcPr>
            <w:tcW w:w="100" w:type="dxa"/>
            <w:vAlign w:val="bottom"/>
            <w:tcBorders>
              <w:bottom w:val="single" w:sz="8" w:color="CCEEFF"/>
            </w:tcBorders>
          </w:tcPr>
          <w:p>
            <w:pPr>
              <w:spacing w:after="0"/>
              <w:rPr>
                <w:sz w:val="18"/>
                <w:szCs w:val="18"/>
                <w:color w:val="auto"/>
              </w:rPr>
            </w:pPr>
          </w:p>
        </w:tc>
      </w:tr>
      <w:tr>
        <w:trPr>
          <w:trHeight w:val="223"/>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7,401,840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7,881,713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gridSpan w:val="2"/>
            <w:shd w:val="clear" w:color="auto" w:fill="CCEEFF"/>
          </w:tcPr>
          <w:p>
            <w:pPr>
              <w:spacing w:after="0"/>
              <w:rPr>
                <w:sz w:val="18"/>
                <w:szCs w:val="18"/>
                <w:color w:val="auto"/>
              </w:rPr>
            </w:pPr>
          </w:p>
        </w:tc>
      </w:t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245,970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186,076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167,369</w:t>
            </w:r>
          </w:p>
        </w:tc>
        <w:tc>
          <w:tcPr>
            <w:tcW w:w="80" w:type="dxa"/>
            <w:vAlign w:val="bottom"/>
            <w:shd w:val="clear" w:color="auto" w:fill="CCEEFF"/>
          </w:tcPr>
          <w:p>
            <w:pPr>
              <w:spacing w:after="0"/>
              <w:rPr>
                <w:sz w:val="18"/>
                <w:szCs w:val="18"/>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223,159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131,652</w:t>
            </w:r>
          </w:p>
        </w:tc>
        <w:tc>
          <w:tcPr>
            <w:tcW w:w="80" w:type="dxa"/>
            <w:vAlign w:val="bottom"/>
          </w:tcPr>
          <w:p>
            <w:pPr>
              <w:spacing w:after="0"/>
              <w:rPr>
                <w:sz w:val="19"/>
                <w:szCs w:val="19"/>
                <w:color w:val="auto"/>
              </w:rPr>
            </w:pPr>
          </w:p>
        </w:tc>
      </w:tr>
      <w:tr>
        <w:trPr>
          <w:trHeight w:val="209"/>
        </w:trPr>
        <w:tc>
          <w:tcPr>
            <w:tcW w:w="8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and expenses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655,205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(597,530)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(298,793)</w:t>
            </w:r>
          </w:p>
        </w:tc>
      </w:t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(442,164)</w:t>
            </w: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(6,976)</w:t>
            </w: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523,330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(7,705)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9"/>
        </w:trPr>
        <w:tc>
          <w:tcPr>
            <w:tcW w:w="82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0"/>
        </w:trPr>
        <w:tc>
          <w:tcPr>
            <w:tcW w:w="8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(449,155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8260" w:type="dxa"/>
            <w:vAlign w:val="bottom"/>
          </w:tcPr>
          <w:p>
            <w:pPr>
              <w:ind w:left="34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(747,948)</w:t>
            </w:r>
          </w:p>
        </w:tc>
        <w:tc>
          <w:tcPr>
            <w:tcW w:w="100" w:type="dxa"/>
            <w:vAlign w:val="bottom"/>
            <w:gridSpan w:val="2"/>
          </w:tcPr>
          <w:p>
            <w:pPr>
              <w:spacing w:after="0"/>
              <w:rPr>
                <w:sz w:val="18"/>
                <w:szCs w:val="18"/>
                <w:color w:val="auto"/>
              </w:rPr>
            </w:pPr>
          </w:p>
        </w:tc>
      </w:tr>
      <w:tr>
        <w:trPr>
          <w:trHeight w:val="23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0"/>
        </w:trPr>
        <w:tc>
          <w:tcPr>
            <w:tcW w:w="82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(747,952)</w:t>
            </w:r>
          </w:p>
        </w:tc>
        <w:tc>
          <w:tcPr>
            <w:tcW w:w="100" w:type="dxa"/>
            <w:vAlign w:val="bottom"/>
            <w:gridSpan w:val="2"/>
          </w:tcPr>
          <w:p>
            <w:pPr>
              <w:spacing w:after="0"/>
              <w:rPr>
                <w:sz w:val="18"/>
                <w:szCs w:val="18"/>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Deemed dividend related to the issuance of Series E convertible preferred stock</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(2,167,333)</w:t>
            </w:r>
          </w:p>
        </w:tc>
      </w:tr>
      <w:tr>
        <w:trPr>
          <w:trHeight w:val="263"/>
        </w:trPr>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(2,915,285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55"/>
        </w:trPr>
        <w:tc>
          <w:tcPr>
            <w:tcW w:w="826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6"/>
              </w:rPr>
              <w:t>Weighted average shares outstanding used in computing net loss per share attributable to common stockholders,</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44"/>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1,654,322,379</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32,650,874</w:t>
            </w: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gridSpan w:val="7"/>
            <w:vMerge w:val="restart"/>
          </w:tcPr>
          <w:p>
            <w:pPr>
              <w:jc w:val="right"/>
              <w:ind w:right="72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3"/>
                <w:szCs w:val="3"/>
                <w:color w:val="auto"/>
              </w:rPr>
            </w:pPr>
          </w:p>
        </w:tc>
        <w:tc>
          <w:tcPr>
            <w:tcW w:w="98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jc w:val="center"/>
              <w:ind w:right="159"/>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3"/>
                <w:szCs w:val="3"/>
                <w:color w:val="auto"/>
              </w:rPr>
            </w:pPr>
          </w:p>
        </w:tc>
        <w:tc>
          <w:tcPr>
            <w:tcW w:w="86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7"/>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6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3"/>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w w:val="99"/>
              </w:rPr>
              <w:t>Three Months Ended March 31, 2022</w:t>
            </w: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42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14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5"/>
                <w:szCs w:val="15"/>
                <w:color w:val="auto"/>
              </w:rPr>
            </w:pPr>
          </w:p>
        </w:tc>
        <w:tc>
          <w:tcPr>
            <w:tcW w:w="94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Deficit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2022</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b w:val="1"/>
                <w:bCs w:val="1"/>
                <w:color w:val="auto"/>
                <w:w w:val="85"/>
              </w:rPr>
              <w:t>—</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b w:val="1"/>
                <w:bCs w:val="1"/>
                <w:color w:val="auto"/>
                <w:w w:val="85"/>
              </w:rPr>
              <w:t>—</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1,647,555,590</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9,995,778</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(20,716)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(6,065,872)</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3,909,355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gridSpan w:val="3"/>
          </w:tcPr>
          <w:p>
            <w:pPr>
              <w:ind w:left="7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(81,286)</w:t>
            </w:r>
          </w:p>
        </w:tc>
        <w:tc>
          <w:tcPr>
            <w:tcW w:w="200" w:type="dxa"/>
            <w:vAlign w:val="bottom"/>
          </w:tcPr>
          <w:p>
            <w:pPr>
              <w:spacing w:after="0"/>
              <w:rPr>
                <w:sz w:val="12"/>
                <w:szCs w:val="12"/>
                <w:color w:val="auto"/>
              </w:rPr>
            </w:pPr>
          </w:p>
        </w:tc>
        <w:tc>
          <w:tcPr>
            <w:tcW w:w="8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(81,286)</w:t>
            </w: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w w:val="99"/>
              </w:rPr>
              <w:t>Issuance and sale of common stock</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for tax withholdings of employee</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RSUs</w:t>
            </w:r>
          </w:p>
        </w:tc>
        <w:tc>
          <w:tcPr>
            <w:tcW w:w="108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(182,265)</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(182,265)</w:t>
            </w:r>
          </w:p>
        </w:tc>
        <w:tc>
          <w:tcPr>
            <w:tcW w:w="0" w:type="dxa"/>
            <w:vAlign w:val="bottom"/>
          </w:tcPr>
          <w:p>
            <w:pPr>
              <w:spacing w:after="0"/>
              <w:rPr>
                <w:sz w:val="1"/>
                <w:szCs w:val="1"/>
                <w:color w:val="auto"/>
              </w:rPr>
            </w:pPr>
          </w:p>
        </w:tc>
      </w:tr>
      <w:tr>
        <w:trPr>
          <w:trHeight w:val="130"/>
        </w:trPr>
        <w:tc>
          <w:tcPr>
            <w:tcW w:w="242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vesting of employee RSUs</w:t>
            </w:r>
          </w:p>
        </w:tc>
        <w:tc>
          <w:tcPr>
            <w:tcW w:w="108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7,081,008</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108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12,103,110</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9,113</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9,114</w:t>
            </w:r>
          </w:p>
        </w:tc>
        <w:tc>
          <w:tcPr>
            <w:tcW w:w="0" w:type="dxa"/>
            <w:vAlign w:val="bottom"/>
          </w:tcPr>
          <w:p>
            <w:pPr>
              <w:spacing w:after="0"/>
              <w:rPr>
                <w:sz w:val="1"/>
                <w:szCs w:val="1"/>
                <w:color w:val="auto"/>
              </w:rPr>
            </w:pPr>
          </w:p>
        </w:tc>
      </w:tr>
      <w:tr>
        <w:trPr>
          <w:trHeight w:val="162"/>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174,551</w:t>
            </w:r>
          </w:p>
        </w:tc>
        <w:tc>
          <w:tcPr>
            <w:tcW w:w="12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174,551</w:t>
            </w:r>
          </w:p>
        </w:tc>
        <w:tc>
          <w:tcPr>
            <w:tcW w:w="0" w:type="dxa"/>
            <w:vAlign w:val="bottom"/>
          </w:tcPr>
          <w:p>
            <w:pPr>
              <w:spacing w:after="0"/>
              <w:rPr>
                <w:sz w:val="1"/>
                <w:szCs w:val="1"/>
                <w:color w:val="auto"/>
              </w:rPr>
            </w:pPr>
          </w:p>
        </w:tc>
      </w:tr>
      <w:tr>
        <w:trPr>
          <w:trHeight w:val="155"/>
        </w:trPr>
        <w:tc>
          <w:tcPr>
            <w:tcW w:w="242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March 31, 2022</w:t>
            </w:r>
          </w:p>
        </w:tc>
        <w:tc>
          <w:tcPr>
            <w:tcW w:w="860" w:type="dxa"/>
            <w:vAlign w:val="bottom"/>
            <w:tcBorders>
              <w:top w:val="single" w:sz="8" w:color="auto"/>
              <w:bottom w:val="single" w:sz="8" w:color="auto"/>
            </w:tcBorders>
            <w:shd w:val="clear" w:color="auto" w:fill="CCEEFF"/>
          </w:tcPr>
          <w:p>
            <w:pPr>
              <w:ind w:left="720"/>
              <w:spacing w:after="0" w:line="155" w:lineRule="exact"/>
              <w:rPr>
                <w:sz w:val="20"/>
                <w:szCs w:val="20"/>
                <w:color w:val="auto"/>
              </w:rPr>
            </w:pPr>
            <w:r>
              <w:rPr>
                <w:rFonts w:ascii="Arial" w:cs="Arial" w:eastAsia="Arial" w:hAnsi="Arial"/>
                <w:sz w:val="14"/>
                <w:szCs w:val="14"/>
                <w:b w:val="1"/>
                <w:bCs w:val="1"/>
                <w:color w:val="auto"/>
                <w:w w:val="85"/>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ind w:left="580"/>
              <w:spacing w:after="0" w:line="155" w:lineRule="exact"/>
              <w:rPr>
                <w:sz w:val="20"/>
                <w:szCs w:val="20"/>
                <w:color w:val="auto"/>
              </w:rPr>
            </w:pPr>
            <w:r>
              <w:rPr>
                <w:rFonts w:ascii="Arial" w:cs="Arial" w:eastAsia="Arial" w:hAnsi="Arial"/>
                <w:sz w:val="14"/>
                <w:szCs w:val="14"/>
                <w:b w:val="1"/>
                <w:bCs w:val="1"/>
                <w:color w:val="auto"/>
                <w:w w:val="85"/>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left w:val="single" w:sz="8" w:color="CCEEFF"/>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1,666,739,708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9,997,176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(20,716</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(6,147,158</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3,829,469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9"/>
            <w:vMerge w:val="restart"/>
          </w:tcPr>
          <w:p>
            <w:pPr>
              <w:ind w:left="64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7"/>
                <w:szCs w:val="17"/>
                <w:color w:val="auto"/>
              </w:rPr>
            </w:pPr>
          </w:p>
        </w:tc>
        <w:tc>
          <w:tcPr>
            <w:tcW w:w="98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jc w:val="center"/>
              <w:ind w:right="119"/>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7"/>
                <w:szCs w:val="17"/>
                <w:color w:val="auto"/>
              </w:rPr>
            </w:pPr>
          </w:p>
        </w:tc>
        <w:tc>
          <w:tcPr>
            <w:tcW w:w="86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9"/>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gridSpan w:val="2"/>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6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3"/>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w w:val="99"/>
              </w:rPr>
              <w:t>Three Months Ended March 31, 2021</w:t>
            </w:r>
          </w:p>
        </w:tc>
        <w:tc>
          <w:tcPr>
            <w:tcW w:w="1080" w:type="dxa"/>
            <w:vAlign w:val="bottom"/>
            <w:gridSpan w:val="3"/>
          </w:tcPr>
          <w:p>
            <w:pPr>
              <w:ind w:left="18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38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14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5"/>
                <w:szCs w:val="15"/>
                <w:color w:val="auto"/>
              </w:rPr>
            </w:pPr>
          </w:p>
        </w:tc>
        <w:tc>
          <w:tcPr>
            <w:tcW w:w="94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Deficit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2021</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957,159,704</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righ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2,494,076</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28,791,702</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38,113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(1,356,893)</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(1,318,777)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(747,952)</w:t>
            </w:r>
          </w:p>
        </w:tc>
        <w:tc>
          <w:tcPr>
            <w:tcW w:w="200" w:type="dxa"/>
            <w:vAlign w:val="bottom"/>
          </w:tcPr>
          <w:p>
            <w:pPr>
              <w:spacing w:after="0"/>
              <w:rPr>
                <w:sz w:val="12"/>
                <w:szCs w:val="12"/>
                <w:color w:val="auto"/>
              </w:rPr>
            </w:pPr>
          </w:p>
        </w:tc>
        <w:tc>
          <w:tcPr>
            <w:tcW w:w="8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(747,952)</w:t>
            </w: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Repurchase of Series B convertible</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(3,525,365)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2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Issuance of Series D convertible</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preferred stock upon exercise 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warrants</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1,546,799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12,936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Series E convertible</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133,818,821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1,844,886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(38,115)</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(2,129,217)</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(2,167,332)</w:t>
            </w:r>
          </w:p>
        </w:tc>
        <w:tc>
          <w:tcPr>
            <w:tcW w:w="0" w:type="dxa"/>
            <w:vAlign w:val="bottom"/>
          </w:tcPr>
          <w:p>
            <w:pPr>
              <w:spacing w:after="0"/>
              <w:rPr>
                <w:sz w:val="1"/>
                <w:szCs w:val="1"/>
                <w:color w:val="auto"/>
              </w:rPr>
            </w:pPr>
          </w:p>
        </w:tc>
      </w:tr>
      <w:tr>
        <w:trPr>
          <w:trHeight w:val="130"/>
        </w:trPr>
        <w:tc>
          <w:tcPr>
            <w:tcW w:w="2420" w:type="dxa"/>
            <w:vAlign w:val="bottom"/>
            <w:gridSpan w:val="2"/>
          </w:tcPr>
          <w:p>
            <w:pPr>
              <w:ind w:left="180"/>
              <w:spacing w:after="0" w:line="130" w:lineRule="exact"/>
              <w:rPr>
                <w:sz w:val="20"/>
                <w:szCs w:val="20"/>
                <w:color w:val="auto"/>
              </w:rPr>
            </w:pPr>
            <w:r>
              <w:rPr>
                <w:rFonts w:ascii="Arial" w:cs="Arial" w:eastAsia="Arial" w:hAnsi="Arial"/>
                <w:sz w:val="14"/>
                <w:szCs w:val="14"/>
                <w:color w:val="auto"/>
                <w:w w:val="96"/>
              </w:rPr>
              <w:t>Stock-based compensation related to</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Series E convertible preferred stock</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102,913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2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2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6,897,516</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4,316</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4,316</w:t>
            </w:r>
          </w:p>
        </w:tc>
        <w:tc>
          <w:tcPr>
            <w:tcW w:w="0" w:type="dxa"/>
            <w:vAlign w:val="bottom"/>
          </w:tcPr>
          <w:p>
            <w:pPr>
              <w:spacing w:after="0"/>
              <w:rPr>
                <w:sz w:val="1"/>
                <w:szCs w:val="1"/>
                <w:color w:val="auto"/>
              </w:rPr>
            </w:pPr>
          </w:p>
        </w:tc>
      </w:tr>
      <w:tr>
        <w:trPr>
          <w:trHeight w:val="162"/>
        </w:trPr>
        <w:tc>
          <w:tcPr>
            <w:tcW w:w="2420" w:type="dxa"/>
            <w:vAlign w:val="bottom"/>
            <w:gridSpan w:val="2"/>
          </w:tcPr>
          <w:p>
            <w:pPr>
              <w:ind w:left="18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1,882</w:t>
            </w:r>
          </w:p>
        </w:tc>
        <w:tc>
          <w:tcPr>
            <w:tcW w:w="12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155"/>
        </w:trPr>
        <w:tc>
          <w:tcPr>
            <w:tcW w:w="242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March 31, 2021</w:t>
            </w:r>
          </w:p>
        </w:tc>
        <w:tc>
          <w:tcPr>
            <w:tcW w:w="9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1,088,999,959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right w:val="single" w:sz="8" w:color="CCEEFF"/>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b w:val="1"/>
                <w:bCs w:val="1"/>
                <w:color w:val="auto"/>
              </w:rPr>
              <w:t>4,454,811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35,689,218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6,196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(4,234,062</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(4,227,863</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9" w:lineRule="exact"/>
        <w:rPr>
          <w:sz w:val="20"/>
          <w:szCs w:val="20"/>
          <w:color w:val="auto"/>
        </w:rPr>
      </w:pPr>
    </w:p>
    <w:p>
      <w:pPr>
        <w:ind w:right="180" w:firstLine="8"/>
        <w:spacing w:after="0" w:line="255" w:lineRule="auto"/>
        <w:tabs>
          <w:tab w:leader="none" w:pos="212"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right"/>
              <w:ind w:right="561"/>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(81,286)</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(747,952)</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38,242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4,919</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insurance premium</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Non-cash operating lease cost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4,104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6,296</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174,551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104,795</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56</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discounts and issuance costs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Write-down of inventory</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96,366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forward contract liability</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442,164</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Change in fair value of preferred stock warrant liability</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6,976</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(523,330)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(303,022)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(5,267)</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20,523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(49,625)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(544)</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and security deposit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(11,175)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5,713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(14,544)</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3,646</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(4,099)</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 and accrued liabilities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128,060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(11,124)</w:t>
            </w:r>
          </w:p>
        </w:tc>
      </w:tr>
      <w:tr>
        <w:trPr>
          <w:trHeight w:val="230"/>
        </w:trPr>
        <w:tc>
          <w:tcPr>
            <w:tcW w:w="77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3,011</w:t>
            </w:r>
          </w:p>
        </w:tc>
      </w:tr>
      <w:tr>
        <w:trPr>
          <w:trHeight w:val="210"/>
        </w:trPr>
        <w:tc>
          <w:tcPr>
            <w:tcW w:w="77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(494,649</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equipment, and software</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(185,082)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(94,779)</w:t>
            </w:r>
          </w:p>
        </w:tc>
      </w:tr>
      <w:tr>
        <w:trPr>
          <w:trHeight w:val="210"/>
        </w:trPr>
        <w:tc>
          <w:tcPr>
            <w:tcW w:w="7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(185,082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(94,779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Payment for short-term insurance financing note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(12,949)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capital lease liabilities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Payment for finance lease liabilities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Series B convertible preferred stock</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Proceeds from issuance of Series D convertible preferred stock</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3,000</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507,080</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9,114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4,316</w:t>
            </w:r>
          </w:p>
        </w:tc>
      </w:tr>
      <w:tr>
        <w:trPr>
          <w:trHeight w:val="23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repurchases from employees for tax withholdings</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(182,265)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(187,301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511,098</w:t>
            </w:r>
          </w:p>
        </w:tc>
        <w:tc>
          <w:tcPr>
            <w:tcW w:w="100" w:type="dxa"/>
            <w:vAlign w:val="bottom"/>
            <w:tcBorders>
              <w:bottom w:val="single" w:sz="8" w:color="CCEEFF"/>
            </w:tcBorders>
          </w:tcPr>
          <w:p>
            <w:pPr>
              <w:spacing w:after="0"/>
              <w:rPr>
                <w:sz w:val="18"/>
                <w:szCs w:val="18"/>
                <w:color w:val="auto"/>
              </w:rPr>
            </w:pP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197,593</w:t>
            </w:r>
          </w:p>
        </w:tc>
        <w:tc>
          <w:tcPr>
            <w:tcW w:w="100" w:type="dxa"/>
            <w:vAlign w:val="bottom"/>
            <w:shd w:val="clear" w:color="auto" w:fill="CCEEFF"/>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Beginning cash, cash equivalents, and restricted cash</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6,298,020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640,418</w:t>
            </w:r>
          </w:p>
        </w:tc>
      </w:tr>
      <w:tr>
        <w:trPr>
          <w:trHeight w:val="223"/>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cash equivalents, and restricted cash</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5,430,988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312</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57</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and equipment included in accounts payable and accrued expense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(2,753)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(16,357)</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and right-of-use assets obtained through leases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4,073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Issuance of Series D convertible preferred stock upon exercise of preferred stock warrants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9,936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E convertible preferred stock contingent forward contracts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2,167,332</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Issuance of Series E convertible preferred stock upon settlement of contingent forward contracts</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1,444,886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Lucid Group, Inc. (“Lucid”) is a technology and automotive company focused on designing, developing, manufacturing, and selling the next generation of EV, EV powertrains and battery systems.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 Reverse Recapitalization for more information.</w:t>
      </w:r>
    </w:p>
    <w:p>
      <w:pPr>
        <w:spacing w:after="0" w:line="192"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inception through March 31, 2022, the Company has incurred operating losses and negative cash flows from operating activities. For the three months ended March 31, 2022 and 2021, the Company has incurred operating losses, including net losses of $81.3 million and $748.0 million, respectively. The Company has an accumulated deficit of $6.1 billion as of March 31, 2022.</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start of construction of a manufacturing facility in the Kingdom of Saudi Arabia,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existing sources of liquidity include cash and cash equivalents.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of $2,012.5 million principal amount of 1.25% convertible senior notes due in December 2026.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our ability to access potential markets, and secure long-term financing.</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right="180"/>
        <w:spacing w:after="0" w:line="301" w:lineRule="auto"/>
        <w:rPr>
          <w:sz w:val="20"/>
          <w:szCs w:val="20"/>
          <w:color w:val="auto"/>
        </w:rPr>
      </w:pPr>
      <w:r>
        <w:rPr>
          <w:rFonts w:ascii="Arial" w:cs="Arial" w:eastAsia="Arial" w:hAnsi="Arial"/>
          <w:sz w:val="16"/>
          <w:szCs w:val="16"/>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COVID-19 pandemic continues to impact the global economy and cause significant macroeconomic uncertainty. Infection rates vary across the jurisdictions in which the Company operates.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The Company has taken proactive action to protect the health and safety of its employees, customers, partners and suppliers, consistent with the latest and evolving governmental guidelines. The Company expects to continue to implement appropriate measures until the COVID-19 pandemic is adequately contained. The Company continues to monitor the rapidly evolving situation and guidance from international and domestic authorities, including federal, state and local public health authorities, and may take additional actions based on their recommendations and requirements or as the Company otherwise sees fit to protect the health and safety of its employees, customers, partners and suppliers.</w:t>
      </w:r>
    </w:p>
    <w:p>
      <w:pPr>
        <w:spacing w:after="0" w:line="19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While certain of the Company and its suppliers’ operations have from time-to-time been temporarily affected by government-mandated restrictions, the Company was able to commence deliveries of the Lucid Air to customers and to proceed with the construction of the Arizona plant. Broader impacts of the pandemic have included inflationary pressure as well as ongoing, industry-wide challenges in logistics and supply chains, such as increased port congestion, intermittent supplier delays and a shortfall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affect its cost structure as well as its ability and the ability of its suppliers to obtain parts, components and manufacturing equipment on a timely basis for the foreseeable future.</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current circumstances, given the dynamic nature of the situation, any impact on the Company’s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the Company’s suppliers and on global logistics. See “Risk Factors” in Part II, Item 1A of this Quarterly Report on Form 10-Q (the “Quarterly Report”) for additional information regarding risks associated with the COVID-19 pandemic, including under the caption “The ongoing COVID-19 pandemic has adversely affected, and we cannot predict its ultimate impact on,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28, 2022.</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March 31, 2022 and the results of operations for the three months ended March 31, 2022 and 2021. The results of operations for the three months ended March 31, 2022 are not necessarily indicative of the results to be expected for the full year ending December 31, 2022 or any other future interim or annual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1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with an original maturity at the date of purchase of three months or less to be cash equivalents.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Restricted cash in other current assets and noncurrent assets is primarily related to letters of credit issued to the landlords for certain of the Company’s leasehold facilities.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amounts shown in the statements of cash flows (in thousands):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included in other noncurrent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cash, cash equivalents, and restricted cash</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195"/>
        </w:trPr>
        <w:tc>
          <w:tcPr>
            <w:tcW w:w="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5,391,844</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6,262,905</w:t>
            </w:r>
          </w:p>
        </w:tc>
        <w:tc>
          <w:tcPr>
            <w:tcW w:w="2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809,978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614,412</w:t>
            </w: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13,312</w:t>
            </w: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10,740</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11,790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11,278</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25,832</w:t>
            </w: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24,375</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16,243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14,728</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5,430,988</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6,298,020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838,011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640,418</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-607695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-325120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800" w:space="720"/>
            <w:col w:w="5720"/>
          </w:cols>
          <w:pgMar w:left="320" w:top="908" w:right="339" w:bottom="1440" w:gutter="0" w:footer="0" w:header="0"/>
          <w:type w:val="continuous"/>
        </w:sectPr>
      </w:pP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March 31, 2022 and December 31, 2021, which relates specifically to sales of its battery packs.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Company’s significant accounting policies are discussed in Note 2 of the notes to the consolidated financial statements included in the Company’s Form 10-K filed with the SEC on February 28, 2022. There have been no significant changes to these policies during the three months ended March 31,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November 2021, the Financial Accounting Standards Board (“FASB”) issued ASU No. 2021-10, Government Assistance (Topic 832): Disclosures by Business Entities about Government Assistance, which requires annual disclosures about transactions with a government that are accounted for by applying a grant or contribution accounting model by analogy. The disclosure requirements include information about the nature of the transactions and the related accounting policy, the line items on the balance sheet and income statement that are affected by the transactions, the amount applicable to each financial statement line and significant terms and conditions of the transactions. The guidance is effective for annual periods beginning after December 15, 2021 and can be applied either prospectively or retrospectively. The Company has adopted ASU 2021-10 prospectively on January 1, 2022. The adoption of this ASU did not have an impact to the consolidated financial statements and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REVERSE RECAPITALIZATION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176" w:lineRule="exact"/>
        <w:rPr>
          <w:sz w:val="20"/>
          <w:szCs w:val="20"/>
          <w:color w:val="auto"/>
        </w:rPr>
      </w:pPr>
    </w:p>
    <w:p>
      <w:pPr>
        <w:ind w:left="660" w:right="1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 (“Effective Time”);</w:t>
      </w:r>
    </w:p>
    <w:p>
      <w:pPr>
        <w:spacing w:after="0" w:line="183"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pacing w:after="0" w:line="183"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183"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other related events that occurred in connection with the Closing are summarized below:</w:t>
      </w:r>
    </w:p>
    <w:p>
      <w:pPr>
        <w:spacing w:after="0" w:line="225" w:lineRule="exact"/>
        <w:rPr>
          <w:sz w:val="20"/>
          <w:szCs w:val="20"/>
          <w:color w:val="auto"/>
        </w:rPr>
      </w:pPr>
    </w:p>
    <w:p>
      <w:pPr>
        <w:ind w:left="660" w:right="14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186"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Sponsor IV LLC (the “Churchill Sponsor”) exercised its right to convert the outstanding and unpaid amount of $1.5 million under the working capital loan provided by the Churchill Sponsor to Churchill into an additional 1,500,000 Private Placement Warrants at a price of $1.00 per warrant in satisfaction of such loan;</w:t>
      </w:r>
    </w:p>
    <w:p>
      <w:pPr>
        <w:spacing w:after="0" w:line="183" w:lineRule="exact"/>
        <w:rPr>
          <w:rFonts w:ascii="Arial" w:cs="Arial" w:eastAsia="Arial" w:hAnsi="Arial"/>
          <w:sz w:val="18"/>
          <w:szCs w:val="18"/>
          <w:color w:val="auto"/>
        </w:rPr>
      </w:pPr>
    </w:p>
    <w:p>
      <w:pPr>
        <w:ind w:left="660" w:right="20" w:hanging="328"/>
        <w:spacing w:after="0" w:line="27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Placement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 Earnback Shares and Warrants for more information; and</w:t>
      </w:r>
    </w:p>
    <w:p>
      <w:pPr>
        <w:spacing w:after="0" w:line="177"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redeemed 21,644 public shares of Churchill’s Class A common stock at approximately $10.00 per share for an aggregate payment of $0.2 million.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After giving effect to the Merger and the redemption of Churchill shares as described above, the number of shares of common stock issued and outstanding immediately following the consummation of the Merger was as follows:</w:t>
      </w:r>
    </w:p>
    <w:p>
      <w:pPr>
        <w:sectPr>
          <w:pgSz w:w="11900" w:h="16838" w:orient="portrait"/>
          <w:cols w:equalWidth="0" w:num="1">
            <w:col w:w="11220"/>
          </w:cols>
          <w:pgMar w:left="320" w:top="908"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Churchill public shares, prior to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redemption of Churchill shares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Churchill public shares,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2" w:lineRule="auto"/>
        <w:rPr>
          <w:sz w:val="20"/>
          <w:szCs w:val="20"/>
          <w:color w:val="auto"/>
        </w:rPr>
      </w:pPr>
      <w:r>
        <w:rPr>
          <w:rFonts w:ascii="Arial" w:cs="Arial" w:eastAsia="Arial" w:hAnsi="Arial"/>
          <w:sz w:val="18"/>
          <w:szCs w:val="18"/>
          <w:color w:val="auto"/>
        </w:rPr>
        <w:t>Churchill Sponsor shares</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18"/>
          <w:szCs w:val="18"/>
          <w:color w:val="auto"/>
        </w:rPr>
        <w:t>PIPE shares</w:t>
      </w:r>
      <w:r>
        <w:rPr>
          <w:rFonts w:ascii="Arial" w:cs="Arial" w:eastAsia="Arial" w:hAnsi="Arial"/>
          <w:sz w:val="29"/>
          <w:szCs w:val="29"/>
          <w:color w:val="auto"/>
          <w:vertAlign w:val="superscript"/>
        </w:rPr>
        <w:t>(2)</w:t>
      </w:r>
    </w:p>
    <w:p>
      <w:pPr>
        <w:spacing w:after="0" w:line="1" w:lineRule="exact"/>
        <w:rPr>
          <w:sz w:val="20"/>
          <w:szCs w:val="20"/>
          <w:color w:val="auto"/>
        </w:rPr>
      </w:pPr>
    </w:p>
    <w:p>
      <w:pPr>
        <w:ind w:right="3240"/>
        <w:spacing w:after="0" w:line="251" w:lineRule="auto"/>
        <w:rPr>
          <w:sz w:val="20"/>
          <w:szCs w:val="20"/>
          <w:color w:val="auto"/>
        </w:rPr>
      </w:pPr>
      <w:r>
        <w:rPr>
          <w:rFonts w:ascii="Arial" w:cs="Arial" w:eastAsia="Arial" w:hAnsi="Arial"/>
          <w:sz w:val="18"/>
          <w:szCs w:val="18"/>
          <w:color w:val="auto"/>
        </w:rPr>
        <w:t>Total shares of Churchill common stock outstanding immediately prior to the Merger Legacy Lucid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shares of Lucid common stock outstanding immediately after the Merger</w:t>
      </w:r>
      <w:r>
        <w:rPr>
          <w:rFonts w:ascii="Arial" w:cs="Arial" w:eastAsia="Arial" w:hAnsi="Arial"/>
          <w:sz w:val="26"/>
          <w:szCs w:val="26"/>
          <w:color w:val="auto"/>
          <w:vertAlign w:val="superscript"/>
        </w:rPr>
        <w:t>(3)(4)</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207,000,000</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(21,644)</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206,978,356</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51,750,000</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166,666,667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22225</wp:posOffset>
            </wp:positionV>
            <wp:extent cx="7797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425,395,023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1,193,226,511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21590</wp:posOffset>
            </wp:positionV>
            <wp:extent cx="7797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1,618,621,534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22225</wp:posOffset>
            </wp:positionV>
            <wp:extent cx="779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39370</wp:posOffset>
            </wp:positionV>
            <wp:extent cx="7797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9380" w:space="720"/>
            <w:col w:w="1120"/>
          </w:cols>
          <w:pgMar w:left="320" w:top="908" w:right="359" w:bottom="1440" w:gutter="0" w:footer="0" w:header="0"/>
          <w:type w:val="continuous"/>
        </w:sectPr>
      </w:pPr>
    </w:p>
    <w:p>
      <w:pPr>
        <w:spacing w:after="0" w:line="37" w:lineRule="exact"/>
        <w:rPr>
          <w:sz w:val="20"/>
          <w:szCs w:val="20"/>
          <w:color w:val="auto"/>
        </w:rPr>
      </w:pPr>
    </w:p>
    <w:p>
      <w:pPr>
        <w:ind w:left="660" w:right="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51,750,000 shares beneficially owned by the Churchill Sponsor as of the Closing of the Merger includes the 17,250,000 Sponsor Earnback Shares.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sale and issuance of 166,666,667 shares of common stock to the PIPE Investors at $15.00 per share.</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111,531,080 shares of common stock as of the Closing of the Merger to be reserved for potential future issuance upon the exercise of Lucid options or settlement of Lucid RSUs.</w:t>
      </w:r>
    </w:p>
    <w:p>
      <w:pPr>
        <w:spacing w:after="0" w:line="170" w:lineRule="exact"/>
        <w:rPr>
          <w:rFonts w:ascii="Arial" w:cs="Arial" w:eastAsia="Arial" w:hAnsi="Arial"/>
          <w:sz w:val="18"/>
          <w:szCs w:val="18"/>
          <w:color w:val="auto"/>
        </w:rPr>
      </w:pPr>
    </w:p>
    <w:p>
      <w:pPr>
        <w:ind w:left="660" w:right="14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Excludes the 85,750,000 warrants issued and outstanding as of the Closing of the Merger, which includes the 41,400,000 public warrants and the 44,350,000 Private Placement Warrants held by the Churchill Sponsor. The 44,350,000 Private Placement Warrants beneficially owned by the Churchill Sponsor as of the consummation of the Merger includes the 14,783,333 Sponsor Earnback Warrants.</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July 2021. The total net cash proceeds to the Company were $4,400.3 million.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 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Inventory as of March 31, 2022 and December 31, 2021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234,444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87,646</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43,082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30,641</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56,380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127,250</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904" w:right="339" w:bottom="1440" w:gutter="0" w:footer="0" w:header="0"/>
        </w:sectPr>
      </w:pP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Inventory as of March 31, 2022 and December 31, 2021 was comprised of raw materials, work in progress related to the production of vehicles for sale and finished goods inventory including vehicles in transit to fulfill customer orders and new vehicles available for sale. We write down inventory for any excess or obsolete inventories or when we believe that the net realizable value of inventories is less than the carrying value. During the three months ended March 31, 2022, we recorded write-downs of $96.4 million in cost of revenues. No write-downs were recorded during the three months ended March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60" w:type="dxa"/>
            <w:vAlign w:val="bottom"/>
          </w:tcPr>
          <w:p>
            <w:pPr>
              <w:spacing w:after="0"/>
              <w:rPr>
                <w:sz w:val="20"/>
                <w:szCs w:val="20"/>
                <w:color w:val="auto"/>
              </w:rPr>
            </w:pPr>
            <w:r>
              <w:rPr>
                <w:rFonts w:ascii="Arial" w:cs="Arial" w:eastAsia="Arial" w:hAnsi="Arial"/>
                <w:sz w:val="18"/>
                <w:szCs w:val="18"/>
                <w:color w:val="auto"/>
                <w:w w:val="93"/>
              </w:rPr>
              <w:t>Property, plant, and equipment as of March 31, 2022 and December 31, 2021 were as follows (in thousands):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1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197,268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195,952</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Machinery, Tooling and Vehicles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601,791</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32,961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27,968</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144,457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135,533</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19,207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15,352</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13,601</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389,228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276,919</w:t>
            </w:r>
          </w:p>
        </w:tc>
      </w:tr>
      <w:tr>
        <w:trPr>
          <w:trHeight w:val="209"/>
        </w:trPr>
        <w:tc>
          <w:tcPr>
            <w:tcW w:w="81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1,451,675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1,268,166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(124,131)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(86,013)</w:t>
            </w:r>
          </w:p>
        </w:tc>
      </w:tr>
      <w:tr>
        <w:trPr>
          <w:trHeight w:val="223"/>
        </w:trPr>
        <w:tc>
          <w:tcPr>
            <w:tcW w:w="8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1,327,544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ectPr>
          <w:pgSz w:w="11900" w:h="16838" w:orient="portrait"/>
          <w:cols w:equalWidth="0" w:num="1">
            <w:col w:w="1124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Machinery and Tooling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Construction of Arizona plant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Total construction in progress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195"/>
        </w:trPr>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500"/>
              <w:spacing w:after="0" w:line="195" w:lineRule="exact"/>
              <w:rPr>
                <w:sz w:val="20"/>
                <w:szCs w:val="20"/>
                <w:color w:val="auto"/>
              </w:rPr>
            </w:pPr>
            <w:r>
              <w:rPr>
                <w:rFonts w:ascii="Arial" w:cs="Arial" w:eastAsia="Arial" w:hAnsi="Arial"/>
                <w:sz w:val="18"/>
                <w:szCs w:val="18"/>
                <w:color w:val="auto"/>
                <w:w w:val="86"/>
              </w:rPr>
              <w:t>207,847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132,943</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136,459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112,970</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44,922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31,006</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6"/>
              </w:rPr>
              <w:t>389,228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276,919</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-608330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-325120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expense for the three months ended March 31, 2022 and 2021 was approximately $38.2 million and $4.9 million,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OTHER CURRENT AND LONG-TERM LIABILITIES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900" w:type="dxa"/>
            <w:vAlign w:val="bottom"/>
            <w:gridSpan w:val="4"/>
          </w:tcPr>
          <w:p>
            <w:pPr>
              <w:spacing w:after="0"/>
              <w:rPr>
                <w:sz w:val="20"/>
                <w:szCs w:val="20"/>
                <w:color w:val="auto"/>
              </w:rPr>
            </w:pPr>
            <w:r>
              <w:rPr>
                <w:rFonts w:ascii="Arial" w:cs="Arial" w:eastAsia="Arial" w:hAnsi="Arial"/>
                <w:sz w:val="18"/>
                <w:szCs w:val="18"/>
                <w:color w:val="auto"/>
                <w:w w:val="99"/>
              </w:rPr>
              <w:t>Other current liabilities and long-term liabilities as of March 31, 2022 and December 31, 2021 were as follows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testing accrual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10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97,754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92,590</w:t>
            </w:r>
          </w:p>
        </w:tc>
      </w:tr>
      <w:tr>
        <w:trPr>
          <w:trHeight w:val="257"/>
        </w:trPr>
        <w:tc>
          <w:tcPr>
            <w:tcW w:w="8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Accrued purchases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98,527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12,225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Retail leasehold improvements accrual</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14,888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15,796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professional services accrual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13,944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Tooling liability</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23,966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Short-term insurance financing note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15,281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Operating lease liabilities, current portion</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12,448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11,056</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99,404</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412,258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Accrued purchases primarily reflects inventory purchases and related transportation charges that had not been invoiced.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185,323</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3,252</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9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Level 1 investments consist solely of money market fund which is valued using quoted prices that are available in an active market. Level 3 liabilities consist of convertible preferred stock warrant liability, contingent forward contract liability and common stock warrant liability, in which the fair value was measured upon issuance and is remeasured at each reporting date. The valuation methodology and underlying assumptions are discussed further in Note 7 “Contingent Forward Contracts,” Note 8 “Convertible Preferred Stock Warrant Liability” and Note 9 “Common Stock Warrant Liability”.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March 31, 2022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5,250,516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5,250,516</w:t>
            </w:r>
          </w:p>
        </w:tc>
        <w:tc>
          <w:tcPr>
            <w:tcW w:w="80" w:type="dxa"/>
            <w:vAlign w:val="bottom"/>
          </w:tcPr>
          <w:p>
            <w:pPr>
              <w:spacing w:after="0"/>
              <w:rPr>
                <w:sz w:val="19"/>
                <w:szCs w:val="19"/>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5,250,516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5,250,516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0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25,832</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25,832</w:t>
            </w:r>
          </w:p>
        </w:tc>
      </w:tr>
      <w:tr>
        <w:trPr>
          <w:trHeight w:val="263"/>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5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5,276,348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5,276,348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0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Liabilities: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warrant liability</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871,478</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871,478</w:t>
            </w:r>
          </w:p>
        </w:tc>
        <w:tc>
          <w:tcPr>
            <w:tcW w:w="80" w:type="dxa"/>
            <w:vAlign w:val="bottom"/>
            <w:shd w:val="clear" w:color="auto" w:fill="CCEEFF"/>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6"/>
              </w:rPr>
              <w:t>871,478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871,478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2021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6,102,017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6,102,017</w:t>
            </w:r>
          </w:p>
        </w:tc>
        <w:tc>
          <w:tcPr>
            <w:tcW w:w="80" w:type="dxa"/>
            <w:vAlign w:val="bottom"/>
          </w:tcPr>
          <w:p>
            <w:pPr>
              <w:spacing w:after="0"/>
              <w:rPr>
                <w:sz w:val="19"/>
                <w:szCs w:val="19"/>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6,102,017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0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23,179</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23,179</w:t>
            </w:r>
          </w:p>
        </w:tc>
      </w:tr>
      <w:tr>
        <w:trPr>
          <w:trHeight w:val="263"/>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5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6,125,196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6,125,196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40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Liabilities: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warrant liability</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1,394,808</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1,394,808</w:t>
            </w:r>
          </w:p>
        </w:tc>
        <w:tc>
          <w:tcPr>
            <w:tcW w:w="80" w:type="dxa"/>
            <w:vAlign w:val="bottom"/>
            <w:shd w:val="clear" w:color="auto" w:fill="CCEEFF"/>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7"/>
              </w:rPr>
              <w:t>1,394,808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1,394,808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contingent forward contract liability, convertible preferred stock warrant liability and common stock warrant liability measured and recorded at fair value on a recurring basis was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6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Contingent</w:t>
            </w:r>
          </w:p>
        </w:tc>
        <w:tc>
          <w:tcPr>
            <w:tcW w:w="120" w:type="dxa"/>
            <w:vAlign w:val="bottom"/>
          </w:tcPr>
          <w:p>
            <w:pPr>
              <w:spacing w:after="0"/>
              <w:rPr>
                <w:sz w:val="16"/>
                <w:szCs w:val="16"/>
                <w:color w:val="auto"/>
              </w:rPr>
            </w:pPr>
          </w:p>
        </w:tc>
        <w:tc>
          <w:tcPr>
            <w:tcW w:w="11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Convertible</w:t>
            </w:r>
          </w:p>
        </w:tc>
        <w:tc>
          <w:tcPr>
            <w:tcW w:w="100" w:type="dxa"/>
            <w:vAlign w:val="bottom"/>
          </w:tcPr>
          <w:p>
            <w:pPr>
              <w:spacing w:after="0"/>
              <w:rPr>
                <w:sz w:val="16"/>
                <w:szCs w:val="16"/>
                <w:color w:val="auto"/>
              </w:rPr>
            </w:pPr>
          </w:p>
        </w:tc>
      </w:tr>
      <w:tr>
        <w:trPr>
          <w:trHeight w:val="216"/>
        </w:trPr>
        <w:tc>
          <w:tcPr>
            <w:tcW w:w="698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Common Stock</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Forward</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Preferred Stock</w:t>
            </w:r>
          </w:p>
        </w:tc>
      </w:t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Warrant</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Contract</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Warrant</w:t>
            </w:r>
          </w:p>
        </w:tc>
      </w:tr>
      <w:tr>
        <w:trPr>
          <w:trHeight w:val="234"/>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Liability</w:t>
            </w: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Liability</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value-beginning of period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1,394,808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Issuance</w:t>
            </w: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2,167,332</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(523,330)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442,164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6,976</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Settlement</w:t>
            </w: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(1,444,886)</w:t>
            </w: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(9,936)</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1,164,610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p>
      <w:pPr>
        <w:spacing w:after="0" w:line="269" w:lineRule="auto"/>
        <w:rPr>
          <w:sz w:val="20"/>
          <w:szCs w:val="20"/>
          <w:color w:val="auto"/>
        </w:rPr>
      </w:pPr>
      <w:r>
        <w:rPr>
          <w:rFonts w:ascii="Arial" w:cs="Arial" w:eastAsia="Arial" w:hAnsi="Arial"/>
          <w:sz w:val="17"/>
          <w:szCs w:val="17"/>
          <w:color w:val="auto"/>
        </w:rPr>
        <w:t>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70" w:lineRule="exact"/>
        <w:rPr>
          <w:sz w:val="20"/>
          <w:szCs w:val="20"/>
          <w:color w:val="auto"/>
        </w:rPr>
      </w:pPr>
    </w:p>
    <w:p>
      <w:pPr>
        <w:ind w:left="660" w:right="2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or</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70"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49"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The Company accounted for the issuance of the 2026 Notes as a single liability measured at its amortized cost, as no other embedded features require bifurcation and recognition as derivatives. The following is a summary of the 2026 Notes as of March 31, 2022 and December 31, 2021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2022</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2021</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240" w:type="dxa"/>
            <w:vAlign w:val="bottom"/>
          </w:tcPr>
          <w:p>
            <w:pPr>
              <w:spacing w:after="0"/>
              <w:rPr>
                <w:sz w:val="20"/>
                <w:szCs w:val="20"/>
                <w:color w:val="auto"/>
              </w:rPr>
            </w:pPr>
            <w:r>
              <w:rPr>
                <w:rFonts w:ascii="Arial" w:cs="Arial" w:eastAsia="Arial" w:hAnsi="Arial"/>
                <w:sz w:val="18"/>
                <w:szCs w:val="18"/>
                <w:color w:val="auto"/>
              </w:rPr>
              <w:t>Unamortized Debt Discounts and Issuance Costs</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23"/>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Fair Value (Level 2)</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1,528.2</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1,984.6</w:t>
            </w: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Interest expense related to the 2026 Notes was $7.5 million, including $6.3 million contractual interest and $1.2 million attributable to the amortization of the debt discounts and debt issuance costs for the three months ended March 31, 2022. The effective interest rate for the convertible note is 1.5%.</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2026 Notes were not eligible for conversion as of March 31, 2022 and December 31, 2021. No sinking fund is provided for the 2026 Notes, which means that the Company is not required to redeem or retire them periodically.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Saudi Industrial Development Fund (“SIDF”) Loan Agreement</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February 27, 2022, Lucid, LLC, a limited liability company established in the Kingdom of Saudi Arabia and a subsidiary of the Company (“Lucid LLC”) entered into a loan agreement (as subsequently amended, the “SIDF Loan Agreement”) with the SIDF.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to SAR 350 million, commencing on April 3, 2026 and ending on November 12, 2038. SIDF Loans are financing and will be used to finance certain costs in connection with the development and construction of the Company’s planned manufacturing facility in the Kingdom of Saudi Arabia (“the KSA Facility”). Lucid LLC may repay SIDF Loans earlier than the maturity date without penalty. Obligations under the SIDF Loan Agreement do not extend to the Company or any of its other subsidiaries.</w:t>
      </w:r>
    </w:p>
    <w:p>
      <w:pPr>
        <w:spacing w:after="0" w:line="17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SIDF Loans will not bear interest. Instead, Lucid LLC will be required to pay SIDF service fees, consisting of follow-up and technical evaluation fees, ranging, in aggregate, from SAR 415 million (approximately $111 million) to SAR 1.77 billion (approximately $471 million), over the term of the SIDF Loans. SIDF Loans will be secured by security interests in the equipment, machines and assets funded thereby.</w:t>
      </w:r>
    </w:p>
    <w:p>
      <w:pPr>
        <w:spacing w:after="0" w:line="16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As of March 31, 2022, no amounts were outstanding under the SIDF Loan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CONTINGENT FORWARD CONTRACTS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10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in Note 10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In February 2021, the Company and Ayar entered into Amendment No. 1 to the original Series E Preferred Stock Purchase Agreement (“Amendment</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1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10 - Convertible Preferred Stock.</w:t>
      </w:r>
    </w:p>
    <w:p>
      <w:pPr>
        <w:spacing w:after="0" w:line="18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10 - Convertible Preferred Stock for more information.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determined the right to participate in future Series E convertible preferred share financing to be a freestanding financial instrument similar to a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condensed consolidated statements of operations.</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award’s full fair value on each recipient’s grant date was recorded as stock-based compensation, and the related contingent forward contract liability was derecognized. The Company revalued the contingent forward contract liability for the remaining participants and recorded $442.2 million fair value remeasurement loss related to the contingent forward contract liability for the three months ended March 31, 2021. Final fair value of the contingent forward contract liability of $1.2 billion was reclassified into Series E convertible preferred stock upon the fourth closing in April 2021. There was no related outstanding contingent forward contract liability as of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Series E convertible preferred stock contingent forward contract liability for the third closing was determined using a forward payoff.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inputs used in determining the fair value on the issuance date and settlement date,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4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Volatility</w:t>
            </w:r>
          </w:p>
        </w:tc>
        <w:tc>
          <w:tcPr>
            <w:tcW w:w="4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Risk-free rate</w:t>
            </w:r>
          </w:p>
        </w:tc>
        <w:tc>
          <w:tcPr>
            <w:tcW w:w="4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E convertible preferred share</w:t>
            </w:r>
          </w:p>
        </w:tc>
        <w:tc>
          <w:tcPr>
            <w:tcW w:w="3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Volatility</w:t>
            </w:r>
          </w:p>
        </w:tc>
        <w:tc>
          <w:tcPr>
            <w:tcW w:w="3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0.11</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Risk-free rate</w:t>
            </w:r>
          </w:p>
        </w:tc>
        <w:tc>
          <w:tcPr>
            <w:tcW w:w="3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8 - CONVERTIBLE PREFERRED STOCK WARRANT LIABILITY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and September 2017, the Company issued two convertible preferred stock warrants to purchase a total of 1,546,799 shares of Series D convertible preferred stock, with an exercise price of $1.94 per share. The convertible preferred stock warrants had been recorded at fair value using a Monte-Carlo simulation at issuance and had been subsequently remeasured to fair value each reporting period with the changes recorded in the condensed consolidated statements of operations. 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losses related to fair value remeasurements of the warrants in the condensed consolidated statements of operations for the three months ended March 31,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WARRANT LIABILITY</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44,350,000 Private Placement Warrants to purchase shares of Lucid’s common stock. The Private Placement Warrants were initially recognized as a liability with a fair value of $812.0 million and was remeasured to fair value of $1,394.8 million as of December 31, 2021. The Private Placement Warrants remained unexercised and were remeasured to fair value of $871.5 million as of March 31, 2022, resulting in a gain of $523.3 million for the three months ended March 31, 2022 recognized in the condensed consolidated statements of operations.</w:t>
      </w:r>
    </w:p>
    <w:p>
      <w:pPr>
        <w:spacing w:after="0" w:line="18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44,350,000 Private Placement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12 - Earnback Shares and Warrants for more information.</w:t>
      </w:r>
    </w:p>
    <w:p>
      <w:pPr>
        <w:spacing w:after="0" w:line="1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fair value of the Private Placement Warrants that were subject to the contingent forfeiture provisions was initially estimated using a Monte-Carlo simulation to estimate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Placement Warrants that were subject to the contingent forfeiture provisions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23, 2021</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Tranche 1 with $20.00 VWAP threshold per share</w:t>
            </w:r>
          </w:p>
        </w:tc>
        <w:tc>
          <w:tcPr>
            <w:tcW w:w="2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Fair value of Tranche 2 with $25.00 VWAP threshold per share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Tranche 3 with $30.00 VWAP threshold per share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Private Placement Warrants that are not subject to the contingent forfeiture provisions was estimated using a Black-Scholes option pricing model, and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Private Placement Warrants per share</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w w:val="92"/>
              </w:rPr>
              <w:t>March 31, 2022</w:t>
            </w:r>
          </w:p>
        </w:tc>
        <w:tc>
          <w:tcPr>
            <w:tcW w:w="2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December 31, 2021</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44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shd w:val="clear" w:color="auto" w:fill="CCEEFF"/>
          </w:tcPr>
          <w:p>
            <w:pPr>
              <w:spacing w:after="0"/>
              <w:rPr>
                <w:sz w:val="18"/>
                <w:szCs w:val="18"/>
                <w:color w:val="auto"/>
              </w:rPr>
            </w:pPr>
          </w:p>
        </w:tc>
        <w:tc>
          <w:tcPr>
            <w:tcW w:w="4480" w:type="dxa"/>
            <w:vAlign w:val="bottom"/>
            <w:vMerge w:val="continue"/>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980" w:type="dxa"/>
            <w:vAlign w:val="bottom"/>
            <w:gridSpan w:val="3"/>
          </w:tcPr>
          <w:p>
            <w:pPr>
              <w:jc w:val="right"/>
              <w:ind w:right="280"/>
              <w:spacing w:after="0"/>
              <w:rPr>
                <w:sz w:val="20"/>
                <w:szCs w:val="20"/>
                <w:color w:val="auto"/>
              </w:rPr>
            </w:pPr>
            <w:r>
              <w:rPr>
                <w:rFonts w:ascii="Arial" w:cs="Arial" w:eastAsia="Arial" w:hAnsi="Arial"/>
                <w:sz w:val="18"/>
                <w:szCs w:val="18"/>
                <w:color w:val="auto"/>
              </w:rPr>
              <w:t>4.3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59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Dividend yield</w:t>
            </w:r>
          </w:p>
        </w:tc>
        <w:tc>
          <w:tcPr>
            <w:tcW w:w="44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4"/>
        </w:trPr>
        <w:tc>
          <w:tcPr>
            <w:tcW w:w="36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color w:val="auto"/>
              </w:rPr>
              <w:t>22</w:t>
            </w: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10 –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Upon the Closing of the Merger, all 1,155,909,367 shares of issued and outstanding convertible preferred stock were cancelled and converted into 1,155,909,367 shares of Lucid common stock based upon the conversion rate as calculated pursuant to Legacy Lucid’s memorandum and articles of association at the date and time that the Merger became effective. As of March 31, 2022 and December 31, 2021, there were no issued and outstanding shares of convertible preferred stock.</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was carried at its issuance price, net of issuance costs.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Company Repurchase (Series C - August 2020)</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condensed consolidated balance sheet as of December 31, 2020 related to the difference in fair value and carrying value of the Series C stock repurchased.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Company Repurchase (Series C - 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2020, the Company entered into a Stock Repurchase Agreement with Blitz Technology Hong Kong Co. Limited (“Blitz”).</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condensed consolidated balance sheet as of December 31, 2020, related to the difference in fair value and carrying value of the Series C shares repurchased.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Company Repurchase (Series B - December 2020)</w:t>
      </w:r>
    </w:p>
    <w:p>
      <w:pPr>
        <w:spacing w:after="0" w:line="2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condensed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Issuance</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7 – Contingent Forward Contracts). The second and third tranches of $400.0 million each had been issuable upon the Company’s satisfaction of certain milestones related to further development and enhancement in marketing, product, and administrative activities.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right="140"/>
        <w:spacing w:after="0" w:line="259" w:lineRule="auto"/>
        <w:rPr>
          <w:sz w:val="20"/>
          <w:szCs w:val="20"/>
          <w:color w:val="auto"/>
        </w:rPr>
      </w:pPr>
      <w:r>
        <w:rPr>
          <w:rFonts w:ascii="Arial" w:cs="Arial" w:eastAsia="Arial" w:hAnsi="Arial"/>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374,777,280 shares of Series D convertible preferred stock at a price of $2.33 per share, for net proceeds of approximately $872.0 million during the year ended December 31, 2019.</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ectPr>
          <w:pgSz w:w="11900" w:h="16838" w:orient="portrait"/>
          <w:cols w:equalWidth="0" w:num="1">
            <w:col w:w="11220"/>
          </w:cols>
          <w:pgMar w:left="320" w:top="908" w:right="35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activities related to the PIF Convertible Notes and Series D convertible preferred stock funding as below (in thousands):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Series D received in October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Contingent forward contract liability reclassified to Series D in March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Contingent forward contract liability reclassified to Series D in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Conversion of preferred stock warrant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Reclassification of preferred stock warrant liability to Series D in February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proceeds of Series 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637" w:hanging="637"/>
        <w:spacing w:after="0"/>
        <w:tabs>
          <w:tab w:leader="none" w:pos="6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271,985</w:t>
      </w:r>
    </w:p>
    <w:p>
      <w:pPr>
        <w:spacing w:after="0" w:line="46" w:lineRule="exact"/>
        <w:rPr>
          <w:rFonts w:ascii="Arial" w:cs="Arial" w:eastAsia="Arial" w:hAnsi="Arial"/>
          <w:sz w:val="16"/>
          <w:szCs w:val="16"/>
          <w:color w:val="auto"/>
        </w:rPr>
      </w:pPr>
    </w:p>
    <w:p>
      <w:pPr>
        <w:ind w:left="63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637"/>
        <w:spacing w:after="0"/>
        <w:rPr>
          <w:rFonts w:ascii="Arial" w:cs="Arial" w:eastAsia="Arial" w:hAnsi="Arial"/>
          <w:sz w:val="16"/>
          <w:szCs w:val="16"/>
          <w:color w:val="auto"/>
        </w:rPr>
      </w:pPr>
      <w:r>
        <w:rPr>
          <w:rFonts w:ascii="Arial" w:cs="Arial" w:eastAsia="Arial" w:hAnsi="Arial"/>
          <w:sz w:val="16"/>
          <w:szCs w:val="16"/>
          <w:color w:val="auto"/>
        </w:rPr>
        <w:t>400,000</w:t>
      </w:r>
    </w:p>
    <w:p>
      <w:pPr>
        <w:spacing w:after="0" w:line="32" w:lineRule="exact"/>
        <w:rPr>
          <w:rFonts w:ascii="Arial" w:cs="Arial" w:eastAsia="Arial" w:hAnsi="Arial"/>
          <w:sz w:val="16"/>
          <w:szCs w:val="16"/>
          <w:color w:val="auto"/>
        </w:rPr>
      </w:pPr>
    </w:p>
    <w:p>
      <w:pPr>
        <w:ind w:left="63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737"/>
        <w:spacing w:after="0"/>
        <w:rPr>
          <w:rFonts w:ascii="Arial" w:cs="Arial" w:eastAsia="Arial" w:hAnsi="Arial"/>
          <w:sz w:val="16"/>
          <w:szCs w:val="16"/>
          <w:color w:val="auto"/>
        </w:rPr>
      </w:pPr>
      <w:r>
        <w:rPr>
          <w:rFonts w:ascii="Arial" w:cs="Arial" w:eastAsia="Arial" w:hAnsi="Arial"/>
          <w:sz w:val="16"/>
          <w:szCs w:val="16"/>
          <w:color w:val="auto"/>
        </w:rPr>
        <w:t>18,180</w:t>
      </w:r>
    </w:p>
    <w:p>
      <w:pPr>
        <w:spacing w:after="0" w:line="32" w:lineRule="exact"/>
        <w:rPr>
          <w:rFonts w:ascii="Arial" w:cs="Arial" w:eastAsia="Arial" w:hAnsi="Arial"/>
          <w:sz w:val="16"/>
          <w:szCs w:val="16"/>
          <w:color w:val="auto"/>
        </w:rPr>
      </w:pPr>
    </w:p>
    <w:p>
      <w:pPr>
        <w:ind w:left="63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737"/>
        <w:spacing w:after="0"/>
        <w:rPr>
          <w:rFonts w:ascii="Arial" w:cs="Arial" w:eastAsia="Arial" w:hAnsi="Arial"/>
          <w:sz w:val="16"/>
          <w:szCs w:val="16"/>
          <w:color w:val="auto"/>
        </w:rPr>
      </w:pPr>
      <w:r>
        <w:rPr>
          <w:rFonts w:ascii="Arial" w:cs="Arial" w:eastAsia="Arial" w:hAnsi="Arial"/>
          <w:sz w:val="16"/>
          <w:szCs w:val="16"/>
          <w:color w:val="auto"/>
        </w:rPr>
        <w:t>21,384</w:t>
      </w:r>
    </w:p>
    <w:p>
      <w:pPr>
        <w:spacing w:after="0" w:line="32" w:lineRule="exact"/>
        <w:rPr>
          <w:rFonts w:ascii="Arial" w:cs="Arial" w:eastAsia="Arial" w:hAnsi="Arial"/>
          <w:sz w:val="16"/>
          <w:szCs w:val="16"/>
          <w:color w:val="auto"/>
        </w:rPr>
      </w:pPr>
    </w:p>
    <w:p>
      <w:pPr>
        <w:ind w:left="817"/>
        <w:spacing w:after="0"/>
        <w:rPr>
          <w:rFonts w:ascii="Arial" w:cs="Arial" w:eastAsia="Arial" w:hAnsi="Arial"/>
          <w:sz w:val="16"/>
          <w:szCs w:val="16"/>
          <w:color w:val="auto"/>
        </w:rPr>
      </w:pPr>
      <w:r>
        <w:rPr>
          <w:rFonts w:ascii="Arial" w:cs="Arial" w:eastAsia="Arial" w:hAnsi="Arial"/>
          <w:sz w:val="16"/>
          <w:szCs w:val="16"/>
          <w:color w:val="auto"/>
        </w:rPr>
        <w:t>3,000</w:t>
      </w:r>
    </w:p>
    <w:p>
      <w:pPr>
        <w:spacing w:after="0" w:line="32" w:lineRule="exact"/>
        <w:rPr>
          <w:rFonts w:ascii="Arial" w:cs="Arial" w:eastAsia="Arial" w:hAnsi="Arial"/>
          <w:sz w:val="16"/>
          <w:szCs w:val="16"/>
          <w:color w:val="auto"/>
        </w:rPr>
      </w:pPr>
    </w:p>
    <w:p>
      <w:pPr>
        <w:ind w:left="817"/>
        <w:spacing w:after="0"/>
        <w:rPr>
          <w:rFonts w:ascii="Arial" w:cs="Arial" w:eastAsia="Arial" w:hAnsi="Arial"/>
          <w:sz w:val="16"/>
          <w:szCs w:val="16"/>
          <w:color w:val="auto"/>
        </w:rPr>
      </w:pPr>
      <w:r>
        <w:rPr>
          <w:rFonts w:ascii="Arial" w:cs="Arial" w:eastAsia="Arial" w:hAnsi="Arial"/>
          <w:sz w:val="16"/>
          <w:szCs w:val="16"/>
          <w:color w:val="auto"/>
        </w:rPr>
        <w:t>9,936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797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38" w:lineRule="exact"/>
        <w:rPr>
          <w:sz w:val="20"/>
          <w:szCs w:val="20"/>
          <w:color w:val="auto"/>
        </w:rPr>
      </w:pPr>
    </w:p>
    <w:p>
      <w:pPr>
        <w:ind w:left="517" w:hanging="517"/>
        <w:spacing w:after="0"/>
        <w:tabs>
          <w:tab w:leader="none" w:pos="5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797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797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183" w:space="720"/>
            <w:col w:w="1317"/>
          </w:cols>
          <w:pgMar w:left="320" w:top="908" w:right="359" w:bottom="1440" w:gutter="0" w:footer="0" w:header="0"/>
          <w:type w:val="continuous"/>
        </w:sectPr>
      </w:pPr>
    </w:p>
    <w:p>
      <w:pPr>
        <w:spacing w:after="0" w:line="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167,273,525 Series 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as the requirement for the first milestones were met prior to execution of the purchase agreement. Subsequently,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successfully satisfied certain of the second set of milestones and received a waiver from PIF for the remaining milestones; and on December 24, 2020,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provided $400.0 million of funding in exchange for 133,818,821 shares as the final issuance of Series E convertible preferred stock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 milestones. Upon final settlement, the Company re-valued the liability associated with the contingent forward contract to the then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$110.5 million from a contingent liability of $0.8 million and derecognized the liability as the contract was settled in its entirety.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fair value of $109.7 million in the condensed consolidated statements of operations and reclassified the liability into convertible preferred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on the Company’s condensed consolidated balance sheets as of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February 2021, the Company and Ayar entered into Amendment No. 1 to the original Series E Preferred Stock Purchase Agreement (“Amendment</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5" w:name="page26"/>
    <w:bookmarkEnd w:id="25"/>
    <w:p>
      <w:pPr>
        <w:ind w:right="120"/>
        <w:spacing w:after="0" w:line="293"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April 2021, the Company issued 66,909,408 Series E convertible preferred stock from the fourth closing at $2.99 per share for cash consideration of</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Along with the execution of Amendment No. 1, the Company also increased the authorized number of common shares and convertible preferred stock to 1,316,758,889 and 1,155,909,398 stock,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March 31, 2022 and December 31, 2021, there were no issued and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41,400,000 publicly-traded warrants to purchase shares of its common stock. Each whole warrant entitled the holder to purchase one share of the Company’s common stock at a price of $11.50 per share. The public warrants were exercisable as of August 22, 2021 and expire on July 23, 2026, if not yet exercised by the holder or redeemed by the Company.</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of the Company’s issued and outstanding public warrants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59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Public warrants issued in connection with Merger on July 23, 2021</w:t>
            </w:r>
          </w:p>
        </w:tc>
        <w:tc>
          <w:tcPr>
            <w:tcW w:w="47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Number of public warrants exercised</w:t>
            </w:r>
          </w:p>
        </w:tc>
        <w:tc>
          <w:tcPr>
            <w:tcW w:w="6060" w:type="dxa"/>
            <w:vAlign w:val="bottom"/>
            <w:gridSpan w:val="3"/>
          </w:tcPr>
          <w:p>
            <w:pPr>
              <w:jc w:val="right"/>
              <w:ind w:right="40"/>
              <w:spacing w:after="0"/>
              <w:rPr>
                <w:sz w:val="20"/>
                <w:szCs w:val="20"/>
                <w:color w:val="auto"/>
              </w:rPr>
            </w:pPr>
            <w:r>
              <w:rPr>
                <w:rFonts w:ascii="Arial" w:cs="Arial" w:eastAsia="Arial" w:hAnsi="Arial"/>
                <w:sz w:val="18"/>
                <w:szCs w:val="18"/>
                <w:color w:val="auto"/>
              </w:rPr>
              <w:t>(41,034,197)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 redeemed</w:t>
            </w:r>
          </w:p>
        </w:tc>
        <w:tc>
          <w:tcPr>
            <w:tcW w:w="6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(365,803)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w w:val="99"/>
              </w:rPr>
              <w:t>Issued and outstanding public warrants as of December 31, 2021</w:t>
            </w:r>
          </w:p>
        </w:tc>
        <w:tc>
          <w:tcPr>
            <w:tcW w:w="47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720" w:type="dxa"/>
            <w:vAlign w:val="bottom"/>
            <w:vMerge w:val="restart"/>
          </w:tcPr>
          <w:p>
            <w:pPr>
              <w:jc w:val="right"/>
              <w:ind w:right="4090"/>
              <w:spacing w:after="0"/>
              <w:rPr>
                <w:sz w:val="20"/>
                <w:szCs w:val="20"/>
                <w:color w:val="auto"/>
              </w:rPr>
            </w:pPr>
            <w:r>
              <w:rPr>
                <w:rFonts w:ascii="Arial" w:cs="Arial" w:eastAsia="Arial" w:hAnsi="Arial"/>
                <w:sz w:val="18"/>
                <w:szCs w:val="18"/>
                <w:color w:val="auto"/>
              </w:rPr>
              <w:t>25</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fiscal year 2021, the Company repurchased an aggregate of 857,825 shares of its common stock, including 712,742 shares from certain employees and 145,083 shares from directors of the Company’s predecessor, Atieva, Inc. at $24.15 per share. No common stock was repurchased for the three months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Issuance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reserved for future issuances as of March 31, 2022 and December 31,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March 31,</w:t>
            </w: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Private warrants to purchase common stock</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44,350,000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10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ind w:left="60"/>
              <w:spacing w:after="0"/>
              <w:rPr>
                <w:sz w:val="20"/>
                <w:szCs w:val="20"/>
                <w:color w:val="auto"/>
              </w:rPr>
            </w:pPr>
            <w:r>
              <w:rPr>
                <w:rFonts w:ascii="Arial" w:cs="Arial" w:eastAsia="Arial" w:hAnsi="Arial"/>
                <w:sz w:val="18"/>
                <w:szCs w:val="18"/>
                <w:color w:val="auto"/>
              </w:rPr>
              <w:t>Stock options outstanding</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50,700,238</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64,119,902</w:t>
            </w:r>
          </w:p>
        </w:tc>
      </w:tr>
      <w:tr>
        <w:trPr>
          <w:trHeight w:val="216"/>
        </w:trPr>
        <w:tc>
          <w:tcPr>
            <w:tcW w:w="8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Restricted stock units outstanding</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34,235,618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48,234,611</w:t>
            </w:r>
          </w:p>
        </w:tc>
      </w:tr>
      <w:tr>
        <w:trPr>
          <w:trHeight w:val="216"/>
        </w:trPr>
        <w:tc>
          <w:tcPr>
            <w:tcW w:w="8440" w:type="dxa"/>
            <w:vAlign w:val="bottom"/>
          </w:tcPr>
          <w:p>
            <w:pPr>
              <w:ind w:left="60"/>
              <w:spacing w:after="0"/>
              <w:rPr>
                <w:sz w:val="20"/>
                <w:szCs w:val="20"/>
                <w:color w:val="auto"/>
              </w:rPr>
            </w:pPr>
            <w:r>
              <w:rPr>
                <w:rFonts w:ascii="Arial" w:cs="Arial" w:eastAsia="Arial" w:hAnsi="Arial"/>
                <w:sz w:val="18"/>
                <w:szCs w:val="18"/>
                <w:color w:val="auto"/>
              </w:rPr>
              <w:t>Shares available for future grants under equity plans</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24,781,391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16,761,960</w:t>
            </w:r>
          </w:p>
        </w:tc>
      </w:tr>
      <w:tr>
        <w:trPr>
          <w:trHeight w:val="229"/>
        </w:trPr>
        <w:tc>
          <w:tcPr>
            <w:tcW w:w="8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If-converted common shares from convertible note</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36,737,785</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36,737,785</w:t>
            </w:r>
          </w:p>
        </w:tc>
      </w:tr>
      <w:tr>
        <w:trPr>
          <w:trHeight w:val="223"/>
        </w:trPr>
        <w:tc>
          <w:tcPr>
            <w:tcW w:w="8440" w:type="dxa"/>
            <w:vAlign w:val="bottom"/>
          </w:tcPr>
          <w:p>
            <w:pPr>
              <w:ind w:left="60"/>
              <w:spacing w:after="0"/>
              <w:rPr>
                <w:sz w:val="20"/>
                <w:szCs w:val="20"/>
                <w:color w:val="auto"/>
              </w:rPr>
            </w:pPr>
            <w:r>
              <w:rPr>
                <w:rFonts w:ascii="Arial" w:cs="Arial" w:eastAsia="Arial" w:hAnsi="Arial"/>
                <w:sz w:val="18"/>
                <w:szCs w:val="18"/>
                <w:color w:val="auto"/>
              </w:rPr>
              <w:t>Total shares of common stock reserved</w:t>
            </w:r>
          </w:p>
        </w:tc>
        <w:tc>
          <w:tcPr>
            <w:tcW w:w="12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7"/>
              </w:rPr>
              <w:t>190,805,032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210,204,258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EARNBACK SHARES AND WARRANTS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Placement Warrants to potential forfeiture to Lucid for no consideration until the occurrence of each tranche’s respective earnback triggering event. The earnback triggering events related to achieving a volume-weighted average trading sale price greater than or equal to $20.00, $25.00, and $30.00, respectively, for any 40 trading days within any 60 consecutive trading day period were satisfied during the year ended December 31, 2021. As a result, the 17,250,000 Sponsor Earnback Shares of issued and outstanding common stock and 14,783,333 Sponsor Earnback Warrants of issued and outstanding Private Placement Warrants were vested and no longer subject to the transfer restrictions and contingent forfeiture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three months ended March 31, 2022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Outstanding Options</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Contractual Term</w:t>
            </w:r>
          </w:p>
        </w:tc>
        <w:tc>
          <w:tcPr>
            <w:tcW w:w="10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64,119,902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(12,103,110)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Options canceled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(1,316,554)</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Balance—March 31,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50,700,238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162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400" w:type="dxa"/>
            <w:vAlign w:val="bottom"/>
            <w:tcBorders>
              <w:top w:val="single" w:sz="8" w:color="CCEEFF"/>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1,231,047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Options vested and exercisable March 31, 2022</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0.90</w:t>
            </w:r>
          </w:p>
        </w:tc>
        <w:tc>
          <w:tcPr>
            <w:tcW w:w="16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6.32</w:t>
            </w:r>
          </w:p>
        </w:tc>
        <w:tc>
          <w:tcPr>
            <w:tcW w:w="4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814,996</w:t>
            </w: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33,233,881</w:t>
            </w:r>
          </w:p>
        </w:tc>
        <w:tc>
          <w:tcPr>
            <w:tcW w:w="2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ind w:right="460"/>
        <w:spacing w:after="0" w:line="277" w:lineRule="auto"/>
        <w:rPr>
          <w:sz w:val="20"/>
          <w:szCs w:val="20"/>
          <w:color w:val="auto"/>
        </w:rPr>
      </w:pPr>
      <w:r>
        <w:rPr>
          <w:rFonts w:ascii="Arial" w:cs="Arial" w:eastAsia="Arial" w:hAnsi="Arial"/>
          <w:sz w:val="18"/>
          <w:szCs w:val="18"/>
          <w:color w:val="auto"/>
        </w:rPr>
        <w:t>As of March 31, 2022, unrecognized stock-based compensation cost related to outstanding unvested stock options that are expected to vest was $10.2 million, which is expected to be recognized over a weighted-average period of 2.3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A summary of RSU award activity was as follows: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8"/>
                <w:szCs w:val="18"/>
                <w:b w:val="1"/>
                <w:bCs w:val="1"/>
                <w:color w:val="auto"/>
              </w:rPr>
              <w:t>Restricted Stock Units</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6"/>
              </w:rPr>
              <w:t>Weighted-</w:t>
            </w: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Time-Based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Performance-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Average Grant-</w:t>
            </w:r>
          </w:p>
        </w:tc>
      </w:tr>
      <w:tr>
        <w:trPr>
          <w:trHeight w:val="234"/>
        </w:trPr>
        <w:tc>
          <w:tcPr>
            <w:tcW w:w="552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Based Shares</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Total Shares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Date Fair Value</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32,210,200</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16,024,411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48,234,611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1,615,027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1,615,027</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26.50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(1,174,633)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(13,934,271)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(15,108,904)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Cancelled/Forfeited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(505,116)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(505,116)</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32,145,478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2,090,140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34,235,618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2022, unrecognized stock-based compensation cost related to outstanding unvested time-based RSUs that are expected to vest was $476.2 million, which is expected to be recognized over a weighted-average period of 2.5 years.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performance-based RSUs granted to the CEO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86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Expected dividends</w:t>
            </w:r>
          </w:p>
        </w:tc>
        <w:tc>
          <w:tcPr>
            <w:tcW w:w="4860" w:type="dxa"/>
            <w:vAlign w:val="bottom"/>
          </w:tcPr>
          <w:p>
            <w:pPr>
              <w:jc w:val="right"/>
              <w:ind w:right="7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recognizes compensation expense on a graded vesting schedule over the requisite vesting period for the time-based awards and over the derived service period for the CEO performance-based awards. Stock-based compensation expense is recognized when the relevant performance condition is considered probable of achievement for the performance-based award. In the three months ended March 31, 2022, the market capitalization condition was met for the CEO performance-based awards for four of the five tranches and certified by the Board of Directors, representing an aggregate of 13,934,271 performance RSUs. We recorded stock-based compensation expense of $85.4 million for the four tranches during the three months ended March 31, 2022, and no such expense was recognized in the same period prior year. As of March 31, 2022, the unamortized expense for the fifth tranche, representing 2,090,140 RSUs, was $16.8 million which will be recognized over a period of 1.5 years. For the three months ended March 31, 2022, the Company withheld approximately 8.0 million shares of common stock by net settlement to meet the related tax withholding requirements related to the CEO time-based and performance-based RSUs.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employee and nonemployee stock-based compensation expense for the three months ended March 31, 2022 and 2021, is classified in the condensed consolidated statements of operations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49,756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12,952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116,196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91,631</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174,551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420" w:type="dxa"/>
            <w:vAlign w:val="bottom"/>
            <w:vMerge w:val="restart"/>
          </w:tcPr>
          <w:p>
            <w:pPr>
              <w:jc w:val="right"/>
              <w:ind w:right="26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14 – LEASES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entered into various non-cancellable operating and finance lease agreements for certain of the Company’s offices, manufacturing and warehouse facilities, retail and service locations, equipment and vehicles, worldwide.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condensed consolidated balance sheet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166,625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161,974</w:t>
            </w: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12,448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11,056</w:t>
            </w:r>
          </w:p>
        </w:tc>
        <w:tc>
          <w:tcPr>
            <w:tcW w:w="80" w:type="dxa"/>
            <w:vAlign w:val="bottom"/>
          </w:tcPr>
          <w:p>
            <w:pPr>
              <w:spacing w:after="0"/>
              <w:rPr>
                <w:sz w:val="18"/>
                <w:szCs w:val="18"/>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185,323</w:t>
            </w:r>
          </w:p>
        </w:tc>
        <w:tc>
          <w:tcPr>
            <w:tcW w:w="80" w:type="dxa"/>
            <w:vAlign w:val="bottom"/>
            <w:shd w:val="clear" w:color="auto" w:fill="CCEEFF"/>
          </w:tcPr>
          <w:p>
            <w:pPr>
              <w:spacing w:after="0"/>
              <w:rPr>
                <w:sz w:val="19"/>
                <w:szCs w:val="19"/>
                <w:color w:val="auto"/>
              </w:rPr>
            </w:pPr>
          </w:p>
        </w:tc>
      </w:tr>
      <w:tr>
        <w:trPr>
          <w:trHeight w:val="263"/>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lease liabilities</w:t>
            </w:r>
          </w:p>
        </w:tc>
        <w:tc>
          <w:tcPr>
            <w:tcW w:w="24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201,964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196,379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9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10,567</w:t>
            </w:r>
          </w:p>
        </w:tc>
        <w:tc>
          <w:tcPr>
            <w:tcW w:w="80" w:type="dxa"/>
            <w:vAlign w:val="bottom"/>
            <w:shd w:val="clear" w:color="auto" w:fill="CCEEFF"/>
          </w:tcPr>
          <w:p>
            <w:pPr>
              <w:spacing w:after="0"/>
              <w:rPr>
                <w:sz w:val="19"/>
                <w:szCs w:val="19"/>
                <w:color w:val="auto"/>
              </w:rPr>
            </w:pPr>
          </w:p>
        </w:tc>
      </w:tr>
      <w:tr>
        <w:trPr>
          <w:trHeight w:val="263"/>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finance lease assets</w:t>
            </w:r>
          </w:p>
        </w:tc>
        <w:tc>
          <w:tcPr>
            <w:tcW w:w="24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9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4,485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4,183</w:t>
            </w:r>
          </w:p>
        </w:tc>
        <w:tc>
          <w:tcPr>
            <w:tcW w:w="80" w:type="dxa"/>
            <w:vAlign w:val="bottom"/>
          </w:tcPr>
          <w:p>
            <w:pPr>
              <w:spacing w:after="0"/>
              <w:rPr>
                <w:sz w:val="18"/>
                <w:szCs w:val="18"/>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liabilities, net of current portion</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6,083</w:t>
            </w:r>
          </w:p>
        </w:tc>
        <w:tc>
          <w:tcPr>
            <w:tcW w:w="80" w:type="dxa"/>
            <w:vAlign w:val="bottom"/>
            <w:shd w:val="clear" w:color="auto" w:fill="CCEEFF"/>
          </w:tcPr>
          <w:p>
            <w:pPr>
              <w:spacing w:after="0"/>
              <w:rPr>
                <w:sz w:val="19"/>
                <w:szCs w:val="19"/>
                <w:color w:val="auto"/>
              </w:rPr>
            </w:pPr>
          </w:p>
        </w:tc>
      </w:tr>
      <w:tr>
        <w:trPr>
          <w:trHeight w:val="223"/>
        </w:trPr>
        <w:tc>
          <w:tcPr>
            <w:tcW w:w="5960" w:type="dxa"/>
            <w:vAlign w:val="bottom"/>
          </w:tcPr>
          <w:p>
            <w:pPr>
              <w:ind w:left="180"/>
              <w:spacing w:after="0"/>
              <w:rPr>
                <w:sz w:val="20"/>
                <w:szCs w:val="20"/>
                <w:color w:val="auto"/>
              </w:rPr>
            </w:pPr>
            <w:r>
              <w:rPr>
                <w:rFonts w:ascii="Arial" w:cs="Arial" w:eastAsia="Arial" w:hAnsi="Arial"/>
                <w:sz w:val="18"/>
                <w:szCs w:val="18"/>
                <w:color w:val="auto"/>
              </w:rPr>
              <w:t>Total finance lease liabilities</w:t>
            </w:r>
          </w:p>
        </w:tc>
        <w:tc>
          <w:tcPr>
            <w:tcW w:w="2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within the Company’s condensed consolidated statement of operations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536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expense: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3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9"/>
                <w:szCs w:val="29"/>
                <w:color w:val="auto"/>
                <w:vertAlign w:val="superscript"/>
              </w:rPr>
              <w:t>(1)</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9,578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6,303</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Variable lease expense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5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expense: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Amortization of leased assets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1,096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finance lease expense</w:t>
            </w:r>
          </w:p>
        </w:tc>
        <w:tc>
          <w:tcPr>
            <w:tcW w:w="30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tcPr>
          <w:p>
            <w:pPr>
              <w:spacing w:after="0"/>
              <w:rPr>
                <w:sz w:val="18"/>
                <w:szCs w:val="18"/>
                <w:color w:val="auto"/>
              </w:rPr>
            </w:pP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3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short-term leases, which are immaterial.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where the Company is the lessee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4720" w:type="dxa"/>
            <w:vAlign w:val="bottom"/>
          </w:tcPr>
          <w:p>
            <w:pPr>
              <w:spacing w:after="0"/>
              <w:rPr>
                <w:sz w:val="20"/>
                <w:szCs w:val="20"/>
                <w:color w:val="auto"/>
              </w:rPr>
            </w:pPr>
          </w:p>
        </w:tc>
        <w:tc>
          <w:tcPr>
            <w:tcW w:w="48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6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5120" w:type="dxa"/>
            <w:vAlign w:val="bottom"/>
            <w:gridSpan w:val="3"/>
          </w:tcPr>
          <w:p>
            <w:pPr>
              <w:jc w:val="right"/>
              <w:ind w:right="260"/>
              <w:spacing w:after="0"/>
              <w:rPr>
                <w:sz w:val="20"/>
                <w:szCs w:val="20"/>
                <w:color w:val="auto"/>
              </w:rPr>
            </w:pPr>
            <w:r>
              <w:rPr>
                <w:rFonts w:ascii="Arial" w:cs="Arial" w:eastAsia="Arial" w:hAnsi="Arial"/>
                <w:sz w:val="18"/>
                <w:szCs w:val="18"/>
                <w:color w:val="auto"/>
              </w:rPr>
              <w:t>8.0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5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4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3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5120" w:type="dxa"/>
            <w:vAlign w:val="bottom"/>
            <w:gridSpan w:val="3"/>
          </w:tcPr>
          <w:p>
            <w:pPr>
              <w:jc w:val="right"/>
              <w:ind w:right="120"/>
              <w:spacing w:after="0"/>
              <w:rPr>
                <w:sz w:val="20"/>
                <w:szCs w:val="20"/>
                <w:color w:val="auto"/>
              </w:rPr>
            </w:pPr>
            <w:r>
              <w:rPr>
                <w:rFonts w:ascii="Arial" w:cs="Arial" w:eastAsia="Arial" w:hAnsi="Arial"/>
                <w:sz w:val="18"/>
                <w:szCs w:val="18"/>
                <w:color w:val="auto"/>
              </w:rPr>
              <w:t>10.62%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10.98%</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5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r>
      <w:tr>
        <w:trPr>
          <w:trHeight w:val="648"/>
        </w:trPr>
        <w:tc>
          <w:tcPr>
            <w:tcW w:w="47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550"/>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As of March 31, 2022, the maturities of the Company’s operating and finance lease liabilities (excluding short-term leases)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5"/>
              </w:rPr>
              <w:t>Operating Leases</w:t>
            </w:r>
          </w:p>
        </w:tc>
        <w:tc>
          <w:tcPr>
            <w:tcW w:w="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7"/>
              </w:rPr>
              <w:t>Finance Leases</w:t>
            </w: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 (remainder of the year)</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39,618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4,613</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39,265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135,060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Less: Interest</w:t>
            </w:r>
          </w:p>
        </w:tc>
        <w:tc>
          <w:tcPr>
            <w:tcW w:w="3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(111,216)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Less: Current portion</w:t>
            </w:r>
          </w:p>
        </w:tc>
        <w:tc>
          <w:tcPr>
            <w:tcW w:w="3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(12,448)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(4,485)</w:t>
            </w: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March 31, 2022 and December 31, 2021, the Company had $803.6 million and $286.0 million in commitments related to the Arizona manufacturing plant and equipment. These commitments represent future expected payments on open purchase orders entered into as of March 31, 2022 and December 31, 2021.</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entered into a non-cancellable long-term commitment to purchase certain inventory components. The estimated future payments having a remaining term in excess of one year as of March 31, 2022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Minimum</w:t>
            </w:r>
          </w:p>
        </w:tc>
      </w:t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Purchase</w:t>
            </w:r>
          </w:p>
        </w:tc>
      </w:tr>
      <w:tr>
        <w:trPr>
          <w:trHeight w:val="234"/>
        </w:trPr>
        <w:tc>
          <w:tcPr>
            <w:tcW w:w="9680" w:type="dxa"/>
            <w:vAlign w:val="bottom"/>
            <w:gridSpan w:val="2"/>
          </w:tcPr>
          <w:p>
            <w:pPr>
              <w:spacing w:after="0"/>
              <w:rPr>
                <w:sz w:val="20"/>
                <w:szCs w:val="20"/>
                <w:color w:val="auto"/>
              </w:rPr>
            </w:pPr>
            <w:r>
              <w:rPr>
                <w:rFonts w:ascii="Arial" w:cs="Arial" w:eastAsia="Arial" w:hAnsi="Arial"/>
                <w:sz w:val="18"/>
                <w:szCs w:val="18"/>
                <w:color w:val="auto"/>
              </w:rPr>
              <w:t>Years ended December 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Commitment</w:t>
            </w:r>
          </w:p>
        </w:tc>
      </w:tr>
      <w:tr>
        <w:trPr>
          <w:trHeight w:val="210"/>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 (remainder of the year)</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42,900</w:t>
            </w:r>
          </w:p>
        </w:tc>
      </w:tr>
      <w:tr>
        <w:trPr>
          <w:trHeight w:val="23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49,800</w:t>
            </w:r>
          </w:p>
        </w:tc>
      </w:tr>
      <w:tr>
        <w:trPr>
          <w:trHeight w:val="223"/>
        </w:trPr>
        <w:tc>
          <w:tcPr>
            <w:tcW w:w="9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w:t>
      </w:r>
    </w:p>
    <w:p>
      <w:pPr>
        <w:spacing w:after="0" w:line="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right="60"/>
        <w:spacing w:after="0" w:line="259" w:lineRule="auto"/>
        <w:rPr>
          <w:sz w:val="20"/>
          <w:szCs w:val="20"/>
          <w:color w:val="auto"/>
        </w:rPr>
      </w:pPr>
      <w:r>
        <w:rPr>
          <w:rFonts w:ascii="Arial" w:cs="Arial" w:eastAsia="Arial" w:hAnsi="Arial"/>
          <w:sz w:val="18"/>
          <w:szCs w:val="18"/>
          <w:color w:val="auto"/>
        </w:rPr>
        <w:t>On December 3, 2021,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Capital Corp. IV and Atieva, Inc. and certain projections and statements. The Company is cooperating fully with the SEC in its review.</w:t>
      </w:r>
    </w:p>
    <w:p>
      <w:pPr>
        <w:spacing w:after="0" w:line="18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April 1, 2022, a putative class action was filed by purported shareholder Victor Mangino under federal securities laws against Lucid Group, Inc. and certain officers of the Company relating to statements updating projections and guidance provided in the late 2021 to early 2022 timeframe. The complaint was filed in the Northern District of California, captioned Victor W. Mangino v. Lucid Group, Inc., et al., Case No. 3:22-cv-02094-JD. The complaint names as defendants Lucid Group, Inc. and the Company’s chief executive officer and chief financial officer, and generally alleges that defendants purportedly made false or misleading statements regarding delivery and revenue projections and related matters. The complaint seeks certification of the action as a class action as well as compensatory damages, interest thereon, and attorneys’ fees and expenses.</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$35.3 million and $30.4 million as of March 31, 2022 and December 31, 2021, respectively, for which no liabilities are recorded on the condensed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provision from income taxes for interim periods is determined using its effective tax rate that arise during the period. The Company's quarterly tax provision is subject to variation due to several factors, including variability in pre-tax income (or loss), the mix of jurisdictions to which such income relates, changes in how the Company does business, and tax law developments.</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effective tax rate for the three months ended March 31, 2022 and the same period prior year differs from the U.S. statutory rate of 21% as a result of our U.S. losses for which no benefit will be realized, as well as state taxes and our foreign operations which are subject to tax rates that differ from those in the United States. The Company recorded an income tax provision for the three months ended March 31, 2022 of $0.3 million as compared to $4 thousand for the same period in the prior year. The increase in the income tax provision was driven by the increased activities in foreign jurisdictions. This resulted in an effective tax rate of (0.4)% for the three months ended March 31, 2022, and 0.0% for the same period prior year.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right="300"/>
        <w:spacing w:after="0" w:line="277" w:lineRule="auto"/>
        <w:rPr>
          <w:sz w:val="20"/>
          <w:szCs w:val="20"/>
          <w:color w:val="auto"/>
        </w:rPr>
      </w:pPr>
      <w:r>
        <w:rPr>
          <w:rFonts w:ascii="Arial" w:cs="Arial" w:eastAsia="Arial" w:hAnsi="Arial"/>
          <w:sz w:val="18"/>
          <w:szCs w:val="18"/>
          <w:color w:val="auto"/>
        </w:rPr>
        <w:t>There were no material changes to the Company’s unrecognized tax benefits during the three months ended March 31, 2022, and the Company does not expect to have any significant changes to unrecognized tax benefits through the end of the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NET LOSS PER SHARE</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(747,952)</w:t>
            </w:r>
          </w:p>
        </w:tc>
        <w:tc>
          <w:tcPr>
            <w:tcW w:w="100" w:type="dxa"/>
            <w:vAlign w:val="bottom"/>
            <w:gridSpan w:val="2"/>
            <w:shd w:val="clear" w:color="auto" w:fill="CCEEFF"/>
          </w:tcPr>
          <w:p>
            <w:pPr>
              <w:spacing w:after="0"/>
              <w:rPr>
                <w:sz w:val="18"/>
                <w:szCs w:val="18"/>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Deemed dividend related to the issuance of Series E convertible preferred stock</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(2,167,333)</w:t>
            </w: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(2,915,285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outstanding—basic and diluted</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1,654,322,379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32,650,874</w:t>
            </w:r>
          </w:p>
        </w:tc>
      </w:tr>
      <w:tr>
        <w:trPr>
          <w:trHeight w:val="216"/>
        </w:trPr>
        <w:tc>
          <w:tcPr>
            <w:tcW w:w="7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18"/>
                <w:szCs w:val="18"/>
                <w:color w:val="auto"/>
              </w:rPr>
              <w:t>Basic and diluted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(89.29)</w:t>
            </w:r>
          </w:p>
        </w:tc>
      </w:tr>
      <w:tr>
        <w:trPr>
          <w:trHeight w:val="20"/>
        </w:trPr>
        <w:tc>
          <w:tcPr>
            <w:tcW w:w="7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3"/>
              </w:rPr>
              <w:t>March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Excluded Securities</w:t>
            </w:r>
          </w:p>
        </w:tc>
        <w:tc>
          <w:tcPr>
            <w:tcW w:w="1240" w:type="dxa"/>
            <w:vAlign w:val="bottom"/>
          </w:tcPr>
          <w:p>
            <w:pPr>
              <w:ind w:left="44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preferred stock (on an as-converted basis)</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411,875,942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Private warrants to purchase common stock</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44,350,000</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to purchase common stock</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50,700,238</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13,394,808</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RSUs outstanding</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34,235,618</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If-converted common shares from convertible note</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36,737,785</w:t>
            </w: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166,023,641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425,270,750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2,090,140 shares of common stock equivalents subject to RSUs are excluded from the anti-dilutive table above as the underlying shares remain contingently issuable since the market conditions have not been satisfied as of March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EMPLOYEE BENEFIT PLAN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months ended March 31, 2022 and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2021, we entered into an agreement with The Klein Group, LLC (“Klein”), an affiliate of Churchill Sponsor IV LLC who owns more than 5% of our common stock. Pursuant to the agreement, Klein will provide strategic advice and assistance in connection with capital markets and other strategic matters. The cost incurred under the agreement was $0.3 million for the three months ended March 31, 2022, and $2.3 million in the aggregate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February 2022, we entered into a lease agreement with KAEC, an affiliate of PIF, for its first international manufacturing plant in the Kingdom of Saudi Arabia. The lease has an initial term of 25 years expiring in Year 2047. As of March 31, 2022, the right-of-use assets and lease liabilities related to this lease were $5.1 million and $5.2 million, respectively. The lease expense recorded during the three months ended March 31, 2022 was immaterial.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connection with the preparation of the condensed consolidated financial statements for the three months ended March 31, 2022, the Company evaluated subsequent events and concluded there were no subsequent events that required recognition in the condensed consolidated financial statements.</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April 20, 2022, Lucid LLC, a wholly owned subsidiary of Lucid Group, Inc. (collectively, the “Company”), entered into a binding letter of undertaking (the “Letter of Undertaking”) with the Ministry of Finance of the Kingdom of Saudi Arabia (“KSA”). Under the terms of the Letter of Undertaking, the Government of KSA and its entities and corporate subsidiaries (collectively, the “Kingdom”) undertake to purchase up to 100,000 vehicles from the Company over a ten-year period, with an initial commitment to purchase 50,000 vehicles and an option to purchase up to an additional 50,000 vehicles during such ten-year period. The purchase price is determined by the lower of (i) the standard retail price for the applicable vehicle in the KSA; and (ii) the standard retail price for the applicable vehicle in the United States, plus actual cost of logistics, importing, and other actual costs of delivering and homologating vehicles to KSA regulations. The order quantity by the Kingdom will initially range from 1,000 and 2,000 vehicles annually and increase to between 4,000 and 7,000 vehicles annually starting in 2025 unless otherwise agreed by the Kingdom and the Company. The delivery of the vehicles is required to commence no later than the second quarter of 2023.</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April 29, 2022, Lucid LLC entered into a revolving credit facility agreement (the “GIB Facility Agreement”) with Gulf International Bank (“GIB”). GIB is an affiliate of PIF, which is an affiliate of Ayar, the controlling stockholder of the Company. The GIB Facility Agreement provides for two committed revolving credit facilities in an aggregate principal amount of SAR 1 billion (approximately $266.7 million). SAR 650 million (approximately $173.3 million) under the GIB Facility Agreement is available as bridge financing (the “Bridge Facility”) of Lucid LLC’s capital expenditures in connection with the KSA Facility. The remaining SAR 350 million (approximately $93.3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3-month SAIBOR and associated fees. Commitments under the GIB Facility Agreement will terminate, and all amounts then outstanding thereunder will become payable, on the third anniversary of the GIB Facility Agreement. The GIB Facility Agreement contains certain conditions precedent to drawdowns, representations and warranties and covenants of Lucid LLC and events of default.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our Annual Report on Form 10-K for the year ended December 31, 2021, filed with the SEC on February 28, 2022.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are a technology and automotive company with a mission to inspire the adoption of sustainable energy by creating advanced technologies and the most captivating luxury electric vehicles, centered around the human experience. Our focus on in-house technological innovation, vertical integration, and a “clean sheet” approach to engineering and design have led to the development of our groundbreaking electric vehicle, the Lucid Air.</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sell vehicles directly to consumers through our retail sales network and through direct online sales. We believe that owning our sales network provides an opportunity to closely manage the customer experience, gather direct customer feedback, and ensure that customer interactions are on-brand and tailored to our customers’ need. 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began delivering the Lucid Air to customers in October 2021. We expect to launch additional vehicles over the coming decade. We have already commenced design and engineering work for Project Gravity, a luxury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8"/>
          <w:szCs w:val="18"/>
          <w:i w:val="1"/>
          <w:iCs w:val="1"/>
          <w:color w:val="auto"/>
        </w:rPr>
        <w:t>ESS</w:t>
      </w:r>
      <w:r>
        <w:rPr>
          <w:rFonts w:ascii="Arial" w:cs="Arial" w:eastAsia="Arial" w:hAnsi="Arial"/>
          <w:sz w:val="18"/>
          <w:szCs w:val="18"/>
          <w:color w:val="auto"/>
        </w:rPr>
        <w:t>”) products. ESS is a technologically adjacent opportunity which can leverage the modular design of our battery packs and our extensive experience with battery pack and battery management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COVID-19 pandemic is adequately contained.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inflationary pressure as well as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affect our cost structure as well as our ability and the ability of our suppliers to obtain parts, components and manufacturing equipment on a timely basis for the foreseeable future.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right="20"/>
        <w:spacing w:after="0" w:line="253" w:lineRule="auto"/>
        <w:rPr>
          <w:sz w:val="20"/>
          <w:szCs w:val="20"/>
          <w:color w:val="auto"/>
        </w:rPr>
      </w:pPr>
      <w:r>
        <w:rPr>
          <w:rFonts w:ascii="Arial" w:cs="Arial" w:eastAsia="Arial" w:hAnsi="Arial"/>
          <w:sz w:val="18"/>
          <w:szCs w:val="18"/>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“Risk Factors” in Part II, Item 1A of this Quarterly Report for additional information regarding risks associated with the COVID-19 pandemic, including under the caption “The ongoing COVID-19 pandemic has adversely affected, and we cannot predict its ultimate impact on,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II, Item 1A of this Quarterly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As of March 31, 2022, we had refundable reservations and non-refundable orders of cars yet to be delivered that reflect potential sales greater than $2.7 billion.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March 31, 2022, we had opened twenty four Studios and service centers, one in each of New York, New Jersey, Michigan, Texas, Virginia, Washington, and two in each of Arizona, Canada and Illinois, three in Florida, as well nine in California. We expect additional Studios opened in the second quarter of 2022, including our first European location. We also intend to hire additional sales, customer service, and service center personnel. We believe that investing in our direct-to-consumer sales and service model will be critical to deliver and service the Lucid electric vehicles we plan to manufacture and sell.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phased construction of our AMP-1 facilities and international expansion.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for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i w:val="1"/>
                <w:iCs w:val="1"/>
                <w:color w:val="auto"/>
              </w:rPr>
              <w:t>*nm</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began generating sales from the deliveries of vehicles in the fourth quarter of 2021. We recognize vehicle sales when the customer obtains control of the vehicle which is upon delivery. We also generate revenue from the sale of battery pack systems, supplies and related services for vehicles to a single customer.</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Revenue increased by $57.4 million for the three months ended March 31, 2022 as compared to the same period prior year, primarily driven by higher customer deliveries of Lucid Air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cost of revenue for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245,970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245,885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i w:val="1"/>
                <w:iCs w:val="1"/>
                <w:color w:val="auto"/>
              </w:rPr>
              <w:t>*nm</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of revenue related to vehicle sales primarily include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or charges for inventory obsolescence.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of revenue related to battery pack systems, supplies and related services for electric vehicles primarily consists of direct parts and materials, shipping and handling costs, personnel costs including wages and stock-based compensation, and estimated warranty costs related to battery pack systems. Cost of battery pack systems also includes allocated overhead costs such as depreciation of manufacturing related equipment and facilities, and information technology costs.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Cost of revenues increased by $245.9 million for the three months ended March 31, 2022 as compared to the same period prior year, primarily due to the manufacture and sale of Lucid Air vehicles in the first quarter of 2022. We incurred significant personnel and overhead costs to operate our large-scale manufacturing facilities while ramping up production, with production activity for a limited quantity of vehicles in the quarter ended March 31, 2022. In the near term, we expect our production volume of vehicles continue to be significantly less than our manufacturing capacity. Additionally, we recorded an impairment charge of $96.4 million in the quarter ended March 31, 2022 to reduce our inventories to their net realizable values. We expect impairment charges could negatively affect our costs of vehicle sales in upcoming periods in the near term as we ramp production volumes up toward our manufacturing capacity.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860" w:type="dxa"/>
            <w:vAlign w:val="bottom"/>
            <w:gridSpan w:val="4"/>
          </w:tcPr>
          <w:p>
            <w:pPr>
              <w:spacing w:after="0"/>
              <w:rPr>
                <w:sz w:val="20"/>
                <w:szCs w:val="20"/>
                <w:color w:val="auto"/>
              </w:rPr>
            </w:pPr>
            <w:r>
              <w:rPr>
                <w:rFonts w:ascii="Arial" w:cs="Arial" w:eastAsia="Arial" w:hAnsi="Arial"/>
                <w:sz w:val="18"/>
                <w:szCs w:val="18"/>
                <w:color w:val="auto"/>
                <w:w w:val="91"/>
              </w:rPr>
              <w:t>The following table presents our operating expenses for the periods presented (in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186,076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167,369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18,707</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131,652</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91,507</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6"/>
              </w:rPr>
              <w:t>299,021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110,214</w:t>
            </w:r>
          </w:p>
        </w:tc>
        <w:tc>
          <w:tcPr>
            <w:tcW w:w="20" w:type="dxa"/>
            <w:vAlign w:val="bottom"/>
            <w:tcBorders>
              <w:bottom w:val="single" w:sz="8" w:color="auto"/>
            </w:tcBorders>
          </w:tcPr>
          <w:p>
            <w:pPr>
              <w:spacing w:after="0"/>
              <w:rPr>
                <w:sz w:val="19"/>
                <w:szCs w:val="19"/>
                <w:color w:val="auto"/>
              </w:rPr>
            </w:pPr>
          </w:p>
        </w:tc>
        <w:tc>
          <w:tcPr>
            <w:tcW w:w="1580" w:type="dxa"/>
            <w:vAlign w:val="bottom"/>
            <w:gridSpan w:val="3"/>
          </w:tcPr>
          <w:p>
            <w:pPr>
              <w:jc w:val="right"/>
              <w:ind w:right="20"/>
              <w:spacing w:after="0" w:line="223" w:lineRule="exact"/>
              <w:rPr>
                <w:sz w:val="20"/>
                <w:szCs w:val="20"/>
                <w:color w:val="auto"/>
              </w:rPr>
            </w:pPr>
            <w:r>
              <w:rPr>
                <w:rFonts w:ascii="Arial" w:cs="Arial" w:eastAsia="Arial" w:hAnsi="Arial"/>
                <w:sz w:val="14"/>
                <w:szCs w:val="14"/>
                <w:color w:val="auto"/>
              </w:rPr>
              <w:t>37</w:t>
            </w:r>
            <w:r>
              <w:rPr>
                <w:rFonts w:ascii="Arial" w:cs="Arial" w:eastAsia="Arial" w:hAnsi="Arial"/>
                <w:sz w:val="25"/>
                <w:szCs w:val="25"/>
                <w:color w:val="auto"/>
                <w:vertAlign w:val="superscript"/>
              </w:rPr>
              <w:t>%</w:t>
            </w: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 increased by $18.7 million, or 11%, for the three months ended March 31, 2022 as compared to the same period prior year. The increase was primarily attributable to increases in personnel-related expenses of $45.3 million due to growth in headcount (which included stock-based compensation expense of $36.8 million), partially offset by a decrease of $27.9 million for prototype material, engineering, design and testing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7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49"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Selling, general, and administrative expense increased by $91.5 million, or 70%, for the three months ended March 31, 2022 as compared to the same period prior year. The increase was primarily attributable to increases in personnel-related expenses of $61.6 million due to growth in headcount (which included stock-based compensation expense of $24.6 million), and increase in higher utilization of contractors and professional fees by $11.0 million.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5"/>
          </w:tcPr>
          <w:p>
            <w:pPr>
              <w:spacing w:after="0"/>
              <w:rPr>
                <w:sz w:val="20"/>
                <w:szCs w:val="20"/>
                <w:color w:val="auto"/>
              </w:rPr>
            </w:pPr>
            <w:r>
              <w:rPr>
                <w:rFonts w:ascii="Arial" w:cs="Arial" w:eastAsia="Arial" w:hAnsi="Arial"/>
                <w:sz w:val="18"/>
                <w:szCs w:val="18"/>
                <w:color w:val="auto"/>
                <w:w w:val="99"/>
              </w:rPr>
              <w:t>The following table presents our other income and expense, net for the periods presented (in thousands):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60" w:type="dxa"/>
            <w:vAlign w:val="bottom"/>
          </w:tcPr>
          <w:p>
            <w:pPr>
              <w:spacing w:after="0"/>
              <w:rPr>
                <w:sz w:val="24"/>
                <w:szCs w:val="24"/>
                <w:color w:val="auto"/>
              </w:rPr>
            </w:pPr>
          </w:p>
        </w:tc>
        <w:tc>
          <w:tcPr>
            <w:tcW w:w="2900" w:type="dxa"/>
            <w:vAlign w:val="bottom"/>
            <w:gridSpan w:val="4"/>
          </w:tcPr>
          <w:p>
            <w:pPr>
              <w:jc w:val="right"/>
              <w:ind w:right="241"/>
              <w:spacing w:after="0"/>
              <w:rPr>
                <w:sz w:val="20"/>
                <w:szCs w:val="20"/>
                <w:color w:val="auto"/>
              </w:rPr>
            </w:pPr>
            <w:r>
              <w:rPr>
                <w:rFonts w:ascii="Arial" w:cs="Arial" w:eastAsia="Arial" w:hAnsi="Arial"/>
                <w:sz w:val="18"/>
                <w:szCs w:val="18"/>
                <w:b w:val="1"/>
                <w:bCs w:val="1"/>
                <w:color w:val="auto"/>
                <w:w w:val="96"/>
              </w:rPr>
              <w:t>Three Months Ended March 31,</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(442,164)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442,164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(6,976)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523,330</w:t>
            </w: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523,330</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(7,705)</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(7,700)</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942</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(449,155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Forward Contracts</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6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Change in contingent forward contracts liability decreased by $442.2 million, or 100%, for the three months ended March 31, 2022 as compared to the same period prior year. The Legacy Lucid Series E contingent forward contracts were settled during six months ended June 30, 2021, and there are no future earnings adjustments pertaining to the contingent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Preferred Stock Warrant Liability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condensed consolidated statements of operations and comprehensive loss. All issued and outstanding shares of Legacy Lucid Series D preferred stock were settled in March 2021 and there will no longer be future earnings adjustments pertaining to the convertible preferred share warrant liability related to Legacy Lucid Series D preferred stock.</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recorded loss of $7.0 million for the three months ended March 31,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Common Stock Warrant Liability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common stock warrant liability relates to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condensed consolidated statements of operations and comprehensive loss.</w:t>
      </w:r>
    </w:p>
    <w:p>
      <w:pPr>
        <w:spacing w:after="0" w:line="18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Private Placement Warrants remained unexercised as of March 31, 2022. The liability was remeasured to fair value, resulting in a gain of $523.3 million for the three months ended March 31, 2022, and was classified within change in fair value of common stock warrant liability in the condensed consolidated statements of operations. See Note 9 - Common Stock Warrant Liability in our condensed consolidated financial statements included elsewhere in this Quarterly Report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net consists primarily of contractual interest and amortization of debt discounts and debt issuance costs incurred related to the 2026 Notes issued in December 2021, and interest on our capital leases.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net increased by $7.7 million for the three months ended March 31, 2022 as compared to the same period in the prior year, primarily related to the 2026 Notes issued in December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Other income (expense), net consists primarily of income on money market funds and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did not significantly fluctuate during the three months ended March 31, 2022 as compared to the same period prior year.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20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1"/>
              </w:rPr>
              <w:t>Three Months Ended March 31,</w:t>
            </w:r>
          </w:p>
        </w:tc>
        <w:tc>
          <w:tcPr>
            <w:tcW w:w="2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b w:val="1"/>
                <w:bCs w:val="1"/>
                <w:color w:val="auto"/>
              </w:rPr>
              <w:t>$ Change</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2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i w:val="1"/>
                <w:iCs w:val="1"/>
                <w:color w:val="auto"/>
                <w:w w:val="93"/>
              </w:rPr>
              <w:t>*nm</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provision for income taxes consist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provision for income taxes increased by $0.3 million for the three months ended March 31, 2022 as compared to the same period prior year, primarily due to changes in taxable income of our foreign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2022, Lucid had $5.4 billion of cash and cash equivalents. Our sources of cash are predominantly from proceeds from Lucid’s de-SPAC transaction with Churchill (plus PIPE), and the issuance of convertible debt.</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expect that our current sources of liquidity together with our projection of cash flows from operating activities will provide us with adequate liquidity over at least the next 12 months, including investment in funding (i) ongoing operations, (ii) research and development projects for new products/ technologies, (iii) ongoing production and manufacturing ramps at existing manufacturing facilities in Casa Grande, Arizona, (iv) Phase 2 of construction at Advanced Manufacturing Plant 1 (“AMP-1”) in Casa Grande, Arizona, (v) the start of construction of a manufacturing facility in the Kingdom of Saudi Arabia, (vi) retail Studios and service centers, and (vii) other initiatives related to the sale of vehicles and/ or technology.</w:t>
      </w:r>
    </w:p>
    <w:p>
      <w:pPr>
        <w:spacing w:after="0" w:line="17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anticipate our cumulative spending on capital expenditures to be in the range of $2.0 billion for the fiscal year 2022 to support our continued commercialization and growth objectives as we strategically invest in manufacturing capacity and capabilities, our retail Studios and service center footprint throughout North America and across the globe, development of different products and technologies, and other areas supporting the growth of Lucid’s business. We expect our operating expenses to increase in the 2022 calendar year to grow and support the operations of a global automotive company targeting volumes in line with Lucid’s aspirations.</w:t>
      </w:r>
    </w:p>
    <w:p>
      <w:pPr>
        <w:spacing w:after="0" w:line="18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of March 31, 2022, our total minimum lease payments are $324.5 million, of which $27.3 million is due in the current fiscal year. We also have a non-cancellable long-term commitment of $138.0 million to purchase certain inventory components. For details regarding these obligations, refer to Note 14 - Leases and Note 15 - Commitments and Contingencies.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2021, Lucid entered into a purchase agreement pursuant to which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Manufacturing Expansion</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February 27, 2022, the Company announced that it has selected King Abdullah Economic City (“KAEC”) in the Kingdom of Saudi Arabia as the location of its first international manufacturing plant and signed related agreements with the Ministry of Investment of Saudi Arabia, the Saudi Industrial Development Fund, and the Economic City at KAEC. The agreements are estimated to provide financing and incentives of up to $3.4 billion in aggregate over the next 15 years to build and operate a manufacturing facility in the Kingdom. The operations at the new plant would initially consist of re-assembly of Lucid Air vehicle “kits” pre-manufactured in the U.S. and, over time, production of complete vehicles.</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27, 2022, Lucid LLC entered into a loan agreement (as subsequently amended, the “SIDF Loan Agreement”) with the SIDF.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to SAR 350 million, commencing on April 3, 2026 and ending on November 12, 2038. SIDF Loans are financing and will be used to finance certain costs in connection with the development and construction of the Company’s planned manufacturing facility in the Kingdom of Saudi Arabia (“the KSA Facility”). Lucid LLC may repay SIDF Loans earlier than the maturity date without penalty. Obligations under the SIDF Loan Agreement do not extend to the Company or any of its other subsidiaries.</w:t>
      </w:r>
    </w:p>
    <w:p>
      <w:pPr>
        <w:spacing w:after="0" w:line="16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SIDF Loans will not bear interest. Instead, Lucid LLC will be required to pay SIDF service fees, consisting of follow-up and technical evaluation fees, ranging, in aggregate, from SAR 415 million (approximately $111 million) to SAR 1.77 billion (approximately $471 million), over the term of the SIDF Loans. SIDF Loans will be secured by security interests in the equipment, machines and assets funded thereby.</w:t>
      </w:r>
    </w:p>
    <w:p>
      <w:pPr>
        <w:spacing w:after="0" w:line="1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March 31, 2022, no amounts were outstanding under the SIDF Loan Agreement.</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relation to the selection of the Kingdom of Saudi Arabia as the location for the KSA Facility, Lucid LLC entered into agreements with the Ministry of Investment of Saudi Arabia (“MISA”) under which the company will receive economic incentives over time subject to certain conditions.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generated significant losses from our operations as reflected in our accumulated deficit of $6.1 billion as of March 31, 2022 and December 31, 2021. Additionally, we have generated significant negative cash flows from operations and investing activities as we continue to support the growth of our business.</w:t>
      </w:r>
    </w:p>
    <w:p>
      <w:pPr>
        <w:spacing w:after="0" w:line="18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 Part II, Item 1A.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(used in) provided by financing activities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increase in cash, cash equivalents, and restricted cash</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1240" w:type="dxa"/>
            <w:vAlign w:val="bottom"/>
          </w:tcPr>
          <w:p>
            <w:pPr>
              <w:ind w:left="600"/>
              <w:spacing w:after="0" w:line="195" w:lineRule="exact"/>
              <w:rPr>
                <w:sz w:val="20"/>
                <w:szCs w:val="20"/>
                <w:color w:val="auto"/>
              </w:rPr>
            </w:pPr>
            <w:r>
              <w:rPr>
                <w:rFonts w:ascii="Arial" w:cs="Arial" w:eastAsia="Arial" w:hAnsi="Arial"/>
                <w:sz w:val="18"/>
                <w:szCs w:val="18"/>
                <w:color w:val="auto"/>
                <w:w w:val="80"/>
              </w:rPr>
              <w:t>(494,649)</w:t>
            </w:r>
          </w:p>
        </w:tc>
        <w:tc>
          <w:tcPr>
            <w:tcW w:w="320" w:type="dxa"/>
            <w:vAlign w:val="bottom"/>
          </w:tcPr>
          <w:p>
            <w:pPr>
              <w:spacing w:after="0"/>
              <w:rPr>
                <w:sz w:val="16"/>
                <w:szCs w:val="16"/>
                <w:color w:val="auto"/>
              </w:rPr>
            </w:pP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(218,726)</w:t>
            </w:r>
          </w:p>
        </w:tc>
        <w:tc>
          <w:tcPr>
            <w:tcW w:w="60" w:type="dxa"/>
            <w:vAlign w:val="bottom"/>
            <w:gridSpan w:val="2"/>
          </w:tcPr>
          <w:p>
            <w:pPr>
              <w:spacing w:after="0"/>
              <w:rPr>
                <w:sz w:val="16"/>
                <w:szCs w:val="16"/>
                <w:color w:val="auto"/>
              </w:rPr>
            </w:pPr>
          </w:p>
        </w:tc>
      </w:tr>
      <w:tr>
        <w:trPr>
          <w:trHeight w:val="216"/>
        </w:trPr>
        <w:tc>
          <w:tcPr>
            <w:tcW w:w="1560" w:type="dxa"/>
            <w:vAlign w:val="bottom"/>
            <w:gridSpan w:val="2"/>
          </w:tcPr>
          <w:p>
            <w:pPr>
              <w:ind w:left="600"/>
              <w:spacing w:after="0"/>
              <w:rPr>
                <w:sz w:val="20"/>
                <w:szCs w:val="20"/>
                <w:color w:val="auto"/>
              </w:rPr>
            </w:pPr>
            <w:r>
              <w:rPr>
                <w:rFonts w:ascii="Arial" w:cs="Arial" w:eastAsia="Arial" w:hAnsi="Arial"/>
                <w:sz w:val="18"/>
                <w:szCs w:val="18"/>
                <w:color w:val="auto"/>
              </w:rPr>
              <w:t>(185,082)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(94,779)</w:t>
            </w:r>
          </w:p>
        </w:tc>
      </w:tr>
      <w:tr>
        <w:trPr>
          <w:trHeight w:val="244"/>
        </w:trPr>
        <w:tc>
          <w:tcPr>
            <w:tcW w:w="1560" w:type="dxa"/>
            <w:vAlign w:val="bottom"/>
            <w:gridSpan w:val="2"/>
          </w:tcPr>
          <w:p>
            <w:pPr>
              <w:ind w:left="600"/>
              <w:spacing w:after="0"/>
              <w:rPr>
                <w:sz w:val="20"/>
                <w:szCs w:val="20"/>
                <w:color w:val="auto"/>
              </w:rPr>
            </w:pPr>
            <w:r>
              <w:rPr>
                <w:rFonts w:ascii="Arial" w:cs="Arial" w:eastAsia="Arial" w:hAnsi="Arial"/>
                <w:sz w:val="18"/>
                <w:szCs w:val="18"/>
                <w:color w:val="auto"/>
              </w:rPr>
              <w:t>(187,301)</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511,098</w:t>
            </w:r>
          </w:p>
        </w:tc>
      </w:tr>
      <w:tr>
        <w:trPr>
          <w:trHeight w:val="250"/>
        </w:trPr>
        <w:tc>
          <w:tcPr>
            <w:tcW w:w="12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7"/>
              </w:rPr>
              <w:t>(867,032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197,593</w:t>
            </w:r>
          </w:p>
        </w:tc>
        <w:tc>
          <w:tcPr>
            <w:tcW w:w="40" w:type="dxa"/>
            <w:vAlign w:val="bottom"/>
          </w:tcPr>
          <w:p>
            <w:pPr>
              <w:spacing w:after="0"/>
              <w:rPr>
                <w:sz w:val="21"/>
                <w:szCs w:val="2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620" w:space="720"/>
            <w:col w:w="2900"/>
          </w:cols>
          <w:pgMar w:left="320" w:top="904" w:right="339" w:bottom="1440" w:gutter="0" w:footer="0" w:header="0"/>
        </w:sectPr>
      </w:pPr>
    </w:p>
    <w:p>
      <w:pPr>
        <w:spacing w:after="0" w:line="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Net cash used in operating activities of $494.6 million for the three months ended March 31, 2022 primarily consisted of $81.3 million of net loss, adjusted for $201.3 million of non-cash charges and an increase in net operating assets of $212.1 million. The non-cash charges primarily included gain for changes in fair value of common stock warrant liability of $523.3 million, stock-based compensation expense of $174.6 million, write-down of inventory of $96.4 million, and depreciation and amortization of property and equipment of $38.2 million. The increase in net operating assets is primarily due to an increase in operating assets of $341.0 million offset by an increase in operating liabilities of $128.9 million.</w:t>
      </w:r>
    </w:p>
    <w:p>
      <w:pPr>
        <w:spacing w:after="0" w:line="1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cash used in operating activities of $218.7 million for the three months ended March 31, 2021 primarily consisted $748.0 million of net losses, adjusted for $565.2 million of non-cash charges and a decrease in net operating liabilities of $36.0 million. The non-cash charges primarily included the fair value of contingent forward contracts and warrant liabilities of $449.1 million, and convertible preferred stock related expense of $104.8 million. The decrease in net operating liabilities is primarily due to a decrease in operating liabilities of $23.1 million and an increase in operating assets of $12.9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used in investing activities of $185.1 million and $94.8 million for the three months ended March 31, 2022 and March 31, 2021, respectively was entirely attributable to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equity securities, including convertible preferred stock, the proceeds of the Merger, and the 2026 Notes.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financing activities of $187.3 million during the three months ended March 31, 2022 was primarily attributable to $180.6 million of remittance for tax withholding obligations in connection with vesting of the CEO time-based and performance-based RSUs through net settlement, $12.9 million for the payment of short-term insurance financing note and $1.2 million for the payment of finance lease liabilities, partially offset by $9.1 million of proceeds from the exercises of stock options.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financing activities of $511.1 million during the three months ended March 31, 2021 was primarily attributable to $507.1 million of proceeds from the issuance of Legacy Lucid Series E preferred stock, $4.3 million of proceeds from the exercises of stock options and $3.0 million of proceeds from the issuance of Legacy Lucid Series D preferred stock, partially offset by $3.0 million cash paid for the repurchase of Legacy Lucid Series B preferred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a description of our critical accounting policies and estimates, refer to Part II, Item 7, Critical Accounting Policies and Estimates in our Annual Report on Form 10-K for the year ended December 31, 2021. There have been no material changes to our critical accounting policies and estimates since our Annual Report on Form 10-K for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due to inflationary pressure.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exposed to market risk for changes in interest rates applicable to our cash and cash equivalents, restricted cash, and short-term investments. We had cash, cash equivalents and restricted cash totaling $5.4 billion as of March 31, 2022. Our cash and cash equivalents was invested primarily in money market funds.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a had material impact on the value of our cash, cash equivalents as of March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right="140"/>
        <w:spacing w:after="0" w:line="287" w:lineRule="auto"/>
        <w:rPr>
          <w:sz w:val="20"/>
          <w:szCs w:val="20"/>
          <w:color w:val="auto"/>
        </w:rPr>
      </w:pPr>
      <w:r>
        <w:rPr>
          <w:rFonts w:ascii="Arial" w:cs="Arial" w:eastAsia="Arial" w:hAnsi="Arial"/>
          <w:sz w:val="16"/>
          <w:szCs w:val="16"/>
          <w:color w:val="auto"/>
        </w:rPr>
        <w:t>Based on their evaluation, our principal executive officer and principal financial officer concluded that as of March 31, 2022,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w:t>
      </w:r>
    </w:p>
    <w:p>
      <w:pPr>
        <w:spacing w:after="0" w:line="2" w:lineRule="exact"/>
        <w:rPr>
          <w:sz w:val="20"/>
          <w:szCs w:val="20"/>
          <w:color w:val="auto"/>
        </w:rPr>
      </w:pPr>
    </w:p>
    <w:p>
      <w:pPr>
        <w:ind w:right="200" w:firstLine="8"/>
        <w:spacing w:after="0" w:line="260"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fiscal quarter ended March 31, 2022,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For a description of our legal proceedings, please see the description set forth in the “Legal Matters” section in Note 15 – Commitments and Contingencies in the notes to the condensed consolidated financial statements in Item 1 of Part I of this Quarterly Report,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157" w:lineRule="exact"/>
        <w:rPr>
          <w:sz w:val="20"/>
          <w:szCs w:val="20"/>
          <w:color w:val="auto"/>
        </w:rPr>
      </w:pPr>
    </w:p>
    <w:p>
      <w:pPr>
        <w:ind w:left="660" w:right="2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ongoing COVID-19 pandemic has adversely affected, and we cannot predict its ultimate impact on, our business, results of operations and financial condition.</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investing in our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adequately control the substantial costs associated with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received only a limited number of reservations for the Lucid Air, all of which may be cancelled.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automotive industry has significant barriers to entry that we must overcome in order to manufacture and sell electric vehicles at scale.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automotive market is highly competitive, and we may not be successful in competing in this industry.</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not have a third-party retail product distribution and full service network.</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challenges providing charging solutions for our vehicles, both domestically and internationally.</w:t>
      </w:r>
    </w:p>
    <w:p>
      <w:pPr>
        <w:spacing w:after="0" w:line="225" w:lineRule="exact"/>
        <w:rPr>
          <w:rFonts w:ascii="Arial" w:cs="Arial" w:eastAsia="Arial" w:hAnsi="Arial"/>
          <w:sz w:val="18"/>
          <w:szCs w:val="18"/>
          <w:color w:val="auto"/>
        </w:rPr>
      </w:pPr>
    </w:p>
    <w:p>
      <w:pPr>
        <w:ind w:left="660" w:right="60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46" w:lineRule="exact"/>
        <w:rPr>
          <w:rFonts w:ascii="Arial" w:cs="Arial" w:eastAsia="Arial" w:hAnsi="Arial"/>
          <w:sz w:val="17"/>
          <w:szCs w:val="17"/>
          <w:color w:val="auto"/>
        </w:rPr>
      </w:pPr>
    </w:p>
    <w:p>
      <w:pPr>
        <w:ind w:left="660" w:right="3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4" w:name="page45"/>
    <w:bookmarkEnd w:id="44"/>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no experience to date in high volume manufacture of our vehicles.</w:t>
      </w:r>
    </w:p>
    <w:p>
      <w:pPr>
        <w:spacing w:after="0" w:line="225" w:lineRule="exact"/>
        <w:rPr>
          <w:rFonts w:ascii="Arial" w:cs="Arial" w:eastAsia="Arial" w:hAnsi="Arial"/>
          <w:sz w:val="18"/>
          <w:szCs w:val="18"/>
          <w:color w:val="auto"/>
        </w:rPr>
      </w:pPr>
    </w:p>
    <w:p>
      <w:pPr>
        <w:ind w:left="328" w:right="12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successfully tool our manufacturing facilities or if our manufacturing facilities become inoperable, we will be unable to produce our vehicles and our business will be harmed.</w:t>
      </w:r>
    </w:p>
    <w:p>
      <w:pPr>
        <w:spacing w:after="0" w:line="170" w:lineRule="exact"/>
        <w:rPr>
          <w:rFonts w:ascii="Arial" w:cs="Arial" w:eastAsia="Arial" w:hAnsi="Arial"/>
          <w:sz w:val="18"/>
          <w:szCs w:val="18"/>
          <w:color w:val="auto"/>
        </w:rPr>
      </w:pPr>
    </w:p>
    <w:p>
      <w:pPr>
        <w:ind w:left="328" w:right="140"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83" w:lineRule="exact"/>
        <w:rPr>
          <w:rFonts w:ascii="Arial" w:cs="Arial" w:eastAsia="Arial" w:hAnsi="Arial"/>
          <w:sz w:val="18"/>
          <w:szCs w:val="18"/>
          <w:color w:val="auto"/>
        </w:rPr>
      </w:pPr>
    </w:p>
    <w:p>
      <w:pPr>
        <w:ind w:left="328" w:right="260" w:hanging="328"/>
        <w:spacing w:after="0" w:line="301" w:lineRule="auto"/>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57" w:lineRule="exact"/>
        <w:rPr>
          <w:rFonts w:ascii="Arial" w:cs="Arial" w:eastAsia="Arial" w:hAnsi="Arial"/>
          <w:sz w:val="16"/>
          <w:szCs w:val="16"/>
          <w:color w:val="auto"/>
        </w:rPr>
      </w:pPr>
    </w:p>
    <w:p>
      <w:pPr>
        <w:ind w:left="328"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Increases in costs, disruption of supply or shortage of materials, in particular for lithium-ion cells, or semiconductors, could harm our business.</w:t>
      </w:r>
    </w:p>
    <w:p>
      <w:pPr>
        <w:spacing w:after="0" w:line="248" w:lineRule="exact"/>
        <w:rPr>
          <w:rFonts w:ascii="Arial" w:cs="Arial" w:eastAsia="Arial" w:hAnsi="Arial"/>
          <w:sz w:val="16"/>
          <w:szCs w:val="16"/>
          <w:color w:val="auto"/>
        </w:rPr>
      </w:pPr>
    </w:p>
    <w:p>
      <w:pPr>
        <w:jc w:val="both"/>
        <w:ind w:left="328" w:right="60"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loss of key personnel or an inability to attract, retain and motivate qualified personnel may impair our ability to expand our business.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225" w:lineRule="exact"/>
        <w:rPr>
          <w:rFonts w:ascii="Arial" w:cs="Arial" w:eastAsia="Arial" w:hAnsi="Arial"/>
          <w:sz w:val="18"/>
          <w:szCs w:val="18"/>
          <w:color w:val="auto"/>
        </w:rPr>
      </w:pPr>
    </w:p>
    <w:p>
      <w:pPr>
        <w:ind w:left="328" w:right="40"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3" w:lineRule="exact"/>
        <w:rPr>
          <w:rFonts w:ascii="Arial" w:cs="Arial" w:eastAsia="Arial" w:hAnsi="Arial"/>
          <w:sz w:val="18"/>
          <w:szCs w:val="18"/>
          <w:color w:val="auto"/>
        </w:rPr>
      </w:pPr>
    </w:p>
    <w:p>
      <w:pPr>
        <w:ind w:left="328" w:right="56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170" w:lineRule="exact"/>
        <w:rPr>
          <w:rFonts w:ascii="Arial" w:cs="Arial" w:eastAsia="Arial" w:hAnsi="Arial"/>
          <w:sz w:val="18"/>
          <w:szCs w:val="18"/>
          <w:color w:val="auto"/>
        </w:rPr>
      </w:pPr>
    </w:p>
    <w:p>
      <w:pPr>
        <w:ind w:left="328" w:right="180"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248" w:lineRule="exact"/>
        <w:rPr>
          <w:rFonts w:ascii="Arial" w:cs="Arial" w:eastAsia="Arial" w:hAnsi="Arial"/>
          <w:sz w:val="16"/>
          <w:szCs w:val="16"/>
          <w:color w:val="auto"/>
        </w:rPr>
      </w:pPr>
    </w:p>
    <w:p>
      <w:pPr>
        <w:ind w:left="328" w:right="220"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83" w:lineRule="exact"/>
        <w:rPr>
          <w:rFonts w:ascii="Arial" w:cs="Arial" w:eastAsia="Arial" w:hAnsi="Arial"/>
          <w:sz w:val="18"/>
          <w:szCs w:val="18"/>
          <w:color w:val="auto"/>
        </w:rPr>
      </w:pPr>
    </w:p>
    <w:p>
      <w:pPr>
        <w:jc w:val="both"/>
        <w:ind w:left="328" w:right="600"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Ayar beneficially owns a significant equity interest in us and may take actions that conflict with other shareholder interests.</w:t>
      </w:r>
    </w:p>
    <w:p>
      <w:pPr>
        <w:spacing w:after="0" w:line="200" w:lineRule="exact"/>
        <w:rPr>
          <w:sz w:val="20"/>
          <w:szCs w:val="20"/>
          <w:color w:val="auto"/>
        </w:rPr>
      </w:pPr>
    </w:p>
    <w:p>
      <w:pPr>
        <w:spacing w:after="0" w:line="241"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8"/>
          </w:cols>
          <w:pgMar w:left="652" w:top="908"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ongoing COVID-19 pandemic has adversely affected, and we cannot predict its ultimate impact on, our business, results of operations and financial condition.</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8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spread of COVID-19 has also periodically disrupted our manufacturing operations and those of our suppliers. For example, the recent COVID-19 outbreak in China and the resulting lockdowns have caused parts supply delays with some impact on manufacturing operations in Arizona. Such disruptions to us and our suppliers have and could continue to negatively impact the production volume of our first vehicle, the Lucid Air sedan, as well other vehicles that we may introduce from time to time. Our manufacturing operations at a limited number of facilities in Casa Grande, Arizona concentrate this risk. In addition, broader impacts of the pandemic have included inflationary pressure, which impact our cost structure.</w:t>
      </w:r>
    </w:p>
    <w:p>
      <w:pPr>
        <w:spacing w:after="0" w:line="16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or be required to cause a substantial number of employees and/or contractors to quarantine,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7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In addition, the COVID-19 pandemic has resulted in extreme volatility in the global financial markets, which could increase our cost of capital or limit our ability to access financing when we need it.</w:t>
      </w:r>
    </w:p>
    <w:p>
      <w:pPr>
        <w:spacing w:after="0" w:line="170"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To address the uncertainties of COVID-19 and to help ensure the safety of our team members, we have implemented a vaccination mandate for certain of our employees and for certain individuals to enter many of our facilities and may implement further similar requirements in the future, which may have an impact on our hiring and/or our workforce and adversely impact our manufacturing capabilities and overall business operations.</w:t>
      </w:r>
    </w:p>
    <w:p>
      <w:pPr>
        <w:spacing w:after="0" w:line="165"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The severity, magnitude and duration of the COVID-19 pandemic, including as a result of new variant and subvariant strains such as the Omicron strain and subvariants, and our economic and regulatory consequences are rapidly changing and uncertain. Accordingly, we cannot predict the ultimate impact of the COVID-19 pandemic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makes evaluating our business and future prospects difficult and may increase the risk of your investment.</w:t>
      </w:r>
    </w:p>
    <w:p>
      <w:pPr>
        <w:spacing w:after="0" w:line="23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324"/>
        <w:spacing w:after="0" w:line="277" w:lineRule="auto"/>
        <w:rPr>
          <w:sz w:val="20"/>
          <w:szCs w:val="20"/>
          <w:color w:val="auto"/>
        </w:rPr>
      </w:pPr>
      <w:r>
        <w:rPr>
          <w:rFonts w:ascii="Arial" w:cs="Arial" w:eastAsia="Arial" w:hAnsi="Arial"/>
          <w:sz w:val="18"/>
          <w:szCs w:val="18"/>
          <w:color w:val="auto"/>
        </w:rPr>
        <w:t>We have encountered and expect to continue to encounter risks and uncertainties frequently experienced by early-stage companies in rapidly changing markets, including risks relating to our ability to, among other things:</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integrate and retain professional and technical talent, including key members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obtain, maintain, protect and enforce our intellectual property and defend against claims of intellectual property infringement, misappropriation or other violation;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refine and scale our commercial manufacturing capabilities and distribution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third-party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 and adapt to changing market conditions, including consumer demand for certain vehicle types, models or trim levels, technological developments and changes in competitive landscape;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variants and models of electric vehicles, such as Project Gravity.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net losses each year since our inception and expect to incur increasing expenses and substantial losses for the foreseeable future.</w:t>
      </w:r>
    </w:p>
    <w:p>
      <w:pPr>
        <w:spacing w:after="0" w:line="26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have incurred net losses each year since our inception, including net loss and comprehensive loss of approximately $81.3 million for the three months ended March 31, 2022. As of March 31, 2022, our accumulated deficit was approximately $6.1 billion. We expect to continue to incur substantial losses and increasing expenses in the foreseeable future as we:</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design, develop and manufacture our vehicles;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 and expand our manufacturing facilities to produce our vehicles in Arizona and in international locations such as the Kingdom of Saudi Arabia;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 up inventories of parts and components for our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an available inventory of our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deploy vehicle charging partnerships;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design, research, development, maintenance and repair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growing operations and status as a public company.</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control the substantial costs associated with our operations.</w:t>
      </w:r>
    </w:p>
    <w:p>
      <w:pPr>
        <w:spacing w:after="0" w:line="225"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902" w:gutter="0" w:footer="0" w:header="0"/>
        </w:sectPr>
      </w:pPr>
    </w:p>
    <w:bookmarkStart w:id="47" w:name="page48"/>
    <w:bookmarkEnd w:id="47"/>
    <w:p>
      <w:pPr>
        <w:ind w:right="80" w:firstLine="324"/>
        <w:spacing w:after="0" w:line="286" w:lineRule="auto"/>
        <w:rPr>
          <w:sz w:val="20"/>
          <w:szCs w:val="20"/>
          <w:color w:val="auto"/>
        </w:rPr>
      </w:pPr>
      <w:r>
        <w:rPr>
          <w:rFonts w:ascii="Arial" w:cs="Arial" w:eastAsia="Arial" w:hAnsi="Arial"/>
          <w:sz w:val="17"/>
          <w:szCs w:val="17"/>
          <w:color w:val="auto"/>
        </w:rPr>
        <w:t>In the longer term, our ability to become profitable in the future will depend on our ability not only to control costs,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the Lucid Air, all of which may be cancelled.</w:t>
      </w:r>
    </w:p>
    <w:p>
      <w:pPr>
        <w:spacing w:after="0" w:line="22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customers may cancel their reservations without penalty and for any reason until they place an order for their vehicle. Any delays in customer deliveries or the changes in the pricing of the Lucid Air could result in significant customer cancellations. In addition, any event or incident which generates negative media coverage about us or the safety of our vehicles could also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automotive industry has significant barriers to entry that we must overcome in order to manufacture and sell electric vehicles at scale.</w:t>
      </w:r>
    </w:p>
    <w:p>
      <w:pPr>
        <w:spacing w:after="0" w:line="23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our commercial manufacturing facility in Casa Grande, Arizona, we have not finished tooling all production lines at our Casa Grande facilities. If we are not able to overcome these barriers, our business, prospects, results of operations and financial condition will be negatively impacted, and our ability to grow our business will be harmed.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right="300"/>
        <w:spacing w:after="0" w:line="277" w:lineRule="auto"/>
        <w:rPr>
          <w:sz w:val="20"/>
          <w:szCs w:val="20"/>
          <w:color w:val="auto"/>
        </w:rPr>
      </w:pPr>
      <w:r>
        <w:rPr>
          <w:rFonts w:ascii="Arial" w:cs="Arial" w:eastAsia="Arial" w:hAnsi="Arial"/>
          <w:sz w:val="18"/>
          <w:szCs w:val="18"/>
          <w:b w:val="1"/>
          <w:bCs w:val="1"/>
          <w:i w:val="1"/>
          <w:iCs w:val="1"/>
          <w:color w:val="auto"/>
        </w:rPr>
        <w:t>We currently depend on revenue generated from a single model and in the foreseeable future will be significantly dependent on a limited number of models.</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and full service network.</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Third-party dealer networks are the traditional method of vehicle sales distribution and service. Because we plan to sell directly to consumers, we will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IT infrastructure to support them, which may prove costly, time-consuming or ineffective. If our use of an in-house sales, marketing and service team is not effective, our results of operations and financial conditions could be adversely affected.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generate meaningful product revenue will depend on consumer adoption of electric vehicles.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9" w:name="page50"/>
    <w:bookmarkEnd w:id="49"/>
    <w:p>
      <w:pPr>
        <w:ind w:firstLine="324"/>
        <w:spacing w:after="0" w:line="254" w:lineRule="auto"/>
        <w:rPr>
          <w:sz w:val="20"/>
          <w:szCs w:val="20"/>
          <w:color w:val="auto"/>
        </w:rPr>
      </w:pPr>
      <w:r>
        <w:rPr>
          <w:rFonts w:ascii="Arial" w:cs="Arial" w:eastAsia="Arial" w:hAnsi="Arial"/>
          <w:sz w:val="18"/>
          <w:szCs w:val="18"/>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225"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charging stations and cost to charge an electric vehicle, especially in international markets, and related infrastructure costs and standardization;</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7"/>
          <w:szCs w:val="17"/>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right="20"/>
        <w:spacing w:after="0" w:line="277" w:lineRule="auto"/>
        <w:rPr>
          <w:sz w:val="20"/>
          <w:szCs w:val="20"/>
          <w:color w:val="auto"/>
        </w:rPr>
      </w:pPr>
      <w:r>
        <w:rPr>
          <w:rFonts w:ascii="Arial" w:cs="Arial" w:eastAsia="Arial" w:hAnsi="Arial"/>
          <w:sz w:val="18"/>
          <w:szCs w:val="18"/>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9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6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72"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7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i w:val="1"/>
          <w:iCs w:val="1"/>
          <w:color w:val="auto"/>
        </w:rPr>
        <w:t>If we fail to manage our future growth effectively, we may not be able to develop, manufacture, distribute, market and sell our vehicles successfully.</w:t>
      </w:r>
    </w:p>
    <w:p>
      <w:pPr>
        <w:spacing w:after="0" w:line="26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including in connection with our transition to a public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into new markets and establishing sales, service and/or manufacturing operations in many of those markets.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engineering, manufacturing and servicing electric vehicles is intense, and we may not be able to identify, attract, integrate, train, motivate or retain additional highly qualified personnel in the future. The failure to identify, attract, integrate, train, motivate and retain these additional employees could seriously harm our business and prospects. Our employee equity program is a key factor in our ability to attract and retain talent and continue to support the growth of the company. If we are unable to grant equity awards, or if we are forced to reduce the value of equity awards we grant due to shortage of shares available for issuance under our stock incentive plan, we may not be able to attract, hire and retain the personnel necessary for our business, which would have a material adverse effect on our business, prospects financial condition and results of operations.</w:t>
      </w:r>
    </w:p>
    <w:p>
      <w:pPr>
        <w:spacing w:after="0" w:line="19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we have no experience to date in high volume manufacturing of our vehicles. We cannot assure our investors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81" w:lineRule="exact"/>
        <w:rPr>
          <w:sz w:val="20"/>
          <w:szCs w:val="20"/>
          <w:color w:val="auto"/>
        </w:rPr>
      </w:pPr>
    </w:p>
    <w:p>
      <w:pPr>
        <w:jc w:val="both"/>
        <w:ind w:right="480"/>
        <w:spacing w:after="0" w:line="381" w:lineRule="auto"/>
        <w:rPr>
          <w:sz w:val="20"/>
          <w:szCs w:val="20"/>
          <w:color w:val="auto"/>
        </w:rPr>
      </w:pPr>
      <w:r>
        <w:rPr>
          <w:rFonts w:ascii="Arial" w:cs="Arial" w:eastAsia="Arial" w:hAnsi="Arial"/>
          <w:sz w:val="15"/>
          <w:szCs w:val="15"/>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0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currently intend to offer leasing and financing of our vehicles to potential customers through a third-party financing partner or partners, but we cannot provide any assurance that such third-party financing partners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 w:name="page53"/>
    <w:bookmarkEnd w:id="52"/>
    <w:p>
      <w:pPr>
        <w:ind w:right="140" w:firstLine="324"/>
        <w:spacing w:after="0" w:line="293" w:lineRule="auto"/>
        <w:rPr>
          <w:sz w:val="20"/>
          <w:szCs w:val="20"/>
          <w:color w:val="auto"/>
        </w:rPr>
      </w:pPr>
      <w:r>
        <w:rPr>
          <w:rFonts w:ascii="Arial" w:cs="Arial" w:eastAsia="Arial" w:hAnsi="Arial"/>
          <w:sz w:val="16"/>
          <w:szCs w:val="16"/>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and the recent conflict in Ukraine.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6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vehicles are designed with advanced driver assistance system (“</w:t>
      </w:r>
      <w:r>
        <w:rPr>
          <w:rFonts w:ascii="Arial" w:cs="Arial" w:eastAsia="Arial" w:hAnsi="Arial"/>
          <w:sz w:val="17"/>
          <w:szCs w:val="17"/>
          <w:i w:val="1"/>
          <w:iCs w:val="1"/>
          <w:color w:val="auto"/>
        </w:rPr>
        <w:t>ADAS</w:t>
      </w:r>
      <w:r>
        <w:rPr>
          <w:rFonts w:ascii="Arial" w:cs="Arial" w:eastAsia="Arial" w:hAnsi="Arial"/>
          <w:sz w:val="17"/>
          <w:szCs w:val="17"/>
          <w:color w:val="auto"/>
        </w:rPr>
        <w:t>”) hardware, and we expect to release a Lucid Air software update and launch Project Gravity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spacing w:after="0" w:line="1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ADAS technology is also subject to considerable regulatory uncertainty, which exposes us to additional risks. See “— Risks Related to Litigation and Regulation </w:t>
      </w:r>
      <w:r>
        <w:rPr>
          <w:rFonts w:ascii="Arial" w:cs="Arial" w:eastAsia="Arial" w:hAnsi="Arial"/>
          <w:sz w:val="18"/>
          <w:szCs w:val="18"/>
          <w:i w:val="1"/>
          <w:iCs w:val="1"/>
          <w:color w:val="auto"/>
        </w:rPr>
        <w:t>— ADAS technology is subject to uncertain and evolving regulations.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depend significantly on our brand.</w:t>
      </w:r>
    </w:p>
    <w:p>
      <w:pPr>
        <w:spacing w:after="0" w:line="225" w:lineRule="exact"/>
        <w:rPr>
          <w:sz w:val="20"/>
          <w:szCs w:val="20"/>
          <w:color w:val="auto"/>
        </w:rPr>
      </w:pPr>
    </w:p>
    <w:p>
      <w:pPr>
        <w:ind w:right="380" w:firstLine="324"/>
        <w:spacing w:after="0" w:line="291" w:lineRule="auto"/>
        <w:rPr>
          <w:sz w:val="20"/>
          <w:szCs w:val="20"/>
          <w:color w:val="auto"/>
        </w:rPr>
      </w:pPr>
      <w:r>
        <w:rPr>
          <w:rFonts w:ascii="Arial" w:cs="Arial" w:eastAsia="Arial" w:hAnsi="Arial"/>
          <w:sz w:val="16"/>
          <w:szCs w:val="16"/>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6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right="340"/>
        <w:spacing w:after="0" w:line="277" w:lineRule="auto"/>
        <w:rPr>
          <w:sz w:val="20"/>
          <w:szCs w:val="20"/>
          <w:color w:val="auto"/>
        </w:rPr>
      </w:pPr>
      <w:r>
        <w:rPr>
          <w:rFonts w:ascii="Arial" w:cs="Arial" w:eastAsia="Arial" w:hAnsi="Arial"/>
          <w:sz w:val="18"/>
          <w:szCs w:val="18"/>
          <w:b w:val="1"/>
          <w:bCs w:val="1"/>
          <w:i w:val="1"/>
          <w:iCs w:val="1"/>
          <w:color w:val="auto"/>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19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conforming our vehicles to various international regulatory requirements where our vehicles are sold, or homologation;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localized supply chains and managing international supply chain and logistics costs;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sufficient charging points for our customers in those jurisdictions, via partnerships or, if necessary, via development of our own charging networks;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225"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18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146"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inflation as well as fluctuations in foreign currency exchange rates and interest rates, including risks related to any forward currency contracts, interest rate swaps or other hedging activities we undertake;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data privacy and security laws, regulations and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instability, natural disasters, pandemics (including severity, magnitude and the duration of the COVID-19 pandemic), war or events of terrorism;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we fail to successfully address these risks, our business, prospects, results of operations and financial condition could be materially harmed.</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Uninsured losses could result in payment of substantial damages, which would decrease our cash reserves and could harm our cash flow and financial condition.</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the ordinary course of business, we may be subject to losses resulting from product liability, accidents, acts of God and other claims against us, for which we may have no insurance coverage. While we currently carry insurance that is customary for our size and operations,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4" w:name="page55"/>
    <w:bookmarkEnd w:id="54"/>
    <w:p>
      <w:pPr>
        <w:ind w:right="60"/>
        <w:spacing w:after="0" w:line="277" w:lineRule="auto"/>
        <w:rPr>
          <w:sz w:val="20"/>
          <w:szCs w:val="20"/>
          <w:color w:val="auto"/>
        </w:rPr>
      </w:pPr>
      <w:r>
        <w:rPr>
          <w:rFonts w:ascii="Arial" w:cs="Arial" w:eastAsia="Arial" w:hAnsi="Arial"/>
          <w:sz w:val="18"/>
          <w:szCs w:val="18"/>
          <w:b w:val="1"/>
          <w:bCs w:val="1"/>
          <w:i w:val="1"/>
          <w:iCs w:val="1"/>
          <w:color w:val="auto"/>
        </w:rPr>
        <w:t>Increasing scrutiny and changing expectations from global regulations, our investors, customers and employees with respect to our ESG practices may impose additional costs on us or expose us to new or additional risks.</w:t>
      </w:r>
    </w:p>
    <w:p>
      <w:pPr>
        <w:spacing w:after="0" w:line="170" w:lineRule="exact"/>
        <w:rPr>
          <w:sz w:val="20"/>
          <w:szCs w:val="20"/>
          <w:color w:val="auto"/>
        </w:rPr>
      </w:pPr>
    </w:p>
    <w:p>
      <w:pPr>
        <w:ind w:right="260" w:firstLine="324"/>
        <w:spacing w:after="0" w:line="296" w:lineRule="auto"/>
        <w:rPr>
          <w:sz w:val="20"/>
          <w:szCs w:val="20"/>
          <w:color w:val="auto"/>
        </w:rPr>
      </w:pPr>
      <w:r>
        <w:rPr>
          <w:rFonts w:ascii="Arial" w:cs="Arial" w:eastAsia="Arial" w:hAnsi="Arial"/>
          <w:sz w:val="16"/>
          <w:szCs w:val="16"/>
          <w:color w:val="auto"/>
        </w:rPr>
        <w:t>There is increased focus, including from governmental organizations and our investors, customers and employees, on ESG issues such as environmental stewardship, climate change, diversity and inclusion, racial justice and workplace conduct.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61"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It is possible that our stakeholders may not be satisfied with our ESG practices or the speed of their adoption and our systems may not be adequate to meet increasing global regulations on ESG topics. Actual or perceived shortcomings with respect to our ESG initiatives and reporting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ratings of our company or our industries, as well as non-inclusion of our stock on ESG-oriented investment funds, may lead to negative investor sentiment and the diversion of investment to other companies or industries, which could have a negative impact on our stock price.</w:t>
      </w:r>
    </w:p>
    <w:p>
      <w:pPr>
        <w:spacing w:after="0" w:line="16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17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Any future delays in the financing, design, manufacture and launch of the Lucid Air, including planned future variants, and any future electric vehicles could materially damage our business, prospects, financial condition and results of operations.</w:t>
      </w:r>
    </w:p>
    <w:p>
      <w:pPr>
        <w:spacing w:after="0" w:line="19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Many of our vehicles are still in the development and/or testing phase, including all of the variants of the Lucid Air other than the Dream Edition and the Grand Touring, and production of the Project Gravity SUV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17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These challenges have affected our ability, and the ability of our suppliers, to obtain parts, components and manufacturing equipment on a timely basis, and in some instances have resulted in increased costs. We expect that these industry-wide trends will continue for the foreseeable future. To the extent our suppliers experience any delays in providing us with or developing necessary components, we could experience delays in delivering on our timelines.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right="100" w:firstLine="324"/>
        <w:spacing w:after="0" w:line="259" w:lineRule="auto"/>
        <w:rPr>
          <w:sz w:val="20"/>
          <w:szCs w:val="20"/>
          <w:color w:val="auto"/>
        </w:rPr>
      </w:pPr>
      <w:r>
        <w:rPr>
          <w:rFonts w:ascii="Arial" w:cs="Arial" w:eastAsia="Arial" w:hAnsi="Arial"/>
          <w:sz w:val="18"/>
          <w:szCs w:val="18"/>
          <w:color w:val="auto"/>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continued development of and the ability to manufacture our vehicles, including the Lucid Air and Project Gravity, are and will be subject to risks, including with respect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ensure readiness of firmware features and functions to be integrated into the Lucid Air as planned and on the desired timeline;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finalize release candidate specifications for Project Gravity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delays by us in delivering final component designs to our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or our suppliers’ ability to successfully tool their manufacturing facilities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ensure a working supply chain and desired supplier part quality and quantity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accurately manufacture vehicles within specified design tolerances;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refine and scale, as well as make significant investments in manufacturing, supply chain management and logistics functions, including the related information technology systems and software applications;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adequately reduce and control the costs of key parts and materials;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any transitions or changes in our production process, planned or unplanned;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product defects that cannot be remedied without adversely affecting the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negotiate and execute definitive agreements with various suppliers for hardware, software, or services necessary to engineer or manufacture our vehicles;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certifications;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environmental, safety, and similar regulations and in a timely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secure necessary components, services, or licenses on acceptable terms and in a timely manner;</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recruit, hire, retain and train skilled employees including supply chain management, supplier quality, manufacturing and logistics personnel;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implement effective and efficient quality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disruptions in our supply chain including raw material supplies;</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arrangements on commercially reasonable terms with our suppliers, delivery and other partners, after sales service providers, and other operationally significant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severity, magnitude and duration of the ongoing COVID-19 pandemic, including related business interruptions and other effects;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“Risks Related to Financing and Strategic Transactions </w:t>
      </w:r>
      <w:r>
        <w:rPr>
          <w:rFonts w:ascii="Arial" w:cs="Arial" w:eastAsia="Arial" w:hAnsi="Arial"/>
          <w:sz w:val="18"/>
          <w:szCs w:val="18"/>
          <w:i w:val="1"/>
          <w:iCs w:val="1"/>
          <w:color w:val="auto"/>
        </w:rPr>
        <w:t>— We will require additional capital to support business growth, and this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might not be available on commercially reasonable terms, or at all.”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6" w:name="page57"/>
    <w:bookmarkEnd w:id="56"/>
    <w:p>
      <w:pPr>
        <w:jc w:val="both"/>
        <w:ind w:right="280"/>
        <w:spacing w:after="0" w:line="381" w:lineRule="auto"/>
        <w:rPr>
          <w:sz w:val="20"/>
          <w:szCs w:val="20"/>
          <w:color w:val="auto"/>
        </w:rPr>
      </w:pPr>
      <w:r>
        <w:rPr>
          <w:rFonts w:ascii="Arial" w:cs="Arial" w:eastAsia="Arial" w:hAnsi="Arial"/>
          <w:sz w:val="15"/>
          <w:szCs w:val="15"/>
          <w:b w:val="1"/>
          <w:bCs w:val="1"/>
          <w:i w:val="1"/>
          <w:iCs w:val="1"/>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0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such as battery cells our supply agreements do not guarantee sufficient quantities of components for our vehicle production ramp curve. The supplier agreements we have or may enter into with key suppliers in the future may have provisions where such agreements can be terminated in various circumstances, including potentially without cause.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Substantial increases in the prices for such components, materials and equipment, whether due to supply chain or logistics issues or due to inflation,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also be at a disadvantage in negotiating supply agreements for the production of our vehicles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spacing w:after="0" w:line="16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5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6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We expect that these industry-wide trends will continue to affect the ability of us and our suppliers to obtain parts, components and manufacturing equipment on a timely basis for the foreseeable future, and may result in increased costs. We have also been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7" w:name="page58"/>
    <w:bookmarkEnd w:id="57"/>
    <w:p>
      <w:pPr>
        <w:ind w:firstLine="324"/>
        <w:spacing w:after="0" w:line="269" w:lineRule="auto"/>
        <w:rPr>
          <w:sz w:val="20"/>
          <w:szCs w:val="20"/>
          <w:color w:val="auto"/>
        </w:rPr>
      </w:pPr>
      <w:r>
        <w:rPr>
          <w:rFonts w:ascii="Arial" w:cs="Arial" w:eastAsia="Arial" w:hAnsi="Arial"/>
          <w:sz w:val="17"/>
          <w:szCs w:val="17"/>
          <w:color w:val="auto"/>
        </w:rPr>
        <w:t>In addition, we have experienced, and in the future could continue to experience, delays if our suppliers do not meet agreed upon timelines, experience capacity constraints, or deliver components that do not meet our quality standards.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8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We have not yet scaled production in our manufacturing facilities to significant volumes or begun servicing vehicles at significant volumes. Accordingly, our ability to scale production and vehicle servicing and mitigate risks associated with these activities has not been thoroughly tested. If we are unable to accurately match the timing and quantities of component purchases to our actual needs, successfully recruit and retain personnel with relevant experience,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9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costs, disruption of supply or shortage of materials, in particular for lithium-ion cells or semiconductors, could harm our business.</w:t>
      </w:r>
    </w:p>
    <w:p>
      <w:pPr>
        <w:spacing w:after="0" w:line="24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cells. These risks include:</w:t>
      </w:r>
    </w:p>
    <w:p>
      <w:pPr>
        <w:spacing w:after="0" w:line="181" w:lineRule="exact"/>
        <w:rPr>
          <w:sz w:val="20"/>
          <w:szCs w:val="20"/>
          <w:color w:val="auto"/>
        </w:rPr>
      </w:pPr>
    </w:p>
    <w:p>
      <w:pPr>
        <w:ind w:left="660" w:right="4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materials, such as cobalt, used in lithium-ion cells;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battery cell manufacturers;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value of any foreign currencies, and the Korean Won in particular, in which battery cell and related raw material purchases are or may be denominated against the U.S. dollar.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ind w:firstLine="324"/>
        <w:spacing w:after="0" w:line="285" w:lineRule="auto"/>
        <w:rPr>
          <w:sz w:val="20"/>
          <w:szCs w:val="20"/>
          <w:color w:val="auto"/>
        </w:rPr>
      </w:pPr>
      <w:r>
        <w:rPr>
          <w:rFonts w:ascii="Arial" w:cs="Arial" w:eastAsia="Arial" w:hAnsi="Arial"/>
          <w:sz w:val="16"/>
          <w:szCs w:val="16"/>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76"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Furthermore, currency fluctuations, tariffs or shortages in petroleum and other economic or political conditions have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delayed production and delivery of our vehicles, including the Lucid Air;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delayed market acceptance of our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customers or inability to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brand or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59" w:name="page60"/>
    <w:bookmarkEnd w:id="59"/>
    <w:p>
      <w:pPr>
        <w:ind w:right="520"/>
        <w:spacing w:after="0" w:line="277" w:lineRule="auto"/>
        <w:rPr>
          <w:sz w:val="20"/>
          <w:szCs w:val="20"/>
          <w:color w:val="auto"/>
        </w:rPr>
      </w:pPr>
      <w:r>
        <w:rPr>
          <w:rFonts w:ascii="Arial" w:cs="Arial" w:eastAsia="Arial" w:hAnsi="Arial"/>
          <w:sz w:val="18"/>
          <w:szCs w:val="18"/>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1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While we have completed the initial phase of construction at our manufacturing facilities in Casa Grande, Arizona, tooling our facilities for production of our vehicles and our future expansion plans are complicated and present significant challenges.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7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likely require repair or remediation to support future production volumes. We plan to address such repairs or remediation as part of the phased build-out of our Casa Grande facility. Although we do not currently expect that we will be required to take vehicle production offline or reduce our planned manufacturing volumes, the repairs or remediation could entail significant costs, and we may be unable to recover some or all of such costs from the applicable contractor(s).</w:t>
      </w:r>
    </w:p>
    <w:p>
      <w:pPr>
        <w:spacing w:after="0" w:line="17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our Casa Grande facilities and the equipment we use to manufacture our vehicles will be costly to repair or replace and could require substantial lead-time to repair or replace and qualify for use.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right="20" w:firstLine="324"/>
        <w:spacing w:after="0" w:line="269" w:lineRule="auto"/>
        <w:rPr>
          <w:sz w:val="20"/>
          <w:szCs w:val="20"/>
          <w:color w:val="auto"/>
        </w:rPr>
      </w:pPr>
      <w:r>
        <w:rPr>
          <w:rFonts w:ascii="Arial" w:cs="Arial" w:eastAsia="Arial" w:hAnsi="Arial"/>
          <w:sz w:val="17"/>
          <w:szCs w:val="17"/>
          <w:color w:val="auto"/>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79"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0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to date in high volume manufacture of our vehicles.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cannot provide any assurance as to whether we will be able to develop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such logistics and production processes and capabilities within our projected costs and timelines could have a material adverse effect on our business, results of operations, prospects and financial condition.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vehicles fail to perform as expected, our ability to develop, market and sell or lease our products could be harmed.</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right="80" w:firstLine="324"/>
        <w:spacing w:after="0" w:line="271" w:lineRule="auto"/>
        <w:rPr>
          <w:sz w:val="20"/>
          <w:szCs w:val="20"/>
          <w:color w:val="auto"/>
        </w:rPr>
      </w:pPr>
      <w:r>
        <w:rPr>
          <w:rFonts w:ascii="Arial" w:cs="Arial" w:eastAsia="Arial" w:hAnsi="Arial"/>
          <w:sz w:val="17"/>
          <w:szCs w:val="17"/>
          <w:color w:val="auto"/>
        </w:rPr>
        <w:t xml:space="preserve">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Any such defects or noncompliance with legal requirements could also result in safety recalls. See “— Risks Related to Litigation and Regulation — </w:t>
      </w:r>
      <w:r>
        <w:rPr>
          <w:rFonts w:ascii="Arial" w:cs="Arial" w:eastAsia="Arial" w:hAnsi="Arial"/>
          <w:sz w:val="17"/>
          <w:szCs w:val="17"/>
          <w:i w:val="1"/>
          <w:iCs w:val="1"/>
          <w:color w:val="auto"/>
        </w:rPr>
        <w:t>We have in the past and may choose in the future,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be compelled, to undertake product recalls or take other actions, which could adversely affect our business, prospects, results of operations, reputation and financial condition.” </w:t>
      </w:r>
      <w:r>
        <w:rPr>
          <w:rFonts w:ascii="Arial" w:cs="Arial" w:eastAsia="Arial" w:hAnsi="Arial"/>
          <w:sz w:val="17"/>
          <w:szCs w:val="17"/>
          <w:color w:val="auto"/>
        </w:rPr>
        <w:t>As a new entrant to the industry attempting to build customer relationships and earn trust, these effects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significantly detrimental to us. Additionally, problems and defects experienced by other electric consumer vehicles could by association have a negative impact on perception and customer demand for our vehicles.</w:t>
      </w:r>
    </w:p>
    <w:p>
      <w:pPr>
        <w:spacing w:after="0" w:line="178"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challenges providing charging solutions for our vehicles.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which could serve to limit the development of public charging infrastructure and increase the relative attractiveness to potential customers of a proprietary charging solution.</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4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Because commercial production of the Lucid Air has recently begun, we have limited experience servicing or repairing our vehicles.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or develop and implement the necessary IT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right="80" w:firstLine="324"/>
        <w:spacing w:after="0" w:line="257" w:lineRule="auto"/>
        <w:rPr>
          <w:sz w:val="20"/>
          <w:szCs w:val="20"/>
          <w:color w:val="auto"/>
        </w:rPr>
      </w:pPr>
      <w:r>
        <w:rPr>
          <w:rFonts w:ascii="Arial" w:cs="Arial" w:eastAsia="Arial" w:hAnsi="Arial"/>
          <w:sz w:val="18"/>
          <w:szCs w:val="18"/>
          <w:color w:val="auto"/>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8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6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provide a new vehicle limited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7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3" w:name="page64"/>
    <w:bookmarkEnd w:id="63"/>
    <w:p>
      <w:pPr>
        <w:ind w:right="40"/>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health epidemics or pandemics, or security incidents.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 xml:space="preserve">We and our suppliers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Arial" w:cs="Arial" w:eastAsia="Arial" w:hAnsi="Arial"/>
          <w:sz w:val="16"/>
          <w:szCs w:val="16"/>
          <w:i w:val="1"/>
          <w:iCs w:val="1"/>
          <w:color w:val="auto"/>
        </w:rPr>
        <w:t>A failure to properly comply with foreign trade zone</w:t>
      </w:r>
      <w:r>
        <w:rPr>
          <w:rFonts w:ascii="Arial" w:cs="Arial" w:eastAsia="Arial" w:hAnsi="Arial"/>
          <w:sz w:val="16"/>
          <w:szCs w:val="16"/>
          <w:color w:val="auto"/>
        </w:rPr>
        <w:t xml:space="preserve"> </w:t>
      </w:r>
      <w:r>
        <w:rPr>
          <w:rFonts w:ascii="Arial" w:cs="Arial" w:eastAsia="Arial" w:hAnsi="Arial"/>
          <w:sz w:val="16"/>
          <w:szCs w:val="16"/>
          <w:i w:val="1"/>
          <w:iCs w:val="1"/>
          <w:color w:val="auto"/>
        </w:rPr>
        <w:t>laws and regulations could increase the cost of our duties and tariffs.</w:t>
      </w:r>
      <w:r>
        <w:rPr>
          <w:rFonts w:ascii="Arial" w:cs="Arial" w:eastAsia="Arial" w:hAnsi="Arial"/>
          <w:sz w:val="16"/>
          <w:szCs w:val="16"/>
          <w:color w:val="auto"/>
        </w:rPr>
        <w:t>” In addition, the military invasion of Ukraine by Russia and the sanctions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Russia resulting from such conflict may increase the likelihood of supply chain interruptions and may impair our ability to compete in current or future markets, or otherwise subject us to potential liability. See “— Risks Related to Litigation and Regulation — </w:t>
      </w:r>
      <w:r>
        <w:rPr>
          <w:rFonts w:ascii="Arial" w:cs="Arial" w:eastAsia="Arial" w:hAnsi="Arial"/>
          <w:sz w:val="16"/>
          <w:szCs w:val="16"/>
          <w:i w:val="1"/>
          <w:iCs w:val="1"/>
          <w:color w:val="auto"/>
        </w:rPr>
        <w:t>Changes in U.S. trade policy, including the</w:t>
      </w:r>
      <w:r>
        <w:rPr>
          <w:rFonts w:ascii="Arial" w:cs="Arial" w:eastAsia="Arial" w:hAnsi="Arial"/>
          <w:sz w:val="16"/>
          <w:szCs w:val="16"/>
          <w:color w:val="auto"/>
        </w:rPr>
        <w:t xml:space="preserve"> </w:t>
      </w:r>
      <w:r>
        <w:rPr>
          <w:rFonts w:ascii="Arial" w:cs="Arial" w:eastAsia="Arial" w:hAnsi="Arial"/>
          <w:sz w:val="16"/>
          <w:szCs w:val="16"/>
          <w:i w:val="1"/>
          <w:iCs w:val="1"/>
          <w:color w:val="auto"/>
        </w:rPr>
        <w:t>imposition of tariffs or revocation of normal trade relations and the resulting consequences, could adversely affect our business, prospects, results of operations and financial condition</w:t>
      </w:r>
      <w:r>
        <w:rPr>
          <w:rFonts w:ascii="Arial" w:cs="Arial" w:eastAsia="Arial" w:hAnsi="Arial"/>
          <w:sz w:val="16"/>
          <w:szCs w:val="16"/>
          <w:color w:val="auto"/>
        </w:rPr>
        <w:t>.” We may incur significant expenses or delays relating to such events outside of our control, which could have a</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adverse impact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vehicles will make use of lithium-ion battery cells, which have been observed to catch fire or vent smoke and flame.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8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In addition, as we expand our service network and scale the manufacturing of our vehicles and any future energy storage products, we will need to store lithium-ion cells at our Lucid Studios and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products contain complex information technology systems. For example, our vehicles are designed with built-in data connectivity to accept and install periodic remote updates to improve their functionality.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right="60" w:firstLine="324"/>
        <w:spacing w:after="0" w:line="254" w:lineRule="auto"/>
        <w:rPr>
          <w:sz w:val="20"/>
          <w:szCs w:val="20"/>
          <w:color w:val="auto"/>
        </w:rPr>
      </w:pPr>
      <w:r>
        <w:rPr>
          <w:rFonts w:ascii="Arial" w:cs="Arial" w:eastAsia="Arial" w:hAnsi="Arial"/>
          <w:sz w:val="18"/>
          <w:szCs w:val="18"/>
          <w:color w:val="auto"/>
        </w:rPr>
        <w:t>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Furthermore, cyber threat actors may in the future attempt to gain unauthorized access to, modify, alter and use our vehicles, products and systems to</w:t>
      </w:r>
    </w:p>
    <w:p>
      <w:pPr>
        <w:spacing w:after="0" w:line="46" w:lineRule="exact"/>
        <w:rPr>
          <w:sz w:val="20"/>
          <w:szCs w:val="20"/>
          <w:color w:val="auto"/>
        </w:rPr>
      </w:pPr>
    </w:p>
    <w:p>
      <w:pPr>
        <w:ind w:right="80" w:firstLine="8"/>
        <w:spacing w:after="0" w:line="267" w:lineRule="auto"/>
        <w:tabs>
          <w:tab w:leader="none" w:pos="2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products and systems. Our data center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8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These risks have been heightened in connection with the ongoing conflict between Russia and Ukraine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our proprietary software codes), products, and systems, causing data breach, or disruption, modification, destruction to our systems and applications. As a result, we may suffer monetary losses, business interruption, and long-lasting operational issues, damage to our reputation and brand, loss of our intellectual property or trade secrets.</w:t>
      </w:r>
    </w:p>
    <w:p>
      <w:pPr>
        <w:spacing w:after="0" w:line="17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vulnerable to being “hacked,” could negatively affect our brand. In addition, some members of the U.S. federal government, including certain members of Congress and the National Highway Traffic Safety Administration (“</w:t>
      </w:r>
      <w:r>
        <w:rPr>
          <w:rFonts w:ascii="Arial" w:cs="Arial" w:eastAsia="Arial" w:hAnsi="Arial"/>
          <w:sz w:val="16"/>
          <w:szCs w:val="16"/>
          <w:i w:val="1"/>
          <w:iCs w:val="1"/>
          <w:color w:val="auto"/>
        </w:rPr>
        <w:t>NHTSA</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existing architectures/new vehicles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7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5" w:name="page66"/>
    <w:bookmarkEnd w:id="65"/>
    <w:p>
      <w:pPr>
        <w:ind w:right="20" w:firstLine="324"/>
        <w:spacing w:after="0" w:line="286" w:lineRule="auto"/>
        <w:rPr>
          <w:sz w:val="20"/>
          <w:szCs w:val="20"/>
          <w:color w:val="auto"/>
        </w:rPr>
      </w:pPr>
      <w:r>
        <w:rPr>
          <w:rFonts w:ascii="Arial" w:cs="Arial" w:eastAsia="Arial" w:hAnsi="Arial"/>
          <w:sz w:val="16"/>
          <w:szCs w:val="16"/>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6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firstLine="324"/>
        <w:spacing w:after="0" w:line="269"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w:t>
      </w:r>
      <w:r>
        <w:rPr>
          <w:rFonts w:ascii="Arial" w:cs="Arial" w:eastAsia="Arial" w:hAnsi="Arial"/>
          <w:sz w:val="17"/>
          <w:szCs w:val="17"/>
          <w:i w:val="1"/>
          <w:iCs w:val="1"/>
          <w:color w:val="auto"/>
        </w:rPr>
        <w:t>GDPR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in May 2018, California adopted the California Consumer Privacy Act of 2018 (“</w:t>
      </w:r>
      <w:r>
        <w:rPr>
          <w:rFonts w:ascii="Arial" w:cs="Arial" w:eastAsia="Arial" w:hAnsi="Arial"/>
          <w:sz w:val="17"/>
          <w:szCs w:val="17"/>
          <w:i w:val="1"/>
          <w:iCs w:val="1"/>
          <w:color w:val="auto"/>
        </w:rPr>
        <w:t>CCPA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in January 2020, Canada adopted the Personal Information Protection and Electronic Documents Act (“</w:t>
      </w:r>
      <w:r>
        <w:rPr>
          <w:rFonts w:ascii="Arial" w:cs="Arial" w:eastAsia="Arial" w:hAnsi="Arial"/>
          <w:sz w:val="17"/>
          <w:szCs w:val="17"/>
          <w:i w:val="1"/>
          <w:iCs w:val="1"/>
          <w:color w:val="auto"/>
        </w:rPr>
        <w:t>PIPEDA</w:t>
      </w:r>
      <w:r>
        <w:rPr>
          <w:rFonts w:ascii="Arial" w:cs="Arial" w:eastAsia="Arial" w:hAnsi="Arial"/>
          <w:sz w:val="17"/>
          <w:szCs w:val="17"/>
          <w:color w:val="auto"/>
        </w:rPr>
        <w:t>”) and continues to amend the statute, the United Arab Emirates adopted the Data Protection Law (“</w:t>
      </w:r>
      <w:r>
        <w:rPr>
          <w:rFonts w:ascii="Arial" w:cs="Arial" w:eastAsia="Arial" w:hAnsi="Arial"/>
          <w:sz w:val="17"/>
          <w:szCs w:val="17"/>
          <w:i w:val="1"/>
          <w:iCs w:val="1"/>
          <w:color w:val="auto"/>
        </w:rPr>
        <w:t>DPL</w:t>
      </w:r>
      <w:r>
        <w:rPr>
          <w:rFonts w:ascii="Arial" w:cs="Arial" w:eastAsia="Arial" w:hAnsi="Arial"/>
          <w:sz w:val="17"/>
          <w:szCs w:val="17"/>
          <w:color w:val="auto"/>
        </w:rPr>
        <w:t>”), which became effective in January 2022, and the Kingdom of Saudi Arabia enacted the Personal Data Protection Law (“</w:t>
      </w:r>
      <w:r>
        <w:rPr>
          <w:rFonts w:ascii="Arial" w:cs="Arial" w:eastAsia="Arial" w:hAnsi="Arial"/>
          <w:sz w:val="17"/>
          <w:szCs w:val="17"/>
          <w:i w:val="1"/>
          <w:iCs w:val="1"/>
          <w:color w:val="auto"/>
        </w:rPr>
        <w:t>PDPL</w:t>
      </w:r>
      <w:r>
        <w:rPr>
          <w:rFonts w:ascii="Arial" w:cs="Arial" w:eastAsia="Arial" w:hAnsi="Arial"/>
          <w:sz w:val="17"/>
          <w:szCs w:val="17"/>
          <w:color w:val="auto"/>
        </w:rPr>
        <w:t>”) which will take effect in March 2023. Each of the GDPR, the CCPA, the PIPEDA, the DPL and the PDPL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18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Recent legal developments in the European Economic Area (“</w:t>
      </w:r>
      <w:r>
        <w:rPr>
          <w:rFonts w:ascii="Arial" w:cs="Arial" w:eastAsia="Arial" w:hAnsi="Arial"/>
          <w:sz w:val="17"/>
          <w:szCs w:val="17"/>
          <w:i w:val="1"/>
          <w:iCs w:val="1"/>
          <w:color w:val="auto"/>
        </w:rPr>
        <w:t>EEA</w:t>
      </w:r>
      <w:r>
        <w:rPr>
          <w:rFonts w:ascii="Arial" w:cs="Arial" w:eastAsia="Arial" w:hAnsi="Arial"/>
          <w:sz w:val="17"/>
          <w:szCs w:val="17"/>
          <w:color w:val="auto"/>
        </w:rPr>
        <w:t>”), including recent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17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material respects starting on January 1, 2023, the California Privacy Rights Act (“</w:t>
      </w:r>
      <w:r>
        <w:rPr>
          <w:rFonts w:ascii="Arial" w:cs="Arial" w:eastAsia="Arial" w:hAnsi="Arial"/>
          <w:sz w:val="18"/>
          <w:szCs w:val="18"/>
          <w:i w:val="1"/>
          <w:iCs w:val="1"/>
          <w:color w:val="auto"/>
        </w:rPr>
        <w:t>CPRA</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will significantly modify the CCPA, including by expanding California residents’ rights with respect to certain sensitive personal information. The CPRA also creates a new state agency that will be vested with the authority to implement and enforce the CCPA and the CPRA.</w:t>
      </w:r>
    </w:p>
    <w:p>
      <w:pPr>
        <w:spacing w:after="0" w:line="19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Other states, including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9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7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Most jurisdictions have enacted laws requiring companies to notify individuals, regulatory authorities and other third parties of security breaches involving certain types of data. For example, laws in all 50 U.S. states generally require business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Risks Related to Our Employees and 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personnel or an inability to attract, retain and motivate qualified personnel may impair our ability to expand our business.</w:t>
      </w:r>
    </w:p>
    <w:p>
      <w:pPr>
        <w:spacing w:after="0" w:line="23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especially if we are unable to grant equity awards or if the volatility of our stock price increases.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in particular, engineers and Arizona, where we have a substantial presence and a need for a large skilled repair, logistics,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the recent conflict in Ukraine.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the services of Peter Rawlinson, our Chief Executive Officer and Chief Technology Officer.</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8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Further, competition for employees in the Casa Grande, Arizona has increased and may continue to increase in the future, which may impact the ability or cost to hire in the area. If we are unsuccessful in hiring and training a workforce in a timely and cost-effective manner, our business, financial condition and results of operations could be adversely affected.</w:t>
      </w:r>
    </w:p>
    <w:p>
      <w:pPr>
        <w:spacing w:after="0" w:line="18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right="100"/>
        <w:spacing w:after="0" w:line="277" w:lineRule="auto"/>
        <w:rPr>
          <w:sz w:val="20"/>
          <w:szCs w:val="20"/>
          <w:color w:val="auto"/>
        </w:rPr>
      </w:pPr>
      <w:r>
        <w:rPr>
          <w:rFonts w:ascii="Arial" w:cs="Arial" w:eastAsia="Arial" w:hAnsi="Arial"/>
          <w:sz w:val="18"/>
          <w:szCs w:val="18"/>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5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9" w:name="page70"/>
    <w:bookmarkEnd w:id="69"/>
    <w:p>
      <w:pPr>
        <w:ind w:right="40" w:firstLine="324"/>
        <w:spacing w:after="0" w:line="268" w:lineRule="auto"/>
        <w:rPr>
          <w:sz w:val="20"/>
          <w:szCs w:val="20"/>
          <w:color w:val="auto"/>
        </w:rPr>
      </w:pPr>
      <w:r>
        <w:rPr>
          <w:rFonts w:ascii="Arial" w:cs="Arial" w:eastAsia="Arial" w:hAnsi="Arial"/>
          <w:sz w:val="17"/>
          <w:szCs w:val="17"/>
          <w:color w:val="auto"/>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8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regulatory limitations on our ability to sell vehicles directly, which could materially and adversely affect our ability to sell our vehicles.</w:t>
      </w:r>
    </w:p>
    <w:p>
      <w:pPr>
        <w:spacing w:after="0" w:line="24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6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 the past and may choose in the future, or we may be compelled, to undertake product recalls or take other actions, which could adversely affect our business, prospects, results of operations, reputation and financial condition.</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or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right="540"/>
        <w:spacing w:after="0" w:line="342" w:lineRule="auto"/>
        <w:rPr>
          <w:sz w:val="20"/>
          <w:szCs w:val="20"/>
          <w:color w:val="auto"/>
        </w:rPr>
      </w:pPr>
      <w:r>
        <w:rPr>
          <w:rFonts w:ascii="Arial" w:cs="Arial" w:eastAsia="Arial" w:hAnsi="Arial"/>
          <w:sz w:val="16"/>
          <w:szCs w:val="16"/>
          <w:b w:val="1"/>
          <w:bCs w:val="1"/>
          <w:i w:val="1"/>
          <w:iCs w:val="1"/>
          <w:color w:val="auto"/>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24"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5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74"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On December 3, 2021, we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and Lucid and certain projections and statements. We are cooperating fully with the SEC in its review.</w:t>
      </w:r>
    </w:p>
    <w:p>
      <w:pPr>
        <w:spacing w:after="0" w:line="14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6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April 1, 2022, a putative class action was filed by purported shareholder Victor Mangino under federal securities laws against Lucid Group, Inc. and certain officers of the Company relating to statements updated projections and guidance provided in the late 2021 to early 2022 timeframe. The complaint was filed in the Northern District of California, captioned Victor W. Mangino v. Lucid Group, Inc., et al., Case No. 3:22-cv-02094-JD. The complaint names as defendants Lucid Group, Inc. and the Company’s chief executive officer and chief financial officer, and generally alleges that defendants purportedly made false or misleading statements regarding delivery and revenue projections and related matters. The Complaint seeks certification of the action as a class action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1" w:name="page72"/>
    <w:bookmarkEnd w:id="71"/>
    <w:p>
      <w:pPr>
        <w:ind w:right="180" w:firstLine="324"/>
        <w:spacing w:after="0" w:line="257" w:lineRule="auto"/>
        <w:rPr>
          <w:sz w:val="20"/>
          <w:szCs w:val="20"/>
          <w:color w:val="auto"/>
        </w:rPr>
      </w:pPr>
      <w:r>
        <w:rPr>
          <w:rFonts w:ascii="Arial" w:cs="Arial" w:eastAsia="Arial" w:hAnsi="Arial"/>
          <w:sz w:val="18"/>
          <w:szCs w:val="18"/>
          <w:color w:val="auto"/>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Arial" w:cs="Arial" w:eastAsia="Arial" w:hAnsi="Arial"/>
          <w:sz w:val="16"/>
          <w:szCs w:val="16"/>
          <w:i w:val="1"/>
          <w:iCs w:val="1"/>
          <w:color w:val="auto"/>
        </w:rPr>
        <w:t>ADAS</w:t>
      </w:r>
      <w:r>
        <w:rPr>
          <w:rFonts w:ascii="Arial" w:cs="Arial" w:eastAsia="Arial" w:hAnsi="Arial"/>
          <w:sz w:val="16"/>
          <w:szCs w:val="16"/>
          <w:color w:val="auto"/>
        </w:rPr>
        <w:t xml:space="preserve"> features in our vehicles. See “— Risks Related to Litigation and Regulation — </w:t>
      </w:r>
      <w:r>
        <w:rPr>
          <w:rFonts w:ascii="Arial" w:cs="Arial" w:eastAsia="Arial" w:hAnsi="Arial"/>
          <w:sz w:val="16"/>
          <w:szCs w:val="16"/>
          <w:i w:val="1"/>
          <w:iCs w:val="1"/>
          <w:color w:val="auto"/>
        </w:rPr>
        <w:t>ADAS technology is subject to uncertain and evolving regulations</w:t>
      </w:r>
      <w:r>
        <w:rPr>
          <w:rFonts w:ascii="Arial" w:cs="Arial" w:eastAsia="Arial" w:hAnsi="Arial"/>
          <w:sz w:val="16"/>
          <w:szCs w:val="16"/>
          <w:color w:val="auto"/>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6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Arial" w:cs="Arial" w:eastAsia="Arial" w:hAnsi="Arial"/>
          <w:sz w:val="16"/>
          <w:szCs w:val="16"/>
          <w:i w:val="1"/>
          <w:iCs w:val="1"/>
          <w:color w:val="auto"/>
        </w:rPr>
        <w:t>We have experienced and may in the future experience significant delays in the design,</w:t>
      </w:r>
      <w:r>
        <w:rPr>
          <w:rFonts w:ascii="Arial" w:cs="Arial" w:eastAsia="Arial" w:hAnsi="Arial"/>
          <w:sz w:val="16"/>
          <w:szCs w:val="16"/>
          <w:color w:val="auto"/>
        </w:rPr>
        <w:t xml:space="preserve"> </w:t>
      </w:r>
      <w:r>
        <w:rPr>
          <w:rFonts w:ascii="Arial" w:cs="Arial" w:eastAsia="Arial" w:hAnsi="Arial"/>
          <w:sz w:val="16"/>
          <w:szCs w:val="16"/>
          <w:i w:val="1"/>
          <w:iCs w:val="1"/>
          <w:color w:val="auto"/>
        </w:rPr>
        <w:t>manufacture, launch and financing of our vehicles, including the Lucid Air and Project Gravity, which could harm our business and prospects.</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right="7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66"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7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w:t>
      </w:r>
    </w:p>
    <w:p>
      <w:pPr>
        <w:spacing w:after="0" w:line="2"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ADAS technology is subject to uncertain and evolving regulations.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3" w:name="page74"/>
    <w:bookmarkEnd w:id="73"/>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anti-money laundering and anti-boycott laws and regulations. We can face criminal liability and other serious consequences for violations, which can harm our business.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and laws that could subject us to liability if we are not in compliance with such laws.</w:t>
      </w:r>
    </w:p>
    <w:p>
      <w:pPr>
        <w:spacing w:after="0" w:line="24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7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or revocation of normal trade relations and the resulting consequences, could adversely affect our business, prospects, results of operations and financial condition.</w:t>
      </w:r>
    </w:p>
    <w:p>
      <w:pPr>
        <w:spacing w:after="0" w:line="17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81"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In December, the United States adopted the Uyghur Forced Labor Prevention Act (“</w:t>
      </w:r>
      <w:r>
        <w:rPr>
          <w:rFonts w:ascii="Arial" w:cs="Arial" w:eastAsia="Arial" w:hAnsi="Arial"/>
          <w:sz w:val="17"/>
          <w:szCs w:val="17"/>
          <w:i w:val="1"/>
          <w:iCs w:val="1"/>
          <w:color w:val="auto"/>
        </w:rPr>
        <w:t>UFLPA</w:t>
      </w:r>
      <w:r>
        <w:rPr>
          <w:rFonts w:ascii="Arial" w:cs="Arial" w:eastAsia="Arial" w:hAnsi="Arial"/>
          <w:sz w:val="17"/>
          <w:szCs w:val="17"/>
          <w:color w:val="auto"/>
        </w:rPr>
        <w:t>”)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come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and could have an adverse effect on our business and results of operations.</w:t>
      </w:r>
    </w:p>
    <w:p>
      <w:pPr>
        <w:spacing w:after="0" w:line="18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early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right="100" w:firstLine="324"/>
        <w:spacing w:after="0" w:line="271" w:lineRule="auto"/>
        <w:rPr>
          <w:sz w:val="20"/>
          <w:szCs w:val="20"/>
          <w:color w:val="auto"/>
        </w:rPr>
      </w:pPr>
      <w:r>
        <w:rPr>
          <w:rFonts w:ascii="Arial" w:cs="Arial" w:eastAsia="Arial" w:hAnsi="Arial"/>
          <w:sz w:val="17"/>
          <w:szCs w:val="17"/>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178"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In addition, the United States recently enacted federal legislation that revokes normal trade relations between Russia and Belarus. As a result,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properly comply with foreign trade zone laws and regulations could increase the cost of our duties and tariffs.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measures we take to obtain, maintain, protect and enforce our intellectual property, including preventing unauthorized use by third parties, may not be effective for various reasons, including the following:</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 applications we file may not result in the issuance of patents;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the first inventor of the subject matter to which we have filed a particular patent application, and we may not be the first party to file such a patent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our issued patents may not be broad enough to protect our inventions and proprietary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issued patents may be challenged or invalidated by our competitors or other third parties;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left="660" w:right="3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our patents that cover such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employees, contractors or business partners may breach their confidentiality, non-disclosure and non-use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ours;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and other third parties may circumvent or otherwise design around our patents or other intellectual property.</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9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right="580"/>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17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substantial damages, including treble damages for willful infringement, or ongoing royalty payments;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developing, selling, leasing, using or incorporating certain components into vehicles or offering goods or services that incorporate or use the asserted intellectual property;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 license from the owner of the asserted intellectual property, which license may not be available on reasonable terms,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other unfavorable terms;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7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Some of our products contain open source software, which may pose particular risks to our proprietary software, products and services in a manner that could harm our business.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right="40" w:firstLine="324"/>
        <w:spacing w:after="0" w:line="270" w:lineRule="auto"/>
        <w:rPr>
          <w:sz w:val="20"/>
          <w:szCs w:val="20"/>
          <w:color w:val="auto"/>
        </w:rPr>
      </w:pPr>
      <w:r>
        <w:rPr>
          <w:rFonts w:ascii="Arial" w:cs="Arial" w:eastAsia="Arial" w:hAnsi="Arial"/>
          <w:sz w:val="17"/>
          <w:szCs w:val="17"/>
          <w:color w:val="auto"/>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require additional capital to support business growth, and this capital might not be available on commercially reasonable terms, or at all.</w:t>
      </w:r>
    </w:p>
    <w:p>
      <w:pPr>
        <w:spacing w:after="0" w:line="24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have funded our operations since inception primarily through equity and convertible debt financings. For example, in December 2021, we issued approximately $2 billion of 1.25% convertible senior notes due 2026 (the “2026 Notes”).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fiscal year 2022, we have and we expect to settle tax withholding obligations in connection with vesting of the restricted stock units granted to Peter Rawlinson, our Chief Executive Officer and Chief Technology Officer, that were previously granted to him in March 2021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7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92"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00"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right="80" w:firstLine="324"/>
        <w:spacing w:after="0" w:line="257" w:lineRule="auto"/>
        <w:rPr>
          <w:sz w:val="20"/>
          <w:szCs w:val="20"/>
          <w:color w:val="auto"/>
        </w:rPr>
      </w:pPr>
      <w:r>
        <w:rPr>
          <w:rFonts w:ascii="Arial" w:cs="Arial" w:eastAsia="Arial" w:hAnsi="Arial"/>
          <w:sz w:val="18"/>
          <w:szCs w:val="18"/>
          <w:color w:val="auto"/>
        </w:rPr>
        <w:t>In accordance with ASU 2020-06, we expect that the 2026 Notes we issued will be reflected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w:t>
      </w:r>
    </w:p>
    <w:p>
      <w:pPr>
        <w:spacing w:after="0" w:line="188" w:lineRule="exact"/>
        <w:rPr>
          <w:sz w:val="20"/>
          <w:szCs w:val="20"/>
          <w:color w:val="auto"/>
        </w:rPr>
      </w:pPr>
    </w:p>
    <w:p>
      <w:pPr>
        <w:jc w:val="both"/>
        <w:ind w:right="220" w:firstLine="324"/>
        <w:spacing w:after="0" w:line="257" w:lineRule="auto"/>
        <w:rPr>
          <w:sz w:val="20"/>
          <w:szCs w:val="20"/>
          <w:color w:val="auto"/>
        </w:rPr>
      </w:pPr>
      <w:r>
        <w:rPr>
          <w:rFonts w:ascii="Arial" w:cs="Arial" w:eastAsia="Arial" w:hAnsi="Arial"/>
          <w:sz w:val="18"/>
          <w:szCs w:val="18"/>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88"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6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December 2021, we issued approximately $2.0 billion principal amount of 2026 Notes. See Note 6 - Long-Term Debt to our condensed consolidated financial statements included elsewhere in this Quarterly Report for further information on our outstanding debt obligations. Our ability to make scheduled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6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 addition, our indebtedness, combined with our other existing and future financial obligations and contractual commitments, could have other important consequences. For example, it could:</w:t>
      </w:r>
    </w:p>
    <w:p>
      <w:pPr>
        <w:spacing w:after="0" w:line="170" w:lineRule="exact"/>
        <w:rPr>
          <w:sz w:val="20"/>
          <w:szCs w:val="20"/>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addition, under certain of our future debt instruments, we may be subject to customary affirmative and negative covenants regarding our business and operations, including limitations on our ability to enter into certain acquisitions or consolidations or engage in certain asset dispositions. Any debt financing secured by us in the future could involve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9" w:name="page80"/>
    <w:bookmarkEnd w:id="79"/>
    <w:p>
      <w:pPr>
        <w:ind w:right="40" w:firstLine="324"/>
        <w:spacing w:after="0" w:line="277" w:lineRule="auto"/>
        <w:rPr>
          <w:sz w:val="20"/>
          <w:szCs w:val="20"/>
          <w:color w:val="auto"/>
        </w:rPr>
      </w:pPr>
      <w:r>
        <w:rPr>
          <w:rFonts w:ascii="Arial" w:cs="Arial" w:eastAsia="Arial" w:hAnsi="Arial"/>
          <w:sz w:val="18"/>
          <w:szCs w:val="18"/>
          <w:color w:val="auto"/>
        </w:rPr>
        <w:t>Further, shares of our common stock are subordinate in right of payment to all of our current and future debt. We cannot assure that there would be any remaining funds after the payment of all of our debt for any distribution to our stockholders.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still incur substantially more debt or take other actions that would diminish our ability to make payments on our 2026 Notes when due.</w:t>
      </w:r>
    </w:p>
    <w:p>
      <w:pPr>
        <w:spacing w:after="0" w:line="24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and our subsidiaries may be able to incur substantial additional debt in the future, subject to the restrictions contained in our debt instruments, some of which may be secured debt.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3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2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rating agency may not rate the 2026 Notes or may assign a rating that is lower than expected.</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do not intend to seek to have the 2026 Notes rated by any rating agency. However, if one or more rating agencies rate the 2026 Notes and assign a rating that is lower than the rating that investors expect, or reduce their rating in the future, then the trading price of our common stock and the 2026 Notes could significantly decline.</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addition, market perceptions of our creditworthiness will directly affect the trading price of the 2026 Notes. Accordingly, if a ratings agency rates any of our indebtedness in the future or downgrades or withdraws the rating, or puts us on credit watch, then the trading price of the 2026 Notes will likely decline.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We may not be able to identify adequate strategic relationship opportunities or form strategic relationships, in the future.</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pacing w:after="0" w:line="179"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fluctuations in our production levels, operating costs, product demand and other factors.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certain other tax attributes may be limited.</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accumulated U.S. federal and state net operating loss (“</w:t>
      </w:r>
      <w:r>
        <w:rPr>
          <w:rFonts w:ascii="Arial" w:cs="Arial" w:eastAsia="Arial" w:hAnsi="Arial"/>
          <w:sz w:val="16"/>
          <w:szCs w:val="16"/>
          <w:i w:val="1"/>
          <w:iCs w:val="1"/>
          <w:color w:val="auto"/>
        </w:rPr>
        <w:t>NOL</w:t>
      </w:r>
      <w:r>
        <w:rPr>
          <w:rFonts w:ascii="Arial" w:cs="Arial" w:eastAsia="Arial" w:hAnsi="Arial"/>
          <w:sz w:val="16"/>
          <w:szCs w:val="16"/>
          <w:color w:val="auto"/>
        </w:rPr>
        <w:t>”) carryforwards and research and development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March 31, 2022, we also had U.S. federal research and development credit carryforwards which will begin to expire in 2034 and state research and development credit carryforwards with no expiration. As of March 31, 2022, we maintain a full valuation allowance for our net deferred tax assets.</w:t>
      </w:r>
    </w:p>
    <w:p>
      <w:pPr>
        <w:spacing w:after="0" w:line="16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U.S. federal and state NOL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18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general, an “ownership change” will occur if there is a cumulative change in our ownership by “5-percent shareholders” that exceeds 50 percentage points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spacing w:after="0" w:line="16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yet completed an analysis of whether the business combination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It is possible that we will not generate taxable income in time to use any of our NOL carryforwards and research and development credits before their expiration.</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Unanticipated tax laws or any change in the application of existing tax laws to us or our customers or any change to our corporate structure may adversely impact our profitability and business.</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9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84"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2" w:name="page83"/>
    <w:bookmarkEnd w:id="82"/>
    <w:p>
      <w:pPr>
        <w:ind w:right="620" w:firstLine="324"/>
        <w:spacing w:after="0" w:line="277" w:lineRule="auto"/>
        <w:rPr>
          <w:sz w:val="20"/>
          <w:szCs w:val="20"/>
          <w:color w:val="auto"/>
        </w:rPr>
      </w:pPr>
      <w:r>
        <w:rPr>
          <w:rFonts w:ascii="Arial" w:cs="Arial" w:eastAsia="Arial" w:hAnsi="Arial"/>
          <w:sz w:val="18"/>
          <w:szCs w:val="18"/>
          <w:color w:val="auto"/>
        </w:rPr>
        <w:t>We may change our corporate structure, our business operations or certain agreements that we have entered into relating to taxes in a particular jurisdiction. These changes may materially and adversely impact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3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8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Public Company Requirements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In addition, most members of our management team have limited experience managing a publicly traded company, interacting with public company investors, and complying with the increasingly complex laws pertaining to public companies.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81"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firstLine="324"/>
        <w:spacing w:after="0" w:line="272" w:lineRule="auto"/>
        <w:rPr>
          <w:sz w:val="20"/>
          <w:szCs w:val="20"/>
          <w:color w:val="auto"/>
        </w:rPr>
      </w:pPr>
      <w:r>
        <w:rPr>
          <w:rFonts w:ascii="Arial" w:cs="Arial" w:eastAsia="Arial" w:hAnsi="Arial"/>
          <w:sz w:val="17"/>
          <w:szCs w:val="17"/>
          <w:color w:val="auto"/>
        </w:rPr>
        <w:t>To implement, maintain and improve the effectiveness of our disclosure controls and procedures, we will need to commit significant resources, hire additional staff and provide additional management oversight. To comply with the requirements of being a public company, we have undertaken, and expect to continue to further undertake in the future, various actions, such as, hiring additional accounting staff and implementing new internal controls and procedures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7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w:t>
      </w:r>
    </w:p>
    <w:p>
      <w:pPr>
        <w:spacing w:after="0" w:line="4" w:lineRule="exact"/>
        <w:rPr>
          <w:sz w:val="20"/>
          <w:szCs w:val="20"/>
          <w:color w:val="auto"/>
        </w:rPr>
      </w:pPr>
    </w:p>
    <w:p>
      <w:pPr>
        <w:ind w:right="60" w:firstLine="8"/>
        <w:spacing w:after="0" w:line="251"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19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part of such requirements, we are required to provide management’s attestation on the report on internal control over financial reporting by our independent registered public accounting firm. Prior to the Transactions,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Churchill’s operations prior to the Transactions were insignificant compared to those of the consolidated entity post-Transactions. The design of internal controls over financial reporting for our business post-Transactions has required and will continue to require significant time and resources from management and other personnel.</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4" w:name="page85"/>
    <w:bookmarkEnd w:id="84"/>
    <w:p>
      <w:pPr>
        <w:ind w:right="20" w:firstLine="324"/>
        <w:spacing w:after="0" w:line="288" w:lineRule="auto"/>
        <w:rPr>
          <w:sz w:val="20"/>
          <w:szCs w:val="20"/>
          <w:color w:val="auto"/>
        </w:rPr>
      </w:pPr>
      <w:r>
        <w:rPr>
          <w:rFonts w:ascii="Arial" w:cs="Arial" w:eastAsia="Arial" w:hAnsi="Arial"/>
          <w:sz w:val="16"/>
          <w:szCs w:val="16"/>
          <w:color w:val="auto"/>
        </w:rPr>
        <w:t>In addition, we are required to report any control deficiencies that constitute a “material weakness” in our internal control over financial reporting. We had previously identified material weaknesses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in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6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24"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be sustained.</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common stock has been trading on a national securities exchange for less than 12 months. Prior to the Merger, Churchill was a blank check company and there was no public market for Legacy Lucid Common Shares since Legacy Lucid was a private company. A liquid trading market for our common stock may not be sustained. In the absence of a liquid public trading market for our common stock:</w:t>
      </w:r>
    </w:p>
    <w:p>
      <w:pPr>
        <w:spacing w:after="0" w:line="1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holders of our common stock may not be able to liquidate their investment in shares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holders of our common stock may not be able to resell their shares of our common stock at favorable prices,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experience significant price volatility;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may be less efficiency in carrying out purchase and sale orders with respect to our common stock.</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price of our common stock is volatile, and this volatility may negatively impact the market price of our common stock and the trading price of the 2026 notes.</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timing of the achievement of objectives under our business plan and the timing and amount of costs we incur in connection therewith;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225" w:lineRule="exact"/>
        <w:rPr>
          <w:rFonts w:ascii="Arial" w:cs="Arial" w:eastAsia="Arial" w:hAnsi="Arial"/>
          <w:sz w:val="18"/>
          <w:szCs w:val="18"/>
          <w:color w:val="auto"/>
        </w:rPr>
      </w:pPr>
    </w:p>
    <w:p>
      <w:pPr>
        <w:jc w:val="both"/>
        <w:ind w:left="660" w:right="40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123"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pandemics (such as COVID-19), inflation, changes in diplomatic and trade relationships and acts of war or terrorism, and natural disasters;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6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2026 Notes or any observation period for a conversion of 2026 Notes.</w:t>
      </w:r>
    </w:p>
    <w:p>
      <w:pPr>
        <w:spacing w:after="0" w:line="192"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6" w:name="page87"/>
    <w:bookmarkEnd w:id="86"/>
    <w:p>
      <w:pPr>
        <w:ind w:right="440"/>
        <w:spacing w:after="0" w:line="277" w:lineRule="auto"/>
        <w:rPr>
          <w:sz w:val="20"/>
          <w:szCs w:val="20"/>
          <w:color w:val="auto"/>
        </w:rPr>
      </w:pPr>
      <w:r>
        <w:rPr>
          <w:rFonts w:ascii="Arial" w:cs="Arial" w:eastAsia="Arial" w:hAnsi="Arial"/>
          <w:sz w:val="18"/>
          <w:szCs w:val="18"/>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170" w:lineRule="exact"/>
        <w:rPr>
          <w:sz w:val="20"/>
          <w:szCs w:val="20"/>
          <w:color w:val="auto"/>
        </w:rPr>
      </w:pPr>
    </w:p>
    <w:p>
      <w:pPr>
        <w:jc w:val="both"/>
        <w:ind w:right="120" w:firstLine="324"/>
        <w:spacing w:after="0" w:line="296" w:lineRule="auto"/>
        <w:rPr>
          <w:sz w:val="20"/>
          <w:szCs w:val="20"/>
          <w:color w:val="auto"/>
        </w:rPr>
      </w:pPr>
      <w:r>
        <w:rPr>
          <w:rFonts w:ascii="Arial" w:cs="Arial" w:eastAsia="Arial" w:hAnsi="Arial"/>
          <w:sz w:val="16"/>
          <w:szCs w:val="16"/>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61"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Pursuant to the Investor Rights Agreement, the Sponsor has agreed to restrictions on the sale or transfer of shares of common stock and Private Placement Warrants held by it for a period of 18 months after the Closing of the Transactions. However, following the expiration of this lock-up period, the Sponsor will not be restricted from selling our securities held by it, other than by applicable securities laws. 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9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of March 31, 2022, Ayar held approximately 60.9%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8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Sponsor and Ayar beneficially own a significant equity interest in us and may take actions that conflict with your interests.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interests of the Sponsor and Ayar may not align with our interests and the interests of our other stockholders or securityholders.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We have never declared or paid cash dividends on our capital stock, and we do not anticipate paying any cash dividends in the foreseeable future. We currently intend to retain our future earnings, if any, for the foreseeable future, to fund the development and growth of our business.</w:t>
      </w:r>
    </w:p>
    <w:p>
      <w:pPr>
        <w:spacing w:after="0" w:line="14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Please see the section titled “Management’s Discussion and Analysis of Financial Condition and Results of Operations — Liquidity and Capital Resources” in this Quarterly Report.</w:t>
      </w:r>
    </w:p>
    <w:p>
      <w:pPr>
        <w:spacing w:after="0" w:line="170"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31"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18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employees to us or our stockholders;</w:t>
      </w:r>
    </w:p>
    <w:p>
      <w:pPr>
        <w:spacing w:after="0" w:line="236" w:lineRule="exact"/>
        <w:rPr>
          <w:rFonts w:ascii="Arial" w:cs="Arial" w:eastAsia="Arial" w:hAnsi="Arial"/>
          <w:sz w:val="17"/>
          <w:szCs w:val="17"/>
          <w:color w:val="auto"/>
        </w:rPr>
      </w:pPr>
    </w:p>
    <w:p>
      <w:pPr>
        <w:ind w:left="660" w:right="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governed by the internal affairs doctrine.</w:t>
      </w:r>
    </w:p>
    <w:p>
      <w:pPr>
        <w:spacing w:after="0" w:line="23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Some provisions of Delaware law and our current certificate of incorporation and our current bylaws may deter third parties from acquiring us and diminish the value of our common stock and the 2026 Notes.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225" w:lineRule="exact"/>
        <w:rPr>
          <w:sz w:val="20"/>
          <w:szCs w:val="20"/>
          <w:color w:val="auto"/>
        </w:rPr>
      </w:pPr>
    </w:p>
    <w:p>
      <w:pPr>
        <w:ind w:left="660" w:right="5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660" w:right="2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Investor Rights Agreement, advance notice for nominations of directors by stockholders and for stockholders to include matters to be considered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60" w:right="2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76"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161" w:lineRule="exact"/>
        <w:rPr>
          <w:sz w:val="20"/>
          <w:szCs w:val="20"/>
          <w:color w:val="auto"/>
        </w:rPr>
      </w:pPr>
    </w:p>
    <w:p>
      <w:pPr>
        <w:jc w:val="both"/>
        <w:ind w:right="940"/>
        <w:spacing w:after="0" w:line="381" w:lineRule="auto"/>
        <w:rPr>
          <w:sz w:val="20"/>
          <w:szCs w:val="20"/>
          <w:color w:val="auto"/>
        </w:rPr>
      </w:pPr>
      <w:r>
        <w:rPr>
          <w:rFonts w:ascii="Arial" w:cs="Arial" w:eastAsia="Arial" w:hAnsi="Arial"/>
          <w:sz w:val="15"/>
          <w:szCs w:val="15"/>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0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Saudi Industrial Development Fund (“SIDF”) Loan Agreement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February 27, 2022, Lucid LLC, a limited liability company established in the Kingdom of Saudi Arabia and a subsidiary of the Company (“Lucid LLC”) entered into a loan agreement (as subsequently amended, the “SIDF Loan Agreement”) with the SIDF. See Note 6 – Long-Term Debt – Saudi Industrial Development Fund (“SIDF”) Loan Agreement in our condensed consolidated financial statements included elsewhere in this Quarterly Report, which is incorporated herein by reference, for more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9" w:name="page90"/>
    <w:bookmarkEnd w:id="89"/>
    <w:p>
      <w:pPr>
        <w:ind w:right="160"/>
        <w:spacing w:after="0" w:line="277" w:lineRule="auto"/>
        <w:rPr>
          <w:sz w:val="20"/>
          <w:szCs w:val="20"/>
          <w:color w:val="auto"/>
        </w:rPr>
      </w:pPr>
      <w:r>
        <w:rPr>
          <w:rFonts w:ascii="Arial" w:cs="Arial" w:eastAsia="Arial" w:hAnsi="Arial"/>
          <w:sz w:val="18"/>
          <w:szCs w:val="18"/>
          <w:color w:val="auto"/>
        </w:rPr>
        <w:t>The foregoing description of the SIDF Loan Agreement is only a summary and is qualified in its entirety by reference to the full texts of the Exhibits 10.1 and 10.2 to this Quarterly Report on Form 10-Q, which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GIB Facility Agreement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April 29, 2022, Lucid LLC entered into a revolving credit facility agreement (the “GIB Facility Agreement”) with Gulf International Bank, an affiliate of PIF, which is an affiliate of Ayar, our controlling stockholder. See Note 20 – Subsequent Events in our condensed consolidated financial statements included elsewhere in this Quarterly Report, which is incorporated herein by reference to the extent it describes the GIB Facility Agreement, for more information.</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foregoing description of the GIB Facility Agreement is only a summary and is qualified in its entirety by reference to the full text of the GIB Facility Agreement, which will be filed as an exhibit to the Company’s Quarterly Report on Form 10-Q for the quarter ending June 30,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on the Exhibit Index to this Form 10-Q are filed herewith or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0" w:type="dxa"/>
            <w:vAlign w:val="bottom"/>
            <w:gridSpan w:val="11"/>
          </w:tcPr>
          <w:p>
            <w:pPr>
              <w:ind w:left="3340"/>
              <w:spacing w:after="0"/>
              <w:rPr>
                <w:sz w:val="20"/>
                <w:szCs w:val="20"/>
                <w:color w:val="auto"/>
              </w:rPr>
            </w:pPr>
            <w:r>
              <w:rPr>
                <w:rFonts w:ascii="Arial" w:cs="Arial" w:eastAsia="Arial" w:hAnsi="Arial"/>
                <w:sz w:val="18"/>
                <w:szCs w:val="18"/>
                <w:b w:val="1"/>
                <w:bCs w:val="1"/>
                <w:color w:val="auto"/>
              </w:rPr>
              <w:t>EXHIBIT INDEX</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Incorporation by Reference</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9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0"/>
              </w:rPr>
              <w:t>File</w:t>
            </w:r>
          </w:p>
        </w:tc>
        <w:tc>
          <w:tcPr>
            <w:tcW w:w="8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5"/>
              </w:rPr>
              <w:t>Filing</w:t>
            </w:r>
          </w:p>
        </w:tc>
        <w:tc>
          <w:tcPr>
            <w:tcW w:w="9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3"/>
              </w:rPr>
              <w:t>Exhibit</w:t>
            </w:r>
          </w:p>
        </w:tc>
        <w:tc>
          <w:tcPr>
            <w:tcW w:w="920" w:type="dxa"/>
            <w:vAlign w:val="bottom"/>
            <w:gridSpan w:val="3"/>
          </w:tcPr>
          <w:p>
            <w:pPr>
              <w:jc w:val="center"/>
              <w:spacing w:after="0" w:line="177"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48"/>
        </w:trPr>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Form</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385"/>
        </w:trPr>
        <w:tc>
          <w:tcPr>
            <w:tcW w:w="580" w:type="dxa"/>
            <w:vAlign w:val="bottom"/>
            <w:gridSpan w:val="3"/>
            <w:vMerge w:val="restart"/>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Loan Agreement, dated as of February 27, 2022, between Lucid LLC and</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vMerge w:val="restart"/>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rPr>
            </w:pPr>
            <w:hyperlink w:anchor="page92">
              <w:r>
                <w:rPr>
                  <w:rFonts w:ascii="Arial" w:cs="Arial" w:eastAsia="Arial" w:hAnsi="Arial"/>
                  <w:sz w:val="18"/>
                  <w:szCs w:val="18"/>
                  <w:color w:val="0000EE"/>
                </w:rPr>
                <w:t>X</w:t>
              </w:r>
            </w:hyperlink>
          </w:p>
        </w:tc>
        <w:tc>
          <w:tcPr>
            <w:tcW w:w="3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gridSpan w:val="12"/>
            <w:vMerge w:val="restart"/>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Saudi Industrial Development Fund (English version only)</w:t>
              </w:r>
            </w:hyperlink>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gridSpan w:val="12"/>
            <w:vMerge w:val="continue"/>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vMerge w:val="restart"/>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Side Letter to Loan Agreement, dated as of February 27, 2022, between</w:t>
              </w:r>
            </w:hyperlink>
          </w:p>
        </w:tc>
        <w:tc>
          <w:tcPr>
            <w:tcW w:w="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rPr>
            </w:pPr>
            <w:hyperlink w:anchor="page105">
              <w:r>
                <w:rPr>
                  <w:rFonts w:ascii="Arial" w:cs="Arial" w:eastAsia="Arial" w:hAnsi="Arial"/>
                  <w:sz w:val="18"/>
                  <w:szCs w:val="18"/>
                  <w:color w:val="0000EE"/>
                </w:rPr>
                <w:t>X</w:t>
              </w:r>
            </w:hyperlink>
          </w:p>
        </w:tc>
        <w:tc>
          <w:tcPr>
            <w:tcW w:w="3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gridSpan w:val="9"/>
            <w:vMerge w:val="restart"/>
          </w:tcPr>
          <w:p>
            <w:pPr>
              <w:spacing w:after="0" w:line="196"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Lucid LLC and Saudi Industrial Development Fund (English version only)</w:t>
              </w:r>
            </w:hyperlink>
          </w:p>
        </w:tc>
        <w:tc>
          <w:tcPr>
            <w:tcW w:w="340" w:type="dxa"/>
            <w:vAlign w:val="bottom"/>
            <w:gridSpan w:val="3"/>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bottom w:val="single" w:sz="8" w:color="0000EE"/>
            </w:tcBorders>
            <w:gridSpan w:val="9"/>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300" w:type="dxa"/>
            <w:vAlign w:val="bottom"/>
            <w:gridSpan w:val="2"/>
          </w:tcPr>
          <w:p>
            <w:pPr>
              <w:spacing w:after="0"/>
              <w:rPr>
                <w:sz w:val="24"/>
                <w:szCs w:val="24"/>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Letter of Undertaking, dated as of April 20, 2022, between Lucid LLC and</w:t>
              </w:r>
            </w:hyperlink>
          </w:p>
        </w:tc>
        <w:tc>
          <w:tcPr>
            <w:tcW w:w="3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rPr>
            </w:pPr>
            <w:hyperlink w:anchor="page110">
              <w:r>
                <w:rPr>
                  <w:rFonts w:ascii="Arial" w:cs="Arial" w:eastAsia="Arial" w:hAnsi="Arial"/>
                  <w:sz w:val="18"/>
                  <w:szCs w:val="18"/>
                  <w:color w:val="0000EE"/>
                </w:rPr>
                <w:t>X</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2"/>
          </w:tcPr>
          <w:p>
            <w:pPr>
              <w:spacing w:after="0" w:line="196" w:lineRule="exact"/>
              <w:rPr>
                <w:rFonts w:ascii="Arial" w:cs="Arial" w:eastAsia="Arial" w:hAnsi="Arial"/>
                <w:sz w:val="18"/>
                <w:szCs w:val="18"/>
                <w:color w:val="0000EE"/>
                <w:w w:val="98"/>
              </w:rPr>
            </w:pPr>
            <w:hyperlink w:anchor="page110">
              <w:r>
                <w:rPr>
                  <w:rFonts w:ascii="Arial" w:cs="Arial" w:eastAsia="Arial" w:hAnsi="Arial"/>
                  <w:sz w:val="18"/>
                  <w:szCs w:val="18"/>
                  <w:color w:val="0000EE"/>
                  <w:w w:val="98"/>
                </w:rPr>
                <w:t>Ministry of Finance of the Kingdom of Saudi Arabia (English version only)</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 w:type="dxa"/>
            <w:vAlign w:val="bottom"/>
            <w:gridSpan w:val="2"/>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tcBorders>
              <w:top w:val="single" w:sz="8" w:color="0000EE"/>
            </w:tcBorders>
            <w:gridSpan w:val="10"/>
          </w:tcPr>
          <w:p>
            <w:pP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Certification of Principal Executive Officer Required Under Rule 13a-</w:t>
              </w:r>
            </w:hyperlink>
          </w:p>
        </w:tc>
        <w:tc>
          <w:tcPr>
            <w:tcW w:w="3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rFonts w:ascii="Arial" w:cs="Arial" w:eastAsia="Arial" w:hAnsi="Arial"/>
                <w:sz w:val="18"/>
                <w:szCs w:val="18"/>
                <w:color w:val="0000EE"/>
              </w:rPr>
            </w:pPr>
            <w:hyperlink w:anchor="page112">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1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14(a) and 15d-14(a) of the Securities Exchange Act of 1934, as amended</w:t>
              </w:r>
            </w:hyperlink>
          </w:p>
        </w:tc>
        <w:tc>
          <w:tcPr>
            <w:tcW w:w="50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 w:type="dxa"/>
            <w:vAlign w:val="bottom"/>
            <w:gridSpan w:val="2"/>
          </w:tcPr>
          <w:p>
            <w:pPr>
              <w:spacing w:after="0"/>
              <w:rPr>
                <w:sz w:val="24"/>
                <w:szCs w:val="24"/>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3">
              <w:r>
                <w:rPr>
                  <w:rFonts w:ascii="Arial" w:cs="Arial" w:eastAsia="Arial" w:hAnsi="Arial"/>
                  <w:sz w:val="18"/>
                  <w:szCs w:val="18"/>
                  <w:color w:val="0000EE"/>
                  <w:w w:val="93"/>
                </w:rPr>
                <w:t>Certification of Principal Financial Officer Required Under Rule 13a-</w:t>
              </w:r>
            </w:hyperlink>
          </w:p>
        </w:tc>
        <w:tc>
          <w:tcPr>
            <w:tcW w:w="68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rPr>
            </w:pPr>
            <w:hyperlink w:anchor="page113">
              <w:r>
                <w:rPr>
                  <w:rFonts w:ascii="Arial" w:cs="Arial" w:eastAsia="Arial" w:hAnsi="Arial"/>
                  <w:sz w:val="18"/>
                  <w:szCs w:val="18"/>
                  <w:color w:val="0000EE"/>
                </w:rPr>
                <w:t>X</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14(a) and 15d-14(a) of the Securities Exchange Act of 1934, as amended</w:t>
              </w:r>
            </w:hyperlink>
          </w:p>
        </w:tc>
        <w:tc>
          <w:tcPr>
            <w:tcW w:w="50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 w:type="dxa"/>
            <w:vAlign w:val="bottom"/>
            <w:gridSpan w:val="2"/>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Certification of Principal Executive Officer pursuant to 18 U.S.C.</w:t>
              </w:r>
            </w:hyperlink>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rFonts w:ascii="Arial" w:cs="Arial" w:eastAsia="Arial" w:hAnsi="Arial"/>
                <w:sz w:val="18"/>
                <w:szCs w:val="18"/>
                <w:color w:val="0000EE"/>
              </w:rPr>
            </w:pPr>
            <w:hyperlink w:anchor="page114">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18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2"/>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Section 1350, as adopted pursuant to Section 906 of the Sarbanes-Oxley Act</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of 2002</w:t>
              </w:r>
            </w:hyperlink>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15">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Certification of Principal Financial Officer pursuant to 18 U.S.C.</w:t>
              </w:r>
            </w:hyperlink>
          </w:p>
        </w:tc>
        <w:tc>
          <w:tcPr>
            <w:tcW w:w="102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rPr>
            </w:pPr>
            <w:hyperlink w:anchor="page115">
              <w:r>
                <w:rPr>
                  <w:rFonts w:ascii="Arial" w:cs="Arial" w:eastAsia="Arial" w:hAnsi="Arial"/>
                  <w:sz w:val="18"/>
                  <w:szCs w:val="18"/>
                  <w:color w:val="0000EE"/>
                </w:rPr>
                <w:t>X</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2"/>
          </w:tcPr>
          <w:p>
            <w:pPr>
              <w:spacing w:after="0" w:line="196"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Section 1350, as adopted pursuant to Section 906 of the Sarbanes-Oxley Act</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of 2002</w:t>
              </w:r>
            </w:hyperlink>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20" w:type="dxa"/>
            <w:vAlign w:val="bottom"/>
            <w:gridSpan w:val="5"/>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w w:val="95"/>
              </w:rPr>
              <w:t>Inline XBRL Instance Document (the instance document does not appear in</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w w:val="98"/>
              </w:rPr>
              <w:t>the Interactive Data File because its XBRL tags are embedded within the</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5"/>
          </w:tcPr>
          <w:p>
            <w:pPr>
              <w:jc w:val="center"/>
              <w:spacing w:after="0"/>
              <w:rPr>
                <w:sz w:val="20"/>
                <w:szCs w:val="20"/>
                <w:color w:val="auto"/>
              </w:rPr>
            </w:pPr>
            <w:r>
              <w:rPr>
                <w:rFonts w:ascii="Arial" w:cs="Arial" w:eastAsia="Arial" w:hAnsi="Arial"/>
                <w:sz w:val="18"/>
                <w:szCs w:val="18"/>
                <w:color w:val="auto"/>
                <w:w w:val="93"/>
              </w:rPr>
              <w:t>101.SCH</w:t>
            </w:r>
          </w:p>
        </w:tc>
        <w:tc>
          <w:tcPr>
            <w:tcW w:w="12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Schema Linkbase Document</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920" w:type="dxa"/>
            <w:vAlign w:val="bottom"/>
            <w:gridSpan w:val="5"/>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Calculation Linkbase Document</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920" w:type="dxa"/>
            <w:vAlign w:val="bottom"/>
            <w:gridSpan w:val="5"/>
          </w:tcPr>
          <w:p>
            <w:pPr>
              <w:jc w:val="center"/>
              <w:spacing w:after="0"/>
              <w:rPr>
                <w:sz w:val="20"/>
                <w:szCs w:val="20"/>
                <w:color w:val="auto"/>
              </w:rPr>
            </w:pPr>
            <w:r>
              <w:rPr>
                <w:rFonts w:ascii="Arial" w:cs="Arial" w:eastAsia="Arial" w:hAnsi="Arial"/>
                <w:sz w:val="18"/>
                <w:szCs w:val="18"/>
                <w:color w:val="auto"/>
                <w:w w:val="90"/>
              </w:rPr>
              <w:t>101.DEF</w:t>
            </w:r>
          </w:p>
        </w:tc>
        <w:tc>
          <w:tcPr>
            <w:tcW w:w="12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Definition Linkbase Document</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920" w:type="dxa"/>
            <w:vAlign w:val="bottom"/>
            <w:gridSpan w:val="5"/>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Labels Linkbase Document</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920" w:type="dxa"/>
            <w:vAlign w:val="bottom"/>
            <w:gridSpan w:val="5"/>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Presentation Linkbase Document</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58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104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w w:val="94"/>
              </w:rPr>
              <w:t>Cover Page Interactive Data File (formatted as inline XBRL and contained in</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Exhibit 101)</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8"/>
        <w:spacing w:after="0" w:line="277" w:lineRule="auto"/>
        <w:tabs>
          <w:tab w:leader="none" w:pos="6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identified information has been excluded from the exhibit because such information is both (i) not material and (ii) is the type that the registrant treats as private or confidential.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659"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LUCID GROUP,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5, 2022</w:t>
            </w:r>
          </w:p>
        </w:tc>
        <w:tc>
          <w:tcPr>
            <w:tcW w:w="7800" w:type="dxa"/>
            <w:vAlign w:val="bottom"/>
            <w:gridSpan w:val="2"/>
          </w:tcPr>
          <w:p>
            <w:pPr>
              <w:ind w:left="2200"/>
              <w:spacing w:after="0"/>
              <w:rPr>
                <w:sz w:val="20"/>
                <w:szCs w:val="20"/>
                <w:color w:val="auto"/>
              </w:rPr>
            </w:pPr>
            <w:r>
              <w:rPr>
                <w:rFonts w:ascii="Arial" w:cs="Arial" w:eastAsia="Arial" w:hAnsi="Arial"/>
                <w:sz w:val="18"/>
                <w:szCs w:val="18"/>
                <w:color w:val="auto"/>
              </w:rPr>
              <w:t>By: /s/ Sherry House</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Sherry House</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648"/>
        </w:trPr>
        <w:tc>
          <w:tcPr>
            <w:tcW w:w="3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1" w:name="page92"/>
    <w:bookmarkEnd w:id="91"/>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Certain identified information has been omitted from this document because it is not material and is the type that the Company customarily and actually treats as private or confidential, and has been marked with “[***]” to indicate where omissions have been made.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executed in English and Arabic; Arabic version has been omitted for purposes of this filing.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Name of Allah, The Merciful, The Beneficent</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LOAN AGREEMENT NO. (6400) (SAU7135)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this day 26/07/1443H Corresponding to 27/02/2022Gr The contract is signed between:</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Saudi Industrial Development Fund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public financial organization, established and existing under the laws and regulations of the Kingdom of Saudi Arabia, National Address: Building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 (3015) Al Aqeeq Dist., Unit No: (2), Riyadh13519-6483 Kingdom of Saudi Arabia.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Represented </w:t>
      </w:r>
      <w:r>
        <w:rPr>
          <w:rFonts w:ascii="Arial" w:cs="Arial" w:eastAsia="Arial" w:hAnsi="Arial"/>
          <w:sz w:val="18"/>
          <w:szCs w:val="18"/>
          <w:color w:val="auto"/>
        </w:rPr>
        <w:t>in</w:t>
      </w:r>
      <w:r>
        <w:rPr>
          <w:rFonts w:ascii="Arial" w:cs="Arial" w:eastAsia="Arial" w:hAnsi="Arial"/>
          <w:sz w:val="18"/>
          <w:szCs w:val="18"/>
          <w:b w:val="1"/>
          <w:bCs w:val="1"/>
          <w:color w:val="auto"/>
        </w:rPr>
        <w:t xml:space="preserve"> this Loan Agreement by: </w:t>
      </w:r>
      <w:r>
        <w:rPr>
          <w:rFonts w:ascii="Arial" w:cs="Arial" w:eastAsia="Arial" w:hAnsi="Arial"/>
          <w:sz w:val="18"/>
          <w:szCs w:val="18"/>
          <w:color w:val="auto"/>
        </w:rPr>
        <w:t>Name: Mohammed Bin Abdullah Al-Jasser Position: VP/ Legal and Compliance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Hereinafter referred to as “THE FUND”</w:t>
      </w:r>
    </w:p>
    <w:p>
      <w:pPr>
        <w:spacing w:after="0" w:line="225"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Lucid Limited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foreign limited liability company - One Person Co.-, established and organized under the Laws and Regulations of the Kingdom of Saudi Arabia.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National Address: Building No. (3074) Prince Mohammed Bin Abdulaziz Rd - Al-Olaya Unit No. (265) Riyadh 12213 - 8022 Kingdom of Saudi Arabia.</w:t>
      </w:r>
    </w:p>
    <w:p>
      <w:pPr>
        <w:spacing w:after="0" w:line="222"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Registered in the Commercial Registration of Riyadh under unified No. (</w:t>
      </w:r>
      <w:r>
        <w:rPr>
          <w:sz w:val="20"/>
          <w:szCs w:val="20"/>
          <w:color w:val="auto"/>
        </w:rPr>
        <w:tab/>
      </w:r>
      <w:r>
        <w:rPr>
          <w:rFonts w:ascii="Arial" w:cs="Arial" w:eastAsia="Arial" w:hAnsi="Arial"/>
          <w:sz w:val="16"/>
          <w:szCs w:val="16"/>
          <w:color w:val="auto"/>
        </w:rPr>
        <w:t>) dated: 24/09/1442H.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Represented by: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Faisal Sultan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Nationality: American</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Iqama No: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80" w:space="720"/>
            <w:col w:w="9640"/>
          </w:cols>
          <w:pgMar w:left="320" w:top="904" w:right="339" w:bottom="1440" w:gutter="0" w:footer="0" w:header="0"/>
          <w:type w:val="continuous"/>
        </w:sectPr>
      </w:pPr>
    </w:p>
    <w:p>
      <w:pPr>
        <w:spacing w:after="0" w:line="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Position: Manager of the Company and Authorized According to Article of Association Issued from Ministry of Trade Authenticated No.( 17/09/1442H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dated</w:t>
      </w:r>
    </w:p>
    <w:p>
      <w:pPr>
        <w:spacing w:after="0" w:line="459" w:lineRule="exact"/>
        <w:rPr>
          <w:sz w:val="20"/>
          <w:szCs w:val="20"/>
          <w:color w:val="auto"/>
        </w:rPr>
      </w:pPr>
    </w:p>
    <w:p>
      <w:pPr>
        <w:sectPr>
          <w:pgSz w:w="11900" w:h="16838" w:orient="portrait"/>
          <w:cols w:equalWidth="0" w:num="2">
            <w:col w:w="10240" w:space="480"/>
            <w:col w:w="520"/>
          </w:cols>
          <w:pgMar w:left="320" w:top="904"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Hereinafter referred to as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u w:val="single" w:color="auto"/>
          <w:color w:val="auto"/>
        </w:rPr>
        <w:t>The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Maximum amount of the Loan: </w:t>
      </w:r>
      <w:r>
        <w:rPr>
          <w:rFonts w:ascii="Arial" w:cs="Arial" w:eastAsia="Arial" w:hAnsi="Arial"/>
          <w:sz w:val="18"/>
          <w:szCs w:val="18"/>
          <w:color w:val="auto"/>
        </w:rPr>
        <w:t>SR5,190,000,000 (Five Billion, One Hundred Ninety Million Saudi Riyals)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Drawdown Termination Date: </w:t>
      </w:r>
      <w:r>
        <w:rPr>
          <w:rFonts w:ascii="Arial" w:cs="Arial" w:eastAsia="Arial" w:hAnsi="Arial"/>
          <w:sz w:val="18"/>
          <w:szCs w:val="18"/>
          <w:color w:val="auto"/>
        </w:rPr>
        <w:t>29/06/1448H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of the Project: </w:t>
      </w:r>
      <w:r>
        <w:rPr>
          <w:rFonts w:ascii="Arial" w:cs="Arial" w:eastAsia="Arial" w:hAnsi="Arial"/>
          <w:sz w:val="18"/>
          <w:szCs w:val="18"/>
          <w:color w:val="auto"/>
        </w:rPr>
        <w:t>Lucid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Purpose of the Project: </w:t>
      </w:r>
      <w:r>
        <w:rPr>
          <w:rFonts w:ascii="Arial" w:cs="Arial" w:eastAsia="Arial" w:hAnsi="Arial"/>
          <w:sz w:val="18"/>
          <w:szCs w:val="18"/>
          <w:color w:val="auto"/>
        </w:rPr>
        <w:t>To Produce Electric Vehicles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of the Project: </w:t>
      </w:r>
      <w:r>
        <w:rPr>
          <w:rFonts w:ascii="Arial" w:cs="Arial" w:eastAsia="Arial" w:hAnsi="Arial"/>
          <w:sz w:val="18"/>
          <w:szCs w:val="18"/>
          <w:color w:val="auto"/>
        </w:rPr>
        <w:t>King Abdullah Economic City – Rabigh</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520" w:type="dxa"/>
            <w:vAlign w:val="bottom"/>
            <w:gridSpan w:val="4"/>
          </w:tcPr>
          <w:p>
            <w:pPr>
              <w:ind w:left="260"/>
              <w:spacing w:after="0"/>
              <w:rPr>
                <w:sz w:val="20"/>
                <w:szCs w:val="20"/>
                <w:color w:val="auto"/>
              </w:rPr>
            </w:pPr>
            <w:r>
              <w:rPr>
                <w:rFonts w:ascii="Arial" w:cs="Arial" w:eastAsia="Arial" w:hAnsi="Arial"/>
                <w:sz w:val="18"/>
                <w:szCs w:val="18"/>
                <w:b w:val="1"/>
                <w:bCs w:val="1"/>
                <w:color w:val="auto"/>
              </w:rPr>
              <w:t>Loan Installment</w:t>
            </w:r>
          </w:p>
        </w:tc>
        <w:tc>
          <w:tcPr>
            <w:tcW w:w="2020" w:type="dxa"/>
            <w:vAlign w:val="bottom"/>
          </w:tcPr>
          <w:p>
            <w:pPr>
              <w:spacing w:after="0"/>
              <w:rPr>
                <w:sz w:val="17"/>
                <w:szCs w:val="17"/>
                <w:color w:val="auto"/>
              </w:rPr>
            </w:pPr>
          </w:p>
        </w:tc>
      </w:tr>
      <w:tr>
        <w:trPr>
          <w:trHeight w:val="237"/>
        </w:trPr>
        <w:tc>
          <w:tcPr>
            <w:tcW w:w="3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20" w:type="dxa"/>
            <w:vAlign w:val="bottom"/>
          </w:tcPr>
          <w:p>
            <w:pPr>
              <w:spacing w:after="0"/>
              <w:rPr>
                <w:sz w:val="20"/>
                <w:szCs w:val="20"/>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Date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No.</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15/10/1447H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01</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15/04/1448H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02</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15/10/1448H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03</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15/04/1449H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04</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15/10/1449H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05</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15/04/1450H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06</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15/10/1450H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07</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15/04/1451H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08</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15/10/1451H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09</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15/04/1452H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150,000,000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15/10/1452H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150,000,000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15/04/1453H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15/10/1453H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15/04/1454H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15/10/1454H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15/04/1455H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15/10/1455H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15/04/1456H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15/10/1456H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15/04/1457H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15/10/1457H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350,000,000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15/04/1458H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350,000,000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15/10/1458H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350,000,000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15/04/1459H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350,000,000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15/10/1459H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w:t>
            </w:r>
          </w:p>
        </w:tc>
        <w:tc>
          <w:tcPr>
            <w:tcW w:w="2020" w:type="dxa"/>
            <w:vAlign w:val="bottom"/>
          </w:tcPr>
          <w:p>
            <w:pPr>
              <w:spacing w:after="0"/>
              <w:rPr>
                <w:sz w:val="18"/>
                <w:szCs w:val="18"/>
                <w:color w:val="auto"/>
              </w:rPr>
            </w:pPr>
          </w:p>
        </w:tc>
      </w:tr>
      <w:tr>
        <w:trPr>
          <w:trHeight w:val="209"/>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350,000,000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15/04/1460H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350,000,000</w:t>
            </w: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15/10/1460H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w:t>
            </w:r>
          </w:p>
        </w:tc>
        <w:tc>
          <w:tcPr>
            <w:tcW w:w="2020" w:type="dxa"/>
            <w:vAlign w:val="bottom"/>
          </w:tcPr>
          <w:p>
            <w:pPr>
              <w:spacing w:after="0"/>
              <w:rPr>
                <w:sz w:val="18"/>
                <w:szCs w:val="18"/>
                <w:color w:val="auto"/>
              </w:rPr>
            </w:pPr>
          </w:p>
        </w:tc>
      </w:tr>
      <w:tr>
        <w:trPr>
          <w:trHeight w:val="210"/>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5,190,000,000</w:t>
            </w: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668"/>
        </w:trPr>
        <w:tc>
          <w:tcPr>
            <w:tcW w:w="3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At all times during the tenure of the Fund’s loan the Borrower, without the prior written approval of the Fund to the contrary, undertakes to the following: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 Minimum Current Ratio of 1:1 to be maintained throughout the lifetime of SIDF loan.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 Total Liabilities/tangible net worth ratio not to be greater than 4:1 in the first two years of operations and then not to be greater than 3:1 throughout the remaining lifetime of the SIDF loan.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3- Dividends: Maximum dividend/ withdrawal not to exceed the lesser of (25%) of the paid -in capital or the Fund’s loan Maturities in any fiscal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4- Maximum capital expenditures not to exceed SR 305,000,000 per annum.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 Maximum lease rental not to exceed SR 152,500,000 per annum.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 Operation Date: 4th Quarter 1445H (2nd Quarter 2024).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Special Covenants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 The Borrower undertakes to comply with the SIDF Industrial Safety requirement s, the standards of the Saudi Standards, Metrology &amp; Quality Organization (SASO), the requirements of the General Authority of Meteorology and Environmental Protection and any other related Authority, whenever there are specifications or requirements applicable to the project and its products.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 The Borrower undertakes to maintain the requirements of the Ministry of Human Resources and Social Development throughout the term of SIDF’s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The Borrower undertakes that all dealings between the project and any other related parties are to be conducted at an arms’ length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 The Borrower undertakes to submit Quarterly In-house and Annual Audited Financial Statements for project.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 The Borrower undertakes to submit Quarterly project progress report for SIDF review and satisfaction.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Special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Any changes / amendments in the approved items should receive the Fund’s prior approval before disbursement for the amended / changed items.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 Prior to any disbursement of the loan, SIDF to receive a Letter of Comfort from the Public Investment Fund to cover Lucid Limited Co loan acceptable to SIDF.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Prior to any disbursement of the loan, the borrower to submit a valid Land Lease Agreement to the satisfaction of SIDF.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 Prior to any disbursement of the loan, SIDF to receive the signed government incentive agreement(s) for the subject project.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5- Prior to any disbursement of the loan, SIDF to amend the loan amount and any adjustments where applicable for any grants provided by the Saudi government.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6- At any disbursement of the Loan, the Borrower to submit an amended Commercial Registration reflecting a minimum Paid-in Capital of 25% of the submitted project costs acceptable to SIDF.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 Prior to any disbursement, the borrower to hire a Project Management Consul t ant to the satisfaction of SIDF.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 Prior to any disbursement against Building and Civil works, SIDF to be satisfied with their cost and the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9- Prior to any disbursement against Machinery and Equipment, SIDF to be satisfied with machinery and equipment suppliers, costs and specification.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10- Prior to any disbursement against IT and Office Equipment, SIDF to be satisfied with its cost and scope.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 Prior to any disbursement against Vendor Tooling Assets, SIDF to be satisfied with the supplier plan, tooling agreement(s), and cost.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12- Prior to the disbursement of the final 20% of the loan, the borrower to hire a Qualified Operation Management team to the satisfaction of SIDF.</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13- Prior to the disbursement of the final 20% of the loan, the borrower to obtain all relevant Market Certifications for the proposed products to the satisfaction of SIDF.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14- Prior to the disbursement of the final 20% of the loan, the borrower to submit a Marketing Plan to the satisfaction of SIDF.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15- Prior to the disbursement of the final 20% of the loan, the borrower to submit a plan to Recruit and Train Saudi Nationals to the satisfaction of SIDF.</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16- Prior to the disbursement of the final 20% of the loan, the borrower to submit a valid Industrial License reflecting the proposed products and installed capacities as appraised by SIDF.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17- Prior to the disbursement of the final 20% of the loan, the borrower to comply with SIDF Industrial Safety and Environmental requirements to the satisfaction of SIDF.</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18- Prior to disbursement of the final 20% of the Loan, the parties hereto will make an Inventory over the Borrower’s Fixed Assets and prepare a check list thereof showing their type, description, serial number and origin; to be duly signed by both the Borrower and the Fund’s Credit Consultant.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NOW IT IS HEREBY AGREED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l</w:t>
      </w:r>
      <w:r>
        <w:rPr>
          <w:rFonts w:ascii="Arial" w:cs="Arial" w:eastAsia="Arial" w:hAnsi="Arial"/>
          <w:sz w:val="18"/>
          <w:szCs w:val="18"/>
          <w:color w:val="auto"/>
        </w:rPr>
        <w:t>. (Firstly) :- The introduction of this agreement will be considered an integral part of 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(Secondly):- DEFINITIONS AND INTERPRETATION</w:t>
      </w:r>
    </w:p>
    <w:p>
      <w:pPr>
        <w:spacing w:after="0" w:line="225"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main terms used in this agreement, will unless otherwise explicitly contradicting with the context mean :-</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“Business Day” means any day other than Friday, Saturday and the official holidays in Saudi Arabia.</w:t>
      </w:r>
    </w:p>
    <w:p>
      <w:pPr>
        <w:spacing w:after="0" w:line="225" w:lineRule="exact"/>
        <w:rPr>
          <w:sz w:val="20"/>
          <w:szCs w:val="20"/>
          <w:color w:val="auto"/>
        </w:rPr>
      </w:pPr>
    </w:p>
    <w:p>
      <w:pPr>
        <w:ind w:firstLine="8"/>
        <w:spacing w:after="0" w:line="277" w:lineRule="auto"/>
        <w:tabs>
          <w:tab w:leader="none" w:pos="2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“Drawdown Period” means the period commencing on the date hereof and ending on the Drawdown Termination Date (stated on page 1) both dates inclusive.</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“Loan” means the aggregate principal amount borrowed hereunder and for the time being outstanding.</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 Note” means the Mortgage Note in the form annexed hereto (Exhibit C).</w:t>
      </w:r>
    </w:p>
    <w:p>
      <w:pPr>
        <w:spacing w:after="0" w:line="225" w:lineRule="exact"/>
        <w:rPr>
          <w:rFonts w:ascii="Arial" w:cs="Arial" w:eastAsia="Arial" w:hAnsi="Arial"/>
          <w:sz w:val="18"/>
          <w:szCs w:val="18"/>
          <w:color w:val="auto"/>
        </w:rPr>
      </w:pPr>
    </w:p>
    <w:p>
      <w:pPr>
        <w:ind w:firstLine="8"/>
        <w:spacing w:after="0" w:line="277" w:lineRule="auto"/>
        <w:tabs>
          <w:tab w:leader="none" w:pos="2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“Note” or “Notes” means the Order Note or Notes executed by the Borrower delivered pursuant to the Fund pursuant to this Agreement in the form annexed hereto (Exhibit B).</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“Office of the Fund” means the office of the Fund in Riyadh, Saudi Arabia.</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“Project” means the project described in (Exhibit A) hereto and “Project Description” means such description in the said (Exhibit A).</w:t>
      </w:r>
    </w:p>
    <w:p>
      <w:pPr>
        <w:spacing w:after="0" w:line="225" w:lineRule="exact"/>
        <w:rPr>
          <w:sz w:val="20"/>
          <w:szCs w:val="20"/>
          <w:color w:val="auto"/>
        </w:rPr>
      </w:pPr>
    </w:p>
    <w:p>
      <w:pPr>
        <w:ind w:firstLine="8"/>
        <w:spacing w:after="0" w:line="308" w:lineRule="auto"/>
        <w:tabs>
          <w:tab w:leader="none" w:pos="257"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this Agreement, unless the context otherwise dictates, words denoting the singular shall include the plural and vice versa, words denoting any gender shall include the other gender and the headings herein are for the purpose of reference only and shall not affect the construction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auto"/>
        </w:rPr>
        <w:t>Clause 2. AGREEMENT: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and subject to the terms and conditions of this agreement, the Fund agrees to lend and the Borrower agrees to borrow, an aggregate principal amount of up to but not exceeding the Maximum Loan stated on page 1. There is no obligation on the Fund’s part to disburse the entire amount of the loan unless the terms and conditions regarding disbursement have been complied with. In this regard the Fund has the right either to suspend the loan disbursement until the Borrower fulfills the Fund’s required conditions to accept the financeable costs or to reduce the loan to the limit of such accepted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3. DRAWDOWN:</w:t>
      </w:r>
    </w:p>
    <w:p>
      <w:pPr>
        <w:spacing w:after="0" w:line="229" w:lineRule="exact"/>
        <w:rPr>
          <w:sz w:val="20"/>
          <w:szCs w:val="20"/>
          <w:color w:val="auto"/>
        </w:rPr>
      </w:pPr>
    </w:p>
    <w:p>
      <w:pPr>
        <w:ind w:right="20" w:firstLine="8"/>
        <w:spacing w:after="0" w:line="277" w:lineRule="auto"/>
        <w:tabs>
          <w:tab w:leader="none" w:pos="2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Disbursement will be made from time to time to compensate the Borrower for project costs incurred and paid all in accordance with the Fund’s disbursement policies. The Fund shall be satisfied that the costs incurred by the Borrower are true and valid.</w:t>
      </w:r>
    </w:p>
    <w:p>
      <w:pPr>
        <w:spacing w:after="0" w:line="170"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should, wherever he decides to draw a portion of the loan amount subject to the terms and conditions of this agreement, send to the Fund, five Business days before the date he propose for such a drawing, within the Draw-dawn period, a written notice, by mail, Fax or telex, valid on delivery, setting forth the amount and date proposed for such drawing.</w:t>
      </w:r>
    </w:p>
    <w:p>
      <w:pPr>
        <w:spacing w:after="0" w:line="183" w:lineRule="exact"/>
        <w:rPr>
          <w:rFonts w:ascii="Arial" w:cs="Arial" w:eastAsia="Arial" w:hAnsi="Arial"/>
          <w:sz w:val="18"/>
          <w:szCs w:val="18"/>
          <w:color w:val="auto"/>
        </w:rPr>
      </w:pPr>
    </w:p>
    <w:p>
      <w:pPr>
        <w:jc w:val="both"/>
        <w:ind w:firstLine="8"/>
        <w:spacing w:after="0" w:line="255" w:lineRule="auto"/>
        <w:tabs>
          <w:tab w:leader="none" w:pos="1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drawing shall be paid by the Fund against the issue and delivery by the Borrower in favor of the Fund of a Note in an amount equal to the drawing concerned and with a maturity falling on the Drawdown Termination Date stated on page 1. Such Notes are hereinafter called “the Interim Notes”. Upon the Drawdown Termination Date each Interim Note shall be surrendered at the Office of the Fund and cancelled against issue and delivery by the Borrower in favor of the Fund of a series of Notes (“the Final Notes”) which remain in the Fund’s possession with aggregate face value equal to the aggregate face value of the surrendered Interim Notes and such series of Final Notes being in amounts and with maturities corresponding precisely to the repayment installments on the Loan to become due under Clause 4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4. PREPAYMENT: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Borrower will repay the aggregate principal amount of the Loan outstanding at the expiration of the Drawdown Period on installments on the dates and in the Drawdown Period on installments on the dates and in the amounts shown on page 2, each such payment being made against surrender of the Final Note maturing on that date, provided that the amounts so shown shall be reduced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event that the Maximum amount of the Loan is not drawn or the Loan outstanding is reduced by one or more prepayments during the Drawdown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5. PREPAYMENT: (PREMATURED PAYMENT)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Borrower may on any Business Day prepay the Loan in whole or in part without any penalty. However, amounts so prepaid may not be re-borrowed hereunder. Such amounts prepaid during the Drawdown Period shall be applied pro rata against the repayment installments referred to in Clause 4 above but such amounts prepaid after the Drawdown Period shall be applied against such installments in inverse order of maturity. Each prepayment shall be made against surrender and cancellation of such Interim or Final Notes as may be appropriate, and if the prepayment covers part only of any Note (whether Interim or Final) the Borrower shall at the time of making the payment, issue and deliver to the Fund a substitute Note for the part not so covered.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6.</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7. PAYMENTS: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payments to be made by the Borrower hereunder shall be made in immediately available funds and in legal money of Saudi Arabia without any deduction or withholding whatsoever either to the Office of the Fund or (if the Fund shall from time to time so specify) to such bank account as may be so specified with direct telex/telegraphic or Fax advice to the Fund.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8. CONDITIONS PRECEDENT: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 of the Fund to make the Loan available hereunder is subject to the conditions precedent that the Fund shall have received all of the following in the form and substance satisfactory to the Fund.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 At or before signing this Agreement:</w:t>
      </w:r>
    </w:p>
    <w:p>
      <w:pPr>
        <w:spacing w:after="0" w:line="225" w:lineRule="exact"/>
        <w:rPr>
          <w:sz w:val="20"/>
          <w:szCs w:val="20"/>
          <w:color w:val="auto"/>
        </w:rPr>
      </w:pPr>
    </w:p>
    <w:p>
      <w:pPr>
        <w:ind w:firstLine="8"/>
        <w:spacing w:after="0" w:line="277" w:lineRule="auto"/>
        <w:tabs>
          <w:tab w:leader="none" w:pos="2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Copy of the Commercial Registration, Articles of Association and copy of the Industrial License for the Project or other corporate documentation of the Borrower as may be requested by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300" w:hanging="29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Copy of the Borrower’s resolution to enter into this Agreement and the Mortgage Note;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Copies of all relevant agreements and documents necessary for signing this agreement and mortgage Deed.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At the time of submitting first request disbursement under Clause 3-1 above.</w:t>
      </w:r>
    </w:p>
    <w:p>
      <w:pPr>
        <w:spacing w:after="0" w:line="225" w:lineRule="exact"/>
        <w:rPr>
          <w:sz w:val="20"/>
          <w:szCs w:val="20"/>
          <w:color w:val="auto"/>
        </w:rPr>
      </w:pPr>
    </w:p>
    <w:p>
      <w:pPr>
        <w:ind w:right="20" w:firstLine="8"/>
        <w:spacing w:after="0" w:line="342" w:lineRule="auto"/>
        <w:tabs>
          <w:tab w:leader="none" w:pos="29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original of the Mortgage Note duly executed by the Borrower together with evidence that the Mortgage Note has been notarized and recorded with a Notary Public and that the title deeds or documents of any land concerned with the Project have been deposited with the Fund or its nominee;</w:t>
      </w:r>
    </w:p>
    <w:p>
      <w:pPr>
        <w:spacing w:after="0" w:line="123" w:lineRule="exact"/>
        <w:rPr>
          <w:rFonts w:ascii="Arial" w:cs="Arial" w:eastAsia="Arial" w:hAnsi="Arial"/>
          <w:sz w:val="16"/>
          <w:szCs w:val="16"/>
          <w:color w:val="auto"/>
        </w:rPr>
      </w:pPr>
    </w:p>
    <w:p>
      <w:pPr>
        <w:ind w:left="300" w:hanging="292"/>
        <w:spacing w:after="0"/>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Such other information and documents including financial information concerning the Borrower and / or the Project as the Fund may request.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(3) At the time of submitting subsequent disbursement requests: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represent, warrant and agree to and with the Fund that: –</w:t>
      </w:r>
    </w:p>
    <w:p>
      <w:pPr>
        <w:spacing w:after="0" w:line="225" w:lineRule="exact"/>
        <w:rPr>
          <w:sz w:val="20"/>
          <w:szCs w:val="20"/>
          <w:color w:val="auto"/>
        </w:rPr>
      </w:pPr>
    </w:p>
    <w:p>
      <w:pPr>
        <w:ind w:firstLine="8"/>
        <w:spacing w:after="0" w:line="277" w:lineRule="auto"/>
        <w:tabs>
          <w:tab w:leader="none" w:pos="3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representations and warranties set out in Clause 9 below are true and accurate at that time as if made at that time; and undertakes to submit the original documents thereof if requested for identification and;</w:t>
      </w:r>
    </w:p>
    <w:p>
      <w:pPr>
        <w:spacing w:after="0" w:line="170" w:lineRule="exact"/>
        <w:rPr>
          <w:rFonts w:ascii="Arial" w:cs="Arial" w:eastAsia="Arial" w:hAnsi="Arial"/>
          <w:sz w:val="18"/>
          <w:szCs w:val="18"/>
          <w:color w:val="auto"/>
        </w:rPr>
      </w:pPr>
    </w:p>
    <w:p>
      <w:pPr>
        <w:ind w:firstLine="8"/>
        <w:spacing w:after="0" w:line="277" w:lineRule="auto"/>
        <w:tabs>
          <w:tab w:leader="none" w:pos="2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event of default as specified in Clause 11 below or event which with the giving of notice, lapse of time or other conditions would constitute such an event of default has occurred and is continuing or would result from the drawing then proposed to be made;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Borrower shall present to the Fund with such evidence as the Fund deems satisfactory of project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 All requirements of the special conditions mentioned in the preamble shall be satisfied at the specific date limited in such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9. REPRESENTATIONS, WARRANTIES AND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Borrower hereby represents and warrants to and agrees with the Fund as follows: -</w:t>
      </w:r>
    </w:p>
    <w:p>
      <w:pPr>
        <w:spacing w:after="0" w:line="225" w:lineRule="exact"/>
        <w:rPr>
          <w:sz w:val="20"/>
          <w:szCs w:val="20"/>
          <w:color w:val="auto"/>
        </w:rPr>
      </w:pPr>
    </w:p>
    <w:p>
      <w:pPr>
        <w:jc w:val="both"/>
        <w:ind w:firstLine="8"/>
        <w:spacing w:after="0" w:line="259"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Firm is established and registered as shown on the introduction and the Borrower has the corporate power for, has taken all corporate action necessary and received all governmental permits necessary to authorize and operate the Project and for entry into and performance of this Agreement, that the Order Notes, the Mortgage Note and such other documents constitute legally valid and binding obligations of the Borrower and enforceable against it in accordance with their terms;</w:t>
      </w:r>
    </w:p>
    <w:p>
      <w:pPr>
        <w:spacing w:after="0" w:line="186" w:lineRule="exact"/>
        <w:rPr>
          <w:rFonts w:ascii="Arial" w:cs="Arial" w:eastAsia="Arial" w:hAnsi="Arial"/>
          <w:sz w:val="18"/>
          <w:szCs w:val="18"/>
          <w:color w:val="auto"/>
        </w:rPr>
      </w:pPr>
    </w:p>
    <w:p>
      <w:pPr>
        <w:ind w:firstLine="8"/>
        <w:spacing w:after="0" w:line="277"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Operate the Project in accordance with the plans and specifications contained or referred to in the Project Description and the proceeds of the Loan shall be used exclusively for the Project;</w:t>
      </w:r>
    </w:p>
    <w:p>
      <w:pPr>
        <w:spacing w:after="0" w:line="170" w:lineRule="exact"/>
        <w:rPr>
          <w:rFonts w:ascii="Arial" w:cs="Arial" w:eastAsia="Arial" w:hAnsi="Arial"/>
          <w:sz w:val="18"/>
          <w:szCs w:val="18"/>
          <w:color w:val="auto"/>
        </w:rPr>
      </w:pPr>
    </w:p>
    <w:p>
      <w:pPr>
        <w:ind w:firstLine="8"/>
        <w:spacing w:after="0" w:line="277" w:lineRule="auto"/>
        <w:tabs>
          <w:tab w:leader="none" w:pos="2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the Order Notes and the Mortgage Deed by the Borrower will not conflict with any legal or contractual obligation of the Borrower;</w:t>
      </w:r>
    </w:p>
    <w:p>
      <w:pPr>
        <w:spacing w:after="0" w:line="170" w:lineRule="exact"/>
        <w:rPr>
          <w:rFonts w:ascii="Arial" w:cs="Arial" w:eastAsia="Arial" w:hAnsi="Arial"/>
          <w:sz w:val="18"/>
          <w:szCs w:val="18"/>
          <w:color w:val="auto"/>
        </w:rPr>
      </w:pPr>
    </w:p>
    <w:p>
      <w:pPr>
        <w:jc w:val="both"/>
        <w:ind w:firstLine="8"/>
        <w:spacing w:after="0" w:line="263" w:lineRule="auto"/>
        <w:tabs>
          <w:tab w:leader="none" w:pos="2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is not in default under any contractual obligations relating to the project and no event which, in association with the giving of notice, lapse of time or other conditions, would constitute such a default as aforesaid and no litigation, arbitration or administrative proceedings are presently current or pending or, to the knowledge of the Borrower acquaint and;</w:t>
      </w:r>
    </w:p>
    <w:p>
      <w:pPr>
        <w:spacing w:after="0" w:line="183" w:lineRule="exact"/>
        <w:rPr>
          <w:rFonts w:ascii="Arial" w:cs="Arial" w:eastAsia="Arial" w:hAnsi="Arial"/>
          <w:sz w:val="18"/>
          <w:szCs w:val="18"/>
          <w:color w:val="auto"/>
        </w:rPr>
      </w:pPr>
    </w:p>
    <w:p>
      <w:pPr>
        <w:ind w:firstLine="8"/>
        <w:spacing w:after="0" w:line="342" w:lineRule="auto"/>
        <w:tabs>
          <w:tab w:leader="none" w:pos="25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information concerning the Borrower and the project introduced to the Fund are true and correct and the Borrower is not aware of any facts, matter or thing which ought to be disclosed to the Fund or which if disclosed to the Fund might materially affect the decision of the Fund to make the Loan.</w:t>
      </w:r>
    </w:p>
    <w:p>
      <w:pPr>
        <w:spacing w:after="0" w:line="123" w:lineRule="exact"/>
        <w:rPr>
          <w:rFonts w:ascii="Arial" w:cs="Arial" w:eastAsia="Arial" w:hAnsi="Arial"/>
          <w:sz w:val="16"/>
          <w:szCs w:val="16"/>
          <w:color w:val="auto"/>
        </w:rPr>
      </w:pPr>
    </w:p>
    <w:p>
      <w:pPr>
        <w:ind w:firstLine="8"/>
        <w:spacing w:after="0" w:line="277" w:lineRule="auto"/>
        <w:tabs>
          <w:tab w:leader="none" w:pos="2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SIDF is authorized to disclose and share SIDF-related information with government departments and agencies which shall be permitted to share such information with any other agency as per the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(7) SIDF shall have the right to access clients’ financial statements and information on the Ministry of Commerce and Investment (Qawaem).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10. COVENANTS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long as the Loan shall remain outstanding or any other amount shall remain payable hereunder the Borrower covenants and agrees that unless the Fund shall have first otherwise consented in writing: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Furnishing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Borrower shall furnish to the Fund (A) as soon as possible, but in no event later than 90 days after the end of its financial year, a balance sheet of the Borrower as at the end of such year together with a profit and loss account of the Borrower covering such year and such balance sheet and profit and loss account shall be certified by independent auditors selected by the Borrower and satisfactory to the Fund; (B) within 30 days after the end of each period of three months from the date hereof, interim financial statements including a statement of the application of all amounts disbursed by the Fund; (C) forthwith upon request from the Fund such further financial and other information and documents concerning the affairs and financial conditions of the project or the Borrower as the Fund may from time to time request.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(2) Access to Books and Inspection: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Borrower shall keep proper books of record and account, and upon request of the Fund shall give any representative or agent of the Fund full and free access during normal business hours to examine, audit and make copies of and take extracts from all or any of its books, records, contracts and other documents and to inspect the Project and its site and any other properties or assets of the Project;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(3) Supplemental Mortgages: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execute further mortgages over the property comprised in the Mortgage Note from time to time as required by the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 Maintenance of, Operations, Compliance with Laws: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Borrower shall (a) maintain and keep in force its Commercial Registration and the Industrial License for the Project and shall obtain and maintain all authorizations, required in relation to the Project and/or in relation to the making and performance of this Agreement, the Order Notes and the Mortgage Deed (b) not carry on any business or activity contradicting with the Project (c) observe and comply with all laws, regulations, orders, decrees and directives of any governmental authority, agency or court having jurisdiction over the Borrower or its property or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 Litigations: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Borrower shall forthwith notify the Fund in writing and thereafter keep the Fund fully informed of any litigation, arbitration or administrative proceedings.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(6) Taxes - azakat: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Borrower shall pay and discharge any and all taxes assessments and governmental charges or levies relevant to the project and imposed upon it or its property or assets, prior to the dates on which penalties would otherwise attach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 Insurance: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Borrower shall take out and maintain at its own expense with insurers acceptable to the Fund such insurance’s in such amounts against such risks and with only such restrictions and exclusions as may be satisfactory to the Fund. The policies relating to the said insurance’s shall contain or be endorsed with loss payee clauses in favour of the Fund if so requested by the Fund and such policies together with the premium receipts and any insurance certificates shall on demand be available for the Fund to inspect and take copies. In the event of any sums of money being received under any insurance in respect of any of the property and assets of the Borrower such sums shall be applied in replacing, restoring or reinstating the property or assets destroyed or damaged unless the Fund otherwise direct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(8) Rentals: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Borrower shall not incur obligations in respect of leases or rents requiring expenditures during any financial year of the Borrower aggregating to more than the Maximum Rental Sum stated on the introduction;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(9) Over obligation: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Borrower shall not (other than as provided in the Mortgage Deed and unless otherwise consented to by the Fund) create, incur or suffer the existence of any mortgage, charge, lien, pledge or other encumbrance on any of its property, revenue or assets now owned or hereafter acquired;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(10) Merger:</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Borrower shall not unless otherwise consented to by the Fund (a) merge or consolidate with or into any person or corporation (b) sell, lease, transfer or otherwise dispose of (whether by a single transaction or by a number of transactions, whether independent or consolidated) the whole or a substantial part of its project or (except in the ordinary course of trading) its assets, whether now owned or hereafter acquired; or (c) acquire or assume all or substantially all of the assets and/or liabilities of any person or corporate;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(11) Substantial Changes: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Borrower shall not make any substantial change in the Project as described in the Project Description without the written consent of the Fund;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(12) Working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Borrower shall at all times after the commencement of the commercial operation of the Project maintain a ratio of Current Assets of the Borrower to Current Liabilities of the Borrower of not less than the Working Capital Ratio stated on the introduction. For this purpose “Current Assets” and “Current Liabilities” shall be determined in accordance with generally accepted accounting principles and practices consistently applied but also include any principal repayments on any indebtedness for borrowed money becoming due within 12 (twelve) months of the date when the accounts should be made (including repayments in respect of the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(13) Total Liabilities to Tangible Net worth Ratio:</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Borrower shall at all times after the commencement of the commercial operation of the Project, maintain a ratio of Total Liabilities of the Borrower to Tangible Net Worth of the Borrower of no more than Leverage Ratio stated on the introduction. For this purpose “Total Liabilities” shall mean all liabilities of the Borrower which would, in accordance with generally accepted accounting principles consistently applied, be classified as liabilities but specifically including full provision for all contingent liabilities but excluding any indebtedness of the Borrower subordinated in a manner satisfactory to the Fund. Also for this purpose “Tangible Net Worth” which shall be ascertained in accordance with generally accepted accounting principles consistently applied shall mean the current amount for the time being of the paid up share capital of the Borrower plus any indebtedness of the Borrower subordinated in a manner satisfactory to the Fund plus or minus the current amount represents balance of the Reserve Accounts and Profit and Loss Account of the Borrower minus any amount attributable to goodwill or other intangible assets or to the revaluation of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(14) Dividends&amp; other distributions: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will be distributed after deducting the accumulated losses but the Borrower shall not declare, pay or make any dividend or other distributions of a similar nature to its shareholders in the following cases:</w:t>
      </w:r>
    </w:p>
    <w:p>
      <w:pPr>
        <w:spacing w:after="0" w:line="170" w:lineRule="exact"/>
        <w:rPr>
          <w:sz w:val="20"/>
          <w:szCs w:val="20"/>
          <w:color w:val="auto"/>
        </w:rPr>
      </w:pPr>
    </w:p>
    <w:p>
      <w:pPr>
        <w:jc w:val="both"/>
        <w:ind w:firstLine="8"/>
        <w:spacing w:after="0" w:line="255" w:lineRule="auto"/>
        <w:tabs>
          <w:tab w:leader="none" w:pos="3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 event of default as specified in Clause 11 below or an event which with the giving of notice, lapse of time or other conditions would constitute such an event of default has occurred and is continuing; or (B) Prior to the first maturity under Clause 4 above of a Final Order Note; or (C) If and to the extent that the aggregate amount of all such payments, dividends and distributions in relation to any financial year of the Borrower (the Relevant Year”) exceeds the aggregate of (1) the Maximum Dividend percentage (stated on the introduction) of the paid up share capital of the Borrower at the end of its preceding financial year and (2) an amount equal to any prepayment made to the Fund in the Relevant Year under Clause 5 above; (15) Capital Expenditure: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capital expenditures by the Borrower in any financial year after the year in which commercial operation of the Project commences shall not exceed the Maximum Capital Expenditure stated on the 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(16)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Borrower will at all times maintain management level acceptable to the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 Change of Entity or Proprietorship: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 change in the legal entity of the Borrower or the persons constituting the Borrower shall occur without the prior written consent of the Fund.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11. EVENTS OF DEFAULT</w:t>
      </w:r>
      <w:r>
        <w:rPr>
          <w:rFonts w:ascii="Arial" w:cs="Arial" w:eastAsia="Arial" w:hAnsi="Arial"/>
          <w:sz w:val="18"/>
          <w:szCs w:val="18"/>
          <w:b w:val="1"/>
          <w:bCs w:val="1"/>
          <w:color w:val="auto"/>
        </w:rPr>
        <w: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Borrower will be considered defaulting, If any of the following events set forth hereinafter shall occur, and any of them will be deemed as an “event of default”: -</w:t>
      </w:r>
    </w:p>
    <w:p>
      <w:pPr>
        <w:spacing w:after="0" w:line="170"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Default by the Borrower in the payment, when due, of any principal in respect of the Loan or the Order Notes or other amount payable hereunder;</w:t>
      </w:r>
    </w:p>
    <w:p>
      <w:pPr>
        <w:spacing w:after="0" w:line="34" w:lineRule="exact"/>
        <w:rPr>
          <w:rFonts w:ascii="Arial" w:cs="Arial" w:eastAsia="Arial" w:hAnsi="Arial"/>
          <w:sz w:val="17"/>
          <w:szCs w:val="17"/>
          <w:color w:val="auto"/>
        </w:rPr>
      </w:pPr>
    </w:p>
    <w:p>
      <w:pPr>
        <w:jc w:val="both"/>
        <w:ind w:firstLine="8"/>
        <w:spacing w:after="0" w:line="284" w:lineRule="auto"/>
        <w:tabs>
          <w:tab w:leader="none" w:pos="283"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Default by the Borrower in the performance of observance of any provisions contained herein or in the Order Notes (not being a default within paragraph (1) of this Clause) or in the Mortgage Note, provided that in any such case in which the default is in the opinion of the Fund liable to prompt remedy but not have been remedied within a period of 30 (thirty) days after notice to the Borrower requiring such remedy; (3) Any presentation or warranty made by the Borrower hereunder or in the Order Notes or the Mortgage Note or in any statement or certificate furnished pursuant to this loan Agreement or these documents shall prove to have been incorrect in any material respect; (4) Any indebtedness for money borrowed or for a deferred purchase price of property for which the Borrower is or may become liable, as principal obligor, guarantor or otherwise, becomes due and payable or is liable of being declared due and payable prior to its stated maturity or any such indebtedness not paid on the stated maturity or at the expiration of any applicable grace period therefore; (5) The Borrower shall (a) apply for or consent to the appointment of a receiver, trustee or liquidator of itself, or of its property; (b) be unable, or admit in writing its inability to pay its debts as they mature; (c) make a general assignment for the benefit of creditors; be adjudicated as bankrupt or insolvent; or (e) have a liquidator or other guardian of the Borrower appointed; (f) file a voluntary petition in bankruptcy; or (g) the Borrower ceases individually or collectively to be partner or sole proprietor as the case may be without the consent of the Fund, such consent not to be unreasonably withheld; (6) The Project shall be abandoned at any time or commercial operation of the Project shall not commence prior to the Operation Date stated on the introduction; Therefore, and in any such event, the Fund may, immediately terminate its obligations of the Fund hereunder, by Mail, Cable, Telex or Facsimile Notice to the Borrower, declaring the Loan hereunder and under the Order Notes (to be forthwith) payable by the Borrower, whereupon all other amounts matured under this agreement and other related documents shall be forthwith due and payable, without need to further demand, to the Borrower or before any competent authority, protest or other notice whatsoever, as all of claim these are hereby waived by the Borrower.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12. JURISDICTION AND APPLICABLE LAW</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the Order Notes and the Mortgage Deed are subject to, governed by and shall be construed in accordance with both the substantive and procedural laws and regulations of the Kingdom of Saudi Arabia. The Saudi courts of justice shall be the only competent courts to deal with any question arising from this Agreement, the Order Notes or the Mortgage Deed; except on occurrence of any of the events of default provided in Clause 11 herein where the Fund shall collect the amount of the loan pursuant to the “Public Funds Collection Act’ and the preceding and subsequent amendments thereto or any other Regulations as may be decided by the Fund”.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13. MISCELLANEOUS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
        <w:spacing w:after="0" w:line="263" w:lineRule="auto"/>
        <w:tabs>
          <w:tab w:leader="none" w:pos="2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failure on the part of the Fund to exercise, and no delay in exercising or partial exercise of, any right hereunder or under the Order Notes or the Mortgage Note shall operate as a waiver hereof. The remedies provided herein and therein are cumulative and not exclusive of any remedies provided by law or regulation.</w:t>
      </w:r>
    </w:p>
    <w:p>
      <w:pPr>
        <w:spacing w:after="0" w:line="183" w:lineRule="exact"/>
        <w:rPr>
          <w:rFonts w:ascii="Arial" w:cs="Arial" w:eastAsia="Arial" w:hAnsi="Arial"/>
          <w:sz w:val="18"/>
          <w:szCs w:val="18"/>
          <w:color w:val="auto"/>
        </w:rPr>
      </w:pPr>
    </w:p>
    <w:p>
      <w:pPr>
        <w:jc w:val="both"/>
        <w:ind w:firstLine="8"/>
        <w:spacing w:after="0" w:line="263" w:lineRule="auto"/>
        <w:tabs>
          <w:tab w:leader="none" w:pos="2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specified herein, all notices, requests and demands shall be deemed to have been sufficiently given to or made upon either party hereto by the other party when sent by mail, full postage prepaid, addressed to such party at its address set forth above or at such other address with notified to the other party for the purpose of this paragraph.</w:t>
      </w:r>
    </w:p>
    <w:p>
      <w:pPr>
        <w:spacing w:after="0" w:line="183" w:lineRule="exact"/>
        <w:rPr>
          <w:rFonts w:ascii="Arial" w:cs="Arial" w:eastAsia="Arial" w:hAnsi="Arial"/>
          <w:sz w:val="18"/>
          <w:szCs w:val="18"/>
          <w:color w:val="auto"/>
        </w:rPr>
      </w:pPr>
    </w:p>
    <w:p>
      <w:pPr>
        <w:ind w:firstLine="8"/>
        <w:spacing w:after="0" w:line="277" w:lineRule="auto"/>
        <w:tabs>
          <w:tab w:leader="none" w:pos="2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Borrower hereby expressly consents and agrees that the books and records of the Fund (in addition to the executed outstanding Order Notes) shall at all times be conclusive evidence of the facts and matters stated therein with regard to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left="-8" w:right="20" w:firstLine="8"/>
        <w:spacing w:after="0" w:line="277" w:lineRule="auto"/>
        <w:tabs>
          <w:tab w:leader="none" w:pos="2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any payment to be made by the Borrower shall become due on a day other than a Business Day, such payment shall be made on the next succeeding Business Day.</w:t>
      </w:r>
    </w:p>
    <w:p>
      <w:pPr>
        <w:spacing w:after="0" w:line="170" w:lineRule="exact"/>
        <w:rPr>
          <w:rFonts w:ascii="Arial" w:cs="Arial" w:eastAsia="Arial" w:hAnsi="Arial"/>
          <w:sz w:val="18"/>
          <w:szCs w:val="18"/>
          <w:color w:val="auto"/>
        </w:rPr>
      </w:pPr>
    </w:p>
    <w:p>
      <w:pPr>
        <w:ind w:left="-8" w:firstLine="8"/>
        <w:spacing w:after="0" w:line="308" w:lineRule="auto"/>
        <w:tabs>
          <w:tab w:leader="none" w:pos="26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This Agreement shall be binding upon and shall exist for the benefit of the parties hereto and that of their respective heirs, successors and assigns, provided that the Borrower may not assign any of its rights or obligations hereunder without the prior written consent of the Fund.</w:t>
      </w:r>
    </w:p>
    <w:p>
      <w:pPr>
        <w:spacing w:after="0" w:line="146" w:lineRule="exact"/>
        <w:rPr>
          <w:rFonts w:ascii="Arial" w:cs="Arial" w:eastAsia="Arial" w:hAnsi="Arial"/>
          <w:sz w:val="17"/>
          <w:szCs w:val="17"/>
          <w:color w:val="auto"/>
        </w:rPr>
      </w:pPr>
    </w:p>
    <w:p>
      <w:pPr>
        <w:jc w:val="both"/>
        <w:ind w:left="-8" w:firstLine="8"/>
        <w:spacing w:after="0" w:line="263" w:lineRule="auto"/>
        <w:tabs>
          <w:tab w:leader="none" w:pos="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Borrower agrees to pay all costs and expenses in connection with the preparation, execution, delivery and enforcement of this Agreement, the Order Notes and the Mortgage Deed including without limitation the performance of the Mortgage Deed and the furnishing of such documents, as the Fund may reasonably request.</w:t>
      </w:r>
    </w:p>
    <w:p>
      <w:pPr>
        <w:spacing w:after="0" w:line="183" w:lineRule="exact"/>
        <w:rPr>
          <w:rFonts w:ascii="Arial" w:cs="Arial" w:eastAsia="Arial" w:hAnsi="Arial"/>
          <w:sz w:val="18"/>
          <w:szCs w:val="18"/>
          <w:color w:val="auto"/>
        </w:rPr>
      </w:pPr>
    </w:p>
    <w:p>
      <w:pPr>
        <w:ind w:left="-8" w:firstLine="8"/>
        <w:spacing w:after="0" w:line="277" w:lineRule="auto"/>
        <w:tabs>
          <w:tab w:leader="none" w:pos="2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of conflict between the Arabic and English versions of this Agreement, the Order Notes or the Mortgage Note the Arabic version shall in all cases prevail but the English version shall be used to assist in any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BORROWER</w:t>
            </w:r>
          </w:p>
        </w:tc>
        <w:tc>
          <w:tcPr>
            <w:tcW w:w="5660" w:type="dxa"/>
            <w:vAlign w:val="bottom"/>
            <w:gridSpan w:val="3"/>
          </w:tcPr>
          <w:p>
            <w:pPr>
              <w:ind w:left="2040"/>
              <w:spacing w:after="0"/>
              <w:rPr>
                <w:sz w:val="20"/>
                <w:szCs w:val="20"/>
                <w:color w:val="auto"/>
              </w:rPr>
            </w:pPr>
            <w:r>
              <w:rPr>
                <w:rFonts w:ascii="Arial" w:cs="Arial" w:eastAsia="Arial" w:hAnsi="Arial"/>
                <w:sz w:val="18"/>
                <w:szCs w:val="18"/>
                <w:b w:val="1"/>
                <w:bCs w:val="1"/>
                <w:color w:val="auto"/>
              </w:rPr>
              <w:t>FUND’S SIGNATURE</w:t>
            </w:r>
          </w:p>
        </w:tc>
      </w:tr>
      <w:tr>
        <w:trPr>
          <w:trHeight w:val="20"/>
        </w:trPr>
        <w:tc>
          <w:tcPr>
            <w:tcW w:w="2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53"/>
        </w:trPr>
        <w:tc>
          <w:tcPr>
            <w:tcW w:w="2220" w:type="dxa"/>
            <w:vAlign w:val="bottom"/>
          </w:tcPr>
          <w:p>
            <w:pPr>
              <w:spacing w:after="0"/>
              <w:rPr>
                <w:sz w:val="20"/>
                <w:szCs w:val="20"/>
                <w:color w:val="auto"/>
              </w:rPr>
            </w:pPr>
            <w:r>
              <w:rPr>
                <w:rFonts w:ascii="Arial" w:cs="Arial" w:eastAsia="Arial" w:hAnsi="Arial"/>
                <w:sz w:val="18"/>
                <w:szCs w:val="18"/>
                <w:color w:val="auto"/>
                <w:w w:val="99"/>
              </w:rPr>
              <w:t>/s/ Faisal Sultan : Signature</w:t>
            </w: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/s/ Mohammed A. Al-Jasser : Signature</w:t>
            </w:r>
          </w:p>
        </w:tc>
      </w:tr>
      <w:tr>
        <w:trPr>
          <w:trHeight w:val="432"/>
        </w:trPr>
        <w:tc>
          <w:tcPr>
            <w:tcW w:w="5580" w:type="dxa"/>
            <w:vAlign w:val="bottom"/>
            <w:gridSpan w:val="3"/>
          </w:tcPr>
          <w:p>
            <w:pPr>
              <w:spacing w:after="0"/>
              <w:rPr>
                <w:sz w:val="20"/>
                <w:szCs w:val="20"/>
                <w:color w:val="auto"/>
              </w:rPr>
            </w:pPr>
            <w:r>
              <w:rPr>
                <w:rFonts w:ascii="Arial" w:cs="Arial" w:eastAsia="Arial" w:hAnsi="Arial"/>
                <w:sz w:val="18"/>
                <w:szCs w:val="18"/>
                <w:color w:val="auto"/>
              </w:rPr>
              <w:t>Name: Faisal Sultan</w:t>
            </w: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Name: Mohammed A. Al-Jasser</w:t>
            </w:r>
          </w:p>
        </w:tc>
      </w:tr>
      <w:tr>
        <w:trPr>
          <w:trHeight w:val="418"/>
        </w:trPr>
        <w:tc>
          <w:tcPr>
            <w:tcW w:w="5580" w:type="dxa"/>
            <w:vAlign w:val="bottom"/>
            <w:gridSpan w:val="3"/>
          </w:tcPr>
          <w:p>
            <w:pPr>
              <w:spacing w:after="0"/>
              <w:rPr>
                <w:sz w:val="20"/>
                <w:szCs w:val="20"/>
                <w:color w:val="auto"/>
              </w:rPr>
            </w:pPr>
            <w:r>
              <w:rPr>
                <w:rFonts w:ascii="Arial" w:cs="Arial" w:eastAsia="Arial" w:hAnsi="Arial"/>
                <w:sz w:val="18"/>
                <w:szCs w:val="18"/>
                <w:color w:val="auto"/>
                <w:w w:val="95"/>
              </w:rPr>
              <w:t>Position: Manager of the Company and Authorized According to Article of</w:t>
            </w: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Position: VP/Legal and Compliance</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Association Issued from Ministry of Trade Authenticated No( ) dated:</w:t>
            </w:r>
          </w:p>
        </w:tc>
        <w:tc>
          <w:tcPr>
            <w:tcW w:w="2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18"/>
                <w:szCs w:val="18"/>
                <w:color w:val="auto"/>
              </w:rPr>
              <w:t>17/09/1442H</w:t>
            </w:r>
          </w:p>
        </w:tc>
        <w:tc>
          <w:tcPr>
            <w:tcW w:w="2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675"/>
        </w:trPr>
        <w:tc>
          <w:tcPr>
            <w:tcW w:w="2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(Project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Order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4" w:name="page105"/>
    <w:bookmarkEnd w:id="104"/>
    <w:p>
      <w:pPr>
        <w:ind w:left="1032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Certain identified information has been omitted from this document because it is not material and is the type that the Company customarily and actually treats as private or confidential, and has been marked with “[***]” to indicate where omissions have been made.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executed in English and Arabic; Arabic version has been omitted for purposes of this filing.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Side Letter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Lucid Limited Company, A Limited Liability Company -One Person-, established and organized under the laws and regulations of Saudi</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Arabia with its National Address: Building No. (3074) Unit No. (265) Riyadh 12213 – 8022 Kingdom of Saudi Arabia. registered in the</w:t>
      </w:r>
    </w:p>
    <w:p>
      <w:pPr>
        <w:spacing w:after="0" w:line="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b w:val="1"/>
          <w:bCs w:val="1"/>
          <w:color w:val="auto"/>
        </w:rPr>
        <w:t>Commercial Registry of Riyadh under unified No. (</w:t>
      </w:r>
      <w:r>
        <w:rPr>
          <w:sz w:val="20"/>
          <w:szCs w:val="20"/>
          <w:color w:val="auto"/>
        </w:rPr>
        <w:tab/>
      </w:r>
      <w:r>
        <w:rPr>
          <w:rFonts w:ascii="Arial" w:cs="Arial" w:eastAsia="Arial" w:hAnsi="Arial"/>
          <w:sz w:val="16"/>
          <w:szCs w:val="16"/>
          <w:b w:val="1"/>
          <w:bCs w:val="1"/>
          <w:color w:val="auto"/>
        </w:rPr>
        <w:t>) dated: 24/09/1442H.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attention of: Lucid Limited Company</w:t>
      </w:r>
    </w:p>
    <w:p>
      <w:pPr>
        <w:spacing w:after="0" w:line="225" w:lineRule="exact"/>
        <w:rPr>
          <w:sz w:val="20"/>
          <w:szCs w:val="20"/>
          <w:color w:val="auto"/>
        </w:rPr>
      </w:pPr>
    </w:p>
    <w:p>
      <w:pPr>
        <w:ind w:right="6300" w:firstLine="8"/>
        <w:spacing w:after="0" w:line="500" w:lineRule="auto"/>
        <w:tabs>
          <w:tab w:leader="none" w:pos="34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day of [07] 1443H (corresponding to [27] day of [02] 2022G) Dear Sirs,</w:t>
      </w:r>
    </w:p>
    <w:p>
      <w:pPr>
        <w:spacing w:after="0" w:line="2"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refer to each of the following:</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SAR 5,190,000,000 (Five Billion, One Hundred Ninety Million Saudi Riyals loan agreement number (6400, SAU7135) (the Agreement) dated [26-01-1443H, 27-02-2022] between the Company and the Saudi Industrial Development Fund;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 up agreement number (6400, SAU7135) dated [26-01-1443H, 27-02-2022] between the Company and the Saudi Industrial Development Fund (the Follow up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letter is supplemental to and amends the Agreement and Follow up Agreement.</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Capitalised terms defined in the relevant Amended Agreement have the same meaning when used in this letter unless expressly defined in this letter</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Amendments and Clarifications</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Amended Agreement is amended and/or clarified (as applicable) in the manner set out in the Schedule to this letter on and from the date on which this letter is signed by both parties as set out below.</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From the date of this letter, each Amended Agreement and this letter will be read and construed as a single document, respectively.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otherwise provided in this letter, each Amended Agreement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This letter is subject to, governed by and shall be construed in accordance with, both the substantive and procedural laws and regulations of the Kingdom of Saudi Arabia.</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you agree to the terms of this letter, please sign where indicated below.</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Yours faithfully,</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Signature </w:t>
      </w:r>
      <w:r>
        <w:rPr>
          <w:rFonts w:ascii="Arial" w:cs="Arial" w:eastAsia="Arial" w:hAnsi="Arial"/>
          <w:sz w:val="18"/>
          <w:szCs w:val="18"/>
          <w:color w:val="auto"/>
        </w:rPr>
        <w:t>/s/ Mohammed Bin Abdullah Al-Jasser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SAUDI INDUSTRIAL DEVELOPMENT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Mohammed Bin Abdullah Al-Jasser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Position: VP/ Legal and Compliance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agree to the terms of this letter.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Signature </w:t>
      </w:r>
      <w:r>
        <w:rPr>
          <w:rFonts w:ascii="Arial" w:cs="Arial" w:eastAsia="Arial" w:hAnsi="Arial"/>
          <w:sz w:val="18"/>
          <w:szCs w:val="18"/>
          <w:color w:val="auto"/>
        </w:rPr>
        <w:t>/s/ Faisal Sultan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Lucid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Faisal Sultan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Manager of the Company and Authorized According to Article of Association Issued from Ministry of Trade Authenticated 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17/09/1442H.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26/07/1443H (27/02/2022Gr)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“SIDE LETTER”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of Loan Agreement, Follow 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1-Amendments to the Loan Agreement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Additional clarification related to Special Conditions and Special Covenants: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each of the Special Conditions and Special Covenants, where any effort is required to be done to the satisfaction of the Fund, such satisfaction shall not be unreasonably withheld, delayed or conditioned”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3: DRAWDOWN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Paragraph 1 Clause 3 is amended to read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“Disbursement will be made from time to time to compensate the Borrower for project costs incurred and paid all in accordance with the Fund’s disbursement policies. The Fund acting reasonably shall be satisfied that the costs incurred by the Borrower are true and valid.”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6</w:t>
      </w:r>
      <w:r>
        <w:rPr>
          <w:rFonts w:ascii="Arial" w:cs="Arial" w:eastAsia="Arial" w:hAnsi="Arial"/>
          <w:sz w:val="18"/>
          <w:szCs w:val="18"/>
          <w:b w:val="1"/>
          <w:bCs w:val="1"/>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7: PAYMENTS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Clause 7 is amended to read as follows: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payments to be made by the Borrower hereunder shall be made in immediately available funds and in legal money of Saudi Arabia without any deduction or withholding whatsoever either to the Office of the Fund or (if the Fund shall from time to time so specify) to such bank account as may be so</w:t>
      </w:r>
    </w:p>
    <w:p>
      <w:pPr>
        <w:spacing w:after="0"/>
        <w:tabs>
          <w:tab w:leader="none" w:pos="4700" w:val="left"/>
        </w:tabs>
        <w:rPr>
          <w:sz w:val="20"/>
          <w:szCs w:val="20"/>
          <w:color w:val="auto"/>
        </w:rPr>
      </w:pPr>
      <w:r>
        <w:rPr>
          <w:rFonts w:ascii="Arial" w:cs="Arial" w:eastAsia="Arial" w:hAnsi="Arial"/>
          <w:sz w:val="18"/>
          <w:szCs w:val="18"/>
          <w:color w:val="auto"/>
        </w:rPr>
        <w:t>specified with direct telex/telegraphic, Fax or email (</w:t>
      </w:r>
      <w:r>
        <w:rPr>
          <w:sz w:val="20"/>
          <w:szCs w:val="20"/>
          <w:color w:val="auto"/>
        </w:rPr>
        <w:tab/>
      </w:r>
      <w:r>
        <w:rPr>
          <w:rFonts w:ascii="Arial" w:cs="Arial" w:eastAsia="Arial" w:hAnsi="Arial"/>
          <w:sz w:val="16"/>
          <w:szCs w:val="16"/>
          <w:color w:val="auto"/>
        </w:rPr>
        <w:t>) advice to the Fund.”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8: CONDITIONS PRECEDENT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Paragraph 2 (B) Clause 8 is amended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“Such other information and documents including financial information concerning the Borrower and / or the Project as the Fund may reasonably request.”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9: Representations, Warranties and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1-Paragraph 4 Clause 9 is amended to read as follows: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Borrower is not in default under any contractual obligations relating to the project and no event which, in association with the giving of notice, lapse of time or other conditions, would constitute such a default as aforesaid and no material litigation, arbitration or administrative proceedings are presently current or pending or, to the knowledge of the Borrower expected.”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2-Paragraph 5 Clause 9 is amended to read as follows: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 information concerning the Borrower and the project introduced to the Fund are true and correct in all material respects and the Borrower is not aware of any facts, matter or thing which ought to be disclosed to the Fund or which if disclosed to the Fund might materially affect the decision of the Fund to make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auto"/>
        </w:rPr>
        <w:t>Clause 10: COVENANTS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1-Paragraph 1 Clause 10 is amended to read as follows: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Borrower shall furnish to the Fund (A) as soon as possible, but in no event later than 90 days after the end of its financial year, a balance sheet of the Borrower as at the end of such year together with a profit and loss account of the Borrower covering such year and such balance sheet and profit and loss account shall be certified by qualified independent auditors in KSA and selected by the Borrower and reasonably acceptable to the Fund; (B) within 45 days after the end of quarter 1, 2 and 3, interim financial statements including a statement of the application of all amounts disbursed by the Fund;</w:t>
      </w:r>
    </w:p>
    <w:p>
      <w:pPr>
        <w:spacing w:after="0" w:line="1" w:lineRule="exact"/>
        <w:rPr>
          <w:sz w:val="20"/>
          <w:szCs w:val="20"/>
          <w:color w:val="auto"/>
        </w:rPr>
      </w:pPr>
    </w:p>
    <w:p>
      <w:pPr>
        <w:ind w:firstLine="8"/>
        <w:spacing w:after="0" w:line="260" w:lineRule="auto"/>
        <w:tabs>
          <w:tab w:leader="none" w:pos="2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forthwith upon request from the Fund such further financial and other information and documents concerning the affairs and financial conditions of the project or the Borrower as the Fund may request from time to time as soon as possible, but in no event later than 30 days.”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2-Paragraph 2 Clause 10 is amended to read as follows: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Borrower shall keep proper books of record and account, and upon request of the Fund reasonably acceptable to the Borrower such access as the Fund reasonably requires during normal business hours to examine, audit and make copies of and take extracts from all or any of its books, records, contracts and other documents and to inspect the Project and its site and any other properties or assets of the Project, on reasonable notice and subject to the reasonably requirements of the Borrower in respect of attendance at sites controlled by the Borrower, given that the Borrower does not obstruct the Fund’s inspections.”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3-Paragraph 3 Clause 10 is amended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Borrower shall execute further mortgages over the property comprised in the Mortgage Note from time to time as reasonably required by the Fund.”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4-Paragraph 4 Clause 10 is amended to read as follows: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Borrower shall (a) maintain and keep in force its Commercial Registration and the Industrial License for the Project and shall obtain and maintain all authorizations, required in relation to the Project and/or in relation to the making and performance of this Agreement, the Order Notes and the Mortgage Deed (b) not carry on any business or activity contradicting with the Project (c) observe and comply in all material respects with all laws, regulations, orders, decrees and directives of any governmental authority, agency or court having jurisdiction over the Borrower or its property or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5-Paragraph 5 Clause 10 is amended to read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Borrower shall forthwith notify the Fund in writing and thereafter keep the Fund fully informed of any material litigation, arbitration or administrative proceedings.”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6-Paragraph 6 Clause 10 is amended to read as follows: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Borrower shall pay and discharge any and all taxes assessments and governmental charges or levies relevant to the project and imposed upon it or its property or assets, prior to the dates on which penalties would otherwise attach thereto save to the extent they are being contested, in which case the Borrower will notify the Fund of the contested matter. Upon providing notice to the Fund, the contested matter will not constitute a breach of this paragraph of the Loan Agreement between the Fund and Borrower, the final verdict will be based on the conclusion of the related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7-Paragraph 7 Clause 10 is amended to read as follows: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Borrower shall take out and maintain at its own expense with insurers acceptable to the Fund such insurance and permeation from the Saudi central Bank (SAMA)’s on the assets of the project and the total coverage under said policy will not be less than the book value of the project’s fixed assets. In addition, the Borrower will secure reasonable insurance for the facility in accordance with standard practices, and in any event subject to what is available in the market on reasonable commercial terms. The policies relating to the said insurance’s shall contain or be endorsed with loss payee clauses as a first beneficiary and should contain a 30-day cancellation clause in favour of the Fund if so requested by the Fund and such policies together with the premium receipts and any insurance certificates shall on demand be available for the Fund to inspect and take copies. In the event of any sums of money being received under any insurance in respect of any of the property and assets of the Borrower such sums shall be applied in replacing, restoring or reinstating the property or assets destroyed or damaged unless the Fund otherwise direct in writing.”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8-Paragraph 9 Clause 10 is amended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-Increased obligation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Borrower shall not (other than as provided in the Mortgage Deed and unless otherwise consented to by the Fund) create, incur or suffer the existence of any mortgage, charge, lien, pledge or other encumbrance on any of its property, revenue or assets now owned or hereafter acquired; the fund consent to such impairment shall not be unreasonably withheld, conditioned or delayed.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9-Paragraph 16 Clause 10 is amended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Borrower will at all times maintain management level acceptable to the Fund acting reasonably.”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11: EVENTS OF DEFAULT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Paragraph 1 Clause 11 is amended to read as follows: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“Default by the Borrower in the payment, when due, of any principal in respect of the Loan or the Order Notes or other amount payable hereunder unless such payment is made with 5 business days of the due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Clause 13: MISCELLANEOUS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Paragraph 3 Clause 13 is amended to read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Borrower hereby expressly consents and agrees that the books and records of the Fund (in addition to the executed outstanding Order Notes) shall at all times be evidence of the facts and matters stated therein with regard to the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2-Amendments to the Follow 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Clause 3 is amended to read as follows: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Investor undertakes to pay SIDF in return for the tasks mentioned in clause 2 above charges to be specified by SIDF based on the working hours spent by SIDF employees in executing those tasks, and the Maximum of any individual semi-annual follow-up fees not to exceed SR 52,000,000 (Fifty Two Million Saudi Riyals) and the total of all fees not to exceed SR 1,350,000,000 (One Billion, Three Hundred Fifty Million Saudi Riyals) throughout the term of the loan, of which SIDF will send periodical notices to the Investor. The records of SIDF shall be a true proof and conclusive evidence in this concern. In the event of the extension of the relationship after the final repayment for any reason, the Fund has the right to modify the cap on the follow-up fees identified above. In the event of prepayment of the full loan amount, the Fund will not impose any penalties and follow-up fees, except for the fees due prior to the prepayment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left="1032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executed in English and Arabic; Arabic version has been omitted for purposes of this filing.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[Official Letterhead of the Ministry of Finance of the Kingdom of Saudi Arabia]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Undertaking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15 April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Dear Lucid LLC.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Subject: The Government of the Kingdom of Saudi Arabia and its entities and corporate subsidiaries (together, the “</w:t>
      </w:r>
      <w:r>
        <w:rPr>
          <w:rFonts w:ascii="Arial" w:cs="Arial" w:eastAsia="Arial" w:hAnsi="Arial"/>
          <w:sz w:val="18"/>
          <w:szCs w:val="18"/>
          <w:b w:val="1"/>
          <w:bCs w:val="1"/>
          <w:color w:val="auto"/>
        </w:rPr>
        <w:t>Kingdom</w:t>
      </w:r>
      <w:r>
        <w:rPr>
          <w:rFonts w:ascii="Arial" w:cs="Arial" w:eastAsia="Arial" w:hAnsi="Arial"/>
          <w:sz w:val="18"/>
          <w:szCs w:val="18"/>
          <w:color w:val="auto"/>
        </w:rPr>
        <w:t>”) need to purchase up to one hundred thousand (100,000) vehicles from the Company and its affiliates.</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refer to the earlier discussions between the Kingdom and the Company with respect to the framework agreement whereunder Lucid will manufacture electric vehicles in the Kingdom and the Kingdom’s initiatives relating to the circular carbon economy and the Saudi Green Initiative. We also refer to the Agreement for the Disclosure of Confidential Information executed 25 November 2021 between Company and the Kingdom.</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1 - the Kingdom, hereby, undertakes to purchase, whether through direct procurement or other structures allowing the desired utilization (together, the “</w:t>
      </w:r>
      <w:r>
        <w:rPr>
          <w:rFonts w:ascii="Arial" w:cs="Arial" w:eastAsia="Arial" w:hAnsi="Arial"/>
          <w:sz w:val="18"/>
          <w:szCs w:val="18"/>
          <w:b w:val="1"/>
          <w:bCs w:val="1"/>
          <w:color w:val="auto"/>
        </w:rPr>
        <w:t>Purchase</w:t>
      </w:r>
      <w:r>
        <w:rPr>
          <w:rFonts w:ascii="Arial" w:cs="Arial" w:eastAsia="Arial" w:hAnsi="Arial"/>
          <w:sz w:val="18"/>
          <w:szCs w:val="18"/>
          <w:color w:val="auto"/>
        </w:rPr>
        <w:t>”), (50,000) electric vehicles from the various categories produced by the Company and its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 the Kingdom may Purchase an additional (50,000) vehicles as it deems appropriate for it;</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3 - the Purchase of the vehicles referred to in paragraphs (1) and (2) above shall be at the lower of the following prices at the time of order, unless different pricing is agreed in writing by the Kingdom and the Company at the time of order or prior to it: (i) the standard retail price for the applicable vehicle in the Kingdom; and (ii) the standard retail price for the applicable vehicle in the United States of America plus actual cost of logistics, import, and other actual costs of delivery and homologation to local regulations;</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4 - the Purchase and provision of the vehicles referred to in paragraphs (1) and (2) above shall be during a (10) year period commencing from the date of the first order;</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5 - the delivery of the vehicles subject to Purchase as referred to in paragraphs (1) and (2) above shall commence promptly after notification by Company that its vehicles are homologated for delivery in the Kingdom, and in any event no later than Q2 2023; and</w:t>
      </w:r>
    </w:p>
    <w:p>
      <w:pPr>
        <w:spacing w:after="0" w:line="170"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6 - the annual quantity of the vehicles subject to Purchase as referred to in paragraphs (1) and (2) above shall be determined as follows: the Kingdom will give notice of the desired quantity of each type of vehicle annually, and the Company will not unreasonably object to such quantity and vehicle type in view of the then-current production capacity, status and timeline for homologation of the desired vehicle type(s) in the Kingdom, and its then-current book of reservations and orders; provided, however, that the annual quantity shall be between 1,000 and 2,000 vehicles initially and between 4,000 and 7,000 vehicles starting in 2025 unless later agreed otherwise by the Kingdom and the Company.</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the Kingdom and the Company may disclose the material details of this letter to the public without obtaining the consent of the other following the Company’s securities filing disclosing the terms of this letter, which the Company is obligated to use its best endeavours to make the filing immediately after the signing of this letter, and notifying the Kingdom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right="60" w:firstLine="324"/>
        <w:spacing w:after="0" w:line="277" w:lineRule="auto"/>
        <w:rPr>
          <w:sz w:val="20"/>
          <w:szCs w:val="20"/>
          <w:color w:val="auto"/>
        </w:rPr>
      </w:pPr>
      <w:r>
        <w:rPr>
          <w:rFonts w:ascii="Arial" w:cs="Arial" w:eastAsia="Arial" w:hAnsi="Arial"/>
          <w:sz w:val="18"/>
          <w:szCs w:val="18"/>
          <w:color w:val="auto"/>
        </w:rPr>
        <w:t>This letter and any dispute arising out of, or in connection to it or its formation shall be subject to the laws applicable in the Kingdom of Saudi Arabia and the exclusive jurisdiction of the courts of competent jurisdiction in the Kingdom of Saudi Arabia.</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 Mohammed Abdullah Aljadaan</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Mohammed Abdullah Aljadaan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Minister of Finance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hereby confirms its acceptance of its obligation to provide the vehicles referred to in paragraphs (1) and (2) above pursuant to the provisions set out in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Faisal Sultan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Position: Managing Director, Middle East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Faisal Sultan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20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Rawlinson, certify that:</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Date: May 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Rawlinson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Peter Rawlinson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Sherry House, certify that:</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Date: May 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Sherry House</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Sherry House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146" w:lineRule="exact"/>
        <w:rPr>
          <w:sz w:val="20"/>
          <w:szCs w:val="20"/>
          <w:color w:val="auto"/>
        </w:rPr>
      </w:pPr>
    </w:p>
    <w:p>
      <w:pPr>
        <w:ind w:left="980" w:right="2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2022 (the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Date: May 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Rawlinson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Peter Rawlinson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170" w:lineRule="exact"/>
        <w:rPr>
          <w:sz w:val="20"/>
          <w:szCs w:val="20"/>
          <w:color w:val="auto"/>
        </w:rPr>
      </w:pPr>
    </w:p>
    <w:p>
      <w:pPr>
        <w:ind w:left="980" w:right="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2022 (the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Date: May 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Sherry House</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Sherry House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lowerRoman"/>
      <w:start w:val="2"/>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lowerRoman"/>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lowerRoman"/>
      <w:start w:val="3"/>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2"/>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upperLetter"/>
      <w:start w:val="2"/>
    </w:lvl>
  </w:abstractNum>
  <w:abstractNum w:abstractNumId="43">
    <w:nsid w:val="70C6A529"/>
    <w:multiLevelType w:val="hybridMultilevel"/>
    <w:lvl w:ilvl="0">
      <w:lvlJc w:val="left"/>
      <w:lvlText w:val="(%1)"/>
      <w:numFmt w:val="decimal"/>
      <w:start w:val="2"/>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upperLetter"/>
      <w:start w:val="1"/>
    </w:lvl>
  </w:abstractNum>
  <w:abstractNum w:abstractNumId="46">
    <w:nsid w:val="4F4EF005"/>
    <w:multiLevelType w:val="hybridMultilevel"/>
    <w:lvl w:ilvl="0">
      <w:lvlJc w:val="left"/>
      <w:lvlText w:val="(%1)"/>
      <w:numFmt w:val="upperLetter"/>
      <w:start w:val="2"/>
    </w:lvl>
  </w:abstractNum>
  <w:abstractNum w:abstractNumId="47">
    <w:nsid w:val="23F9C13C"/>
    <w:multiLevelType w:val="hybridMultilevel"/>
    <w:lvl w:ilvl="0">
      <w:lvlJc w:val="left"/>
      <w:lvlText w:val="(%1)"/>
      <w:numFmt w:val="upperLetter"/>
      <w:start w:val="1"/>
    </w:lvl>
  </w:abstractNum>
  <w:abstractNum w:abstractNumId="48">
    <w:nsid w:val="649BB77C"/>
    <w:multiLevelType w:val="hybridMultilevel"/>
    <w:lvl w:ilvl="0">
      <w:lvlJc w:val="left"/>
      <w:lvlText w:val="(%1)"/>
      <w:numFmt w:val="upperLetter"/>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upperLetter"/>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4"/>
    </w:lvl>
  </w:abstractNum>
  <w:abstractNum w:abstractNumId="54">
    <w:nsid w:val="47398C89"/>
    <w:multiLevelType w:val="hybridMultilevel"/>
    <w:lvl w:ilvl="0">
      <w:lvlJc w:val="left"/>
      <w:lvlText w:val="[%1]"/>
      <w:numFmt w:val="decimal"/>
      <w:start w:val="26"/>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upperLetter"/>
      <w:start w:val="3"/>
    </w:lvl>
  </w:abstractNum>
  <w:abstractNum w:abstractNumId="58">
    <w:nsid w:val="D34B6A8"/>
    <w:multiLevelType w:val="hybridMultilevel"/>
    <w:lvl w:ilvl="0">
      <w:lvlJc w:val="left"/>
      <w:lvlText w:val="•"/>
      <w:numFmt w:val="bullet"/>
      <w:start w:val="1"/>
    </w:lvl>
    <w:lvl w:ilvl="1">
      <w:lvlJc w:val="left"/>
      <w:lvlText w:val="•"/>
      <w:numFmt w:val="bullet"/>
      <w:start w:val="1"/>
    </w:lvl>
  </w:abstractNum>
  <w:abstractNum w:abstractNumId="59">
    <w:nsid w:val="10233C99"/>
    <w:multiLevelType w:val="hybridMultilevel"/>
    <w:lvl w:ilvl="0">
      <w:lvlJc w:val="left"/>
      <w:lvlText w:val="•"/>
      <w:numFmt w:val="bullet"/>
      <w:start w:val="1"/>
    </w:lvl>
    <w:lvl w:ilvl="1">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2022-05-06T05:26:48Z</dcterms:created>
  <dcterms:modified xsi:type="dcterms:W3CDTF">2022-05-06T05:26:48Z</dcterms:modified>
</cp:coreProperties>
</file>