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-603250</wp:posOffset>
            </wp:positionV>
            <wp:extent cx="57150" cy="616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658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-603250</wp:posOffset>
            </wp:positionV>
            <wp:extent cx="57150" cy="616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65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640080</wp:posOffset>
            </wp:positionV>
            <wp:extent cx="7049135" cy="7786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7786370"/>
                    </a:xfrm>
                    <a:prstGeom prst="rect">
                      <a:avLst/>
                    </a:prstGeom>
                    <a:noFill/>
                  </pic:spPr>
                </pic:pic>
              </a:graphicData>
            </a:graphic>
          </wp:anchor>
        </w:drawing>
      </w:r>
    </w:p>
    <w:p>
      <w:pPr>
        <w:spacing w:after="0" w:line="1076" w:lineRule="exact"/>
        <w:rPr>
          <w:sz w:val="24"/>
          <w:szCs w:val="24"/>
          <w:color w:val="auto"/>
        </w:rPr>
      </w:pPr>
    </w:p>
    <w:p>
      <w:pPr>
        <w:sectPr>
          <w:pgSz w:w="11900" w:h="16840" w:orient="portrait"/>
          <w:cols w:equalWidth="0" w:num="2">
            <w:col w:w="2300" w:space="380"/>
            <w:col w:w="8400"/>
          </w:cols>
          <w:pgMar w:left="460" w:top="214"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PUBLIC INVESTMENT FUND</w:t>
        </w:r>
      </w:hyperlink>
    </w:p>
    <w:p>
      <w:pPr>
        <w:spacing w:after="0" w:line="28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line="357" w:lineRule="auto"/>
        <w:rPr>
          <w:sz w:val="20"/>
          <w:szCs w:val="20"/>
          <w:color w:val="auto"/>
        </w:rPr>
      </w:pPr>
      <w:r>
        <w:rPr>
          <w:rFonts w:ascii="Times New Roman" w:cs="Times New Roman" w:eastAsia="Times New Roman" w:hAnsi="Times New Roman"/>
          <w:sz w:val="16"/>
          <w:szCs w:val="16"/>
          <w:color w:val="0000FF"/>
        </w:rPr>
        <w:t>KING ABDULLAH FINANCIAL DISTRICT (KAFD) AL AQIQ DISTRICT</w:t>
      </w: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940" w:type="dxa"/>
            <w:vAlign w:val="bottom"/>
          </w:tcPr>
          <w:p>
            <w:pPr>
              <w:spacing w:after="0"/>
              <w:rPr>
                <w:sz w:val="20"/>
                <w:szCs w:val="20"/>
                <w:color w:val="auto"/>
              </w:rPr>
            </w:pPr>
            <w:r>
              <w:rPr>
                <w:rFonts w:ascii="Arial" w:cs="Arial" w:eastAsia="Arial" w:hAnsi="Arial"/>
                <w:sz w:val="12"/>
                <w:szCs w:val="12"/>
                <w:color w:val="auto"/>
              </w:rPr>
              <w:t>(Street)</w:t>
            </w: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9"/>
        </w:trPr>
        <w:tc>
          <w:tcPr>
            <w:tcW w:w="9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RIYADH</w:t>
            </w:r>
          </w:p>
        </w:tc>
        <w:tc>
          <w:tcPr>
            <w:tcW w:w="10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T0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13519</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780" w:type="dxa"/>
            <w:vAlign w:val="bottom"/>
            <w:gridSpan w:val="3"/>
          </w:tcPr>
          <w:p>
            <w:pPr>
              <w:spacing w:after="0" w:line="21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Lucid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LCID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320" w:type="dxa"/>
            <w:vAlign w:val="bottom"/>
            <w:tcBorders>
              <w:top w:val="single" w:sz="8" w:color="0000EE"/>
            </w:tcBorders>
          </w:tcPr>
          <w:p>
            <w:pPr>
              <w:spacing w:after="0"/>
              <w:rPr>
                <w:sz w:val="12"/>
                <w:szCs w:val="12"/>
                <w:color w:val="auto"/>
              </w:rPr>
            </w:pPr>
          </w:p>
        </w:tc>
        <w:tc>
          <w:tcPr>
            <w:tcW w:w="2340" w:type="dxa"/>
            <w:vAlign w:val="bottom"/>
          </w:tcPr>
          <w:p>
            <w:pPr>
              <w:spacing w:after="0"/>
              <w:rPr>
                <w:sz w:val="12"/>
                <w:szCs w:val="12"/>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42"/>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2340" w:type="dxa"/>
            <w:vAlign w:val="bottom"/>
            <w:tcBorders>
              <w:bottom w:val="single" w:sz="8" w:color="2C2C2C"/>
            </w:tcBorders>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02"/>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8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04/08/2025</w:t>
            </w:r>
          </w:p>
        </w:tc>
        <w:tc>
          <w:tcPr>
            <w:tcW w:w="2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28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28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40" w:orient="portrait"/>
          <w:cols w:equalWidth="0" w:num="2">
            <w:col w:w="3700" w:space="140"/>
            <w:col w:w="7240"/>
          </w:cols>
          <w:pgMar w:left="460" w:top="214" w:right="359" w:bottom="0" w:gutter="0" w:footer="0" w:header="0"/>
          <w:type w:val="continuous"/>
        </w:sectPr>
      </w:pPr>
    </w:p>
    <w:p>
      <w:pPr>
        <w:spacing w:after="0" w:line="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184"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5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8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5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 (Instr.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Price of</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3 and 4)</w:t>
            </w:r>
          </w:p>
        </w:tc>
        <w:tc>
          <w:tcPr>
            <w:tcW w:w="94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8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9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Forward</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By Ayar Third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purchase</w:t>
            </w:r>
          </w:p>
        </w:tc>
        <w:tc>
          <w:tcPr>
            <w:tcW w:w="68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2.4</w:t>
            </w:r>
            <w:r>
              <w:rPr>
                <w:rFonts w:ascii="Times New Roman" w:cs="Times New Roman" w:eastAsia="Times New Roman" w:hAnsi="Times New Roman"/>
                <w:sz w:val="20"/>
                <w:szCs w:val="20"/>
                <w:color w:val="008000"/>
                <w:vertAlign w:val="superscript"/>
              </w:rPr>
              <w:t>(1)</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gridSpan w:val="3"/>
            <w:vMerge w:val="restart"/>
          </w:tcPr>
          <w:p>
            <w:pPr>
              <w:ind w:left="60"/>
              <w:spacing w:after="0" w:line="268" w:lineRule="exact"/>
              <w:rPr>
                <w:sz w:val="20"/>
                <w:szCs w:val="20"/>
                <w:color w:val="auto"/>
              </w:rPr>
            </w:pPr>
            <w:r>
              <w:rPr>
                <w:rFonts w:ascii="Times New Roman" w:cs="Times New Roman" w:eastAsia="Times New Roman" w:hAnsi="Times New Roman"/>
                <w:sz w:val="24"/>
                <w:szCs w:val="24"/>
                <w:color w:val="0000FF"/>
                <w:vertAlign w:val="subscript"/>
              </w:rPr>
              <w:t>1</w:t>
            </w:r>
            <w:r>
              <w:rPr>
                <w:rFonts w:ascii="Times New Roman" w:cs="Times New Roman" w:eastAsia="Times New Roman" w:hAnsi="Times New Roman"/>
                <w:sz w:val="10"/>
                <w:szCs w:val="10"/>
                <w:color w:val="008000"/>
              </w:rPr>
              <w:t>(1)</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0000FF"/>
              </w:rPr>
              <w:t>Class A</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179,166,667</w:t>
            </w:r>
          </w:p>
        </w:tc>
        <w:tc>
          <w:tcPr>
            <w:tcW w:w="660" w:type="dxa"/>
            <w:vAlign w:val="bottom"/>
          </w:tcPr>
          <w:p>
            <w:pPr>
              <w:spacing w:after="0"/>
              <w:rPr>
                <w:sz w:val="10"/>
                <w:szCs w:val="10"/>
                <w:color w:val="auto"/>
              </w:rPr>
            </w:pPr>
          </w:p>
        </w:tc>
        <w:tc>
          <w:tcPr>
            <w:tcW w:w="900" w:type="dxa"/>
            <w:vAlign w:val="bottom"/>
            <w:vMerge w:val="restart"/>
          </w:tcPr>
          <w:p>
            <w:pPr>
              <w:ind w:left="360"/>
              <w:spacing w:after="0" w:line="268" w:lineRule="exact"/>
              <w:rPr>
                <w:sz w:val="20"/>
                <w:szCs w:val="20"/>
                <w:color w:val="auto"/>
              </w:rPr>
            </w:pPr>
            <w:r>
              <w:rPr>
                <w:rFonts w:ascii="Times New Roman" w:cs="Times New Roman" w:eastAsia="Times New Roman" w:hAnsi="Times New Roman"/>
                <w:sz w:val="24"/>
                <w:szCs w:val="24"/>
                <w:color w:val="0000FF"/>
                <w:vertAlign w:val="subscript"/>
              </w:rPr>
              <w:t>1</w:t>
            </w:r>
            <w:r>
              <w:rPr>
                <w:rFonts w:ascii="Times New Roman" w:cs="Times New Roman" w:eastAsia="Times New Roman" w:hAnsi="Times New Roman"/>
                <w:sz w:val="10"/>
                <w:szCs w:val="10"/>
                <w:color w:val="008000"/>
              </w:rPr>
              <w:t>(1)</w:t>
            </w:r>
          </w:p>
        </w:tc>
        <w:tc>
          <w:tcPr>
            <w:tcW w:w="7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contract</w:t>
            </w:r>
          </w:p>
        </w:tc>
        <w:tc>
          <w:tcPr>
            <w:tcW w:w="680" w:type="dxa"/>
            <w:vAlign w:val="bottom"/>
            <w:vMerge w:val="continue"/>
          </w:tcPr>
          <w:p>
            <w:pPr>
              <w:spacing w:after="0"/>
              <w:rPr>
                <w:sz w:val="12"/>
                <w:szCs w:val="12"/>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0000FF"/>
              </w:rPr>
              <w:t>04/08/2025</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P</w:t>
            </w:r>
          </w:p>
        </w:tc>
        <w:tc>
          <w:tcPr>
            <w:tcW w:w="660" w:type="dxa"/>
            <w:vAlign w:val="bottom"/>
            <w:gridSpan w:val="3"/>
            <w:vMerge w:val="continue"/>
          </w:tcPr>
          <w:p>
            <w:pPr>
              <w:spacing w:after="0"/>
              <w:rPr>
                <w:sz w:val="12"/>
                <w:szCs w:val="12"/>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04/01/2030</w:t>
            </w: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04/01/2030</w:t>
            </w:r>
          </w:p>
        </w:tc>
        <w:tc>
          <w:tcPr>
            <w:tcW w:w="5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940" w:type="dxa"/>
            <w:vAlign w:val="bottom"/>
            <w:vMerge w:val="continue"/>
          </w:tcPr>
          <w:p>
            <w:pPr>
              <w:spacing w:after="0"/>
              <w:rPr>
                <w:sz w:val="12"/>
                <w:szCs w:val="12"/>
                <w:color w:val="auto"/>
              </w:rPr>
            </w:pPr>
          </w:p>
        </w:tc>
        <w:tc>
          <w:tcPr>
            <w:tcW w:w="66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vMerge w:val="continue"/>
          </w:tcPr>
          <w:p>
            <w:pPr>
              <w:spacing w:after="0"/>
              <w:rPr>
                <w:sz w:val="12"/>
                <w:szCs w:val="12"/>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Investment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(obligation</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80"/>
              <w:spacing w:after="0" w:line="142" w:lineRule="exact"/>
              <w:rPr>
                <w:sz w:val="20"/>
                <w:szCs w:val="20"/>
                <w:color w:val="auto"/>
              </w:rPr>
            </w:pPr>
            <w:r>
              <w:rPr>
                <w:rFonts w:ascii="Times New Roman" w:cs="Times New Roman" w:eastAsia="Times New Roman" w:hAnsi="Times New Roman"/>
                <w:sz w:val="10"/>
                <w:szCs w:val="10"/>
                <w:color w:val="0000FF"/>
              </w:rPr>
              <w:t>Company</w:t>
            </w:r>
            <w:r>
              <w:rPr>
                <w:rFonts w:ascii="Times New Roman" w:cs="Times New Roman" w:eastAsia="Times New Roman" w:hAnsi="Times New Roman"/>
                <w:sz w:val="16"/>
                <w:szCs w:val="16"/>
                <w:color w:val="008000"/>
                <w:vertAlign w:val="superscript"/>
              </w:rPr>
              <w:t>(1)(2)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to buy)</w:t>
            </w: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6"/>
          </w:tcPr>
          <w:p>
            <w:pPr>
              <w:ind w:left="60"/>
              <w:spacing w:after="0" w:line="220"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gridSpan w:val="6"/>
          </w:tcPr>
          <w:p>
            <w:pPr>
              <w:spacing w:after="0" w:line="21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PUBLIC INVESTMENT FUND</w:t>
              </w:r>
            </w:hyperlink>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2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2"/>
                <w:szCs w:val="12"/>
                <w:color w:val="auto"/>
              </w:rPr>
              <w:t>(Middle)</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KING ABDULLAH FINANCIAL DISTRICT (KAFD)</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AL AQIQ DISTRICT</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RIYADH</w:t>
            </w:r>
          </w:p>
        </w:tc>
        <w:tc>
          <w:tcPr>
            <w:tcW w:w="68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T0</w:t>
            </w: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13519</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2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2"/>
                <w:szCs w:val="12"/>
                <w:color w:val="auto"/>
              </w:rPr>
              <w:t>(Zip)</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gridSpan w:val="3"/>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4"/>
          </w:tcPr>
          <w:p>
            <w:pPr>
              <w:spacing w:after="0" w:line="211"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Ayar Third Investment Co</w:t>
              </w:r>
            </w:hyperlink>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2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2"/>
                <w:szCs w:val="12"/>
                <w:color w:val="auto"/>
              </w:rPr>
              <w:t>(Middle)</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P.O. BOX 6847</w:t>
            </w: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RIYADH</w:t>
            </w:r>
          </w:p>
        </w:tc>
        <w:tc>
          <w:tcPr>
            <w:tcW w:w="68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T0</w:t>
            </w: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11452</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2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2"/>
                <w:szCs w:val="12"/>
                <w:color w:val="auto"/>
              </w:rPr>
              <w:t>(Zip)</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40" w:right="240" w:hanging="4"/>
        <w:spacing w:after="0" w:line="247"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Ayar Third Investment Company ("Ayar") entered into a privately negotiated prepaid forward share purchase transaction with Citibank N.A. (the "forward counterparty"), pursuant to which Ayar will purchase 179,166,667 shares of Class A common stock, par value $0.0001 per share ("Common Stock") of Lucid Group, Inc. ("Lucid") for $430,000,000.80, with delivery of those shares to occur no later than April 1, 2030, subject to the forward counterparty's right to settle its delivery obligations prior to that date The prepaid forward transaction was entered into in connection with the pricing of an offering by Lucid of $1,100,000,000 aggregate principal amount of 5.00% convertible senior notes due 2030 (the "notes"). The prepaid forward transaction was subject to termination if the issuance of the notes was not consummated. The settlement of the issuance of the notes occurred on April 8, 2025.</w:t>
      </w:r>
    </w:p>
    <w:p>
      <w:pPr>
        <w:spacing w:after="0" w:line="22" w:lineRule="exact"/>
        <w:rPr>
          <w:rFonts w:ascii="Times New Roman" w:cs="Times New Roman" w:eastAsia="Times New Roman" w:hAnsi="Times New Roman"/>
          <w:sz w:val="12"/>
          <w:szCs w:val="12"/>
          <w:color w:val="008000"/>
        </w:rPr>
      </w:pPr>
    </w:p>
    <w:p>
      <w:pPr>
        <w:ind w:left="40" w:right="220" w:hanging="4"/>
        <w:spacing w:after="0" w:line="257"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Ayar is a wholly-owned subsidiary of Public Investment Fund of Saudi Arabia ("PIF"), and as such PIF may be deemed to beneficially own the shares held by Ayar. In addition, each of Turqi A. Alnowaiser and Yasir Alsalman, co-managers of Ayar, may be deemed to beneficially own the shares owned by Ayar by virtue of shared power to vote the shares. Neither Mr. Alnowaiser nor Mr. Alsalman has any, and each and disclaims, any pecuniary interest in the shares.</w:t>
      </w:r>
    </w:p>
    <w:p>
      <w:pPr>
        <w:sectPr>
          <w:pgSz w:w="11900" w:h="16840" w:orient="portrait"/>
          <w:cols w:equalWidth="0" w:num="1">
            <w:col w:w="11080"/>
          </w:cols>
          <w:pgMar w:left="460" w:top="214" w:right="359" w:bottom="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40" w:orient="portrait"/>
          <w:cols w:equalWidth="0" w:num="1">
            <w:col w:w="11080"/>
          </w:cols>
          <w:pgMar w:left="460" w:top="214" w:right="359" w:bottom="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2"/>
          <w:szCs w:val="12"/>
          <w:color w:val="008000"/>
        </w:rPr>
        <w:t>PIF may be deemed a director by deputization, as Mr. Alnowaiser, an employee of PIF, serves as a representative of Ayar on the Board of Directors of the Issuer.</w:t>
      </w:r>
    </w:p>
    <w:p>
      <w:pPr>
        <w:sectPr>
          <w:pgSz w:w="11900" w:h="16838" w:orient="portrait"/>
          <w:cols w:equalWidth="0" w:num="1">
            <w:col w:w="9963"/>
          </w:cols>
          <w:pgMar w:left="496" w:top="127" w:right="1440" w:bottom="1440" w:gutter="0" w:footer="0" w:header="0"/>
        </w:sectPr>
      </w:pPr>
    </w:p>
    <w:p>
      <w:pPr>
        <w:spacing w:after="0" w:line="7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Public Investment Fund,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11264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126490"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Yasir O. AlRumayyan, Governor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3525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52550"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Ayar Third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-5715</wp:posOffset>
            </wp:positionV>
            <wp:extent cx="9290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29005" cy="7620"/>
                    </a:xfrm>
                    <a:prstGeom prst="rect">
                      <a:avLst/>
                    </a:prstGeom>
                    <a:noFill/>
                  </pic:spPr>
                </pic:pic>
              </a:graphicData>
            </a:graphic>
          </wp:anchor>
        </w:drawing>
      </w:r>
    </w:p>
    <w:p>
      <w:pPr>
        <w:spacing w:after="0" w:line="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Company, /s/ Turqi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9144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91440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Alnowaiser, Co-Manager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-12700</wp:posOffset>
            </wp:positionV>
            <wp:extent cx="10369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3695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8704" w:space="60"/>
            <w:col w:w="1199"/>
          </w:cols>
          <w:pgMar w:left="496" w:top="127" w:right="1440" w:bottom="1440" w:gutter="0" w:footer="0" w:header="0"/>
          <w:type w:val="continuous"/>
        </w:sectPr>
      </w:pPr>
    </w:p>
    <w:p>
      <w:pPr>
        <w:ind w:left="6564"/>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2799" w:hanging="4"/>
        <w:spacing w:after="0" w:line="323"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3"/>
      </w:cols>
      <w:pgMar w:left="496"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www.sec.gov/cgi-bin/browse-edgar?action=getcompany&amp;CIK=0001767640" TargetMode="External"/><Relationship Id="rId14" Type="http://schemas.openxmlformats.org/officeDocument/2006/relationships/hyperlink" Target="http://www.sec.gov/cgi-bin/browse-edgar?action=getcompany&amp;CIK=0001811210" TargetMode="External"/><Relationship Id="rId15" Type="http://schemas.openxmlformats.org/officeDocument/2006/relationships/hyperlink" Target="http://www.sec.gov/cgi-bin/browse-edgar?action=getcompany&amp;CIK=00018748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2025-04-10T14:07:52Z</dcterms:created>
  <dcterms:modified xsi:type="dcterms:W3CDTF">2025-04-10T14:07:52Z</dcterms:modified>
</cp:coreProperties>
</file>